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8DFD00" w14:textId="60038BC2" w:rsidR="00307C23" w:rsidRDefault="00000000" w:rsidP="006915A4">
      <w:pPr>
        <w:pStyle w:val="Ttulo"/>
        <w:ind w:left="-851" w:right="-625"/>
      </w:pPr>
      <w:sdt>
        <w:sdtPr>
          <w:rPr>
            <w:i/>
            <w:iCs w:val="0"/>
            <w:u w:val="single"/>
          </w:rPr>
          <w:alias w:val="Title"/>
          <w:tag w:val=""/>
          <w:id w:val="-780801520"/>
          <w:placeholder>
            <w:docPart w:val="A2B92473D0FC43C38638FA8380C79D92"/>
          </w:placeholder>
          <w:dataBinding w:prefixMappings="xmlns:ns0='http://purl.org/dc/elements/1.1/' xmlns:ns1='http://schemas.openxmlformats.org/package/2006/metadata/core-properties' " w:xpath="/ns1:coreProperties[1]/ns0:title[1]" w:storeItemID="{6C3C8BC8-F283-45AE-878A-BAB7291924A1}"/>
          <w:text/>
        </w:sdtPr>
        <w:sdtContent>
          <w:r w:rsidR="00A75E09">
            <w:rPr>
              <w:i/>
              <w:iCs w:val="0"/>
              <w:u w:val="single"/>
            </w:rPr>
            <w:t>3.B.1</w:t>
          </w:r>
        </w:sdtContent>
      </w:sdt>
      <w:r w:rsidR="00C851DA">
        <w:t xml:space="preserve"> :</w:t>
      </w:r>
      <w:r w:rsidR="00C81078" w:rsidRPr="004C0C34">
        <w:t xml:space="preserve"> </w:t>
      </w:r>
      <w:sdt>
        <w:sdtPr>
          <w:alias w:val="Subject"/>
          <w:tag w:val=""/>
          <w:id w:val="-1903059896"/>
          <w:placeholder>
            <w:docPart w:val="A736CA76B7DF4F54B18023A3626291B8"/>
          </w:placeholder>
          <w:dataBinding w:prefixMappings="xmlns:ns0='http://purl.org/dc/elements/1.1/' xmlns:ns1='http://schemas.openxmlformats.org/package/2006/metadata/core-properties' " w:xpath="/ns1:coreProperties[1]/ns0:subject[1]" w:storeItemID="{6C3C8BC8-F283-45AE-878A-BAB7291924A1}"/>
          <w:text/>
        </w:sdtPr>
        <w:sdtContent>
          <w:r w:rsidR="00A75E09">
            <w:t>La información financiera de las empresas: estados de situación y de circulación. Métodos de análisis económico y financiero de la empresa</w:t>
          </w:r>
          <w:r w:rsidR="00E27C2C">
            <w:t>.</w:t>
          </w:r>
        </w:sdtContent>
      </w:sdt>
    </w:p>
    <w:p w14:paraId="70421EBE" w14:textId="77777777" w:rsidR="00CC11B8" w:rsidRDefault="00CC11B8" w:rsidP="00CC11B8">
      <w:pPr>
        <w:pStyle w:val="Notaalopositor"/>
        <w:spacing w:after="0"/>
      </w:pPr>
      <w:bookmarkStart w:id="0" w:name="_Hlk111398052"/>
      <w:bookmarkStart w:id="1" w:name="_Hlk123131219"/>
      <w:r>
        <w:t>Con el cambio de temario, a partir de la convocatoria de 2023 este tema pasará a ser:</w:t>
      </w:r>
    </w:p>
    <w:p w14:paraId="33A240CE" w14:textId="19FC1F9C" w:rsidR="00CC11B8" w:rsidRDefault="00CC11B8" w:rsidP="00CC11B8">
      <w:pPr>
        <w:pStyle w:val="Notaalopositor"/>
      </w:pPr>
      <w:r>
        <w:t>3.B.1: La información financiera de las empresas: estados de situación y de circulación. Métodos de análisis económico y financiero de la empresa.</w:t>
      </w:r>
    </w:p>
    <w:p w14:paraId="729CFA52" w14:textId="77777777" w:rsidR="00CC11B8" w:rsidRDefault="00CC11B8" w:rsidP="00CC11B8">
      <w:pPr>
        <w:pStyle w:val="Notaalopositor"/>
        <w:spacing w:after="0"/>
      </w:pPr>
      <w:r>
        <w:t xml:space="preserve">De este modo, con lo escrito en este documento estaría </w:t>
      </w:r>
      <w:r>
        <w:rPr>
          <w:b/>
          <w:bCs/>
        </w:rPr>
        <w:t>actualizado</w:t>
      </w:r>
      <w:r w:rsidRPr="00CC188F">
        <w:rPr>
          <w:bCs/>
        </w:rPr>
        <w:t>.</w:t>
      </w:r>
      <w:bookmarkEnd w:id="0"/>
    </w:p>
    <w:bookmarkEnd w:id="1"/>
    <w:p w14:paraId="0B3C13AE" w14:textId="6F964E7E" w:rsidR="00CC11B8" w:rsidRDefault="00CC11B8" w:rsidP="00CC11B8">
      <w:pPr>
        <w:pStyle w:val="Notaalopositor"/>
        <w:jc w:val="center"/>
      </w:pPr>
      <w:r w:rsidRPr="00CC11B8">
        <w:rPr>
          <w:noProof/>
        </w:rPr>
        <w:drawing>
          <wp:inline distT="0" distB="0" distL="0" distR="0" wp14:anchorId="0731E496" wp14:editId="5C9AE4DB">
            <wp:extent cx="2880000" cy="2064190"/>
            <wp:effectExtent l="0" t="0" r="0" b="0"/>
            <wp:docPr id="8" name="Imagen 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abla&#10;&#10;Descripción generada automáticamente"/>
                    <pic:cNvPicPr/>
                  </pic:nvPicPr>
                  <pic:blipFill>
                    <a:blip r:embed="rId8"/>
                    <a:stretch>
                      <a:fillRect/>
                    </a:stretch>
                  </pic:blipFill>
                  <pic:spPr>
                    <a:xfrm>
                      <a:off x="0" y="0"/>
                      <a:ext cx="2880000" cy="2064190"/>
                    </a:xfrm>
                    <a:prstGeom prst="rect">
                      <a:avLst/>
                    </a:prstGeom>
                  </pic:spPr>
                </pic:pic>
              </a:graphicData>
            </a:graphic>
          </wp:inline>
        </w:drawing>
      </w:r>
    </w:p>
    <w:p w14:paraId="7C2FC130" w14:textId="77777777" w:rsidR="0021774E" w:rsidRPr="005231B2" w:rsidRDefault="0021774E" w:rsidP="001A3312">
      <w:pPr>
        <w:pStyle w:val="Introduccinyconclusin"/>
      </w:pPr>
      <w:bookmarkStart w:id="2" w:name="_Toc55382054"/>
      <w:bookmarkStart w:id="3" w:name="_Toc55382089"/>
      <w:bookmarkStart w:id="4" w:name="_Toc55382517"/>
      <w:bookmarkStart w:id="5" w:name="_Toc55382751"/>
      <w:r w:rsidRPr="005231B2">
        <w:t>I</w:t>
      </w:r>
      <w:r w:rsidRPr="005231B2">
        <w:rPr>
          <w:rStyle w:val="IntroduccinyconclusinChar"/>
          <w:b/>
          <w:bCs/>
          <w:caps/>
          <w:shd w:val="clear" w:color="auto" w:fill="auto"/>
        </w:rPr>
        <w:t>NTRODUCCIÓN</w:t>
      </w:r>
      <w:bookmarkEnd w:id="2"/>
      <w:bookmarkEnd w:id="3"/>
      <w:bookmarkEnd w:id="4"/>
      <w:bookmarkEnd w:id="5"/>
    </w:p>
    <w:p w14:paraId="4F13469F" w14:textId="2853EAE5" w:rsidR="00B77C0F" w:rsidRPr="00996045" w:rsidRDefault="00B77C0F" w:rsidP="00FF2BEA">
      <w:pPr>
        <w:pStyle w:val="Nivel1"/>
        <w:keepNext/>
        <w:spacing w:before="0" w:after="0"/>
        <w:rPr>
          <w:rStyle w:val="Hipervnculo"/>
          <w:color w:val="auto"/>
          <w:u w:val="none"/>
        </w:rPr>
      </w:pPr>
      <w:r w:rsidRPr="00C325BE">
        <w:rPr>
          <w:b/>
          <w:bCs/>
          <w:i/>
          <w:iCs/>
        </w:rPr>
        <w:t>Enganche</w:t>
      </w:r>
      <w:r>
        <w:t>:</w:t>
      </w:r>
    </w:p>
    <w:p w14:paraId="1E296694" w14:textId="6F6AB8F7" w:rsidR="000B4DE4" w:rsidRDefault="000B4DE4" w:rsidP="00637136">
      <w:pPr>
        <w:pStyle w:val="Nivel2"/>
        <w:keepNext/>
        <w:spacing w:after="0"/>
      </w:pPr>
      <w:r>
        <w:t xml:space="preserve">Desde un punto de vista de la </w:t>
      </w:r>
      <w:r w:rsidRPr="0029551C">
        <w:rPr>
          <w:i/>
          <w:iCs/>
        </w:rPr>
        <w:t>teoría microeconómica</w:t>
      </w:r>
      <w:r>
        <w:t xml:space="preserve">, solemos definir a la empresa como la unidad de producción que combina una serie de inputs para producir una serie de outputs que satisfacen las necesidades de </w:t>
      </w:r>
      <w:r w:rsidR="002325B0">
        <w:t>l</w:t>
      </w:r>
      <w:r>
        <w:t>os consumidores. El objetivo de la empresa sería la maximización de beneficios.</w:t>
      </w:r>
    </w:p>
    <w:p w14:paraId="35510B1E" w14:textId="77777777" w:rsidR="000B4DE4" w:rsidRDefault="000B4DE4" w:rsidP="00637136">
      <w:pPr>
        <w:pStyle w:val="Nivel3"/>
        <w:keepNext/>
      </w:pPr>
      <w:r>
        <w:t xml:space="preserve">Sin embargo, desde un punto de vista de </w:t>
      </w:r>
      <w:r w:rsidRPr="00D833A6">
        <w:rPr>
          <w:b/>
          <w:bCs/>
          <w:i/>
          <w:iCs/>
        </w:rPr>
        <w:t>finanzas corporativas</w:t>
      </w:r>
      <w:r>
        <w:t>, vamos a entender a la empresa como una entidad que va a realizar una serie de decisiones de inversión que van a requerir sus correspondientes decisiones de financiación.</w:t>
      </w:r>
    </w:p>
    <w:p w14:paraId="2C3DF6ED" w14:textId="77777777" w:rsidR="0029551C" w:rsidRDefault="0029551C" w:rsidP="00637136">
      <w:pPr>
        <w:pStyle w:val="Nivel4"/>
      </w:pPr>
      <w:r>
        <w:t xml:space="preserve">El objetivo último de la empresa, siguiendo a </w:t>
      </w:r>
      <w:r>
        <w:rPr>
          <w:smallCaps/>
        </w:rPr>
        <w:t>Milton Friedman</w:t>
      </w:r>
      <w:r>
        <w:t xml:space="preserve"> (1970), es la maximización del valor de </w:t>
      </w:r>
      <w:proofErr w:type="gramStart"/>
      <w:r>
        <w:t>la misma</w:t>
      </w:r>
      <w:proofErr w:type="gramEnd"/>
      <w:r>
        <w:t xml:space="preserve"> para sus accionistas, es decir, la maximización del valor de mercado de sus acciones</w:t>
      </w:r>
      <w:r>
        <w:rPr>
          <w:rStyle w:val="Refdenotaalpie"/>
        </w:rPr>
        <w:footnoteReference w:id="2"/>
      </w:r>
      <w:r>
        <w:t>.</w:t>
      </w:r>
    </w:p>
    <w:p w14:paraId="2A8DB343" w14:textId="0DAF6704" w:rsidR="007F5283" w:rsidRDefault="007F5283" w:rsidP="000B4DE4">
      <w:pPr>
        <w:pStyle w:val="Nivel2"/>
        <w:keepNext/>
        <w:spacing w:after="0"/>
      </w:pPr>
      <w:r w:rsidRPr="007F5283">
        <w:rPr>
          <w:i/>
          <w:iCs/>
          <w:u w:val="single"/>
        </w:rPr>
        <w:t>En esta exposición</w:t>
      </w:r>
      <w:r>
        <w:t xml:space="preserve">, nos vamos a centrar en un paso previo para el análisis de los objetivos de la </w:t>
      </w:r>
      <w:r w:rsidR="00555190">
        <w:t xml:space="preserve">empresa. Para determinar el cumplimiento de dichos objetivos, es necesario contar con un proceso de registro de las transacciones de la empresa y posteriormente interpretar críticamente este registro. Como recita el aforismo, </w:t>
      </w:r>
      <w:r w:rsidR="00555190">
        <w:rPr>
          <w:i/>
          <w:iCs/>
        </w:rPr>
        <w:t>“no se puede gestionar lo que no se puede medir”</w:t>
      </w:r>
      <w:r w:rsidR="00555190">
        <w:t>.</w:t>
      </w:r>
    </w:p>
    <w:p w14:paraId="5F2C041E" w14:textId="3F56C8B6" w:rsidR="00555190" w:rsidRDefault="00555190" w:rsidP="000B4DE4">
      <w:pPr>
        <w:pStyle w:val="Nivel3"/>
      </w:pPr>
      <w:r w:rsidRPr="00555190">
        <w:t>Po</w:t>
      </w:r>
      <w:r>
        <w:t xml:space="preserve">r ello, </w:t>
      </w:r>
      <w:r w:rsidR="003770AA">
        <w:t xml:space="preserve">el objetivo de esta expansión será el estudio de </w:t>
      </w:r>
      <w:r>
        <w:t>la información financiera de las sociedades no financieras</w:t>
      </w:r>
      <w:r w:rsidR="00ED76AA">
        <w:rPr>
          <w:rStyle w:val="Refdenotaalpie"/>
        </w:rPr>
        <w:footnoteReference w:id="3"/>
      </w:r>
      <w:r>
        <w:t>. Para ello, nos basaremos en la contabilidad financiera, es decir, aquella contabilidad que en contraposición de la contabilidad de gestión es accesible a los agentes fuera de la empresa.</w:t>
      </w:r>
    </w:p>
    <w:p w14:paraId="511C6F55" w14:textId="77777777" w:rsidR="0071618E" w:rsidRPr="00ED76AA" w:rsidRDefault="0071618E" w:rsidP="000B4DE4">
      <w:pPr>
        <w:pStyle w:val="Nivel3"/>
      </w:pPr>
      <w:r>
        <w:t xml:space="preserve">En </w:t>
      </w:r>
      <w:r w:rsidRPr="00ED76AA">
        <w:t>este contexto, el principal objetivo del análisis de los estados contables es interpretar y evaluar de forma rigurosa los datos acerca de la situación presente y futura de las empresas.</w:t>
      </w:r>
    </w:p>
    <w:p w14:paraId="4AE7DD94" w14:textId="77777777" w:rsidR="0071618E" w:rsidRPr="00C14FB1" w:rsidRDefault="0071618E" w:rsidP="000B4DE4">
      <w:pPr>
        <w:pStyle w:val="Nivel3"/>
        <w:rPr>
          <w:spacing w:val="-1"/>
        </w:rPr>
      </w:pPr>
      <w:r w:rsidRPr="00C14FB1">
        <w:rPr>
          <w:spacing w:val="-1"/>
        </w:rPr>
        <w:t>Para que pueda utilizarse para el fin por el que se recoge, la información financiera requiere de una presentación organizada y sistemática que permita al usuario comparar a fin de invertir en activos de la empresa, valorar para comprar o vender o determinar las obligaciones tributarias que se desprenden de la actividad empresarial.</w:t>
      </w:r>
    </w:p>
    <w:p w14:paraId="371A254B" w14:textId="462562C3" w:rsidR="00AD3472" w:rsidRDefault="0071618E" w:rsidP="00706C98">
      <w:pPr>
        <w:pStyle w:val="Nivel3"/>
      </w:pPr>
      <w:r w:rsidRPr="00ED76AA">
        <w:lastRenderedPageBreak/>
        <w:t>Es por</w:t>
      </w:r>
      <w:r>
        <w:t xml:space="preserve"> ello, que debe cumplir una serie de </w:t>
      </w:r>
      <w:r w:rsidRPr="00AD3472">
        <w:rPr>
          <w:i/>
          <w:iCs/>
        </w:rPr>
        <w:t>requisitos</w:t>
      </w:r>
      <w:r w:rsidR="009E5E15">
        <w:t xml:space="preserve"> (</w:t>
      </w:r>
      <w:r w:rsidR="00692D39">
        <w:t>RFI</w:t>
      </w:r>
      <w:r w:rsidR="009E5E15">
        <w:t>CC)</w:t>
      </w:r>
      <w:r w:rsidR="00AD3472">
        <w:t xml:space="preserve">. En particular, siguiendo el Plan General Contable de 2007 y tal como veremos más adelante, la información financiera de la empresa debe ser </w:t>
      </w:r>
      <w:r w:rsidR="00AD3472" w:rsidRPr="00AD3472">
        <w:rPr>
          <w:i/>
          <w:iCs/>
        </w:rPr>
        <w:t>relevante</w:t>
      </w:r>
      <w:r w:rsidR="00AD3472">
        <w:t xml:space="preserve">, </w:t>
      </w:r>
      <w:r w:rsidR="00AD3472">
        <w:rPr>
          <w:i/>
          <w:iCs/>
        </w:rPr>
        <w:t>fiable</w:t>
      </w:r>
      <w:r w:rsidR="00AD3472">
        <w:t xml:space="preserve">, </w:t>
      </w:r>
      <w:r w:rsidR="00AD3472">
        <w:rPr>
          <w:i/>
          <w:iCs/>
        </w:rPr>
        <w:t>íntegra</w:t>
      </w:r>
      <w:r w:rsidR="00AD3472">
        <w:t xml:space="preserve">, </w:t>
      </w:r>
      <w:r w:rsidR="00AD3472">
        <w:rPr>
          <w:i/>
          <w:iCs/>
        </w:rPr>
        <w:t>comparable</w:t>
      </w:r>
      <w:r w:rsidR="00AD3472">
        <w:t xml:space="preserve"> y </w:t>
      </w:r>
      <w:r w:rsidR="00AD3472">
        <w:rPr>
          <w:i/>
          <w:iCs/>
        </w:rPr>
        <w:t>clara</w:t>
      </w:r>
      <w:r w:rsidR="00AD3472">
        <w:t>.</w:t>
      </w:r>
    </w:p>
    <w:p w14:paraId="488223A6" w14:textId="4819B6F9" w:rsidR="00147600" w:rsidRDefault="00147600" w:rsidP="00147600">
      <w:pPr>
        <w:pStyle w:val="Nivel1"/>
        <w:keepNext/>
        <w:spacing w:after="0"/>
      </w:pPr>
      <w:r w:rsidRPr="00C325BE">
        <w:rPr>
          <w:b/>
          <w:bCs/>
          <w:i/>
          <w:iCs/>
        </w:rPr>
        <w:t>Relevancia</w:t>
      </w:r>
      <w:r w:rsidRPr="000A3137">
        <w:t>:</w:t>
      </w:r>
    </w:p>
    <w:p w14:paraId="591EE26A" w14:textId="685DB91A" w:rsidR="00555190" w:rsidRDefault="00555190" w:rsidP="0071618E">
      <w:pPr>
        <w:pStyle w:val="Nivel2"/>
        <w:keepNext/>
        <w:spacing w:after="0"/>
      </w:pPr>
      <w:r>
        <w:t xml:space="preserve">La </w:t>
      </w:r>
      <w:r w:rsidRPr="0018689A">
        <w:rPr>
          <w:b/>
          <w:bCs/>
        </w:rPr>
        <w:t xml:space="preserve">información </w:t>
      </w:r>
      <w:r w:rsidRPr="00555190">
        <w:rPr>
          <w:b/>
          <w:bCs/>
        </w:rPr>
        <w:t>financiera</w:t>
      </w:r>
      <w:r>
        <w:t xml:space="preserve"> registrada en los </w:t>
      </w:r>
      <w:r w:rsidRPr="00555190">
        <w:rPr>
          <w:i/>
          <w:iCs/>
        </w:rPr>
        <w:t>estados contables</w:t>
      </w:r>
      <w:r>
        <w:t xml:space="preserve"> es de utilidad para todos los agentes económicos que se relacionan con la empresa, afectando a todas las facetas de nuestra vida cotidiana: desde la percepción de nuestros sueldos y pensiones hasta las disponibilidades de bienes y servicios.</w:t>
      </w:r>
    </w:p>
    <w:p w14:paraId="02CB9632" w14:textId="77777777" w:rsidR="0071618E" w:rsidRDefault="0071618E" w:rsidP="0071618E">
      <w:pPr>
        <w:pStyle w:val="Nivel3"/>
      </w:pPr>
      <w:r>
        <w:t>Y es que la información financiera no sólo es útil para los directivos y los empleados de la empresa (</w:t>
      </w:r>
      <w:r>
        <w:rPr>
          <w:i/>
          <w:iCs/>
        </w:rPr>
        <w:t>usuarios internos</w:t>
      </w:r>
      <w:r>
        <w:t xml:space="preserve">), sino que también es útil para ciertos </w:t>
      </w:r>
      <w:r>
        <w:rPr>
          <w:i/>
          <w:iCs/>
        </w:rPr>
        <w:t>usuarios externos</w:t>
      </w:r>
      <w:r>
        <w:t xml:space="preserve"> a la empresa como inversores, proveedores, clientes y la administración pública</w:t>
      </w:r>
      <w:r>
        <w:rPr>
          <w:rStyle w:val="Refdenotaalpie"/>
        </w:rPr>
        <w:footnoteReference w:id="4"/>
      </w:r>
      <w:r>
        <w:t>.</w:t>
      </w:r>
    </w:p>
    <w:p w14:paraId="4AF115DE" w14:textId="393A39FA" w:rsidR="00555190" w:rsidRDefault="00F335FB" w:rsidP="00555190">
      <w:pPr>
        <w:pStyle w:val="Nivel2"/>
      </w:pPr>
      <w:r>
        <w:t xml:space="preserve">La </w:t>
      </w:r>
      <w:r w:rsidRPr="003770AA">
        <w:rPr>
          <w:b/>
          <w:bCs/>
        </w:rPr>
        <w:t>justificación de la teoría económica</w:t>
      </w:r>
      <w:r>
        <w:t xml:space="preserve"> para el estudio de este tema sería resolver un problema de información (</w:t>
      </w:r>
      <w:r>
        <w:rPr>
          <w:i/>
          <w:iCs/>
        </w:rPr>
        <w:t>información asimétrica</w:t>
      </w:r>
      <w:r>
        <w:t xml:space="preserve"> debido al menor conocimiento de la marcha de la empresa por algunos usuarios a los que les incumbe). Este problema da lugar a la intervención del sector público en forma de regulación</w:t>
      </w:r>
      <w:r w:rsidR="00A45561">
        <w:rPr>
          <w:rStyle w:val="Refdenotaalpie"/>
        </w:rPr>
        <w:footnoteReference w:id="5"/>
      </w:r>
      <w:r>
        <w:t xml:space="preserve"> y a mecanismos por los que los agentes resuelven </w:t>
      </w:r>
      <w:r w:rsidR="00ED76AA">
        <w:t>de forma privada el problema de información asimétrica</w:t>
      </w:r>
      <w:r w:rsidR="00A45561">
        <w:rPr>
          <w:rStyle w:val="Refdenotaalpie"/>
        </w:rPr>
        <w:footnoteReference w:id="6"/>
      </w:r>
      <w:r w:rsidR="00ED76AA">
        <w:t>.</w:t>
      </w:r>
    </w:p>
    <w:p w14:paraId="31892917" w14:textId="4A6DED5A" w:rsidR="00A51B24" w:rsidRDefault="0029255D" w:rsidP="00147600">
      <w:pPr>
        <w:pStyle w:val="Nivel1"/>
        <w:keepNext/>
        <w:spacing w:after="0"/>
      </w:pPr>
      <w:r w:rsidRPr="00C325BE">
        <w:rPr>
          <w:b/>
          <w:bCs/>
          <w:i/>
          <w:iCs/>
        </w:rPr>
        <w:t>Contextualización</w:t>
      </w:r>
      <w:r w:rsidR="00A51B24">
        <w:t>:</w:t>
      </w:r>
    </w:p>
    <w:p w14:paraId="43D5082D" w14:textId="77777777" w:rsidR="003770AA" w:rsidRDefault="00454784" w:rsidP="00ED76AA">
      <w:pPr>
        <w:pStyle w:val="Nivel2"/>
        <w:keepNext/>
        <w:spacing w:after="0"/>
      </w:pPr>
      <w:r w:rsidRPr="00637136">
        <w:rPr>
          <w:i/>
          <w:iCs/>
          <w:u w:val="single"/>
        </w:rPr>
        <w:t>Desde un punto de vista histórico</w:t>
      </w:r>
      <w:r>
        <w:t>,</w:t>
      </w:r>
    </w:p>
    <w:p w14:paraId="594422EA" w14:textId="20F74169" w:rsidR="00454784" w:rsidRDefault="003770AA" w:rsidP="003770AA">
      <w:pPr>
        <w:pStyle w:val="Nivel3"/>
      </w:pPr>
      <w:r>
        <w:t>E</w:t>
      </w:r>
      <w:r w:rsidR="00454784">
        <w:t>xiste una tendencia en los últimos 50</w:t>
      </w:r>
      <w:r w:rsidR="00481CE8">
        <w:t> </w:t>
      </w:r>
      <w:r w:rsidR="00454784">
        <w:t xml:space="preserve">años a la convergencia normativa a nivel internacional, reflejada en la creación de las </w:t>
      </w:r>
      <w:r w:rsidR="00454784" w:rsidRPr="003770AA">
        <w:rPr>
          <w:i/>
          <w:iCs/>
        </w:rPr>
        <w:t>Normas Internacionales de Información Financiera</w:t>
      </w:r>
      <w:r w:rsidR="00454784">
        <w:t xml:space="preserve"> (NIIF)</w:t>
      </w:r>
      <w:r>
        <w:t xml:space="preserve">, emitidas por el </w:t>
      </w:r>
      <w:r w:rsidRPr="00D1647A">
        <w:rPr>
          <w:i/>
          <w:iCs/>
        </w:rPr>
        <w:t>International Accounting Standards Board</w:t>
      </w:r>
      <w:r>
        <w:t xml:space="preserve"> (IASB)</w:t>
      </w:r>
      <w:r w:rsidR="005A01A0">
        <w:t>, creado en 1973</w:t>
      </w:r>
      <w:r w:rsidR="00124302">
        <w:rPr>
          <w:rStyle w:val="Refdenotaalpie"/>
        </w:rPr>
        <w:footnoteReference w:id="7"/>
      </w:r>
      <w:r w:rsidR="00454784">
        <w:t>.</w:t>
      </w:r>
    </w:p>
    <w:p w14:paraId="35017A2F" w14:textId="77777777" w:rsidR="005D7E1C" w:rsidRDefault="00B77C0F" w:rsidP="00147600">
      <w:pPr>
        <w:pStyle w:val="Nivel1"/>
        <w:keepNext/>
        <w:spacing w:after="0"/>
      </w:pPr>
      <w:r w:rsidRPr="00C325BE">
        <w:rPr>
          <w:b/>
          <w:bCs/>
          <w:i/>
          <w:iCs/>
        </w:rPr>
        <w:t>Problemática</w:t>
      </w:r>
      <w:r w:rsidRPr="000A3137">
        <w:t>:</w:t>
      </w:r>
    </w:p>
    <w:p w14:paraId="14B91BB8" w14:textId="6F0CC081" w:rsidR="00A42628" w:rsidRDefault="00ED646B" w:rsidP="00147600">
      <w:pPr>
        <w:pStyle w:val="Nivel2"/>
        <w:keepNext/>
        <w:spacing w:after="0"/>
      </w:pPr>
      <w:r w:rsidRPr="000A3137">
        <w:t>¿</w:t>
      </w:r>
      <w:r w:rsidR="00F14C38">
        <w:t>Qué es la información financiera de las empresas</w:t>
      </w:r>
      <w:r w:rsidRPr="000A3137">
        <w:t>?</w:t>
      </w:r>
    </w:p>
    <w:p w14:paraId="57420029" w14:textId="646E0F37" w:rsidR="00F14C38" w:rsidRDefault="00F14C38" w:rsidP="009A699D">
      <w:pPr>
        <w:pStyle w:val="Nivel3"/>
        <w:ind w:left="1560"/>
      </w:pPr>
      <w:r>
        <w:t>¿Para qué sirve?</w:t>
      </w:r>
    </w:p>
    <w:p w14:paraId="6D4AA62A" w14:textId="1717635D" w:rsidR="00F14C38" w:rsidRDefault="00F14C38" w:rsidP="009A699D">
      <w:pPr>
        <w:pStyle w:val="Nivel3"/>
        <w:ind w:left="1560"/>
      </w:pPr>
      <w:r>
        <w:t>¿Quién la utiliza?</w:t>
      </w:r>
    </w:p>
    <w:p w14:paraId="774BA127" w14:textId="3A27E07D" w:rsidR="00F14C38" w:rsidRDefault="00F14C38" w:rsidP="00231C33">
      <w:pPr>
        <w:pStyle w:val="Nivel2"/>
      </w:pPr>
      <w:r>
        <w:t>¿Cómo se estructura?</w:t>
      </w:r>
    </w:p>
    <w:p w14:paraId="761F518F" w14:textId="2E50E789" w:rsidR="00F14C38" w:rsidRPr="000A3137" w:rsidRDefault="00F14C38" w:rsidP="005D7E1C">
      <w:pPr>
        <w:pStyle w:val="Nivel2"/>
      </w:pPr>
      <w:r>
        <w:t>¿Cómo se analiza?</w:t>
      </w:r>
    </w:p>
    <w:p w14:paraId="0958317C" w14:textId="12C1CD9F" w:rsidR="00265A1B" w:rsidRDefault="0029255D" w:rsidP="00147600">
      <w:pPr>
        <w:pStyle w:val="Nivel1"/>
        <w:keepNext/>
        <w:spacing w:after="0"/>
      </w:pPr>
      <w:r w:rsidRPr="00C325BE">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442"/>
      </w:tblGrid>
      <w:tr w:rsidR="0021774E" w14:paraId="34DC9163" w14:textId="77777777" w:rsidTr="00B248BB">
        <w:trPr>
          <w:hidden/>
        </w:trPr>
        <w:tc>
          <w:tcPr>
            <w:tcW w:w="844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10FE4741" w14:textId="77777777" w:rsidR="00147600" w:rsidRPr="00147600" w:rsidRDefault="00147600" w:rsidP="00147600">
      <w:pPr>
        <w:spacing w:after="0"/>
        <w:rPr>
          <w:sz w:val="2"/>
          <w:szCs w:val="2"/>
        </w:rPr>
      </w:pPr>
    </w:p>
    <w:p w14:paraId="15587491" w14:textId="77777777" w:rsidR="0081544B" w:rsidRPr="00107A10" w:rsidRDefault="0081544B" w:rsidP="00805E5F">
      <w:pPr>
        <w:rPr>
          <w:sz w:val="20"/>
          <w:highlight w:val="lightGray"/>
        </w:rPr>
      </w:pPr>
      <w:r w:rsidRPr="00107A10">
        <w:rPr>
          <w:highlight w:val="lightGray"/>
        </w:rPr>
        <w:br w:type="page"/>
      </w:r>
    </w:p>
    <w:p w14:paraId="57818485" w14:textId="68A29B2E" w:rsidR="00986F34" w:rsidRDefault="0071618E" w:rsidP="008F677F">
      <w:pPr>
        <w:pStyle w:val="Ttulo1"/>
      </w:pPr>
      <w:bookmarkStart w:id="6" w:name="_Toc125485402"/>
      <w:r>
        <w:lastRenderedPageBreak/>
        <w:t xml:space="preserve">VISIÓN GENERAL DE </w:t>
      </w:r>
      <w:r w:rsidR="00F71B3E">
        <w:t>LA INFORMACIÓN FINANCIERA DE LA</w:t>
      </w:r>
      <w:r w:rsidR="00F14C38">
        <w:t>S</w:t>
      </w:r>
      <w:r w:rsidR="00F71B3E">
        <w:t xml:space="preserve"> EMPRESA</w:t>
      </w:r>
      <w:r w:rsidR="00F14C38">
        <w:t>S</w:t>
      </w:r>
      <w:bookmarkEnd w:id="6"/>
    </w:p>
    <w:p w14:paraId="7D7C90F3" w14:textId="7D7F8544" w:rsidR="00B52052" w:rsidRDefault="00986F34" w:rsidP="00986F34">
      <w:pPr>
        <w:pStyle w:val="Ttulo2"/>
      </w:pPr>
      <w:bookmarkStart w:id="7" w:name="_Toc125485403"/>
      <w:r>
        <w:t>Justificación teórica de la necesidad de la información financiera de las empresas</w:t>
      </w:r>
      <w:bookmarkEnd w:id="7"/>
    </w:p>
    <w:p w14:paraId="20289025" w14:textId="40A29811" w:rsidR="00ED6486" w:rsidRDefault="00ED6486" w:rsidP="00ED6486">
      <w:pPr>
        <w:pStyle w:val="Notaalopositor"/>
      </w:pPr>
      <w:r>
        <w:t>Esto muy brevemente</w:t>
      </w:r>
      <w:r w:rsidR="002B1412">
        <w:t xml:space="preserve">, dedicar más tiempo al desarrollo de las cuentas anuales (en especial, </w:t>
      </w:r>
      <w:r w:rsidR="004445E7">
        <w:t xml:space="preserve">al </w:t>
      </w:r>
      <w:r w:rsidR="002B1412">
        <w:t xml:space="preserve">balance, </w:t>
      </w:r>
      <w:r w:rsidR="004445E7">
        <w:t xml:space="preserve">la </w:t>
      </w:r>
      <w:r w:rsidR="002B1412">
        <w:t xml:space="preserve">cuenta de </w:t>
      </w:r>
      <w:r w:rsidR="00D1647A">
        <w:t>pérdidas</w:t>
      </w:r>
      <w:r w:rsidR="002B1412">
        <w:t xml:space="preserve"> y ganancias y</w:t>
      </w:r>
      <w:r w:rsidR="004445E7">
        <w:t xml:space="preserve"> la</w:t>
      </w:r>
      <w:r w:rsidR="002B1412">
        <w:t xml:space="preserve"> memoria</w:t>
      </w:r>
      <w:r w:rsidR="004445E7">
        <w:t>)</w:t>
      </w:r>
      <w:r w:rsidR="002B1412">
        <w:t>.</w:t>
      </w:r>
    </w:p>
    <w:p w14:paraId="2ACF7175" w14:textId="5E651A8F" w:rsidR="006574C9" w:rsidRPr="004A1261" w:rsidRDefault="00265A1B" w:rsidP="00FF2BEA">
      <w:pPr>
        <w:pStyle w:val="Nivel1SM"/>
        <w:keepNext/>
        <w:spacing w:before="0" w:after="0"/>
        <w:rPr>
          <w:spacing w:val="-1"/>
        </w:rPr>
      </w:pPr>
      <w:r w:rsidRPr="004A1261">
        <w:rPr>
          <w:spacing w:val="-1"/>
        </w:rPr>
        <w:t xml:space="preserve">Con el </w:t>
      </w:r>
      <w:r w:rsidRPr="004A1261">
        <w:rPr>
          <w:b/>
          <w:bCs/>
          <w:spacing w:val="-1"/>
        </w:rPr>
        <w:t>análisis</w:t>
      </w:r>
      <w:r w:rsidRPr="004A1261">
        <w:rPr>
          <w:spacing w:val="-1"/>
        </w:rPr>
        <w:t xml:space="preserve"> de los </w:t>
      </w:r>
      <w:r w:rsidR="006574C9" w:rsidRPr="004A1261">
        <w:rPr>
          <w:spacing w:val="-1"/>
        </w:rPr>
        <w:t xml:space="preserve">datos contenidos en los </w:t>
      </w:r>
      <w:r w:rsidRPr="004A1261">
        <w:rPr>
          <w:spacing w:val="-1"/>
        </w:rPr>
        <w:t>estados contables y en otros de carácter complementario</w:t>
      </w:r>
      <w:r w:rsidR="006574C9" w:rsidRPr="004A1261">
        <w:rPr>
          <w:spacing w:val="-1"/>
        </w:rPr>
        <w:t xml:space="preserve"> se pretende</w:t>
      </w:r>
      <w:r w:rsidRPr="004A1261">
        <w:rPr>
          <w:spacing w:val="-1"/>
        </w:rPr>
        <w:t xml:space="preserve"> llegar a un </w:t>
      </w:r>
      <w:r w:rsidRPr="004A1261">
        <w:rPr>
          <w:b/>
          <w:bCs/>
          <w:spacing w:val="-1"/>
        </w:rPr>
        <w:t>conocimiento profundo</w:t>
      </w:r>
      <w:r w:rsidRPr="004A1261">
        <w:rPr>
          <w:spacing w:val="-1"/>
        </w:rPr>
        <w:t xml:space="preserve"> de la empresa</w:t>
      </w:r>
      <w:r w:rsidR="006574C9" w:rsidRPr="004A1261">
        <w:rPr>
          <w:spacing w:val="-1"/>
        </w:rPr>
        <w:t>.</w:t>
      </w:r>
      <w:r w:rsidR="004A1261" w:rsidRPr="004A1261">
        <w:rPr>
          <w:spacing w:val="-1"/>
        </w:rPr>
        <w:t xml:space="preserve"> </w:t>
      </w:r>
      <w:r w:rsidR="006574C9" w:rsidRPr="004A1261">
        <w:rPr>
          <w:spacing w:val="-1"/>
        </w:rPr>
        <w:t>E</w:t>
      </w:r>
      <w:r w:rsidRPr="004A1261">
        <w:rPr>
          <w:spacing w:val="-1"/>
        </w:rPr>
        <w:t xml:space="preserve">s decir, </w:t>
      </w:r>
      <w:r w:rsidR="006574C9" w:rsidRPr="004A1261">
        <w:rPr>
          <w:spacing w:val="-1"/>
        </w:rPr>
        <w:t xml:space="preserve">nos permiten </w:t>
      </w:r>
      <w:r w:rsidRPr="004A1261">
        <w:rPr>
          <w:spacing w:val="-1"/>
        </w:rPr>
        <w:t>obtener una imagen fiel del patrimonio, de la situación financiera y de los resultados de la empresa.</w:t>
      </w:r>
    </w:p>
    <w:p w14:paraId="42D7663D" w14:textId="15098F69" w:rsidR="00D46D9A" w:rsidRPr="006574C9" w:rsidRDefault="00265A1B" w:rsidP="004A1261">
      <w:pPr>
        <w:pStyle w:val="Nivel2SM"/>
      </w:pPr>
      <w:r w:rsidRPr="006574C9">
        <w:t xml:space="preserve">Este </w:t>
      </w:r>
      <w:r w:rsidRPr="006574C9">
        <w:rPr>
          <w:b/>
          <w:bCs/>
        </w:rPr>
        <w:t>conocimiento profundo</w:t>
      </w:r>
      <w:r w:rsidRPr="006574C9">
        <w:t xml:space="preserve"> debe permitir la realización de </w:t>
      </w:r>
      <w:r w:rsidRPr="001F18FF">
        <w:rPr>
          <w:i/>
          <w:iCs/>
          <w:u w:val="single"/>
        </w:rPr>
        <w:t>pronósticos</w:t>
      </w:r>
      <w:r w:rsidRPr="006574C9">
        <w:t xml:space="preserve"> relativos al comportamiento futuro de la empresa, así como confirmar o corregir evaluaciones realizadas anteriormente. De esta forma, la conclusión que saquemos con el análisis contable sobre la situación de la empresa ayudará a la </w:t>
      </w:r>
      <w:r w:rsidRPr="001F18FF">
        <w:rPr>
          <w:i/>
          <w:iCs/>
          <w:u w:val="single"/>
        </w:rPr>
        <w:t>toma de decisiones</w:t>
      </w:r>
      <w:r w:rsidRPr="006574C9">
        <w:t xml:space="preserve"> (conceder o no un crédito, realizar o no una inversión, etc.)</w:t>
      </w:r>
      <w:r w:rsidR="001F3902" w:rsidRPr="006574C9">
        <w:t>.</w:t>
      </w:r>
    </w:p>
    <w:p w14:paraId="554E6598" w14:textId="77777777" w:rsidR="004A1261" w:rsidRDefault="004669EE" w:rsidP="001F18FF">
      <w:pPr>
        <w:pStyle w:val="Nivel1SM"/>
        <w:keepNext/>
        <w:spacing w:after="0"/>
        <w:rPr>
          <w:lang w:val="es"/>
        </w:rPr>
      </w:pPr>
      <w:r w:rsidRPr="00E76AB6">
        <w:rPr>
          <w:lang w:val="es"/>
        </w:rPr>
        <w:t xml:space="preserve">En un </w:t>
      </w:r>
      <w:r w:rsidRPr="001F18FF">
        <w:rPr>
          <w:b/>
          <w:bCs/>
          <w:lang w:val="es"/>
        </w:rPr>
        <w:t xml:space="preserve">mundo </w:t>
      </w:r>
      <w:r w:rsidR="007827F3" w:rsidRPr="001F18FF">
        <w:rPr>
          <w:b/>
          <w:bCs/>
          <w:lang w:val="es"/>
        </w:rPr>
        <w:t>ideal</w:t>
      </w:r>
      <w:r w:rsidRPr="00E76AB6">
        <w:rPr>
          <w:lang w:val="es"/>
        </w:rPr>
        <w:t>, los inversores, los miembros de la junta y los ejecutivos tendrían plena confianza en los estados financieros de las empresas.</w:t>
      </w:r>
    </w:p>
    <w:p w14:paraId="4AC7F755" w14:textId="6A3C656F" w:rsidR="004A1261" w:rsidRPr="00493251" w:rsidRDefault="004669EE" w:rsidP="001F18FF">
      <w:pPr>
        <w:pStyle w:val="Nivel2SM"/>
        <w:rPr>
          <w:spacing w:val="-2"/>
          <w:lang w:val="es"/>
        </w:rPr>
      </w:pPr>
      <w:r w:rsidRPr="00493251">
        <w:rPr>
          <w:spacing w:val="-2"/>
          <w:lang w:val="es"/>
        </w:rPr>
        <w:t xml:space="preserve">Podrían confiar en los números para hacer </w:t>
      </w:r>
      <w:r w:rsidR="001F18FF" w:rsidRPr="00493251">
        <w:rPr>
          <w:i/>
          <w:iCs/>
          <w:spacing w:val="-2"/>
          <w:u w:val="single"/>
          <w:lang w:val="es"/>
        </w:rPr>
        <w:t>pronósticos</w:t>
      </w:r>
      <w:r w:rsidR="00493251" w:rsidRPr="00493251">
        <w:rPr>
          <w:spacing w:val="-2"/>
          <w:lang w:val="es"/>
        </w:rPr>
        <w:t xml:space="preserve"> o estimaciones</w:t>
      </w:r>
      <w:r w:rsidRPr="00493251">
        <w:rPr>
          <w:spacing w:val="-2"/>
          <w:lang w:val="es"/>
        </w:rPr>
        <w:t xml:space="preserve"> inteligentes de la magnitud, el momento y la incertidumbre de los flujos de efectivo futuros y para juzgar si la estimación resultante del valor estaba representada de manera justa en el precio actual de las acciones.</w:t>
      </w:r>
    </w:p>
    <w:p w14:paraId="3CCDB8AA" w14:textId="6127B141" w:rsidR="004A1261" w:rsidRDefault="004669EE" w:rsidP="001F18FF">
      <w:pPr>
        <w:pStyle w:val="Nivel2SM"/>
        <w:keepNext/>
        <w:spacing w:after="0"/>
        <w:rPr>
          <w:lang w:val="es"/>
        </w:rPr>
      </w:pPr>
      <w:r w:rsidRPr="00E76AB6">
        <w:rPr>
          <w:lang w:val="es"/>
        </w:rPr>
        <w:t xml:space="preserve">Y podrían </w:t>
      </w:r>
      <w:r w:rsidRPr="001F18FF">
        <w:rPr>
          <w:i/>
          <w:iCs/>
          <w:u w:val="single"/>
          <w:lang w:val="es"/>
        </w:rPr>
        <w:t>tomar decisiones</w:t>
      </w:r>
      <w:r w:rsidRPr="00E76AB6">
        <w:rPr>
          <w:lang w:val="es"/>
        </w:rPr>
        <w:t xml:space="preserve"> sabias sobre si invertir o adquirir una empresa, promoviendo así la asignación eficiente de capital.</w:t>
      </w:r>
    </w:p>
    <w:p w14:paraId="2FE4D496" w14:textId="20D5954F" w:rsidR="004669EE" w:rsidRPr="004669EE" w:rsidRDefault="004669EE" w:rsidP="001F18FF">
      <w:pPr>
        <w:pStyle w:val="Nivel3SM"/>
        <w:rPr>
          <w:lang w:val="es"/>
        </w:rPr>
      </w:pPr>
      <w:r>
        <w:rPr>
          <w:lang w:val="es"/>
        </w:rPr>
        <w:t xml:space="preserve">Esto sería así en </w:t>
      </w:r>
      <w:r w:rsidRPr="001F18FF">
        <w:rPr>
          <w:b/>
          <w:bCs/>
          <w:lang w:val="es"/>
        </w:rPr>
        <w:t>ausencia de</w:t>
      </w:r>
      <w:r>
        <w:rPr>
          <w:lang w:val="es"/>
        </w:rPr>
        <w:t xml:space="preserve"> </w:t>
      </w:r>
      <w:r w:rsidRPr="004669EE">
        <w:rPr>
          <w:b/>
          <w:bCs/>
          <w:lang w:val="es"/>
        </w:rPr>
        <w:t>fallos de mercado</w:t>
      </w:r>
      <w:r>
        <w:rPr>
          <w:lang w:val="es"/>
        </w:rPr>
        <w:t>.</w:t>
      </w:r>
    </w:p>
    <w:p w14:paraId="3B5FAAD8" w14:textId="484F039F" w:rsidR="001F18FF" w:rsidRDefault="004669EE" w:rsidP="001F18FF">
      <w:pPr>
        <w:pStyle w:val="Nivel1SM"/>
        <w:keepNext/>
        <w:spacing w:after="0"/>
        <w:rPr>
          <w:lang w:val="es"/>
        </w:rPr>
      </w:pPr>
      <w:r w:rsidRPr="00E76AB6">
        <w:rPr>
          <w:lang w:val="es"/>
        </w:rPr>
        <w:t xml:space="preserve">Desafortunadamente, eso no es lo que sucede en el </w:t>
      </w:r>
      <w:r w:rsidRPr="001F18FF">
        <w:rPr>
          <w:b/>
          <w:bCs/>
          <w:lang w:val="es"/>
        </w:rPr>
        <w:t>mundo real</w:t>
      </w:r>
      <w:r w:rsidRPr="00E76AB6">
        <w:rPr>
          <w:lang w:val="es"/>
        </w:rPr>
        <w:t xml:space="preserve">, </w:t>
      </w:r>
      <w:r w:rsidR="00726807">
        <w:rPr>
          <w:lang w:val="es"/>
        </w:rPr>
        <w:t>ya que</w:t>
      </w:r>
      <w:r w:rsidR="001F18FF">
        <w:rPr>
          <w:lang w:val="es"/>
        </w:rPr>
        <w:t>:</w:t>
      </w:r>
    </w:p>
    <w:p w14:paraId="5D67E42D" w14:textId="75A97241" w:rsidR="001F18FF" w:rsidRDefault="001F18FF" w:rsidP="001F18FF">
      <w:pPr>
        <w:pStyle w:val="Nivel2SM"/>
        <w:rPr>
          <w:lang w:val="es"/>
        </w:rPr>
      </w:pPr>
      <w:r>
        <w:rPr>
          <w:lang w:val="es"/>
        </w:rPr>
        <w:t>L</w:t>
      </w:r>
      <w:r w:rsidRPr="00E76AB6">
        <w:rPr>
          <w:lang w:val="es"/>
        </w:rPr>
        <w:t>os estados financieros corporativos dependen necesariamente de estimaciones y juicios que pueden estar ampliamente fuera de lugar, incluso cuando se hacen de buena fe.</w:t>
      </w:r>
      <w:r>
        <w:rPr>
          <w:lang w:val="es"/>
        </w:rPr>
        <w:t xml:space="preserve"> </w:t>
      </w:r>
      <w:r w:rsidR="004669EE">
        <w:rPr>
          <w:lang w:val="es"/>
        </w:rPr>
        <w:t xml:space="preserve">Es decir, los estados financieros se realizan en presencia de </w:t>
      </w:r>
      <w:r w:rsidR="004669EE" w:rsidRPr="001F18FF">
        <w:rPr>
          <w:i/>
          <w:iCs/>
          <w:u w:val="single"/>
          <w:lang w:val="es"/>
        </w:rPr>
        <w:t>incertidumbre</w:t>
      </w:r>
      <w:r w:rsidR="004669EE">
        <w:rPr>
          <w:lang w:val="es"/>
        </w:rPr>
        <w:t>.</w:t>
      </w:r>
    </w:p>
    <w:p w14:paraId="75BA18D5" w14:textId="77777777" w:rsidR="001F18FF" w:rsidRDefault="00726807" w:rsidP="001F18FF">
      <w:pPr>
        <w:pStyle w:val="Nivel2SM"/>
        <w:keepNext/>
        <w:spacing w:after="0"/>
        <w:rPr>
          <w:lang w:val="es"/>
        </w:rPr>
      </w:pPr>
      <w:r>
        <w:rPr>
          <w:lang w:val="es"/>
        </w:rPr>
        <w:t>Sin embargo, este no es el único problema</w:t>
      </w:r>
      <w:r w:rsidR="004669EE" w:rsidRPr="00E76AB6">
        <w:rPr>
          <w:lang w:val="es"/>
        </w:rPr>
        <w:t>,</w:t>
      </w:r>
      <w:r>
        <w:rPr>
          <w:lang w:val="es"/>
        </w:rPr>
        <w:t xml:space="preserve"> ya que ante la ausencia de regulación</w:t>
      </w:r>
      <w:r w:rsidR="004669EE" w:rsidRPr="00E76AB6">
        <w:rPr>
          <w:lang w:val="es"/>
        </w:rPr>
        <w:t xml:space="preserve"> los gerentes y ejecutivos se enc</w:t>
      </w:r>
      <w:r>
        <w:rPr>
          <w:lang w:val="es"/>
        </w:rPr>
        <w:t>o</w:t>
      </w:r>
      <w:r w:rsidR="004669EE" w:rsidRPr="00E76AB6">
        <w:rPr>
          <w:lang w:val="es"/>
        </w:rPr>
        <w:t>ntra</w:t>
      </w:r>
      <w:r>
        <w:rPr>
          <w:lang w:val="es"/>
        </w:rPr>
        <w:t>ría</w:t>
      </w:r>
      <w:r w:rsidR="004669EE" w:rsidRPr="00E76AB6">
        <w:rPr>
          <w:lang w:val="es"/>
        </w:rPr>
        <w:t>n rutinariamente con fuertes incentivos para inyectar deliberadamente error en los estados financieros.</w:t>
      </w:r>
      <w:r w:rsidR="004669EE">
        <w:rPr>
          <w:lang w:val="es"/>
        </w:rPr>
        <w:t xml:space="preserve"> Es decir, se producen situaciones de </w:t>
      </w:r>
      <w:r w:rsidR="004669EE" w:rsidRPr="001F18FF">
        <w:rPr>
          <w:i/>
          <w:iCs/>
          <w:u w:val="single"/>
          <w:lang w:val="es"/>
        </w:rPr>
        <w:t>información asimétrica</w:t>
      </w:r>
      <w:r>
        <w:rPr>
          <w:lang w:val="es"/>
        </w:rPr>
        <w:t>.</w:t>
      </w:r>
    </w:p>
    <w:p w14:paraId="6108FFCA" w14:textId="58D16FC7" w:rsidR="004669EE" w:rsidRPr="00726807" w:rsidRDefault="00726807" w:rsidP="001F18FF">
      <w:pPr>
        <w:pStyle w:val="Nivel3SM"/>
        <w:rPr>
          <w:lang w:val="es"/>
        </w:rPr>
      </w:pPr>
      <w:r>
        <w:rPr>
          <w:lang w:val="es"/>
        </w:rPr>
        <w:t xml:space="preserve">En la práctica se da por lo tanto, un </w:t>
      </w:r>
      <w:r w:rsidRPr="001F18FF">
        <w:rPr>
          <w:b/>
          <w:bCs/>
          <w:lang w:val="es"/>
        </w:rPr>
        <w:t>fallo de mercado</w:t>
      </w:r>
      <w:r>
        <w:rPr>
          <w:lang w:val="es"/>
        </w:rPr>
        <w:t xml:space="preserve"> que abre la puerta a justificar la </w:t>
      </w:r>
      <w:r w:rsidRPr="001F18FF">
        <w:rPr>
          <w:b/>
          <w:bCs/>
          <w:lang w:val="es"/>
        </w:rPr>
        <w:t>intervención del sector público</w:t>
      </w:r>
      <w:r>
        <w:rPr>
          <w:lang w:val="es"/>
        </w:rPr>
        <w:t>.</w:t>
      </w:r>
    </w:p>
    <w:p w14:paraId="43D70A33" w14:textId="77777777" w:rsidR="003A3A0D" w:rsidRDefault="00D46D9A" w:rsidP="003A3A0D">
      <w:pPr>
        <w:pStyle w:val="Nivel1SM"/>
        <w:keepNext/>
        <w:spacing w:after="0"/>
      </w:pPr>
      <w:r w:rsidRPr="00D46D9A">
        <w:t xml:space="preserve">Los argumentos </w:t>
      </w:r>
      <w:r>
        <w:t>en</w:t>
      </w:r>
      <w:r w:rsidRPr="00D46D9A">
        <w:t xml:space="preserve"> favor de la regulación suelen depender de la existencia de un </w:t>
      </w:r>
      <w:r w:rsidRPr="004A4F1A">
        <w:rPr>
          <w:b/>
          <w:bCs/>
        </w:rPr>
        <w:t>fallo de mercado</w:t>
      </w:r>
      <w:r w:rsidRPr="00D46D9A">
        <w:t>.</w:t>
      </w:r>
    </w:p>
    <w:p w14:paraId="24A424A6" w14:textId="77777777" w:rsidR="003A3A0D" w:rsidRDefault="00D46D9A" w:rsidP="003A3A0D">
      <w:pPr>
        <w:pStyle w:val="Nivel2SM"/>
      </w:pPr>
      <w:r w:rsidRPr="00D46D9A">
        <w:t>Por ejemplo,</w:t>
      </w:r>
      <w:r w:rsidR="003A3A0D">
        <w:t xml:space="preserve"> la intervención del sector público</w:t>
      </w:r>
      <w:r w:rsidRPr="00D46D9A">
        <w:t xml:space="preserve"> </w:t>
      </w:r>
      <w:r>
        <w:t>puede ayudar en caso de existencia de información asimétrica, poder de mercado, externalidades o bienes públicos.</w:t>
      </w:r>
    </w:p>
    <w:p w14:paraId="3DBCCC73" w14:textId="01E69A7C" w:rsidR="008C0743" w:rsidRDefault="00D46D9A" w:rsidP="008C0743">
      <w:pPr>
        <w:pStyle w:val="Nivel2SM"/>
        <w:keepNext/>
        <w:spacing w:after="0"/>
      </w:pPr>
      <w:r w:rsidRPr="00D46D9A">
        <w:t xml:space="preserve">Sin embargo, si bien los mercados pueden ser imperfectos, también lo es el </w:t>
      </w:r>
      <w:r w:rsidR="004A4F1A">
        <w:t xml:space="preserve">gobierno (i.e. se producen </w:t>
      </w:r>
      <w:r w:rsidR="004A4F1A">
        <w:rPr>
          <w:b/>
          <w:bCs/>
        </w:rPr>
        <w:t>fallos del sector público</w:t>
      </w:r>
      <w:r w:rsidR="004A4F1A">
        <w:t>)</w:t>
      </w:r>
      <w:r w:rsidR="008C0743">
        <w:t xml:space="preserve"> </w:t>
      </w:r>
      <w:r w:rsidR="008C0743" w:rsidRPr="008C0743">
        <w:rPr>
          <w:color w:val="767171" w:themeColor="background2" w:themeShade="80"/>
          <w:sz w:val="19"/>
          <w:szCs w:val="19"/>
        </w:rPr>
        <w:t>[ver tema 3.A.23]</w:t>
      </w:r>
      <w:r w:rsidRPr="00D46D9A">
        <w:t>.</w:t>
      </w:r>
    </w:p>
    <w:p w14:paraId="02ABDFDE" w14:textId="77777777" w:rsidR="008C0743" w:rsidRDefault="00D46D9A" w:rsidP="008C0743">
      <w:pPr>
        <w:pStyle w:val="Nivel3SM"/>
      </w:pPr>
      <w:r w:rsidRPr="00D46D9A">
        <w:t xml:space="preserve">Por lo tanto, es importante evitar la </w:t>
      </w:r>
      <w:r w:rsidRPr="004A4F1A">
        <w:rPr>
          <w:i/>
          <w:iCs/>
          <w:u w:val="single"/>
        </w:rPr>
        <w:t>Falacia del Nirvana</w:t>
      </w:r>
      <w:r w:rsidRPr="00D46D9A">
        <w:t xml:space="preserve"> en la que la regulación se justifica comparando los resultados imperfectos del mercado con los resultados derivados de instituciones gubernamentales imaginarias que son competentes, benevolentes y en posesión de información perfecta (</w:t>
      </w:r>
      <w:r w:rsidRPr="00D46D9A">
        <w:rPr>
          <w:smallCaps/>
        </w:rPr>
        <w:t>Demsetz</w:t>
      </w:r>
      <w:r w:rsidRPr="00D46D9A">
        <w:t>, 1969).</w:t>
      </w:r>
    </w:p>
    <w:p w14:paraId="775E4F61" w14:textId="082BC2E2" w:rsidR="008C0743" w:rsidRDefault="00D46D9A" w:rsidP="008C0743">
      <w:pPr>
        <w:pStyle w:val="Nivel3SM"/>
        <w:keepNext/>
      </w:pPr>
      <w:r>
        <w:t xml:space="preserve">También es crucial reconocer que es </w:t>
      </w:r>
      <w:r w:rsidRPr="004A4F1A">
        <w:rPr>
          <w:i/>
          <w:iCs/>
          <w:u w:val="single"/>
        </w:rPr>
        <w:t>difícil encontrar una regulación que se adecúe a todos los países</w:t>
      </w:r>
      <w:r>
        <w:t>, ya que los países son diferentes en muchos aspectos (</w:t>
      </w:r>
      <w:r w:rsidR="004A4F1A">
        <w:t>p.ej</w:t>
      </w:r>
      <w:r>
        <w:t xml:space="preserve">. </w:t>
      </w:r>
      <w:r w:rsidR="00C864D5">
        <w:t>regímenes</w:t>
      </w:r>
      <w:r>
        <w:t xml:space="preserve"> legales y políticos, desarrollo institucional, aspectos culturales…)</w:t>
      </w:r>
      <w:r w:rsidR="00C864D5">
        <w:t>.</w:t>
      </w:r>
    </w:p>
    <w:p w14:paraId="79B76A06" w14:textId="77777777" w:rsidR="008C0743" w:rsidRDefault="00C864D5" w:rsidP="008C0743">
      <w:pPr>
        <w:pStyle w:val="Nivel4"/>
        <w:ind w:left="1474"/>
        <w:rPr>
          <w:spacing w:val="-1"/>
        </w:rPr>
      </w:pPr>
      <w:r w:rsidRPr="008C0743">
        <w:rPr>
          <w:spacing w:val="-1"/>
        </w:rPr>
        <w:t>La investigación en este campo encuentra evidencia de una variación significativa entre países en las regulaciones del mercado de valores, la estructura de los regímenes regulatorios financieros y las propiedades observables de los informes contables.</w:t>
      </w:r>
    </w:p>
    <w:p w14:paraId="0ADB37AE" w14:textId="722B1451" w:rsidR="00D1280F" w:rsidRPr="008C0743" w:rsidRDefault="00C864D5" w:rsidP="008C0743">
      <w:pPr>
        <w:pStyle w:val="Nivel4"/>
        <w:ind w:left="1474"/>
        <w:rPr>
          <w:spacing w:val="-1"/>
        </w:rPr>
      </w:pPr>
      <w:r w:rsidRPr="008C0743">
        <w:rPr>
          <w:spacing w:val="-1"/>
        </w:rPr>
        <w:t>Esta literatura plantea serias preguntas sobre si la verdadera armonización de los informes financieros en todo el mundo es un objetivo alcanzable.</w:t>
      </w:r>
    </w:p>
    <w:p w14:paraId="4DB1B947" w14:textId="6849BED2" w:rsidR="00D00720" w:rsidRDefault="003770AA" w:rsidP="003770AA">
      <w:pPr>
        <w:pStyle w:val="Ttuloimagen"/>
      </w:pPr>
      <w:r>
        <w:lastRenderedPageBreak/>
        <w:t>Tabla</w:t>
      </w:r>
      <w:r w:rsidR="00432275">
        <w:t> </w:t>
      </w:r>
      <w:r>
        <w:fldChar w:fldCharType="begin"/>
      </w:r>
      <w:r>
        <w:instrText xml:space="preserve"> SEQ Tabla \* ARABIC </w:instrText>
      </w:r>
      <w:r>
        <w:fldChar w:fldCharType="separate"/>
      </w:r>
      <w:r w:rsidR="00971219">
        <w:t>1</w:t>
      </w:r>
      <w:r>
        <w:fldChar w:fldCharType="end"/>
      </w:r>
      <w:r w:rsidRPr="003770AA">
        <w:rPr>
          <w:smallCaps w:val="0"/>
        </w:rPr>
        <w:t xml:space="preserve">.– </w:t>
      </w:r>
      <w:r w:rsidR="00D00720" w:rsidRPr="003770AA">
        <w:rPr>
          <w:i/>
          <w:iCs/>
          <w:smallCaps w:val="0"/>
        </w:rPr>
        <w:t>Clasificación de la información financiera histórica</w:t>
      </w:r>
    </w:p>
    <w:tbl>
      <w:tblPr>
        <w:tblStyle w:val="Tablaconcuadrcula"/>
        <w:tblW w:w="9526" w:type="dxa"/>
        <w:tblInd w:w="-114" w:type="dxa"/>
        <w:tblCellMar>
          <w:left w:w="142" w:type="dxa"/>
          <w:right w:w="142" w:type="dxa"/>
        </w:tblCellMar>
        <w:tblLook w:val="04A0" w:firstRow="1" w:lastRow="0" w:firstColumn="1" w:lastColumn="0" w:noHBand="0" w:noVBand="1"/>
      </w:tblPr>
      <w:tblGrid>
        <w:gridCol w:w="1456"/>
        <w:gridCol w:w="1801"/>
        <w:gridCol w:w="2772"/>
        <w:gridCol w:w="3497"/>
      </w:tblGrid>
      <w:tr w:rsidR="00FC3918" w14:paraId="08FD3D85" w14:textId="77777777" w:rsidTr="004854D2">
        <w:tc>
          <w:tcPr>
            <w:tcW w:w="1456" w:type="dxa"/>
            <w:vMerge w:val="restart"/>
            <w:tcBorders>
              <w:top w:val="single" w:sz="12" w:space="0" w:color="auto"/>
              <w:left w:val="nil"/>
            </w:tcBorders>
            <w:vAlign w:val="center"/>
          </w:tcPr>
          <w:p w14:paraId="2FAD0DF3" w14:textId="1B68CDF4" w:rsidR="00FC3918" w:rsidRPr="00D029FD" w:rsidRDefault="00FC3918" w:rsidP="003770AA">
            <w:pPr>
              <w:pStyle w:val="Nivel1"/>
              <w:keepNext/>
              <w:numPr>
                <w:ilvl w:val="0"/>
                <w:numId w:val="0"/>
              </w:numPr>
              <w:spacing w:before="0" w:after="0"/>
              <w:jc w:val="right"/>
              <w:rPr>
                <w:sz w:val="24"/>
                <w:szCs w:val="24"/>
              </w:rPr>
            </w:pPr>
            <w:r w:rsidRPr="00D029FD">
              <w:rPr>
                <w:sz w:val="24"/>
                <w:szCs w:val="24"/>
              </w:rPr>
              <w:t>Anual</w:t>
            </w:r>
          </w:p>
        </w:tc>
        <w:tc>
          <w:tcPr>
            <w:tcW w:w="1801" w:type="dxa"/>
            <w:vMerge w:val="restart"/>
            <w:tcBorders>
              <w:top w:val="single" w:sz="12" w:space="0" w:color="auto"/>
            </w:tcBorders>
            <w:vAlign w:val="center"/>
          </w:tcPr>
          <w:p w14:paraId="1CFCE597" w14:textId="5567FBD9" w:rsidR="00FC3918" w:rsidRDefault="00FC3918" w:rsidP="003770AA">
            <w:pPr>
              <w:pStyle w:val="Nivel1"/>
              <w:keepNext/>
              <w:numPr>
                <w:ilvl w:val="0"/>
                <w:numId w:val="0"/>
              </w:numPr>
              <w:spacing w:before="0" w:after="0"/>
              <w:jc w:val="left"/>
            </w:pPr>
            <w:r>
              <w:t>Situación</w:t>
            </w:r>
          </w:p>
        </w:tc>
        <w:tc>
          <w:tcPr>
            <w:tcW w:w="2772" w:type="dxa"/>
            <w:tcBorders>
              <w:top w:val="single" w:sz="12" w:space="0" w:color="auto"/>
            </w:tcBorders>
            <w:vAlign w:val="center"/>
          </w:tcPr>
          <w:p w14:paraId="2D00A22E" w14:textId="1AEC65A9" w:rsidR="00FC3918" w:rsidRPr="00D029FD" w:rsidRDefault="00FC3918" w:rsidP="003770AA">
            <w:pPr>
              <w:pStyle w:val="Nivel1"/>
              <w:keepNext/>
              <w:numPr>
                <w:ilvl w:val="0"/>
                <w:numId w:val="0"/>
              </w:numPr>
              <w:spacing w:before="0" w:after="0"/>
              <w:jc w:val="left"/>
              <w:rPr>
                <w:sz w:val="20"/>
                <w:szCs w:val="20"/>
              </w:rPr>
            </w:pPr>
            <w:r w:rsidRPr="00D029FD">
              <w:rPr>
                <w:sz w:val="20"/>
                <w:szCs w:val="20"/>
              </w:rPr>
              <w:t>Balance de situación</w:t>
            </w:r>
          </w:p>
        </w:tc>
        <w:tc>
          <w:tcPr>
            <w:tcW w:w="3497" w:type="dxa"/>
            <w:tcBorders>
              <w:top w:val="single" w:sz="12" w:space="0" w:color="auto"/>
              <w:right w:val="nil"/>
            </w:tcBorders>
            <w:vAlign w:val="center"/>
          </w:tcPr>
          <w:p w14:paraId="5E37623C" w14:textId="77777777"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Unicolumnar</w:t>
            </w:r>
          </w:p>
          <w:p w14:paraId="0C5A8DC4" w14:textId="3BDC9A4F"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Multicolumnar</w:t>
            </w:r>
          </w:p>
        </w:tc>
      </w:tr>
      <w:tr w:rsidR="00FC3918" w14:paraId="1A3FB0D3" w14:textId="77777777" w:rsidTr="004854D2">
        <w:tc>
          <w:tcPr>
            <w:tcW w:w="1456" w:type="dxa"/>
            <w:vMerge/>
            <w:tcBorders>
              <w:left w:val="nil"/>
            </w:tcBorders>
            <w:vAlign w:val="center"/>
          </w:tcPr>
          <w:p w14:paraId="7405B4C8" w14:textId="77777777" w:rsidR="00FC3918" w:rsidRPr="00D029FD" w:rsidRDefault="00FC3918" w:rsidP="003770AA">
            <w:pPr>
              <w:pStyle w:val="Nivel1"/>
              <w:keepNext/>
              <w:numPr>
                <w:ilvl w:val="0"/>
                <w:numId w:val="0"/>
              </w:numPr>
              <w:spacing w:before="0" w:after="0"/>
              <w:jc w:val="right"/>
              <w:rPr>
                <w:sz w:val="24"/>
                <w:szCs w:val="24"/>
              </w:rPr>
            </w:pPr>
          </w:p>
        </w:tc>
        <w:tc>
          <w:tcPr>
            <w:tcW w:w="1801" w:type="dxa"/>
            <w:vMerge/>
            <w:vAlign w:val="center"/>
          </w:tcPr>
          <w:p w14:paraId="19F54110" w14:textId="77777777" w:rsidR="00FC3918" w:rsidRDefault="00FC3918" w:rsidP="003770AA">
            <w:pPr>
              <w:pStyle w:val="Nivel1"/>
              <w:keepNext/>
              <w:numPr>
                <w:ilvl w:val="0"/>
                <w:numId w:val="0"/>
              </w:numPr>
              <w:spacing w:before="0" w:after="0"/>
              <w:jc w:val="left"/>
            </w:pPr>
          </w:p>
        </w:tc>
        <w:tc>
          <w:tcPr>
            <w:tcW w:w="2772" w:type="dxa"/>
            <w:vAlign w:val="center"/>
          </w:tcPr>
          <w:p w14:paraId="70CDC592" w14:textId="0A02A760" w:rsidR="00FC3918" w:rsidRPr="00D029FD" w:rsidRDefault="00FC3918" w:rsidP="003770AA">
            <w:pPr>
              <w:pStyle w:val="Nivel1"/>
              <w:keepNext/>
              <w:numPr>
                <w:ilvl w:val="0"/>
                <w:numId w:val="0"/>
              </w:numPr>
              <w:spacing w:before="0" w:after="0"/>
              <w:jc w:val="left"/>
              <w:rPr>
                <w:sz w:val="20"/>
                <w:szCs w:val="20"/>
              </w:rPr>
            </w:pPr>
            <w:r w:rsidRPr="00D029FD">
              <w:rPr>
                <w:sz w:val="20"/>
                <w:szCs w:val="20"/>
              </w:rPr>
              <w:t>Información segmentada</w:t>
            </w:r>
          </w:p>
        </w:tc>
        <w:tc>
          <w:tcPr>
            <w:tcW w:w="3497" w:type="dxa"/>
            <w:tcBorders>
              <w:right w:val="nil"/>
            </w:tcBorders>
            <w:vAlign w:val="center"/>
          </w:tcPr>
          <w:p w14:paraId="1EE70AAD" w14:textId="4C1EB769"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Por categorías</w:t>
            </w:r>
          </w:p>
          <w:p w14:paraId="6AE6D250" w14:textId="77777777"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Por vencimientos</w:t>
            </w:r>
          </w:p>
          <w:p w14:paraId="4D5BEFA6" w14:textId="77777777"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Por actividad</w:t>
            </w:r>
          </w:p>
          <w:p w14:paraId="21216C2D" w14:textId="2F70D108"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Por zona geográfica</w:t>
            </w:r>
          </w:p>
        </w:tc>
      </w:tr>
      <w:tr w:rsidR="007869E0" w14:paraId="765B4999" w14:textId="77777777" w:rsidTr="004854D2">
        <w:trPr>
          <w:trHeight w:val="451"/>
        </w:trPr>
        <w:tc>
          <w:tcPr>
            <w:tcW w:w="1456" w:type="dxa"/>
            <w:vMerge/>
            <w:tcBorders>
              <w:left w:val="nil"/>
            </w:tcBorders>
            <w:vAlign w:val="center"/>
          </w:tcPr>
          <w:p w14:paraId="186F4427" w14:textId="77777777" w:rsidR="007869E0" w:rsidRPr="00D029FD" w:rsidRDefault="007869E0" w:rsidP="003770AA">
            <w:pPr>
              <w:pStyle w:val="Nivel1"/>
              <w:keepNext/>
              <w:numPr>
                <w:ilvl w:val="0"/>
                <w:numId w:val="0"/>
              </w:numPr>
              <w:spacing w:before="0" w:after="0"/>
              <w:jc w:val="right"/>
              <w:rPr>
                <w:sz w:val="24"/>
                <w:szCs w:val="24"/>
              </w:rPr>
            </w:pPr>
          </w:p>
        </w:tc>
        <w:tc>
          <w:tcPr>
            <w:tcW w:w="1801" w:type="dxa"/>
            <w:vMerge w:val="restart"/>
            <w:vAlign w:val="center"/>
          </w:tcPr>
          <w:p w14:paraId="7F965A2A" w14:textId="3D0D52EB" w:rsidR="007869E0" w:rsidRDefault="007869E0" w:rsidP="003770AA">
            <w:pPr>
              <w:pStyle w:val="Nivel1"/>
              <w:keepNext/>
              <w:numPr>
                <w:ilvl w:val="0"/>
                <w:numId w:val="0"/>
              </w:numPr>
              <w:spacing w:before="0" w:after="0"/>
              <w:jc w:val="left"/>
            </w:pPr>
            <w:r>
              <w:t>Actividad</w:t>
            </w:r>
          </w:p>
        </w:tc>
        <w:tc>
          <w:tcPr>
            <w:tcW w:w="2772" w:type="dxa"/>
            <w:vAlign w:val="center"/>
          </w:tcPr>
          <w:p w14:paraId="460E00D5" w14:textId="18FA2C9A" w:rsidR="007869E0" w:rsidRPr="00D029FD" w:rsidRDefault="007869E0" w:rsidP="003770AA">
            <w:pPr>
              <w:pStyle w:val="Nivel1"/>
              <w:keepNext/>
              <w:numPr>
                <w:ilvl w:val="0"/>
                <w:numId w:val="0"/>
              </w:numPr>
              <w:spacing w:before="0" w:after="0"/>
              <w:jc w:val="left"/>
              <w:rPr>
                <w:sz w:val="20"/>
                <w:szCs w:val="20"/>
              </w:rPr>
            </w:pPr>
            <w:r w:rsidRPr="00D029FD">
              <w:rPr>
                <w:sz w:val="20"/>
                <w:szCs w:val="20"/>
              </w:rPr>
              <w:t>Circulación económica</w:t>
            </w:r>
          </w:p>
        </w:tc>
        <w:tc>
          <w:tcPr>
            <w:tcW w:w="3497" w:type="dxa"/>
            <w:tcBorders>
              <w:right w:val="nil"/>
            </w:tcBorders>
            <w:vAlign w:val="center"/>
          </w:tcPr>
          <w:p w14:paraId="36534AB9" w14:textId="2CFF2891" w:rsidR="007869E0" w:rsidRPr="00D029FD" w:rsidRDefault="007869E0">
            <w:pPr>
              <w:pStyle w:val="Nivel1"/>
              <w:keepNext/>
              <w:numPr>
                <w:ilvl w:val="0"/>
                <w:numId w:val="16"/>
              </w:numPr>
              <w:spacing w:before="5" w:after="5"/>
              <w:ind w:left="0" w:hanging="113"/>
              <w:jc w:val="left"/>
              <w:rPr>
                <w:i/>
                <w:iCs/>
                <w:spacing w:val="-4"/>
                <w:sz w:val="17"/>
                <w:szCs w:val="17"/>
              </w:rPr>
            </w:pPr>
            <w:r w:rsidRPr="00D029FD">
              <w:rPr>
                <w:i/>
                <w:iCs/>
                <w:spacing w:val="-4"/>
                <w:sz w:val="17"/>
                <w:szCs w:val="17"/>
              </w:rPr>
              <w:t>Cuenta o estado de resultados</w:t>
            </w:r>
            <w:r w:rsidR="00BC3C2A" w:rsidRPr="00D029FD">
              <w:rPr>
                <w:i/>
                <w:iCs/>
                <w:spacing w:val="-4"/>
                <w:sz w:val="14"/>
                <w:szCs w:val="14"/>
              </w:rPr>
              <w:t xml:space="preserve"> (única o segmentada)</w:t>
            </w:r>
          </w:p>
          <w:p w14:paraId="2242C3B9" w14:textId="346670A0" w:rsidR="007869E0" w:rsidRPr="00D029FD" w:rsidRDefault="007869E0">
            <w:pPr>
              <w:pStyle w:val="Nivel1"/>
              <w:keepNext/>
              <w:numPr>
                <w:ilvl w:val="0"/>
                <w:numId w:val="16"/>
              </w:numPr>
              <w:spacing w:before="5" w:after="5"/>
              <w:ind w:left="0" w:hanging="113"/>
              <w:jc w:val="left"/>
              <w:rPr>
                <w:i/>
                <w:iCs/>
                <w:sz w:val="17"/>
                <w:szCs w:val="17"/>
              </w:rPr>
            </w:pPr>
            <w:r w:rsidRPr="00D029FD">
              <w:rPr>
                <w:i/>
                <w:iCs/>
                <w:sz w:val="17"/>
                <w:szCs w:val="17"/>
              </w:rPr>
              <w:t>Estado de valor añadido</w:t>
            </w:r>
          </w:p>
        </w:tc>
      </w:tr>
      <w:tr w:rsidR="00FC3918" w14:paraId="405B17E7" w14:textId="77777777" w:rsidTr="004854D2">
        <w:tc>
          <w:tcPr>
            <w:tcW w:w="1456" w:type="dxa"/>
            <w:vMerge/>
            <w:tcBorders>
              <w:left w:val="nil"/>
            </w:tcBorders>
            <w:vAlign w:val="center"/>
          </w:tcPr>
          <w:p w14:paraId="27237808" w14:textId="77777777" w:rsidR="00FC3918" w:rsidRPr="00D029FD" w:rsidRDefault="00FC3918" w:rsidP="003770AA">
            <w:pPr>
              <w:pStyle w:val="Nivel1"/>
              <w:keepNext/>
              <w:numPr>
                <w:ilvl w:val="0"/>
                <w:numId w:val="0"/>
              </w:numPr>
              <w:spacing w:before="0" w:after="0"/>
              <w:jc w:val="right"/>
              <w:rPr>
                <w:sz w:val="24"/>
                <w:szCs w:val="24"/>
              </w:rPr>
            </w:pPr>
          </w:p>
        </w:tc>
        <w:tc>
          <w:tcPr>
            <w:tcW w:w="1801" w:type="dxa"/>
            <w:vMerge/>
            <w:vAlign w:val="center"/>
          </w:tcPr>
          <w:p w14:paraId="16C091B7" w14:textId="77777777" w:rsidR="00FC3918" w:rsidRDefault="00FC3918" w:rsidP="003770AA">
            <w:pPr>
              <w:pStyle w:val="Nivel1"/>
              <w:keepNext/>
              <w:numPr>
                <w:ilvl w:val="0"/>
                <w:numId w:val="0"/>
              </w:numPr>
              <w:spacing w:before="0" w:after="0"/>
              <w:jc w:val="left"/>
            </w:pPr>
          </w:p>
        </w:tc>
        <w:tc>
          <w:tcPr>
            <w:tcW w:w="2772" w:type="dxa"/>
            <w:vAlign w:val="center"/>
          </w:tcPr>
          <w:p w14:paraId="74A2E5E8" w14:textId="4F454EC2" w:rsidR="00FC3918" w:rsidRPr="00D029FD" w:rsidRDefault="00FC3918" w:rsidP="003770AA">
            <w:pPr>
              <w:pStyle w:val="Nivel1"/>
              <w:keepNext/>
              <w:numPr>
                <w:ilvl w:val="0"/>
                <w:numId w:val="0"/>
              </w:numPr>
              <w:spacing w:before="0" w:after="0"/>
              <w:jc w:val="left"/>
              <w:rPr>
                <w:sz w:val="20"/>
                <w:szCs w:val="20"/>
              </w:rPr>
            </w:pPr>
            <w:r w:rsidRPr="00D029FD">
              <w:rPr>
                <w:sz w:val="20"/>
                <w:szCs w:val="20"/>
              </w:rPr>
              <w:t>Circulación financiera</w:t>
            </w:r>
          </w:p>
        </w:tc>
        <w:tc>
          <w:tcPr>
            <w:tcW w:w="3497" w:type="dxa"/>
            <w:tcBorders>
              <w:right w:val="nil"/>
            </w:tcBorders>
            <w:vAlign w:val="center"/>
          </w:tcPr>
          <w:p w14:paraId="341E3ABE" w14:textId="77777777"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Cuadro de financiación</w:t>
            </w:r>
          </w:p>
          <w:p w14:paraId="285AD99D" w14:textId="68EAEDCD"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Estado de flujos de tesorería</w:t>
            </w:r>
          </w:p>
        </w:tc>
      </w:tr>
      <w:tr w:rsidR="00FC3918" w14:paraId="4F4A22F8" w14:textId="77777777" w:rsidTr="004854D2">
        <w:tc>
          <w:tcPr>
            <w:tcW w:w="1456" w:type="dxa"/>
            <w:vMerge/>
            <w:tcBorders>
              <w:left w:val="nil"/>
            </w:tcBorders>
            <w:vAlign w:val="center"/>
          </w:tcPr>
          <w:p w14:paraId="01B0D7C8" w14:textId="77777777" w:rsidR="00FC3918" w:rsidRPr="00D029FD" w:rsidRDefault="00FC3918" w:rsidP="003770AA">
            <w:pPr>
              <w:pStyle w:val="Nivel1"/>
              <w:keepNext/>
              <w:numPr>
                <w:ilvl w:val="0"/>
                <w:numId w:val="0"/>
              </w:numPr>
              <w:spacing w:before="0" w:after="0"/>
              <w:jc w:val="right"/>
              <w:rPr>
                <w:sz w:val="24"/>
                <w:szCs w:val="24"/>
              </w:rPr>
            </w:pPr>
          </w:p>
        </w:tc>
        <w:tc>
          <w:tcPr>
            <w:tcW w:w="1801" w:type="dxa"/>
            <w:vMerge/>
            <w:vAlign w:val="center"/>
          </w:tcPr>
          <w:p w14:paraId="7852C57B" w14:textId="77777777" w:rsidR="00FC3918" w:rsidRDefault="00FC3918" w:rsidP="003770AA">
            <w:pPr>
              <w:pStyle w:val="Nivel1"/>
              <w:keepNext/>
              <w:numPr>
                <w:ilvl w:val="0"/>
                <w:numId w:val="0"/>
              </w:numPr>
              <w:spacing w:before="0" w:after="0"/>
              <w:jc w:val="left"/>
            </w:pPr>
          </w:p>
        </w:tc>
        <w:tc>
          <w:tcPr>
            <w:tcW w:w="2772" w:type="dxa"/>
            <w:vAlign w:val="center"/>
          </w:tcPr>
          <w:p w14:paraId="1A6EF7E0" w14:textId="60F4A180" w:rsidR="00FC3918" w:rsidRPr="00D029FD" w:rsidRDefault="00FC3918" w:rsidP="003770AA">
            <w:pPr>
              <w:pStyle w:val="Nivel1"/>
              <w:keepNext/>
              <w:numPr>
                <w:ilvl w:val="0"/>
                <w:numId w:val="0"/>
              </w:numPr>
              <w:spacing w:before="0" w:after="0"/>
              <w:jc w:val="left"/>
              <w:rPr>
                <w:sz w:val="20"/>
                <w:szCs w:val="20"/>
              </w:rPr>
            </w:pPr>
            <w:r w:rsidRPr="00D029FD">
              <w:rPr>
                <w:sz w:val="20"/>
                <w:szCs w:val="20"/>
              </w:rPr>
              <w:t>Movimientos de cuentas</w:t>
            </w:r>
          </w:p>
        </w:tc>
        <w:tc>
          <w:tcPr>
            <w:tcW w:w="3497" w:type="dxa"/>
            <w:tcBorders>
              <w:right w:val="nil"/>
            </w:tcBorders>
            <w:vAlign w:val="center"/>
          </w:tcPr>
          <w:p w14:paraId="7C2F41B4" w14:textId="77777777"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Inmovilizado</w:t>
            </w:r>
          </w:p>
          <w:p w14:paraId="4CB43D9F" w14:textId="77777777"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Inversiones financieras</w:t>
            </w:r>
          </w:p>
          <w:p w14:paraId="55F69779" w14:textId="77777777"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Fondos propios</w:t>
            </w:r>
          </w:p>
          <w:p w14:paraId="2E27FE0E" w14:textId="29B88B4B" w:rsidR="00FC3918" w:rsidRPr="00D029FD" w:rsidRDefault="00FC3918">
            <w:pPr>
              <w:pStyle w:val="Nivel1"/>
              <w:keepNext/>
              <w:numPr>
                <w:ilvl w:val="0"/>
                <w:numId w:val="16"/>
              </w:numPr>
              <w:spacing w:before="5" w:after="5"/>
              <w:ind w:left="0" w:hanging="113"/>
              <w:jc w:val="left"/>
              <w:rPr>
                <w:i/>
                <w:iCs/>
                <w:sz w:val="17"/>
                <w:szCs w:val="17"/>
              </w:rPr>
            </w:pPr>
            <w:r w:rsidRPr="00D029FD">
              <w:rPr>
                <w:i/>
                <w:iCs/>
                <w:sz w:val="17"/>
                <w:szCs w:val="17"/>
              </w:rPr>
              <w:t>Deudas a largo plazo</w:t>
            </w:r>
          </w:p>
        </w:tc>
      </w:tr>
      <w:tr w:rsidR="00FC3918" w14:paraId="47EC20D4" w14:textId="77777777" w:rsidTr="004854D2">
        <w:tc>
          <w:tcPr>
            <w:tcW w:w="1456" w:type="dxa"/>
            <w:tcBorders>
              <w:left w:val="nil"/>
              <w:bottom w:val="single" w:sz="12" w:space="0" w:color="auto"/>
            </w:tcBorders>
            <w:vAlign w:val="center"/>
          </w:tcPr>
          <w:p w14:paraId="6A2C73A9" w14:textId="18F84C5B" w:rsidR="00FC3918" w:rsidRPr="00D029FD" w:rsidRDefault="00FC3918" w:rsidP="003770AA">
            <w:pPr>
              <w:pStyle w:val="Nivel1"/>
              <w:keepNext/>
              <w:numPr>
                <w:ilvl w:val="0"/>
                <w:numId w:val="0"/>
              </w:numPr>
              <w:spacing w:before="0" w:after="0"/>
              <w:jc w:val="right"/>
              <w:rPr>
                <w:sz w:val="24"/>
                <w:szCs w:val="24"/>
              </w:rPr>
            </w:pPr>
            <w:r w:rsidRPr="00D029FD">
              <w:rPr>
                <w:sz w:val="24"/>
                <w:szCs w:val="24"/>
              </w:rPr>
              <w:t>Intermedia</w:t>
            </w:r>
          </w:p>
        </w:tc>
        <w:tc>
          <w:tcPr>
            <w:tcW w:w="8070" w:type="dxa"/>
            <w:gridSpan w:val="3"/>
            <w:tcBorders>
              <w:bottom w:val="single" w:sz="12" w:space="0" w:color="auto"/>
              <w:right w:val="nil"/>
            </w:tcBorders>
            <w:vAlign w:val="center"/>
          </w:tcPr>
          <w:p w14:paraId="6EDDA411" w14:textId="61EAF80D" w:rsidR="00FC3918" w:rsidRDefault="00FC3918" w:rsidP="003770AA">
            <w:pPr>
              <w:pStyle w:val="Nivel1"/>
              <w:keepNext/>
              <w:numPr>
                <w:ilvl w:val="0"/>
                <w:numId w:val="0"/>
              </w:numPr>
              <w:spacing w:before="0" w:after="0"/>
              <w:jc w:val="left"/>
            </w:pPr>
            <w:r w:rsidRPr="006841AA">
              <w:rPr>
                <w:i/>
                <w:iCs/>
              </w:rPr>
              <w:t>Mensual</w:t>
            </w:r>
            <w:r w:rsidR="006841AA">
              <w:t xml:space="preserve">, </w:t>
            </w:r>
            <w:r w:rsidRPr="006841AA">
              <w:rPr>
                <w:i/>
                <w:iCs/>
              </w:rPr>
              <w:t>Trimestral</w:t>
            </w:r>
            <w:r w:rsidR="006841AA">
              <w:t xml:space="preserve"> o </w:t>
            </w:r>
            <w:r w:rsidRPr="006841AA">
              <w:rPr>
                <w:i/>
                <w:iCs/>
              </w:rPr>
              <w:t>Semestral</w:t>
            </w:r>
          </w:p>
        </w:tc>
      </w:tr>
    </w:tbl>
    <w:p w14:paraId="1DA877C9" w14:textId="633068B9" w:rsidR="00D00720" w:rsidRDefault="00D00720" w:rsidP="00D00720">
      <w:pPr>
        <w:pStyle w:val="PiedeImagen"/>
      </w:pPr>
      <w:r>
        <w:t>Fuente</w:t>
      </w:r>
      <w:r w:rsidRPr="00D00720">
        <w:rPr>
          <w:i w:val="0"/>
          <w:iCs/>
        </w:rPr>
        <w:t xml:space="preserve">: </w:t>
      </w:r>
      <w:r w:rsidR="003770AA">
        <w:rPr>
          <w:i w:val="0"/>
          <w:iCs/>
        </w:rPr>
        <w:t>E</w:t>
      </w:r>
      <w:r w:rsidRPr="00D00720">
        <w:rPr>
          <w:i w:val="0"/>
          <w:iCs/>
        </w:rPr>
        <w:t>laboración de Garrido Miralles e Íñiguez Sánchez (2017) a partir de Gonzalo, Pérez y Serrano (2000)</w:t>
      </w:r>
    </w:p>
    <w:p w14:paraId="272F4B76" w14:textId="77777777" w:rsidR="004445E7" w:rsidRPr="004445E7" w:rsidRDefault="00986F34" w:rsidP="004445E7">
      <w:pPr>
        <w:pStyle w:val="Ttulo2"/>
      </w:pPr>
      <w:bookmarkStart w:id="8" w:name="_Toc125485404"/>
      <w:r>
        <w:t>Marco legal</w:t>
      </w:r>
      <w:r w:rsidR="004445E7">
        <w:t xml:space="preserve">. </w:t>
      </w:r>
      <w:r w:rsidR="004445E7" w:rsidRPr="004445E7">
        <w:t>Proceso de armonización internacional</w:t>
      </w:r>
      <w:bookmarkEnd w:id="8"/>
    </w:p>
    <w:p w14:paraId="1ECE3446" w14:textId="7B249691" w:rsidR="00986F34" w:rsidRDefault="00986F34" w:rsidP="00432275">
      <w:pPr>
        <w:pStyle w:val="Nivel1SM"/>
        <w:spacing w:before="0"/>
      </w:pPr>
      <w:r>
        <w:t xml:space="preserve">Como vemos, existe la necesidad de reunir información financiera de la empresa, y es conveniente que esta cumpla una serie de características. Debe ser </w:t>
      </w:r>
      <w:r w:rsidR="0042079B" w:rsidRPr="0042079B">
        <w:rPr>
          <w:i/>
          <w:iCs/>
        </w:rPr>
        <w:t>relevante</w:t>
      </w:r>
      <w:r w:rsidR="0042079B">
        <w:t xml:space="preserve">, </w:t>
      </w:r>
      <w:r w:rsidR="006841AA" w:rsidRPr="0042079B">
        <w:rPr>
          <w:i/>
          <w:iCs/>
        </w:rPr>
        <w:t>fiable</w:t>
      </w:r>
      <w:r>
        <w:t xml:space="preserve">, </w:t>
      </w:r>
      <w:r w:rsidR="0042079B">
        <w:rPr>
          <w:i/>
          <w:iCs/>
        </w:rPr>
        <w:t>íntegra</w:t>
      </w:r>
      <w:r w:rsidR="006841AA">
        <w:t>,</w:t>
      </w:r>
      <w:r>
        <w:t xml:space="preserve"> </w:t>
      </w:r>
      <w:r w:rsidRPr="009C5C63">
        <w:rPr>
          <w:i/>
          <w:iCs/>
        </w:rPr>
        <w:t>c</w:t>
      </w:r>
      <w:r w:rsidR="006841AA" w:rsidRPr="009C5C63">
        <w:rPr>
          <w:i/>
          <w:iCs/>
        </w:rPr>
        <w:t>lara</w:t>
      </w:r>
      <w:r w:rsidR="006841AA">
        <w:t xml:space="preserve"> </w:t>
      </w:r>
      <w:r>
        <w:t xml:space="preserve">y </w:t>
      </w:r>
      <w:r w:rsidRPr="009C5C63">
        <w:rPr>
          <w:i/>
          <w:iCs/>
        </w:rPr>
        <w:t>comparable</w:t>
      </w:r>
      <w:r>
        <w:t>.</w:t>
      </w:r>
    </w:p>
    <w:p w14:paraId="247C0305" w14:textId="55C0DC6D" w:rsidR="00542076" w:rsidRDefault="00986F34" w:rsidP="003770AA">
      <w:pPr>
        <w:pStyle w:val="Nivel1SM"/>
        <w:keepNext/>
        <w:spacing w:after="0"/>
      </w:pPr>
      <w:r>
        <w:t>Para ello, existen una serie de normas, tanto a nivel internacional como nacional</w:t>
      </w:r>
      <w:r w:rsidR="00BB47FF">
        <w:rPr>
          <w:rStyle w:val="Refdenotaalpie"/>
        </w:rPr>
        <w:footnoteReference w:id="8"/>
      </w:r>
      <w:r>
        <w:t xml:space="preserve">, que persiguen alcanzar la homogeneidad en la información financiera de las empresas, de tal manera que esta </w:t>
      </w:r>
      <w:r w:rsidR="00B95C9E">
        <w:t>cumpla los requisitos planteados</w:t>
      </w:r>
      <w:r w:rsidR="006841AA">
        <w:t>:</w:t>
      </w:r>
    </w:p>
    <w:p w14:paraId="4A3C0C63" w14:textId="32BC51DC" w:rsidR="00542076" w:rsidRDefault="00986F34" w:rsidP="003770AA">
      <w:pPr>
        <w:pStyle w:val="Nivel2SM"/>
      </w:pPr>
      <w:r>
        <w:t xml:space="preserve">Así, a </w:t>
      </w:r>
      <w:r w:rsidRPr="00986F34">
        <w:rPr>
          <w:b/>
          <w:bCs/>
        </w:rPr>
        <w:t>nivel internacional</w:t>
      </w:r>
      <w:r>
        <w:t xml:space="preserve"> existen organismos como el </w:t>
      </w:r>
      <w:r w:rsidRPr="00D1647A">
        <w:rPr>
          <w:i/>
          <w:iCs/>
        </w:rPr>
        <w:t>International Accounting Standards Board</w:t>
      </w:r>
      <w:r>
        <w:t xml:space="preserve"> (IASB)</w:t>
      </w:r>
      <w:r w:rsidR="00CC605F">
        <w:t>, creado en 1973,</w:t>
      </w:r>
      <w:r>
        <w:t xml:space="preserve"> que emite una serie de normas contables internacionalmente aceptadas, las </w:t>
      </w:r>
      <w:r w:rsidRPr="00542076">
        <w:rPr>
          <w:u w:val="single"/>
        </w:rPr>
        <w:t>Normas Internacionales de Información Financiera (NIIF)</w:t>
      </w:r>
      <w:r>
        <w:t>.</w:t>
      </w:r>
    </w:p>
    <w:p w14:paraId="61A1A649" w14:textId="44C63183" w:rsidR="00986F34" w:rsidRDefault="00986F34" w:rsidP="003770AA">
      <w:pPr>
        <w:pStyle w:val="Nivel2SM"/>
      </w:pPr>
      <w:r>
        <w:t xml:space="preserve">A </w:t>
      </w:r>
      <w:r w:rsidRPr="00986F34">
        <w:rPr>
          <w:b/>
          <w:bCs/>
        </w:rPr>
        <w:t>nivel europeo</w:t>
      </w:r>
      <w:r>
        <w:t xml:space="preserve"> se ha producido también un proceso de armonización contable, asumiendo el uso de las NIIF. El </w:t>
      </w:r>
      <w:r w:rsidRPr="00542076">
        <w:rPr>
          <w:u w:val="single"/>
        </w:rPr>
        <w:t xml:space="preserve">Reglamento </w:t>
      </w:r>
      <w:r w:rsidR="00F34F57">
        <w:rPr>
          <w:u w:val="single"/>
        </w:rPr>
        <w:t xml:space="preserve">(CE) </w:t>
      </w:r>
      <w:proofErr w:type="spellStart"/>
      <w:r w:rsidR="00F34F57">
        <w:rPr>
          <w:u w:val="single"/>
        </w:rPr>
        <w:t>Nº</w:t>
      </w:r>
      <w:proofErr w:type="spellEnd"/>
      <w:r w:rsidR="00F34F57">
        <w:rPr>
          <w:u w:val="single"/>
        </w:rPr>
        <w:t xml:space="preserve"> </w:t>
      </w:r>
      <w:r w:rsidRPr="00542076">
        <w:rPr>
          <w:u w:val="single"/>
        </w:rPr>
        <w:t>1606/2002</w:t>
      </w:r>
      <w:r>
        <w:t xml:space="preserve"> define como Normas Internacionales de Contabilidad a las NIIF aprobadas por la UE (</w:t>
      </w:r>
      <w:r w:rsidR="00542076" w:rsidRPr="00542076">
        <w:t>«</w:t>
      </w:r>
      <w:r w:rsidR="00542076" w:rsidRPr="00542076">
        <w:rPr>
          <w:u w:val="single"/>
        </w:rPr>
        <w:t>NICE</w:t>
      </w:r>
      <w:r w:rsidR="00542076" w:rsidRPr="00542076">
        <w:t>»</w:t>
      </w:r>
      <w:r>
        <w:t>)</w:t>
      </w:r>
      <w:r w:rsidR="00542076">
        <w:t xml:space="preserve"> y establece la obligación</w:t>
      </w:r>
      <w:r w:rsidR="00F34F57">
        <w:t>, a partir de 2005</w:t>
      </w:r>
      <w:r w:rsidR="00542076">
        <w:t>, para todas las sociedades que se rijan por la Ley de un Estado miembro de la UE, de que presenten sus estados financieros consolidados de conformidad con las NICE si en la fecha de cierre de su balance, sus valores han sido admitidos a cotización en un mercado financiero regulado en cualquier Estado miembro</w:t>
      </w:r>
      <w:r w:rsidR="00F34F57">
        <w:rPr>
          <w:rStyle w:val="Refdenotaalpie"/>
        </w:rPr>
        <w:footnoteReference w:id="9"/>
      </w:r>
      <w:r w:rsidR="00542076">
        <w:t>.</w:t>
      </w:r>
    </w:p>
    <w:p w14:paraId="22B709B1" w14:textId="09345D87" w:rsidR="00542076" w:rsidRDefault="00542076" w:rsidP="00EB6F50">
      <w:pPr>
        <w:pStyle w:val="Nivel2SM"/>
        <w:keepLines/>
      </w:pPr>
      <w:r>
        <w:t xml:space="preserve">A </w:t>
      </w:r>
      <w:r>
        <w:rPr>
          <w:b/>
          <w:bCs/>
        </w:rPr>
        <w:t>nivel nacional</w:t>
      </w:r>
      <w:r w:rsidR="005B4901">
        <w:rPr>
          <w:rStyle w:val="Refdenotaalpie"/>
        </w:rPr>
        <w:footnoteReference w:id="10"/>
      </w:r>
      <w:r>
        <w:t xml:space="preserve">, destaca el </w:t>
      </w:r>
      <w:r w:rsidRPr="00542076">
        <w:rPr>
          <w:u w:val="single"/>
        </w:rPr>
        <w:t>Plan General de Contabilidad de 2007 (PGC)</w:t>
      </w:r>
      <w:r w:rsidR="00D1647A" w:rsidRPr="0060765E">
        <w:rPr>
          <w:rStyle w:val="Refdenotaalpie"/>
        </w:rPr>
        <w:footnoteReference w:id="11"/>
      </w:r>
      <w:r>
        <w:t xml:space="preserve">, que es un conjunto de normas que fijan los procedimientos y métodos a seguir en el registro de la actividad económica de la empresa. </w:t>
      </w:r>
      <w:r w:rsidR="001C6D00">
        <w:t>Además, este ámbito estará legislado también mediate otros documentos como el Código de Comercio y la Ley de Auditoría de Cuentas.</w:t>
      </w:r>
    </w:p>
    <w:p w14:paraId="4AEFAF90" w14:textId="12A9F856" w:rsidR="00F14C38" w:rsidRDefault="00C30B9E" w:rsidP="00C83379">
      <w:pPr>
        <w:pStyle w:val="Nivel1SM"/>
        <w:keepNext/>
        <w:spacing w:after="0"/>
      </w:pPr>
      <w:r>
        <w:lastRenderedPageBreak/>
        <w:t xml:space="preserve">En </w:t>
      </w:r>
      <w:r w:rsidR="00C83379">
        <w:t>el siguiente apartado</w:t>
      </w:r>
      <w:r>
        <w:t xml:space="preserve">, vamos a analizar la información financiera de la empresa desde el marco del </w:t>
      </w:r>
      <w:r w:rsidRPr="00C83379">
        <w:rPr>
          <w:i/>
          <w:iCs/>
        </w:rPr>
        <w:t>Plan General de Contabilidad</w:t>
      </w:r>
      <w:r>
        <w:t>, centrando especial atención en los estados económicos y financieros que componen las cuentas anuales de la empresa.</w:t>
      </w:r>
    </w:p>
    <w:p w14:paraId="549506A9" w14:textId="75F5A668" w:rsidR="00F14C38" w:rsidRPr="00C83379" w:rsidRDefault="00C83379" w:rsidP="00C83379">
      <w:pPr>
        <w:pStyle w:val="Nivel2SM"/>
        <w:rPr>
          <w:spacing w:val="-1"/>
        </w:rPr>
      </w:pPr>
      <w:r w:rsidRPr="00C83379">
        <w:rPr>
          <w:spacing w:val="-1"/>
        </w:rPr>
        <w:t>Es decir, n</w:t>
      </w:r>
      <w:r w:rsidR="0053514A" w:rsidRPr="00C83379">
        <w:rPr>
          <w:spacing w:val="-1"/>
        </w:rPr>
        <w:t xml:space="preserve">os centraremos en el </w:t>
      </w:r>
      <w:r w:rsidR="0053514A" w:rsidRPr="00C83379">
        <w:rPr>
          <w:i/>
          <w:iCs/>
          <w:spacing w:val="-1"/>
        </w:rPr>
        <w:t>caso español</w:t>
      </w:r>
      <w:r w:rsidR="0053514A" w:rsidRPr="00C83379">
        <w:rPr>
          <w:spacing w:val="-1"/>
        </w:rPr>
        <w:t xml:space="preserve"> para ilustrar la información financiera de la empresa.</w:t>
      </w:r>
    </w:p>
    <w:p w14:paraId="2ED1B5E9" w14:textId="48CFA1D1" w:rsidR="00C4210F" w:rsidRDefault="00E805E2" w:rsidP="00E805E2">
      <w:pPr>
        <w:pStyle w:val="Ttulo1"/>
      </w:pPr>
      <w:bookmarkStart w:id="9" w:name="_Toc125485405"/>
      <w:r>
        <w:t>ESTADOS DE SITUACIÓN Y DE CIRCULACIÓN</w:t>
      </w:r>
      <w:r w:rsidRPr="00E805E2">
        <w:rPr>
          <w:spacing w:val="-2"/>
          <w:sz w:val="21"/>
          <w:szCs w:val="21"/>
        </w:rPr>
        <w:t>:</w:t>
      </w:r>
      <w:r w:rsidR="00B5570F">
        <w:rPr>
          <w:spacing w:val="-2"/>
          <w:sz w:val="21"/>
          <w:szCs w:val="21"/>
        </w:rPr>
        <w:br/>
      </w:r>
      <w:r w:rsidRPr="00E805E2">
        <w:rPr>
          <w:spacing w:val="-2"/>
          <w:sz w:val="21"/>
          <w:szCs w:val="21"/>
        </w:rPr>
        <w:t>PLAN GENERAL DE CONTABILIDAD</w:t>
      </w:r>
      <w:bookmarkEnd w:id="9"/>
    </w:p>
    <w:p w14:paraId="574721D4" w14:textId="058188A5" w:rsidR="00ED6486" w:rsidRDefault="00ED6486" w:rsidP="00ED6486">
      <w:pPr>
        <w:pStyle w:val="Notaalopositor"/>
      </w:pPr>
      <w:r>
        <w:t xml:space="preserve">Añadir </w:t>
      </w:r>
      <w:r>
        <w:rPr>
          <w:i/>
          <w:iCs/>
        </w:rPr>
        <w:t>disclaimer</w:t>
      </w:r>
      <w:r>
        <w:t xml:space="preserve"> de que para ilustrar la información financiera de la empresa</w:t>
      </w:r>
      <w:r w:rsidR="00F901BE" w:rsidRPr="00F901BE">
        <w:t xml:space="preserve"> </w:t>
      </w:r>
      <w:r w:rsidR="00F901BE">
        <w:t>vamos a mencionar el caso español adoptando una perspectiva jurídica</w:t>
      </w:r>
      <w:r>
        <w:t>.</w:t>
      </w:r>
    </w:p>
    <w:p w14:paraId="5239E442" w14:textId="2E9D2CD2" w:rsidR="00ED6486" w:rsidRPr="00ED6486" w:rsidRDefault="00ED6486" w:rsidP="00ED6486">
      <w:pPr>
        <w:pStyle w:val="Notaalopositor"/>
      </w:pPr>
      <w:r>
        <w:t>Muy importante en esta parte el rigor y decir el nombre de todas las cuentas correctamente.</w:t>
      </w:r>
    </w:p>
    <w:p w14:paraId="05BB72FA" w14:textId="75A7FFB0" w:rsidR="007077B2" w:rsidRDefault="006C3932" w:rsidP="00432275">
      <w:pPr>
        <w:pStyle w:val="Nivel1SM"/>
        <w:spacing w:before="0"/>
      </w:pPr>
      <w:r>
        <w:t xml:space="preserve">El </w:t>
      </w:r>
      <w:r w:rsidRPr="00CC605F">
        <w:rPr>
          <w:b/>
          <w:bCs/>
        </w:rPr>
        <w:t>Plan General de Contabilidad</w:t>
      </w:r>
      <w:r>
        <w:t xml:space="preserve">, por lo tanto, es el texto legal que regula la contabilidad de las empresas en España. </w:t>
      </w:r>
      <w:r w:rsidR="007077B2">
        <w:t>Ha realizado un resumen de las extensas normas internacionales y supone un aumento de la cantidad y calidad de la</w:t>
      </w:r>
      <w:r w:rsidR="00C55FD9">
        <w:t xml:space="preserve"> información</w:t>
      </w:r>
      <w:r w:rsidR="007077B2">
        <w:t xml:space="preserve"> que suministran las empresas.</w:t>
      </w:r>
    </w:p>
    <w:p w14:paraId="5F49DC36" w14:textId="0E060C37" w:rsidR="0053514A" w:rsidRDefault="0053514A" w:rsidP="00CC605F">
      <w:pPr>
        <w:pStyle w:val="Nivel1SM"/>
        <w:keepNext/>
        <w:spacing w:after="0"/>
      </w:pPr>
      <w:r>
        <w:t xml:space="preserve">Comenzamos por explicar la estructura del Plan General de Contabilidad. Además de la introducción el PGC está compuesto por </w:t>
      </w:r>
      <w:r w:rsidRPr="0053514A">
        <w:rPr>
          <w:b/>
          <w:bCs/>
        </w:rPr>
        <w:t>5</w:t>
      </w:r>
      <w:r w:rsidR="00432275">
        <w:rPr>
          <w:b/>
          <w:bCs/>
        </w:rPr>
        <w:t> </w:t>
      </w:r>
      <w:r w:rsidRPr="0053514A">
        <w:rPr>
          <w:b/>
          <w:bCs/>
        </w:rPr>
        <w:t>bloques</w:t>
      </w:r>
      <w:r w:rsidR="00671E94" w:rsidRPr="00CC605F">
        <w:rPr>
          <w:rStyle w:val="Refdenotaalpie"/>
        </w:rPr>
        <w:footnoteReference w:id="12"/>
      </w:r>
      <w:r>
        <w:t>:</w:t>
      </w:r>
    </w:p>
    <w:p w14:paraId="5D9820CD" w14:textId="0075D746" w:rsidR="00CC605F" w:rsidRPr="00CC605F" w:rsidRDefault="00CC605F" w:rsidP="00CC605F">
      <w:pPr>
        <w:pStyle w:val="Ttuloimagen"/>
      </w:pPr>
      <w:r>
        <w:t>Imagen</w:t>
      </w:r>
      <w:r w:rsidR="00432275">
        <w:t> </w:t>
      </w:r>
      <w:r>
        <w:fldChar w:fldCharType="begin"/>
      </w:r>
      <w:r>
        <w:instrText xml:space="preserve"> SEQ Ilustración \* ARABIC </w:instrText>
      </w:r>
      <w:r>
        <w:fldChar w:fldCharType="separate"/>
      </w:r>
      <w:r w:rsidR="00971219">
        <w:t>1</w:t>
      </w:r>
      <w:r>
        <w:fldChar w:fldCharType="end"/>
      </w:r>
      <w:r w:rsidRPr="00CC605F">
        <w:rPr>
          <w:smallCaps w:val="0"/>
        </w:rPr>
        <w:t xml:space="preserve">.– </w:t>
      </w:r>
      <w:r w:rsidRPr="00CC605F">
        <w:rPr>
          <w:i/>
          <w:iCs/>
          <w:smallCaps w:val="0"/>
        </w:rPr>
        <w:t>Estructura del Plan General de Contabilidad</w:t>
      </w:r>
    </w:p>
    <w:p w14:paraId="4DAAE65F" w14:textId="69AE44F3" w:rsidR="00CA1A7C" w:rsidRDefault="00CA1A7C" w:rsidP="00F14C38">
      <w:pPr>
        <w:pStyle w:val="Imagen"/>
      </w:pPr>
      <w:r>
        <w:drawing>
          <wp:inline distT="0" distB="0" distL="0" distR="0" wp14:anchorId="0CCB4B35" wp14:editId="1842D4EB">
            <wp:extent cx="3028962" cy="19939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36476" cy="1998846"/>
                    </a:xfrm>
                    <a:prstGeom prst="rect">
                      <a:avLst/>
                    </a:prstGeom>
                  </pic:spPr>
                </pic:pic>
              </a:graphicData>
            </a:graphic>
          </wp:inline>
        </w:drawing>
      </w:r>
    </w:p>
    <w:p w14:paraId="546372FF" w14:textId="5AB72E7B" w:rsidR="00D735C7" w:rsidRDefault="00D735C7" w:rsidP="00D735C7">
      <w:pPr>
        <w:pStyle w:val="PiedeImagen"/>
        <w:rPr>
          <w:i w:val="0"/>
          <w:iCs/>
        </w:rPr>
      </w:pPr>
      <w:r>
        <w:t>Fuente</w:t>
      </w:r>
      <w:r>
        <w:rPr>
          <w:i w:val="0"/>
          <w:iCs/>
        </w:rPr>
        <w:t xml:space="preserve">: </w:t>
      </w:r>
      <w:r w:rsidRPr="0053514A">
        <w:rPr>
          <w:i w:val="0"/>
          <w:iCs/>
        </w:rPr>
        <w:t>Besteiro, M. A. &amp; Mazarrac</w:t>
      </w:r>
      <w:r>
        <w:rPr>
          <w:i w:val="0"/>
          <w:iCs/>
        </w:rPr>
        <w:t>í</w:t>
      </w:r>
      <w:r w:rsidRPr="0053514A">
        <w:rPr>
          <w:i w:val="0"/>
          <w:iCs/>
        </w:rPr>
        <w:t xml:space="preserve">n, M. R. (2016). </w:t>
      </w:r>
      <w:r w:rsidRPr="0053514A">
        <w:t>Contabilidad financiera superior I (2a. Ed.)</w:t>
      </w:r>
      <w:r w:rsidRPr="0053514A">
        <w:rPr>
          <w:i w:val="0"/>
          <w:iCs/>
        </w:rPr>
        <w:t>. Difusora Larousse - Ediciones Pir</w:t>
      </w:r>
      <w:r>
        <w:rPr>
          <w:i w:val="0"/>
          <w:iCs/>
        </w:rPr>
        <w:t>á</w:t>
      </w:r>
      <w:r w:rsidRPr="0053514A">
        <w:rPr>
          <w:i w:val="0"/>
          <w:iCs/>
        </w:rPr>
        <w:t xml:space="preserve">mide. </w:t>
      </w:r>
      <w:hyperlink r:id="rId10" w:history="1">
        <w:r w:rsidRPr="000550B7">
          <w:rPr>
            <w:rStyle w:val="Hipervnculo"/>
            <w:i w:val="0"/>
            <w:iCs/>
          </w:rPr>
          <w:t>https://public.ebookcentral.proquest.com/choice/publicfullrecord.aspx?p=5102473</w:t>
        </w:r>
      </w:hyperlink>
    </w:p>
    <w:p w14:paraId="677AEF19" w14:textId="4013B224" w:rsidR="00F14C38" w:rsidRDefault="00F14C38" w:rsidP="00C471BA">
      <w:pPr>
        <w:pStyle w:val="Ttulo2"/>
      </w:pPr>
      <w:bookmarkStart w:id="10" w:name="_Ref125449068"/>
      <w:bookmarkStart w:id="11" w:name="_Toc125485406"/>
      <w:r>
        <w:lastRenderedPageBreak/>
        <w:t>Marco conceptual</w:t>
      </w:r>
      <w:r w:rsidR="00C30654">
        <w:t xml:space="preserve"> de la contabilidad</w:t>
      </w:r>
      <w:bookmarkEnd w:id="10"/>
      <w:bookmarkEnd w:id="11"/>
    </w:p>
    <w:p w14:paraId="3E9F6724" w14:textId="6297CD00" w:rsidR="00CC605F" w:rsidRPr="00CC605F" w:rsidRDefault="00CC605F" w:rsidP="00CC605F">
      <w:pPr>
        <w:pStyle w:val="Ttuloimagen"/>
      </w:pPr>
      <w:r>
        <w:t>Imagen</w:t>
      </w:r>
      <w:r w:rsidR="007703F7">
        <w:t> </w:t>
      </w:r>
      <w:r>
        <w:fldChar w:fldCharType="begin"/>
      </w:r>
      <w:r>
        <w:instrText xml:space="preserve"> SEQ Ilustración \* ARABIC </w:instrText>
      </w:r>
      <w:r>
        <w:fldChar w:fldCharType="separate"/>
      </w:r>
      <w:r w:rsidR="00971219">
        <w:t>2</w:t>
      </w:r>
      <w:r>
        <w:fldChar w:fldCharType="end"/>
      </w:r>
      <w:r w:rsidRPr="00CC605F">
        <w:rPr>
          <w:smallCaps w:val="0"/>
        </w:rPr>
        <w:t xml:space="preserve">.– </w:t>
      </w:r>
      <w:r>
        <w:rPr>
          <w:i/>
          <w:iCs/>
          <w:smallCaps w:val="0"/>
        </w:rPr>
        <w:t>Marco conceptual</w:t>
      </w:r>
      <w:r w:rsidRPr="00CC605F">
        <w:rPr>
          <w:i/>
          <w:iCs/>
          <w:smallCaps w:val="0"/>
        </w:rPr>
        <w:t xml:space="preserve"> del Plan General de Contabilidad</w:t>
      </w:r>
    </w:p>
    <w:p w14:paraId="3C49260F" w14:textId="647C79B5" w:rsidR="00CA1A7C" w:rsidRDefault="00CA1A7C" w:rsidP="00CC605F">
      <w:pPr>
        <w:pStyle w:val="Imagen"/>
      </w:pPr>
      <w:r w:rsidRPr="00CC605F">
        <w:drawing>
          <wp:inline distT="0" distB="0" distL="0" distR="0" wp14:anchorId="640DE462" wp14:editId="6D3D92A9">
            <wp:extent cx="2318079" cy="2448000"/>
            <wp:effectExtent l="0" t="0" r="6350" b="0"/>
            <wp:docPr id="7" name="Imagen 7" descr="Escala de tiem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Escala de tiempo&#10;&#10;Descripción generada automáticamente con confianza baja"/>
                    <pic:cNvPicPr/>
                  </pic:nvPicPr>
                  <pic:blipFill>
                    <a:blip r:embed="rId11"/>
                    <a:stretch>
                      <a:fillRect/>
                    </a:stretch>
                  </pic:blipFill>
                  <pic:spPr>
                    <a:xfrm>
                      <a:off x="0" y="0"/>
                      <a:ext cx="2318079" cy="2448000"/>
                    </a:xfrm>
                    <a:prstGeom prst="rect">
                      <a:avLst/>
                    </a:prstGeom>
                  </pic:spPr>
                </pic:pic>
              </a:graphicData>
            </a:graphic>
          </wp:inline>
        </w:drawing>
      </w:r>
    </w:p>
    <w:p w14:paraId="7B9A98C6" w14:textId="7587019E" w:rsidR="00CC605F" w:rsidRDefault="00CC605F" w:rsidP="00CC605F">
      <w:pPr>
        <w:pStyle w:val="PiedeImagen"/>
        <w:rPr>
          <w:i w:val="0"/>
          <w:iCs/>
        </w:rPr>
      </w:pPr>
      <w:r>
        <w:t>Fuente</w:t>
      </w:r>
      <w:r>
        <w:rPr>
          <w:i w:val="0"/>
          <w:iCs/>
        </w:rPr>
        <w:t xml:space="preserve">: </w:t>
      </w:r>
      <w:r w:rsidRPr="0053514A">
        <w:rPr>
          <w:i w:val="0"/>
          <w:iCs/>
        </w:rPr>
        <w:t>Besteiro, M. A. &amp; Mazarrac</w:t>
      </w:r>
      <w:r>
        <w:rPr>
          <w:i w:val="0"/>
          <w:iCs/>
        </w:rPr>
        <w:t>í</w:t>
      </w:r>
      <w:r w:rsidRPr="0053514A">
        <w:rPr>
          <w:i w:val="0"/>
          <w:iCs/>
        </w:rPr>
        <w:t xml:space="preserve">n, M. R. (2016). </w:t>
      </w:r>
      <w:r w:rsidRPr="0053514A">
        <w:t>Contabilidad financiera superior I (2a. Ed.)</w:t>
      </w:r>
      <w:r w:rsidRPr="0053514A">
        <w:rPr>
          <w:i w:val="0"/>
          <w:iCs/>
        </w:rPr>
        <w:t>. Difusora Larousse - Ediciones Pir</w:t>
      </w:r>
      <w:r>
        <w:rPr>
          <w:i w:val="0"/>
          <w:iCs/>
        </w:rPr>
        <w:t>á</w:t>
      </w:r>
      <w:r w:rsidRPr="0053514A">
        <w:rPr>
          <w:i w:val="0"/>
          <w:iCs/>
        </w:rPr>
        <w:t xml:space="preserve">mide. </w:t>
      </w:r>
      <w:hyperlink r:id="rId12" w:history="1">
        <w:r w:rsidRPr="000550B7">
          <w:rPr>
            <w:rStyle w:val="Hipervnculo"/>
            <w:i w:val="0"/>
            <w:iCs/>
          </w:rPr>
          <w:t>https://public.ebookcentral.proquest.com/choice/publicfullrecord.aspx?p=5102473</w:t>
        </w:r>
      </w:hyperlink>
      <w:r>
        <w:rPr>
          <w:i w:val="0"/>
          <w:iCs/>
        </w:rPr>
        <w:t xml:space="preserve"> </w:t>
      </w:r>
    </w:p>
    <w:p w14:paraId="50B22EA7" w14:textId="4B6F63F6" w:rsidR="00AD3472" w:rsidRDefault="00AD3472" w:rsidP="00AD3472">
      <w:pPr>
        <w:pStyle w:val="Ttulo6"/>
      </w:pPr>
      <w:bookmarkStart w:id="12" w:name="_Toc125485407"/>
      <w:r>
        <w:t>Requisitos de la información a incluir en las cuentas anuales</w:t>
      </w:r>
      <w:bookmarkEnd w:id="12"/>
    </w:p>
    <w:p w14:paraId="7D85E8FA" w14:textId="3F436B16" w:rsidR="00AD3472" w:rsidRDefault="00AD3472" w:rsidP="007703F7">
      <w:pPr>
        <w:pStyle w:val="Nivel1SM"/>
        <w:keepNext/>
        <w:spacing w:before="0" w:after="0"/>
      </w:pPr>
      <w:r>
        <w:t xml:space="preserve">Siguiendo el PGC, la información financiera debe cumplir una serie de </w:t>
      </w:r>
      <w:r w:rsidRPr="009A699D">
        <w:rPr>
          <w:i/>
          <w:iCs/>
        </w:rPr>
        <w:t>requisitos</w:t>
      </w:r>
      <w:r>
        <w:t xml:space="preserve"> (RFICC):</w:t>
      </w:r>
    </w:p>
    <w:p w14:paraId="7D8EEE4E" w14:textId="77777777" w:rsidR="00AD3472" w:rsidRDefault="00AD3472" w:rsidP="00AD3472">
      <w:pPr>
        <w:pStyle w:val="Nivel2SM"/>
      </w:pPr>
      <w:r>
        <w:rPr>
          <w:i/>
          <w:iCs/>
          <w:u w:val="single"/>
        </w:rPr>
        <w:t>Relevancia</w:t>
      </w:r>
      <w:r>
        <w:t>: Se revela útil para la toma de decisiones económicas, es decir, cuando ayuda a evaluar sucesos pasados, presentes o futuros.</w:t>
      </w:r>
    </w:p>
    <w:p w14:paraId="6F5915FA" w14:textId="77777777" w:rsidR="00AD3472" w:rsidRDefault="00AD3472" w:rsidP="00AD3472">
      <w:pPr>
        <w:pStyle w:val="Nivel2SM"/>
      </w:pPr>
      <w:r>
        <w:rPr>
          <w:i/>
          <w:iCs/>
          <w:u w:val="single"/>
        </w:rPr>
        <w:t>Fiabilidad</w:t>
      </w:r>
      <w:r>
        <w:t>: Debe reflejar el estado real de las cuentas, evitando la existencia de errores y sesgos. Así, el requisito de fiabilidad implica que los estados contables representan una imagen fiel de lo que se pretende representar.</w:t>
      </w:r>
    </w:p>
    <w:p w14:paraId="47AD0A89" w14:textId="77777777" w:rsidR="00AD3472" w:rsidRDefault="00AD3472" w:rsidP="00AD3472">
      <w:pPr>
        <w:pStyle w:val="Nivel2SM"/>
      </w:pPr>
      <w:r>
        <w:rPr>
          <w:i/>
          <w:iCs/>
          <w:u w:val="single"/>
        </w:rPr>
        <w:t>Integridad</w:t>
      </w:r>
      <w:r>
        <w:t>: Una cualidad derivada de la fiabilidad es la integridad, que se alcanza cuando la información financiera contiene de forma completa todos los datos que pueden influir en la toma de decisiones, sin ninguna omisión de información significativa.</w:t>
      </w:r>
    </w:p>
    <w:p w14:paraId="547A0734" w14:textId="77777777" w:rsidR="00AD3472" w:rsidRDefault="00AD3472" w:rsidP="00AD3472">
      <w:pPr>
        <w:pStyle w:val="Nivel2SM"/>
      </w:pPr>
      <w:r w:rsidRPr="006D6935">
        <w:rPr>
          <w:i/>
          <w:iCs/>
          <w:u w:val="single"/>
        </w:rPr>
        <w:t>Comparabilidad</w:t>
      </w:r>
      <w:r>
        <w:t>: Es deseable que la información financiera sea comparable. Esto debe extenderse tanto a las cuentas anuales de una misma empresa en diferentes períodos como a las de diferentes empresas en el mismo momento. La comparabilidad conlleva que la información financiera debe permitir contrastar la situación y rentabilidad de las empresas, e implica un tratamiento similar para las transacciones y demás sucesos económicos que se producen en circunstancias parecidas.</w:t>
      </w:r>
    </w:p>
    <w:p w14:paraId="68734322" w14:textId="77777777" w:rsidR="00AD3472" w:rsidRDefault="00AD3472" w:rsidP="00AD3472">
      <w:pPr>
        <w:pStyle w:val="Nivel2SM"/>
      </w:pPr>
      <w:r>
        <w:rPr>
          <w:i/>
          <w:iCs/>
          <w:u w:val="single"/>
        </w:rPr>
        <w:t>Claridad</w:t>
      </w:r>
      <w:r>
        <w:t>: Implica que sobre la base de un razonable conocimiento de las actividades económicas, la contabilidad y las finanzas empresariales, los usuarios de las cuentas anuales, mediante un examen diligente de la información suministrada, puedan formarse juicios que les faciliten la toma de decisiones.</w:t>
      </w:r>
    </w:p>
    <w:p w14:paraId="11D534AE" w14:textId="45327142" w:rsidR="00AD3472" w:rsidRDefault="00AD3472" w:rsidP="00AD3472">
      <w:pPr>
        <w:pStyle w:val="Ttulo6"/>
      </w:pPr>
      <w:bookmarkStart w:id="13" w:name="_Toc125485408"/>
      <w:r>
        <w:t>Principios contables</w:t>
      </w:r>
      <w:bookmarkEnd w:id="13"/>
    </w:p>
    <w:p w14:paraId="3B2FCBA4" w14:textId="3FA742E9" w:rsidR="00C22D0F" w:rsidRPr="00C22D0F" w:rsidRDefault="00C22D0F" w:rsidP="00C22D0F">
      <w:pPr>
        <w:pStyle w:val="Notaalopositor"/>
      </w:pPr>
      <w:r>
        <w:t>Esto es importante</w:t>
      </w:r>
    </w:p>
    <w:p w14:paraId="7CD9E108" w14:textId="28B66311" w:rsidR="002B3EE1" w:rsidRDefault="002B3EE1" w:rsidP="00C63905">
      <w:pPr>
        <w:pStyle w:val="Nivel1SM"/>
        <w:keepNext/>
        <w:spacing w:before="0" w:after="0"/>
      </w:pPr>
      <w:r>
        <w:t xml:space="preserve">Los </w:t>
      </w:r>
      <w:r w:rsidRPr="00662BCE">
        <w:rPr>
          <w:b/>
          <w:bCs/>
        </w:rPr>
        <w:t>principios contables</w:t>
      </w:r>
      <w:r>
        <w:t xml:space="preserve"> por los que se rige este PGC son los siguientes</w:t>
      </w:r>
      <w:r w:rsidR="009E5E15">
        <w:t xml:space="preserve"> (EDUPNI)</w:t>
      </w:r>
      <w:r>
        <w:t>:</w:t>
      </w:r>
    </w:p>
    <w:p w14:paraId="4ECD336C" w14:textId="18B35AA7" w:rsidR="002B3EE1" w:rsidRDefault="002B3EE1">
      <w:pPr>
        <w:pStyle w:val="Prrafodelista"/>
        <w:numPr>
          <w:ilvl w:val="0"/>
          <w:numId w:val="10"/>
        </w:numPr>
        <w:spacing w:after="100"/>
        <w:ind w:left="568" w:hanging="284"/>
      </w:pPr>
      <w:r>
        <w:rPr>
          <w:i/>
          <w:iCs/>
          <w:u w:val="single"/>
        </w:rPr>
        <w:t>Empresa en funcionamiento</w:t>
      </w:r>
      <w:r>
        <w:t>: Las cuentas anuales deben representar el funcionamiento a futuro de la empresa, no el valor del patrimonio neto a efectos de su transmisión global o parcial, o su liquidación.</w:t>
      </w:r>
      <w:r w:rsidR="00923D6A">
        <w:t xml:space="preserve"> Es decir, se asumirá (salvo que se pruebe lo contrario) que la empresa va a continuar la actividad, por lo que al determinar el valor del patrimonio neto no se considerará su valor liquidatorio.</w:t>
      </w:r>
    </w:p>
    <w:p w14:paraId="4D3E588D" w14:textId="567D1173" w:rsidR="002B3EE1" w:rsidRDefault="002B3EE1">
      <w:pPr>
        <w:pStyle w:val="Prrafodelista"/>
        <w:numPr>
          <w:ilvl w:val="0"/>
          <w:numId w:val="10"/>
        </w:numPr>
        <w:spacing w:after="100"/>
        <w:ind w:left="568" w:hanging="284"/>
      </w:pPr>
      <w:r>
        <w:rPr>
          <w:i/>
          <w:iCs/>
          <w:u w:val="single"/>
        </w:rPr>
        <w:t>Devengo</w:t>
      </w:r>
      <w:r>
        <w:t>: Los efectos de las transacciones o hechos económicos se registrarán cuando ocurran, imputándose al ejercicio al que las cuentas anuales se refieran, los gastos y los</w:t>
      </w:r>
      <w:r w:rsidRPr="002B3EE1">
        <w:t xml:space="preserve"> </w:t>
      </w:r>
      <w:r>
        <w:t>ingresos que afecten al mismo, con independencia de su fecha de su pago o de su cobro</w:t>
      </w:r>
      <w:r w:rsidR="00072A47">
        <w:t xml:space="preserve"> (i.e. la imputación </w:t>
      </w:r>
      <w:r w:rsidR="00072A47">
        <w:lastRenderedPageBreak/>
        <w:t>de cobros y pagos debe hacerse en el momento en el que se generen los derechos de cobro y las obligaciones de pago, no en el momento en que se cobre o se pague)</w:t>
      </w:r>
      <w:r w:rsidR="00072A47">
        <w:rPr>
          <w:rStyle w:val="Refdenotaalpie"/>
        </w:rPr>
        <w:footnoteReference w:id="13"/>
      </w:r>
      <w:r>
        <w:t>.</w:t>
      </w:r>
    </w:p>
    <w:p w14:paraId="22A97AC6" w14:textId="018831C9" w:rsidR="002B3EE1" w:rsidRDefault="002B3EE1">
      <w:pPr>
        <w:pStyle w:val="Prrafodelista"/>
        <w:numPr>
          <w:ilvl w:val="0"/>
          <w:numId w:val="10"/>
        </w:numPr>
        <w:spacing w:after="100"/>
        <w:ind w:left="568" w:hanging="284"/>
      </w:pPr>
      <w:r>
        <w:rPr>
          <w:i/>
          <w:iCs/>
          <w:u w:val="single"/>
        </w:rPr>
        <w:t>Uniformidad</w:t>
      </w:r>
      <w:r>
        <w:t>: Los criterios adoptados y que fueron elegidos para generar las cuentas anuales se han de mantener en el tiempo y aplicarse uniformemente</w:t>
      </w:r>
      <w:r w:rsidR="004439D0">
        <w:t>, en tanto no se alteren los supuestos que motivaron su elección.</w:t>
      </w:r>
    </w:p>
    <w:p w14:paraId="2F966DCB" w14:textId="6C780BC6" w:rsidR="005816CD" w:rsidRDefault="002B3EE1">
      <w:pPr>
        <w:pStyle w:val="Prrafodelista"/>
        <w:numPr>
          <w:ilvl w:val="0"/>
          <w:numId w:val="10"/>
        </w:numPr>
        <w:spacing w:after="100"/>
        <w:ind w:left="568" w:hanging="284"/>
      </w:pPr>
      <w:r w:rsidRPr="002B3EE1">
        <w:rPr>
          <w:i/>
          <w:iCs/>
          <w:u w:val="single"/>
        </w:rPr>
        <w:t>Prudencia</w:t>
      </w:r>
      <w:r>
        <w:t>:</w:t>
      </w:r>
      <w:r w:rsidR="005816CD">
        <w:t xml:space="preserve"> Se deberá ser prudente en las estimaciones y valoraciones a realizar en condiciones de incertidumbre. La prudencia no justifica que la valoración de los elementos patrimoniales no responda a la imagen fiel que deben reflejar las cuentas anuales.</w:t>
      </w:r>
      <w:r w:rsidR="004439D0">
        <w:t xml:space="preserve"> Únicamente se contabilizarán los beneficios obtenidos hasta la fecha de cierre del ejercicio. Por el contrario, se deberán tener en cuenta todos los riesgos, con origen en el ejercicio o en otro anterior, tan pronto sean conocidos.</w:t>
      </w:r>
    </w:p>
    <w:p w14:paraId="01674924" w14:textId="74C37C17" w:rsidR="002B3EE1" w:rsidRDefault="002B3EE1">
      <w:pPr>
        <w:pStyle w:val="Prrafodelista"/>
        <w:numPr>
          <w:ilvl w:val="0"/>
          <w:numId w:val="10"/>
        </w:numPr>
        <w:spacing w:after="100"/>
        <w:ind w:left="568" w:hanging="284"/>
      </w:pPr>
      <w:r w:rsidRPr="002B3EE1">
        <w:rPr>
          <w:i/>
          <w:iCs/>
          <w:u w:val="single"/>
        </w:rPr>
        <w:t>No</w:t>
      </w:r>
      <w:r>
        <w:rPr>
          <w:i/>
          <w:iCs/>
          <w:u w:val="single"/>
        </w:rPr>
        <w:t xml:space="preserve"> compensación</w:t>
      </w:r>
      <w:r>
        <w:t>:</w:t>
      </w:r>
      <w:r w:rsidR="00E5587B">
        <w:t xml:space="preserve"> Salvo que una norma disponga de forma expresa lo contrario, no se podrá compensar las partidas del activo y del pasivo o las de gastos e ingresos, y se valorarán separadamente los elementos integrantes de las cuentas anuales.</w:t>
      </w:r>
    </w:p>
    <w:p w14:paraId="70D43DEB" w14:textId="77EBE5BC" w:rsidR="002B3EE1" w:rsidRDefault="002B3EE1">
      <w:pPr>
        <w:pStyle w:val="Prrafodelista"/>
        <w:numPr>
          <w:ilvl w:val="0"/>
          <w:numId w:val="10"/>
        </w:numPr>
        <w:spacing w:after="100"/>
        <w:ind w:left="568" w:hanging="284"/>
      </w:pPr>
      <w:r>
        <w:rPr>
          <w:i/>
          <w:iCs/>
          <w:u w:val="single"/>
        </w:rPr>
        <w:t>Importancia relativa</w:t>
      </w:r>
      <w:r>
        <w:t>:</w:t>
      </w:r>
      <w:r w:rsidR="00E5587B" w:rsidRPr="00E5587B">
        <w:t xml:space="preserve"> </w:t>
      </w:r>
      <w:r w:rsidR="00E5587B">
        <w:t>Es posible la no aplicación de algunos principios y criterios contables cuando se determine que la importancia en términos cuantitativos o cualitativos de la variación que tal hecho produzca es</w:t>
      </w:r>
      <w:r w:rsidR="005816CD">
        <w:t xml:space="preserve"> escasamente significativa y, en consecuencia, no altere la expresión de la imagen fiel. Las partidas o importes cuya importancia relativa sea escasa podrán aparecer agrupados con otros de similar naturaleza o función.</w:t>
      </w:r>
    </w:p>
    <w:p w14:paraId="4E679FC5" w14:textId="2ED72F2A" w:rsidR="00ED6486" w:rsidRDefault="00E5587B" w:rsidP="00662BCE">
      <w:pPr>
        <w:pStyle w:val="Nivel1SM"/>
      </w:pPr>
      <w:r>
        <w:t>En los casos de conflicto entre principios contables, deberá prevalecer el que mejor conduzca a que las cuentas anuales expresen la imagen fiel del patrimonio, de la situación financiera y de los resultados de la empresa.</w:t>
      </w:r>
    </w:p>
    <w:p w14:paraId="64F656B7" w14:textId="31C2C5C3" w:rsidR="00F14C38" w:rsidRDefault="00F14C38" w:rsidP="00C471BA">
      <w:pPr>
        <w:pStyle w:val="Ttulo2"/>
      </w:pPr>
      <w:bookmarkStart w:id="14" w:name="_Toc125485409"/>
      <w:r>
        <w:t>Normas de registro y valoración</w:t>
      </w:r>
      <w:bookmarkEnd w:id="14"/>
    </w:p>
    <w:p w14:paraId="05E2F211" w14:textId="61D65F83" w:rsidR="009F4E7B" w:rsidRDefault="009F4E7B" w:rsidP="00C63905">
      <w:pPr>
        <w:pStyle w:val="Ttulo6"/>
        <w:spacing w:before="0"/>
      </w:pPr>
      <w:bookmarkStart w:id="15" w:name="_Toc125485410"/>
      <w:r>
        <w:t>Normas de registro</w:t>
      </w:r>
      <w:bookmarkEnd w:id="15"/>
    </w:p>
    <w:p w14:paraId="2DE8E191" w14:textId="7531DA5F" w:rsidR="00A50542" w:rsidRDefault="00A50542" w:rsidP="00C63905">
      <w:pPr>
        <w:pStyle w:val="Nivel1SM"/>
        <w:spacing w:before="0"/>
      </w:pPr>
      <w:r>
        <w:t xml:space="preserve">La información financiera se registra mediante </w:t>
      </w:r>
      <w:r w:rsidRPr="009F0043">
        <w:rPr>
          <w:i/>
          <w:iCs/>
        </w:rPr>
        <w:t>variables flujo</w:t>
      </w:r>
      <w:r>
        <w:t xml:space="preserve"> y </w:t>
      </w:r>
      <w:r>
        <w:rPr>
          <w:i/>
          <w:iCs/>
        </w:rPr>
        <w:t>variables stock</w:t>
      </w:r>
      <w:r>
        <w:t>. Los flujos re refieren a las acciones económicas y los efectos de eventos que ocurren dentro de un período contable, en tanto que las posiciones se refieren al nivel de los activos o pasivos en un momento determinado.</w:t>
      </w:r>
    </w:p>
    <w:p w14:paraId="5A224C58" w14:textId="77777777" w:rsidR="00A50542" w:rsidRDefault="00A50542" w:rsidP="00A50542">
      <w:pPr>
        <w:pStyle w:val="Imagen"/>
      </w:pPr>
      <w:r>
        <w:drawing>
          <wp:inline distT="0" distB="0" distL="0" distR="0" wp14:anchorId="3864737B" wp14:editId="74A148AD">
            <wp:extent cx="1455051" cy="720000"/>
            <wp:effectExtent l="0" t="0" r="0" b="4445"/>
            <wp:docPr id="34" name="Picture 34" descr="Imagen que contiene carretilla, coci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Imagen que contiene carretilla, cocina&#10;&#10;Descripción generada automáticamente"/>
                    <pic:cNvPicPr/>
                  </pic:nvPicPr>
                  <pic:blipFill rotWithShape="1">
                    <a:blip r:embed="rId13">
                      <a:extLst>
                        <a:ext uri="{28A0092B-C50C-407E-A947-70E740481C1C}">
                          <a14:useLocalDpi xmlns:a14="http://schemas.microsoft.com/office/drawing/2010/main" val="0"/>
                        </a:ext>
                      </a:extLst>
                    </a:blip>
                    <a:srcRect l="-1736" r="-14010"/>
                    <a:stretch/>
                  </pic:blipFill>
                  <pic:spPr bwMode="auto">
                    <a:xfrm>
                      <a:off x="0" y="0"/>
                      <a:ext cx="1455051" cy="720000"/>
                    </a:xfrm>
                    <a:prstGeom prst="flowChartPreparation">
                      <a:avLst/>
                    </a:prstGeom>
                    <a:ln>
                      <a:noFill/>
                    </a:ln>
                    <a:extLst>
                      <a:ext uri="{53640926-AAD7-44D8-BBD7-CCE9431645EC}">
                        <a14:shadowObscured xmlns:a14="http://schemas.microsoft.com/office/drawing/2010/main"/>
                      </a:ext>
                    </a:extLst>
                  </pic:spPr>
                </pic:pic>
              </a:graphicData>
            </a:graphic>
          </wp:inline>
        </w:drawing>
      </w:r>
    </w:p>
    <w:p w14:paraId="70D7AF8C" w14:textId="64297148" w:rsidR="00A50542" w:rsidRDefault="00A50542" w:rsidP="00C22D0F">
      <w:pPr>
        <w:pStyle w:val="Nivel2SM"/>
        <w:keepNext/>
        <w:spacing w:after="0"/>
      </w:pPr>
      <w:r>
        <w:t xml:space="preserve">Las </w:t>
      </w:r>
      <w:r>
        <w:rPr>
          <w:i/>
          <w:iCs/>
          <w:u w:val="single"/>
        </w:rPr>
        <w:t>variables f</w:t>
      </w:r>
      <w:r w:rsidRPr="009F0043">
        <w:rPr>
          <w:i/>
          <w:iCs/>
          <w:u w:val="single"/>
        </w:rPr>
        <w:t>lujo</w:t>
      </w:r>
      <w:r>
        <w:t xml:space="preserve"> reflejan la </w:t>
      </w:r>
      <w:r>
        <w:rPr>
          <w:i/>
          <w:iCs/>
        </w:rPr>
        <w:t>creación</w:t>
      </w:r>
      <w:r>
        <w:t xml:space="preserve">, </w:t>
      </w:r>
      <w:r>
        <w:rPr>
          <w:i/>
          <w:iCs/>
        </w:rPr>
        <w:t>transformación</w:t>
      </w:r>
      <w:r>
        <w:t xml:space="preserve">, </w:t>
      </w:r>
      <w:r>
        <w:rPr>
          <w:i/>
          <w:iCs/>
        </w:rPr>
        <w:t>intercambio</w:t>
      </w:r>
      <w:r>
        <w:t xml:space="preserve">, </w:t>
      </w:r>
      <w:r>
        <w:rPr>
          <w:i/>
          <w:iCs/>
        </w:rPr>
        <w:t>transferencia</w:t>
      </w:r>
      <w:r>
        <w:t xml:space="preserve"> o </w:t>
      </w:r>
      <w:r>
        <w:rPr>
          <w:i/>
          <w:iCs/>
        </w:rPr>
        <w:t>extinción</w:t>
      </w:r>
      <w:r>
        <w:t xml:space="preserve"> de valor económico; implican cambios en el volumen, la composición o el valor de los activos y pasivos de una empresa. Se registran en los </w:t>
      </w:r>
      <w:r w:rsidRPr="00A50542">
        <w:rPr>
          <w:i/>
          <w:iCs/>
        </w:rPr>
        <w:t>estados de circulación</w:t>
      </w:r>
      <w:r>
        <w:t>. Pueden clasificarse en:</w:t>
      </w:r>
    </w:p>
    <w:p w14:paraId="1D767710" w14:textId="1788D827" w:rsidR="00A50542" w:rsidRPr="009F0043" w:rsidRDefault="00A50542" w:rsidP="00662BCE">
      <w:pPr>
        <w:pStyle w:val="Nivel3SM"/>
        <w:rPr>
          <w:i/>
          <w:iCs/>
        </w:rPr>
      </w:pPr>
      <w:r w:rsidRPr="009F0043">
        <w:rPr>
          <w:i/>
          <w:iCs/>
        </w:rPr>
        <w:t>Transacciones</w:t>
      </w:r>
      <w:r>
        <w:t xml:space="preserve">: </w:t>
      </w:r>
      <w:r w:rsidR="00744278">
        <w:t>S</w:t>
      </w:r>
      <w:r>
        <w:t>on interacciones entre dos unidades institucionales que ocurren por mutuo acuerdo o en virtud de la ley y que implican un intercambio de valor o una transferencia.</w:t>
      </w:r>
    </w:p>
    <w:p w14:paraId="64C2552F" w14:textId="5979CB76" w:rsidR="00A50542" w:rsidRDefault="00A50542" w:rsidP="00662BCE">
      <w:pPr>
        <w:pStyle w:val="Nivel3SM"/>
      </w:pPr>
      <w:r w:rsidRPr="009F0043">
        <w:rPr>
          <w:i/>
          <w:iCs/>
        </w:rPr>
        <w:t>Otros flujos</w:t>
      </w:r>
      <w:r>
        <w:t xml:space="preserve">: </w:t>
      </w:r>
      <w:r w:rsidR="00744278">
        <w:t>S</w:t>
      </w:r>
      <w:r>
        <w:t>on las variaciones en el volumen, el valor o la clasificación de un activo o un pasivo que no se derivan de la transacción. Constituyen fenómenos económicos legítimos y reflejan variaciones de los activos y pasivos entre las posiciones de apertura y de cierre que no se derivan de transacciones.</w:t>
      </w:r>
    </w:p>
    <w:p w14:paraId="781B0804" w14:textId="09064033" w:rsidR="00A50542" w:rsidRPr="00A50542" w:rsidRDefault="00A50542" w:rsidP="00662BCE">
      <w:pPr>
        <w:pStyle w:val="Nivel2SM"/>
      </w:pPr>
      <w:r>
        <w:t xml:space="preserve">Las </w:t>
      </w:r>
      <w:r>
        <w:rPr>
          <w:i/>
          <w:iCs/>
          <w:u w:val="single"/>
        </w:rPr>
        <w:t>variables stock</w:t>
      </w:r>
      <w:r>
        <w:t xml:space="preserve"> se refieren al nivel de activos, pasivos o patrimonio neto en un momento determinado. Se registran en el balance de situación (</w:t>
      </w:r>
      <w:r w:rsidRPr="00A50542">
        <w:rPr>
          <w:i/>
          <w:iCs/>
        </w:rPr>
        <w:t>estado de situación</w:t>
      </w:r>
      <w:r>
        <w:t>). Por lo general, las posiciones se muestran al comienzo y al final de un período contable. Las posiciones entre dos períodos se conectan con flujos ocurridos en ese lapso, dado que las variaciones de las posiciones son producto de transacciones y otros flujos.</w:t>
      </w:r>
    </w:p>
    <w:p w14:paraId="21764589" w14:textId="4FD9A0EB" w:rsidR="009F4E7B" w:rsidRDefault="009F4E7B" w:rsidP="00344C2F">
      <w:pPr>
        <w:pStyle w:val="Ttulo6"/>
      </w:pPr>
      <w:bookmarkStart w:id="16" w:name="_Toc125485411"/>
      <w:r>
        <w:lastRenderedPageBreak/>
        <w:t>Normas de valoración</w:t>
      </w:r>
      <w:bookmarkEnd w:id="16"/>
    </w:p>
    <w:p w14:paraId="6AFF40A5" w14:textId="7CED00B4" w:rsidR="00A50542" w:rsidRDefault="00A50542" w:rsidP="00C63905">
      <w:pPr>
        <w:pStyle w:val="Nivel1SM"/>
        <w:keepNext/>
        <w:spacing w:before="0" w:after="0"/>
      </w:pPr>
      <w:r>
        <w:t xml:space="preserve">La valoración es el proceso por el que se asigna un valor monetario a cada uno de los elementos integrantes de las cuentas anuales. Existen </w:t>
      </w:r>
      <w:r w:rsidRPr="00A50542">
        <w:rPr>
          <w:b/>
          <w:bCs/>
        </w:rPr>
        <w:t>distintos criterios valorativos</w:t>
      </w:r>
      <w:r>
        <w:t>:</w:t>
      </w:r>
    </w:p>
    <w:p w14:paraId="1F15875F" w14:textId="77576BCA" w:rsidR="00A50542" w:rsidRDefault="00C30810" w:rsidP="00662BCE">
      <w:pPr>
        <w:pStyle w:val="Nmeroromano"/>
      </w:pPr>
      <w:r>
        <w:rPr>
          <w:i/>
          <w:iCs/>
        </w:rPr>
        <w:t>Valor a coste histórico</w:t>
      </w:r>
      <w:r>
        <w:t>: El coste</w:t>
      </w:r>
      <w:r w:rsidR="00850BF6">
        <w:t xml:space="preserve"> histórico</w:t>
      </w:r>
      <w:r>
        <w:t xml:space="preserve"> de un activo es su precio de adquisición si fue adquirido o su coste de producción si fue producido.</w:t>
      </w:r>
    </w:p>
    <w:p w14:paraId="50287E87" w14:textId="0100A70E" w:rsidR="00850BF6" w:rsidRDefault="00850BF6" w:rsidP="00662BCE">
      <w:pPr>
        <w:pStyle w:val="Nmeroromano"/>
      </w:pPr>
      <w:r w:rsidRPr="00850BF6">
        <w:rPr>
          <w:i/>
          <w:iCs/>
        </w:rPr>
        <w:t>Valor razonable</w:t>
      </w:r>
      <w:r>
        <w:t>:</w:t>
      </w:r>
      <w:r w:rsidRPr="00850BF6">
        <w:t xml:space="preserve"> </w:t>
      </w:r>
      <w:r>
        <w:t>El valor razonable es el importe por el que podría adquirirse un activo o liquidarse un pasivo a través de una transacción entre partes interesadas, bien informadas y mutuamente independientes.</w:t>
      </w:r>
      <w:r w:rsidR="00C30FC5">
        <w:t xml:space="preserve"> El valor razonable se determinará sin deducir los costes de transacción en los que pudiera incurrirse en su enajenación. No tendrá en ningún caso el carácter de valor razonable el que sea resultado de una acción forzada, urgente o como consecuencia de una situación de liquidación involuntaria.</w:t>
      </w:r>
    </w:p>
    <w:p w14:paraId="22346747" w14:textId="2B54F947" w:rsidR="00626495" w:rsidRDefault="00626495" w:rsidP="00662BCE">
      <w:pPr>
        <w:pStyle w:val="Nmeroromano"/>
      </w:pPr>
      <w:r>
        <w:rPr>
          <w:i/>
          <w:iCs/>
        </w:rPr>
        <w:t>Valor neto realizable</w:t>
      </w:r>
      <w:r>
        <w:t xml:space="preserve">: </w:t>
      </w:r>
      <w:r w:rsidR="00C30FC5" w:rsidRPr="00C30FC5">
        <w:t>El valor neto realizable de un activo es el importe que la empresa puede obtener por su enajenación en el mercado, en el curso normal del negocio, deduciendo los costes estimados necesarios para llevarla a cabo, así como, en el caso de las materias primas y de los productos en curso, los costes estimados necesarios para terminar su producción, construcción o fabricación.</w:t>
      </w:r>
      <w:r w:rsidR="00C30FC5">
        <w:t xml:space="preserve"> </w:t>
      </w:r>
      <w:r>
        <w:t>Lo diferenciamos del valor razonable en que mientras éste se refiere al valor de mercado de un producto en el valor neto realizable no hace referencia al precio en un mercado sino al importe que somos capaces de obtener si lo ponemos a la venta.</w:t>
      </w:r>
    </w:p>
    <w:p w14:paraId="459A71AF" w14:textId="3EA04A55" w:rsidR="00626495" w:rsidRDefault="00626495" w:rsidP="00662BCE">
      <w:pPr>
        <w:pStyle w:val="Nmeroromano"/>
      </w:pPr>
      <w:r>
        <w:rPr>
          <w:i/>
          <w:iCs/>
        </w:rPr>
        <w:t>Valor actual</w:t>
      </w:r>
      <w:r>
        <w:t xml:space="preserve">: </w:t>
      </w:r>
      <w:r w:rsidR="00C30FC5" w:rsidRPr="00C30FC5">
        <w:t>El valor actual es el importe de los flujos de efectivo a recibir o pagar en el curso normal del negocio, según se trate de un activo o de un pasivo, respectivamente, actualizados a un tipo de descuento adecuado.</w:t>
      </w:r>
    </w:p>
    <w:p w14:paraId="4EDE70D6" w14:textId="5DC0405B" w:rsidR="00626495" w:rsidRDefault="00626495" w:rsidP="00662BCE">
      <w:pPr>
        <w:pStyle w:val="Nmeroromano"/>
      </w:pPr>
      <w:r>
        <w:rPr>
          <w:i/>
          <w:iCs/>
        </w:rPr>
        <w:t>Valor en uso</w:t>
      </w:r>
      <w:r w:rsidRPr="00626495">
        <w:t>:</w:t>
      </w:r>
      <w:r w:rsidR="00C30FC5" w:rsidRPr="00C30FC5">
        <w:t xml:space="preserve"> El valor en uso de un activo o de una unidad generadora de efectivo es el valor actual de los flujos de efectivo futuros esperados, a través de su utilización en el curso normal del negocio y, en su caso, de su enajenación u otra forma de disposición, teniendo en cuenta su estado actual y actualizados a un tipo de interés de mercado sin riesgo, ajustado por los riesgos específicos del activo que no hayan ajustado las estimaciones de flujos de efectivo futuros. Las proyecciones de flujos de efectivo se basarán en hipótesis razonables y fundamentadas; normalmente la cuantificación o la distribución de los flujos de efectivo está sometida a incertidumbre, debiéndose considerar ésta asignando probabilidades a las distintas estimaciones de flujos de efectivo. En cualquier caso, esas estimaciones deberán tener en cuenta cualquier otra asunción que los participantes en el mercado considerarían, tal como el grado de liquidez inherente al activo valorado.</w:t>
      </w:r>
    </w:p>
    <w:p w14:paraId="7BDBACBE" w14:textId="04C2CF53" w:rsidR="00626495" w:rsidRPr="00626495" w:rsidRDefault="00626495" w:rsidP="00662BCE">
      <w:pPr>
        <w:pStyle w:val="Nmeroromano"/>
      </w:pPr>
      <w:r>
        <w:rPr>
          <w:i/>
          <w:iCs/>
        </w:rPr>
        <w:t>Costes de venta</w:t>
      </w:r>
      <w:r w:rsidRPr="00626495">
        <w:t>:</w:t>
      </w:r>
      <w:r>
        <w:t xml:space="preserve"> </w:t>
      </w:r>
      <w:r w:rsidR="00C30FC5" w:rsidRPr="00C30FC5">
        <w:t>Son los costes incrementales directamente atribuibles a la venta de un activo en los que la empresa no habría incurrido de no haber tomado la decisión de vender, excluidos los gastos financieros y los impuestos sobre beneficios. Se incluyen los gastos legales necesarios para transferir la propiedad del activo y las comisiones de venta.</w:t>
      </w:r>
    </w:p>
    <w:p w14:paraId="3D3FA65B" w14:textId="004C6B06" w:rsidR="00C30810" w:rsidRDefault="00626495" w:rsidP="00662BCE">
      <w:pPr>
        <w:pStyle w:val="Nmeroromano"/>
      </w:pPr>
      <w:r>
        <w:rPr>
          <w:i/>
          <w:iCs/>
        </w:rPr>
        <w:t>C</w:t>
      </w:r>
      <w:r w:rsidR="00C30810">
        <w:rPr>
          <w:i/>
          <w:iCs/>
        </w:rPr>
        <w:t>oste amortizado</w:t>
      </w:r>
      <w:r w:rsidR="00C30810">
        <w:t>: Valor inicial de un activo financiero menos reembolsos del principal que se hubieran producido</w:t>
      </w:r>
      <w:r w:rsidR="00FA2F31">
        <w:t>, más o menos, según proceda, la parte imputada en la cuenta de pérdidas y ganancias, mediante la utilización del método del tipo de interés efectivo, de la diferencia entre el importe inicial y el valor de reembolso en el vencimiento y, para el caso de los activos financieros, menos cualquier reducción de calor por deterioro que hubiera sido reconocida, ya sea directamente como disminución del importe del activo o mediante una cuenta correctora de su valor.</w:t>
      </w:r>
    </w:p>
    <w:p w14:paraId="07D5DCC4" w14:textId="264F0FA5" w:rsidR="005172B5" w:rsidRPr="005172B5" w:rsidRDefault="005172B5" w:rsidP="00662BCE">
      <w:pPr>
        <w:pStyle w:val="Nmeroromano"/>
      </w:pPr>
      <w:r w:rsidRPr="005172B5">
        <w:rPr>
          <w:i/>
          <w:iCs/>
        </w:rPr>
        <w:t>Costes de transacción atribuibles a un activo o pasivo financiero</w:t>
      </w:r>
      <w:r>
        <w:t>:</w:t>
      </w:r>
      <w:r w:rsidRPr="005172B5">
        <w:t xml:space="preserve"> Son los costes incrementales directamente atribuibles a la compra, emisión, enajenación u otra forma de disposición de un activo financiero, o a la emisión o asunción de un pasivo financiero, en los que no se habría incurrido si la empresa no hubiera realizado la transacción. Entre ellos se incluyen los honorarios y las comisiones pagadas a agentes, asesores e intermediarios, tales como las de </w:t>
      </w:r>
      <w:r w:rsidRPr="005172B5">
        <w:lastRenderedPageBreak/>
        <w:t>corretaje, los gastos de intervención de fedatario público y otros, así como los impuestos y otros derechos que recaigan sobre la transacción, y se excluyen las primas o descuentos obtenidos en la compra o emisión, los gastos financieros, los costes de mantenimiento y los administrativos internos.</w:t>
      </w:r>
    </w:p>
    <w:p w14:paraId="776E2E42" w14:textId="3717D798" w:rsidR="00C30810" w:rsidRDefault="00C30810" w:rsidP="00662BCE">
      <w:pPr>
        <w:pStyle w:val="Nmeroromano"/>
      </w:pPr>
      <w:r>
        <w:rPr>
          <w:i/>
          <w:iCs/>
        </w:rPr>
        <w:t>Valor contable</w:t>
      </w:r>
      <w:r w:rsidR="00A15401">
        <w:rPr>
          <w:i/>
          <w:iCs/>
        </w:rPr>
        <w:t xml:space="preserve"> o en libros</w:t>
      </w:r>
      <w:r>
        <w:t xml:space="preserve">: </w:t>
      </w:r>
      <w:r w:rsidR="005172B5">
        <w:t>Importe neto por el que un activo o un pasivo se encuentra registrado en balance una vez deducida, en el caso de los activos, su amortización acumulada y cualquier corrección valorativa por deterioro acumulada que se haya registrado.</w:t>
      </w:r>
    </w:p>
    <w:p w14:paraId="2133880E" w14:textId="2BCDF966" w:rsidR="00C30810" w:rsidRDefault="00C30810" w:rsidP="00662BCE">
      <w:pPr>
        <w:pStyle w:val="Nmeroromano"/>
      </w:pPr>
      <w:r>
        <w:rPr>
          <w:i/>
          <w:iCs/>
        </w:rPr>
        <w:t>Valor residual</w:t>
      </w:r>
      <w:r w:rsidRPr="00C30810">
        <w:t>:</w:t>
      </w:r>
      <w:r w:rsidR="005172B5" w:rsidRPr="005172B5">
        <w:t xml:space="preserve"> </w:t>
      </w:r>
      <w:r w:rsidR="005172B5">
        <w:t>I</w:t>
      </w:r>
      <w:r w:rsidR="005172B5" w:rsidRPr="005172B5">
        <w:t>mporte que la empresa estima que podría obtener en el momento actual por su venta u otra forma de disposición, una vez deducidos los costes de venta, tomando en consideración que el activo hubiese alcanzado la antigüedad y demás condiciones que se espera que tenga al final de su vida útil</w:t>
      </w:r>
      <w:r w:rsidR="00615821">
        <w:rPr>
          <w:rStyle w:val="Refdenotaalpie"/>
        </w:rPr>
        <w:footnoteReference w:id="14"/>
      </w:r>
      <w:r w:rsidR="005172B5" w:rsidRPr="005172B5">
        <w:t>.</w:t>
      </w:r>
    </w:p>
    <w:p w14:paraId="28568A26" w14:textId="75BE31CC" w:rsidR="00F14C38" w:rsidRDefault="00F14C38" w:rsidP="00C471BA">
      <w:pPr>
        <w:pStyle w:val="Ttulo2"/>
      </w:pPr>
      <w:bookmarkStart w:id="17" w:name="_Toc125485412"/>
      <w:r>
        <w:t>Cuentas anuales</w:t>
      </w:r>
      <w:bookmarkEnd w:id="17"/>
    </w:p>
    <w:p w14:paraId="3F5BF34A" w14:textId="65CE714B" w:rsidR="00DE2A3C" w:rsidRDefault="00EF6D90" w:rsidP="00662BCE">
      <w:pPr>
        <w:pStyle w:val="Nivel1SM"/>
        <w:keepNext/>
        <w:spacing w:after="0"/>
      </w:pPr>
      <w:r>
        <w:t>El PGC de 2007 dispone la obligación de compilar cinco documentos que en conjunt</w:t>
      </w:r>
      <w:r w:rsidR="00DE2A3C">
        <w:t xml:space="preserve">o se denominan </w:t>
      </w:r>
      <w:r w:rsidR="00DE2A3C">
        <w:rPr>
          <w:b/>
          <w:bCs/>
        </w:rPr>
        <w:t xml:space="preserve">cuentas </w:t>
      </w:r>
      <w:r w:rsidR="00DE2A3C" w:rsidRPr="00DE2A3C">
        <w:rPr>
          <w:b/>
          <w:bCs/>
        </w:rPr>
        <w:t>anuales</w:t>
      </w:r>
      <w:r w:rsidR="00DE2A3C">
        <w:t xml:space="preserve"> y son las siguientes:</w:t>
      </w:r>
    </w:p>
    <w:p w14:paraId="7DB7A366" w14:textId="77777777" w:rsidR="00DE2A3C" w:rsidRDefault="00DE2A3C">
      <w:pPr>
        <w:pStyle w:val="Prrafodelista"/>
        <w:keepLines/>
        <w:numPr>
          <w:ilvl w:val="0"/>
          <w:numId w:val="12"/>
        </w:numPr>
        <w:spacing w:after="100"/>
        <w:ind w:left="568" w:hanging="284"/>
      </w:pPr>
      <w:r>
        <w:t>Balance de situación</w:t>
      </w:r>
    </w:p>
    <w:p w14:paraId="09047E2A" w14:textId="77777777" w:rsidR="00DE2A3C" w:rsidRDefault="00DE2A3C">
      <w:pPr>
        <w:pStyle w:val="Prrafodelista"/>
        <w:keepLines/>
        <w:numPr>
          <w:ilvl w:val="0"/>
          <w:numId w:val="12"/>
        </w:numPr>
        <w:spacing w:after="100"/>
        <w:ind w:left="568" w:hanging="284"/>
      </w:pPr>
      <w:r>
        <w:t>Cuenta de pérdidas y ganancias</w:t>
      </w:r>
    </w:p>
    <w:p w14:paraId="0C68B959" w14:textId="77777777" w:rsidR="00DE2A3C" w:rsidRDefault="00DE2A3C">
      <w:pPr>
        <w:pStyle w:val="Prrafodelista"/>
        <w:keepLines/>
        <w:numPr>
          <w:ilvl w:val="0"/>
          <w:numId w:val="12"/>
        </w:numPr>
        <w:spacing w:after="100"/>
        <w:ind w:left="568" w:hanging="284"/>
      </w:pPr>
      <w:r>
        <w:t>Estado de cambios en el patrimonio neto</w:t>
      </w:r>
    </w:p>
    <w:p w14:paraId="289B45A1" w14:textId="77777777" w:rsidR="00DE2A3C" w:rsidRDefault="00DE2A3C">
      <w:pPr>
        <w:pStyle w:val="Prrafodelista"/>
        <w:keepLines/>
        <w:numPr>
          <w:ilvl w:val="0"/>
          <w:numId w:val="12"/>
        </w:numPr>
        <w:spacing w:after="100"/>
        <w:ind w:left="568" w:hanging="284"/>
      </w:pPr>
      <w:r>
        <w:t>Estado de flujos de efectivo</w:t>
      </w:r>
    </w:p>
    <w:p w14:paraId="46AFDF38" w14:textId="3C029764" w:rsidR="00DE2A3C" w:rsidRDefault="00DE2A3C">
      <w:pPr>
        <w:pStyle w:val="Prrafodelista"/>
        <w:numPr>
          <w:ilvl w:val="0"/>
          <w:numId w:val="12"/>
        </w:numPr>
        <w:spacing w:after="100"/>
        <w:ind w:left="568" w:hanging="284"/>
      </w:pPr>
      <w:r>
        <w:t>Memoria</w:t>
      </w:r>
    </w:p>
    <w:p w14:paraId="1C8965AF" w14:textId="080775B9" w:rsidR="006C3932" w:rsidRDefault="007077B2" w:rsidP="00662BCE">
      <w:pPr>
        <w:pStyle w:val="Nivel1SM"/>
      </w:pPr>
      <w:r w:rsidRPr="00DE2A3C">
        <w:t>En</w:t>
      </w:r>
      <w:r>
        <w:t xml:space="preserve"> general, todas las </w:t>
      </w:r>
      <w:r w:rsidR="00E44FBB">
        <w:t xml:space="preserve">empresas deben adaptarse al modelo </w:t>
      </w:r>
      <w:r w:rsidR="00E44FBB">
        <w:rPr>
          <w:i/>
          <w:iCs/>
        </w:rPr>
        <w:t>estándar</w:t>
      </w:r>
      <w:r w:rsidR="00E44FBB">
        <w:t xml:space="preserve"> de estas cuentas. No obstante, se establecen ciertos baremos relativos al valor del activo, a la cifra anual de negocios y al número de trabajadores promedio, de forma que las empresas que o sobrepasen dichos baremos podrán formular cuentas anuales </w:t>
      </w:r>
      <w:r w:rsidR="00E44FBB" w:rsidRPr="00154963">
        <w:rPr>
          <w:i/>
          <w:iCs/>
        </w:rPr>
        <w:t>abreviadas</w:t>
      </w:r>
      <w:r w:rsidR="00154963">
        <w:t xml:space="preserve"> y se ceñirán al PGC para </w:t>
      </w:r>
      <w:r w:rsidR="002054C6">
        <w:t>pymes</w:t>
      </w:r>
      <w:r w:rsidR="00AC6A05">
        <w:rPr>
          <w:rStyle w:val="Refdenotaalpie"/>
        </w:rPr>
        <w:footnoteReference w:id="15"/>
      </w:r>
      <w:r w:rsidR="00E44FBB">
        <w:t>.</w:t>
      </w:r>
    </w:p>
    <w:p w14:paraId="44C7C09E" w14:textId="4D09DC29" w:rsidR="009A75F3" w:rsidRPr="00960A1D" w:rsidRDefault="009A75F3" w:rsidP="00662BCE">
      <w:pPr>
        <w:pStyle w:val="Nivel1SM"/>
      </w:pPr>
      <w:r>
        <w:t>Estos documentos forman una unidad, aunque cada uno privilegia un aspecto dentro de la empresa.</w:t>
      </w:r>
      <w:r w:rsidR="00960A1D">
        <w:t xml:space="preserve"> Son elaboradas por los </w:t>
      </w:r>
      <w:r w:rsidR="00960A1D">
        <w:rPr>
          <w:b/>
          <w:bCs/>
        </w:rPr>
        <w:t>administradores</w:t>
      </w:r>
      <w:r w:rsidR="00960A1D">
        <w:t xml:space="preserve"> de la empresa respondiendo estos de la veracidad de dichas cuentas.</w:t>
      </w:r>
    </w:p>
    <w:p w14:paraId="09746CCF" w14:textId="1B37813B" w:rsidR="003744DA" w:rsidRDefault="003744DA">
      <w:pPr>
        <w:pStyle w:val="Ttulo6"/>
        <w:numPr>
          <w:ilvl w:val="0"/>
          <w:numId w:val="19"/>
        </w:numPr>
        <w:ind w:left="0" w:hanging="284"/>
      </w:pPr>
      <w:bookmarkStart w:id="18" w:name="_Toc125485413"/>
      <w:r>
        <w:lastRenderedPageBreak/>
        <w:t>Balance de situación</w:t>
      </w:r>
      <w:bookmarkEnd w:id="18"/>
    </w:p>
    <w:p w14:paraId="5E1AC60B" w14:textId="51AA8B58" w:rsidR="003744DA" w:rsidRDefault="007868A8" w:rsidP="0000263B">
      <w:pPr>
        <w:pStyle w:val="Notaalopositor"/>
      </w:pPr>
      <w:r>
        <w:t>Desarrollar en pizarra todas las cuentas y que se vea que es una progresión</w:t>
      </w:r>
    </w:p>
    <w:p w14:paraId="78DC4DB5" w14:textId="3D679792" w:rsidR="009C73C2" w:rsidRDefault="009C73C2" w:rsidP="00C63905">
      <w:pPr>
        <w:pStyle w:val="Nivel1SM"/>
        <w:keepNext/>
        <w:spacing w:before="0"/>
      </w:pPr>
      <w:r>
        <w:t xml:space="preserve">El </w:t>
      </w:r>
      <w:r>
        <w:rPr>
          <w:b/>
          <w:bCs/>
        </w:rPr>
        <w:t>balance de situación</w:t>
      </w:r>
      <w:r>
        <w:t xml:space="preserve"> recoge la composición del patrimonio de la empresa en un momento del tiempo. Ofrece información referida a los bienes, derechos y fuentes de financiación de la empresa.</w:t>
      </w:r>
    </w:p>
    <w:p w14:paraId="4A2E97D3" w14:textId="1CEB091C" w:rsidR="00C3253B" w:rsidRPr="009C73C2" w:rsidRDefault="00C3253B" w:rsidP="00CC53F9">
      <w:pPr>
        <w:pStyle w:val="Nivel1SM"/>
        <w:keepNext/>
      </w:pPr>
      <w:r>
        <w:t xml:space="preserve">Su análisis es de </w:t>
      </w:r>
      <w:r w:rsidRPr="00EA1F37">
        <w:rPr>
          <w:i/>
          <w:iCs/>
        </w:rPr>
        <w:t>relevancia</w:t>
      </w:r>
      <w:r>
        <w:t>, ya que nos permitirá hace un análisis de liquidez y de solvencia.</w:t>
      </w:r>
    </w:p>
    <w:p w14:paraId="786EA1D2" w14:textId="120D5BFC" w:rsidR="009C73C2" w:rsidRDefault="009C73C2" w:rsidP="00662BCE">
      <w:pPr>
        <w:pStyle w:val="Nivel1SM"/>
        <w:keepNext/>
        <w:spacing w:after="0"/>
      </w:pPr>
      <w:r>
        <w:t>Es decir, el balance de situación constituye una radiografía de la estructura de la empresa:</w:t>
      </w:r>
    </w:p>
    <w:p w14:paraId="470C341B" w14:textId="2027CE83" w:rsidR="009C73C2" w:rsidRDefault="009C73C2" w:rsidP="00662BCE">
      <w:pPr>
        <w:pStyle w:val="Nivel2SM"/>
        <w:keepNext/>
        <w:spacing w:after="0"/>
      </w:pPr>
      <w:r w:rsidRPr="009C73C2">
        <w:rPr>
          <w:i/>
          <w:iCs/>
        </w:rPr>
        <w:t>Es</w:t>
      </w:r>
      <w:r>
        <w:rPr>
          <w:i/>
          <w:iCs/>
        </w:rPr>
        <w:t>tructura económica</w:t>
      </w:r>
      <w:r>
        <w:t xml:space="preserve">: bienes, derechos y otros recursos controlados por la empresa y necesarios para llevar a cabo la actividad productiva. Esto es lo que se conoce como </w:t>
      </w:r>
      <w:r w:rsidRPr="009C73C2">
        <w:rPr>
          <w:b/>
          <w:bCs/>
        </w:rPr>
        <w:t>activo</w:t>
      </w:r>
      <w:r>
        <w:t>.</w:t>
      </w:r>
    </w:p>
    <w:p w14:paraId="322A4B70" w14:textId="220BA0D7" w:rsidR="00431DFE" w:rsidRDefault="00431DFE" w:rsidP="00662BCE">
      <w:pPr>
        <w:pStyle w:val="Nivel3SM"/>
        <w:keepNext/>
      </w:pPr>
      <w:r>
        <w:t xml:space="preserve">El activo </w:t>
      </w:r>
      <w:r w:rsidR="00A449A9">
        <w:t>viene ordenado en el balance de menor a mayor</w:t>
      </w:r>
      <w:r>
        <w:t xml:space="preserve"> grado de </w:t>
      </w:r>
      <w:r w:rsidRPr="00A449A9">
        <w:rPr>
          <w:u w:val="single"/>
        </w:rPr>
        <w:t>liquidez</w:t>
      </w:r>
      <w:r w:rsidR="00A449A9">
        <w:t xml:space="preserve"> de acuerdo a la siguiente clasificación</w:t>
      </w:r>
      <w:r>
        <w:t>:</w:t>
      </w:r>
    </w:p>
    <w:p w14:paraId="199B88F2" w14:textId="492E05BA" w:rsidR="00431DFE" w:rsidRDefault="00431DFE" w:rsidP="00662BCE">
      <w:pPr>
        <w:pStyle w:val="Nivel4"/>
        <w:keepNext/>
        <w:ind w:left="1474"/>
      </w:pPr>
      <w:r w:rsidRPr="00F83386">
        <w:rPr>
          <w:i/>
          <w:iCs/>
          <w:u w:val="single"/>
        </w:rPr>
        <w:t>Activo no corriente</w:t>
      </w:r>
      <w:r>
        <w:t xml:space="preserve">: </w:t>
      </w:r>
      <w:r w:rsidR="002054C6">
        <w:t>M</w:t>
      </w:r>
      <w:r>
        <w:t>aterialización de la capacidad productiva de la empresa</w:t>
      </w:r>
      <w:r w:rsidR="002054C6">
        <w:t>. En contraposición con el activo circulante los activos no se limitan al ciclo de explotación de la empresa, es decir, están vinculados a la empresa a medio o largo plazo (si bien es cierto que podría existir una pérdida de valor a causa de su depreciación)</w:t>
      </w:r>
      <w:r w:rsidR="0000263B">
        <w:t>:</w:t>
      </w:r>
    </w:p>
    <w:p w14:paraId="3F87B2AD" w14:textId="5EF68EB8" w:rsidR="0000263B" w:rsidRPr="00662BCE" w:rsidRDefault="0000263B" w:rsidP="00662BCE">
      <w:pPr>
        <w:pStyle w:val="Nivel5"/>
        <w:ind w:left="1871"/>
        <w:rPr>
          <w:sz w:val="19"/>
          <w:szCs w:val="19"/>
        </w:rPr>
      </w:pPr>
      <w:r w:rsidRPr="00662BCE">
        <w:rPr>
          <w:i/>
          <w:iCs/>
          <w:sz w:val="19"/>
          <w:szCs w:val="19"/>
        </w:rPr>
        <w:t>Inmovilizado intangible</w:t>
      </w:r>
      <w:r w:rsidR="00C3253B" w:rsidRPr="00662BCE">
        <w:rPr>
          <w:sz w:val="19"/>
          <w:szCs w:val="19"/>
        </w:rPr>
        <w:t xml:space="preserve"> (p.ej. marcas, patentes, fondo de comercio…)</w:t>
      </w:r>
      <w:r w:rsidR="00150A26" w:rsidRPr="00662BCE">
        <w:rPr>
          <w:rStyle w:val="Refdenotaalpie"/>
          <w:sz w:val="19"/>
          <w:szCs w:val="19"/>
        </w:rPr>
        <w:footnoteReference w:id="16"/>
      </w:r>
      <w:r w:rsidRPr="00662BCE">
        <w:rPr>
          <w:sz w:val="19"/>
          <w:szCs w:val="19"/>
        </w:rPr>
        <w:t>;</w:t>
      </w:r>
    </w:p>
    <w:p w14:paraId="1817CD11" w14:textId="4FA2DF80" w:rsidR="0000263B" w:rsidRPr="00662BCE" w:rsidRDefault="0000263B" w:rsidP="00662BCE">
      <w:pPr>
        <w:pStyle w:val="Nivel5"/>
        <w:ind w:left="1871"/>
        <w:rPr>
          <w:sz w:val="19"/>
          <w:szCs w:val="19"/>
        </w:rPr>
      </w:pPr>
      <w:r w:rsidRPr="00662BCE">
        <w:rPr>
          <w:i/>
          <w:iCs/>
          <w:sz w:val="19"/>
          <w:szCs w:val="19"/>
        </w:rPr>
        <w:t>Inmovilizado material</w:t>
      </w:r>
      <w:r w:rsidR="00C3253B" w:rsidRPr="00662BCE">
        <w:rPr>
          <w:sz w:val="19"/>
          <w:szCs w:val="19"/>
        </w:rPr>
        <w:t xml:space="preserve"> (p.ej. terrenos y construcciones, instalaciones técnicas…)</w:t>
      </w:r>
      <w:r w:rsidRPr="00662BCE">
        <w:rPr>
          <w:sz w:val="19"/>
          <w:szCs w:val="19"/>
        </w:rPr>
        <w:t>;</w:t>
      </w:r>
    </w:p>
    <w:p w14:paraId="53DE7987" w14:textId="5A736F49" w:rsidR="0000263B" w:rsidRPr="00662BCE" w:rsidRDefault="0000263B" w:rsidP="00662BCE">
      <w:pPr>
        <w:pStyle w:val="Nivel5"/>
        <w:ind w:left="1871"/>
        <w:rPr>
          <w:sz w:val="19"/>
          <w:szCs w:val="19"/>
        </w:rPr>
      </w:pPr>
      <w:r w:rsidRPr="00662BCE">
        <w:rPr>
          <w:i/>
          <w:iCs/>
          <w:sz w:val="19"/>
          <w:szCs w:val="19"/>
        </w:rPr>
        <w:t>Inversiones inmobiliarias</w:t>
      </w:r>
      <w:r w:rsidR="00C3253B" w:rsidRPr="00662BCE">
        <w:rPr>
          <w:sz w:val="19"/>
          <w:szCs w:val="19"/>
        </w:rPr>
        <w:t xml:space="preserve"> (terrenos y construcciones que no se dedican a la actividad principal de la empresa)</w:t>
      </w:r>
      <w:r w:rsidRPr="00662BCE">
        <w:rPr>
          <w:sz w:val="19"/>
          <w:szCs w:val="19"/>
        </w:rPr>
        <w:t>;</w:t>
      </w:r>
    </w:p>
    <w:p w14:paraId="18E9125A" w14:textId="70925802" w:rsidR="0000263B" w:rsidRPr="00662BCE" w:rsidRDefault="0000263B" w:rsidP="00662BCE">
      <w:pPr>
        <w:pStyle w:val="Nivel5"/>
        <w:ind w:left="1871"/>
        <w:rPr>
          <w:sz w:val="19"/>
          <w:szCs w:val="19"/>
        </w:rPr>
      </w:pPr>
      <w:r w:rsidRPr="00662BCE">
        <w:rPr>
          <w:i/>
          <w:iCs/>
          <w:sz w:val="19"/>
          <w:szCs w:val="19"/>
        </w:rPr>
        <w:t>Inversiones en empresas del grupo y asociadas a largo plazo</w:t>
      </w:r>
      <w:r w:rsidRPr="00662BCE">
        <w:rPr>
          <w:sz w:val="19"/>
          <w:szCs w:val="19"/>
        </w:rPr>
        <w:t>;</w:t>
      </w:r>
    </w:p>
    <w:p w14:paraId="4071C629" w14:textId="67CCA839" w:rsidR="0000263B" w:rsidRPr="00773B0F" w:rsidRDefault="0000263B" w:rsidP="00662BCE">
      <w:pPr>
        <w:pStyle w:val="Nivel5"/>
        <w:ind w:left="1871"/>
        <w:rPr>
          <w:spacing w:val="-1"/>
          <w:sz w:val="19"/>
          <w:szCs w:val="19"/>
        </w:rPr>
      </w:pPr>
      <w:r w:rsidRPr="00773B0F">
        <w:rPr>
          <w:i/>
          <w:iCs/>
          <w:spacing w:val="-1"/>
          <w:sz w:val="19"/>
          <w:szCs w:val="19"/>
        </w:rPr>
        <w:t>Inversiones financieras a largo plazo</w:t>
      </w:r>
      <w:r w:rsidR="00C3253B" w:rsidRPr="00773B0F">
        <w:rPr>
          <w:i/>
          <w:iCs/>
          <w:spacing w:val="-1"/>
          <w:sz w:val="19"/>
          <w:szCs w:val="19"/>
        </w:rPr>
        <w:t xml:space="preserve"> </w:t>
      </w:r>
      <w:r w:rsidR="00C3253B" w:rsidRPr="00773B0F">
        <w:rPr>
          <w:spacing w:val="-1"/>
          <w:sz w:val="19"/>
          <w:szCs w:val="19"/>
        </w:rPr>
        <w:t>(p.ej. acciones de entidades que no estén vinculadas, créditos a tercero</w:t>
      </w:r>
      <w:r w:rsidR="00773B0F" w:rsidRPr="00773B0F">
        <w:rPr>
          <w:spacing w:val="-1"/>
          <w:sz w:val="19"/>
          <w:szCs w:val="19"/>
        </w:rPr>
        <w:t>s</w:t>
      </w:r>
      <w:r w:rsidR="00C3253B" w:rsidRPr="00773B0F">
        <w:rPr>
          <w:spacing w:val="-1"/>
          <w:sz w:val="19"/>
          <w:szCs w:val="19"/>
        </w:rPr>
        <w:t xml:space="preserve"> a largo plazo, derivados cuyo plazo de liquidación sea superior a un año…)</w:t>
      </w:r>
      <w:r w:rsidRPr="00773B0F">
        <w:rPr>
          <w:spacing w:val="-1"/>
          <w:sz w:val="19"/>
          <w:szCs w:val="19"/>
        </w:rPr>
        <w:t>;</w:t>
      </w:r>
    </w:p>
    <w:p w14:paraId="67CBE6F6" w14:textId="659A2359" w:rsidR="0000263B" w:rsidRPr="00662BCE" w:rsidRDefault="0000263B" w:rsidP="00662BCE">
      <w:pPr>
        <w:pStyle w:val="Nivel5"/>
        <w:ind w:left="1871"/>
        <w:rPr>
          <w:sz w:val="18"/>
          <w:szCs w:val="18"/>
        </w:rPr>
      </w:pPr>
      <w:r w:rsidRPr="00662BCE">
        <w:rPr>
          <w:i/>
          <w:iCs/>
          <w:sz w:val="19"/>
          <w:szCs w:val="19"/>
        </w:rPr>
        <w:t>Activos por impuesto diferido</w:t>
      </w:r>
      <w:r w:rsidR="00C3253B" w:rsidRPr="00662BCE">
        <w:rPr>
          <w:i/>
          <w:iCs/>
          <w:sz w:val="19"/>
          <w:szCs w:val="19"/>
        </w:rPr>
        <w:t xml:space="preserve"> </w:t>
      </w:r>
      <w:r w:rsidR="00C3253B" w:rsidRPr="00662BCE">
        <w:rPr>
          <w:sz w:val="19"/>
          <w:szCs w:val="19"/>
        </w:rPr>
        <w:t xml:space="preserve">(se recogerán deducciones y otras ventajas fiscales no utilizadas y derechos a compensar por </w:t>
      </w:r>
      <w:r w:rsidR="00773B0F">
        <w:rPr>
          <w:sz w:val="19"/>
          <w:szCs w:val="19"/>
        </w:rPr>
        <w:t>bases imponibles</w:t>
      </w:r>
      <w:r w:rsidR="00C3253B" w:rsidRPr="00662BCE">
        <w:rPr>
          <w:sz w:val="19"/>
          <w:szCs w:val="19"/>
        </w:rPr>
        <w:t xml:space="preserve"> negativas pendientes de compensación)</w:t>
      </w:r>
      <w:r w:rsidRPr="00662BCE">
        <w:rPr>
          <w:sz w:val="19"/>
          <w:szCs w:val="19"/>
        </w:rPr>
        <w:t>;</w:t>
      </w:r>
    </w:p>
    <w:p w14:paraId="550D5BE6" w14:textId="43408E6A" w:rsidR="00431DFE" w:rsidRPr="00662BCE" w:rsidRDefault="00431DFE" w:rsidP="00662BCE">
      <w:pPr>
        <w:pStyle w:val="Nivel4"/>
        <w:keepNext/>
        <w:ind w:left="1474"/>
        <w:rPr>
          <w:sz w:val="18"/>
          <w:szCs w:val="18"/>
        </w:rPr>
      </w:pPr>
      <w:r w:rsidRPr="00F83386">
        <w:rPr>
          <w:i/>
          <w:iCs/>
          <w:u w:val="single"/>
        </w:rPr>
        <w:t>Activo corriente</w:t>
      </w:r>
      <w:r>
        <w:t xml:space="preserve">: </w:t>
      </w:r>
      <w:r w:rsidR="002054C6">
        <w:t>M</w:t>
      </w:r>
      <w:r>
        <w:t>aterialización del ciclo de explotación de la empresa. En términos generales no suele exceder el año. Incluye:</w:t>
      </w:r>
    </w:p>
    <w:p w14:paraId="61A0AC6E" w14:textId="3FA65DDA" w:rsidR="00431DFE" w:rsidRPr="00662BCE" w:rsidRDefault="00431DFE" w:rsidP="00662BCE">
      <w:pPr>
        <w:pStyle w:val="Nivel5"/>
        <w:ind w:left="1871"/>
        <w:rPr>
          <w:sz w:val="19"/>
          <w:szCs w:val="19"/>
        </w:rPr>
      </w:pPr>
      <w:r w:rsidRPr="00662BCE">
        <w:rPr>
          <w:i/>
          <w:iCs/>
          <w:sz w:val="19"/>
          <w:szCs w:val="19"/>
        </w:rPr>
        <w:t>Activos no corrientes mantenidos para la venta</w:t>
      </w:r>
      <w:r w:rsidRPr="00662BCE">
        <w:rPr>
          <w:sz w:val="19"/>
          <w:szCs w:val="19"/>
        </w:rPr>
        <w:t>;</w:t>
      </w:r>
    </w:p>
    <w:p w14:paraId="6C6B3B73" w14:textId="5BD6EAB2" w:rsidR="00431DFE" w:rsidRPr="00662BCE" w:rsidRDefault="00431DFE" w:rsidP="00662BCE">
      <w:pPr>
        <w:pStyle w:val="Nivel5"/>
        <w:ind w:left="1871"/>
        <w:rPr>
          <w:sz w:val="19"/>
          <w:szCs w:val="19"/>
        </w:rPr>
      </w:pPr>
      <w:r w:rsidRPr="00662BCE">
        <w:rPr>
          <w:i/>
          <w:iCs/>
          <w:sz w:val="19"/>
          <w:szCs w:val="19"/>
        </w:rPr>
        <w:t>Existencias</w:t>
      </w:r>
      <w:r w:rsidR="00150A26" w:rsidRPr="00662BCE">
        <w:rPr>
          <w:sz w:val="19"/>
          <w:szCs w:val="19"/>
        </w:rPr>
        <w:t xml:space="preserve"> (bienes acumulados en stock sin vender)</w:t>
      </w:r>
      <w:r w:rsidRPr="00662BCE">
        <w:rPr>
          <w:sz w:val="19"/>
          <w:szCs w:val="19"/>
        </w:rPr>
        <w:t>;</w:t>
      </w:r>
    </w:p>
    <w:p w14:paraId="33A1B46F" w14:textId="04F44916" w:rsidR="00431DFE" w:rsidRPr="00662BCE" w:rsidRDefault="00431DFE" w:rsidP="00662BCE">
      <w:pPr>
        <w:pStyle w:val="Nivel5"/>
        <w:ind w:left="1871"/>
        <w:rPr>
          <w:sz w:val="19"/>
          <w:szCs w:val="19"/>
        </w:rPr>
      </w:pPr>
      <w:r w:rsidRPr="00662BCE">
        <w:rPr>
          <w:i/>
          <w:iCs/>
          <w:sz w:val="19"/>
          <w:szCs w:val="19"/>
        </w:rPr>
        <w:t>Deudores comerciales y otras cuentas por cobrar</w:t>
      </w:r>
      <w:r w:rsidRPr="00662BCE">
        <w:rPr>
          <w:sz w:val="19"/>
          <w:szCs w:val="19"/>
        </w:rPr>
        <w:t>;</w:t>
      </w:r>
    </w:p>
    <w:p w14:paraId="5158EE93" w14:textId="784AC4EC" w:rsidR="00431DFE" w:rsidRPr="00662BCE" w:rsidRDefault="00431DFE" w:rsidP="00662BCE">
      <w:pPr>
        <w:pStyle w:val="Nivel5"/>
        <w:ind w:left="1871"/>
        <w:rPr>
          <w:sz w:val="19"/>
          <w:szCs w:val="19"/>
        </w:rPr>
      </w:pPr>
      <w:r w:rsidRPr="00662BCE">
        <w:rPr>
          <w:i/>
          <w:iCs/>
          <w:sz w:val="19"/>
          <w:szCs w:val="19"/>
        </w:rPr>
        <w:t>Inversiones en empresas del grupo y asociadas a corto plazo</w:t>
      </w:r>
      <w:r w:rsidRPr="00662BCE">
        <w:rPr>
          <w:sz w:val="19"/>
          <w:szCs w:val="19"/>
        </w:rPr>
        <w:t>;</w:t>
      </w:r>
    </w:p>
    <w:p w14:paraId="6E0D4837" w14:textId="7C4C4576" w:rsidR="00431DFE" w:rsidRPr="00662BCE" w:rsidRDefault="00431DFE" w:rsidP="00662BCE">
      <w:pPr>
        <w:pStyle w:val="Nivel5"/>
        <w:ind w:left="1871"/>
        <w:rPr>
          <w:sz w:val="19"/>
          <w:szCs w:val="19"/>
        </w:rPr>
      </w:pPr>
      <w:r w:rsidRPr="00662BCE">
        <w:rPr>
          <w:i/>
          <w:iCs/>
          <w:sz w:val="19"/>
          <w:szCs w:val="19"/>
        </w:rPr>
        <w:t>Inversiones financieras a corto plazo</w:t>
      </w:r>
      <w:r w:rsidRPr="00662BCE">
        <w:rPr>
          <w:sz w:val="19"/>
          <w:szCs w:val="19"/>
        </w:rPr>
        <w:t>;</w:t>
      </w:r>
    </w:p>
    <w:p w14:paraId="1511B655" w14:textId="0ADE7182" w:rsidR="00431DFE" w:rsidRPr="00662BCE" w:rsidRDefault="00431DFE" w:rsidP="00662BCE">
      <w:pPr>
        <w:pStyle w:val="Nivel5"/>
        <w:ind w:left="1871"/>
        <w:rPr>
          <w:sz w:val="19"/>
          <w:szCs w:val="19"/>
        </w:rPr>
      </w:pPr>
      <w:r w:rsidRPr="00662BCE">
        <w:rPr>
          <w:i/>
          <w:iCs/>
          <w:sz w:val="19"/>
          <w:szCs w:val="19"/>
        </w:rPr>
        <w:t>Periodificaciones a corto plazo</w:t>
      </w:r>
      <w:r w:rsidRPr="00662BCE">
        <w:rPr>
          <w:sz w:val="19"/>
          <w:szCs w:val="19"/>
        </w:rPr>
        <w:t>;</w:t>
      </w:r>
    </w:p>
    <w:p w14:paraId="12B5315E" w14:textId="1AFEB06F" w:rsidR="00431DFE" w:rsidRPr="00662BCE" w:rsidRDefault="00431DFE" w:rsidP="00662BCE">
      <w:pPr>
        <w:pStyle w:val="Nivel5"/>
        <w:ind w:left="1871"/>
        <w:rPr>
          <w:spacing w:val="-1"/>
          <w:sz w:val="19"/>
          <w:szCs w:val="19"/>
        </w:rPr>
      </w:pPr>
      <w:r w:rsidRPr="00662BCE">
        <w:rPr>
          <w:i/>
          <w:iCs/>
          <w:spacing w:val="-1"/>
          <w:sz w:val="19"/>
          <w:szCs w:val="19"/>
        </w:rPr>
        <w:t>Efectivo y otros activos líquidos equivalentes</w:t>
      </w:r>
      <w:r w:rsidR="00982D1A" w:rsidRPr="00662BCE">
        <w:rPr>
          <w:spacing w:val="-1"/>
          <w:sz w:val="19"/>
          <w:szCs w:val="19"/>
        </w:rPr>
        <w:t xml:space="preserve"> (tesorería depositada en caja, depósitos bancarios a la vista e instrumentos financieros convertibles en efectivo con vencimiento inferior a 3 meses)</w:t>
      </w:r>
      <w:r w:rsidRPr="00662BCE">
        <w:rPr>
          <w:spacing w:val="-1"/>
          <w:sz w:val="19"/>
          <w:szCs w:val="19"/>
        </w:rPr>
        <w:t>.</w:t>
      </w:r>
    </w:p>
    <w:p w14:paraId="1B11D003" w14:textId="20C9F413" w:rsidR="009C73C2" w:rsidRDefault="009C73C2" w:rsidP="00662BCE">
      <w:pPr>
        <w:pStyle w:val="Nivel2SM"/>
        <w:keepNext/>
        <w:spacing w:after="0"/>
      </w:pPr>
      <w:r>
        <w:rPr>
          <w:i/>
          <w:iCs/>
        </w:rPr>
        <w:t>Estructura financiera</w:t>
      </w:r>
      <w:r>
        <w:t xml:space="preserve">: </w:t>
      </w:r>
      <w:r w:rsidR="002054C6">
        <w:t>O</w:t>
      </w:r>
      <w:r>
        <w:t>rigen de los recursos financieros que han sido materializados en el activo.</w:t>
      </w:r>
      <w:r w:rsidR="00431DFE">
        <w:t xml:space="preserve"> </w:t>
      </w:r>
      <w:r w:rsidR="00A449A9">
        <w:t xml:space="preserve">En el balance vienen ordenados de menor a mayor </w:t>
      </w:r>
      <w:r w:rsidR="00A449A9" w:rsidRPr="00A449A9">
        <w:rPr>
          <w:u w:val="single"/>
        </w:rPr>
        <w:t>exigibilidad</w:t>
      </w:r>
      <w:r w:rsidR="00431DFE">
        <w:t xml:space="preserve"> se divide</w:t>
      </w:r>
      <w:r w:rsidR="0000263B">
        <w:t xml:space="preserve"> en:</w:t>
      </w:r>
    </w:p>
    <w:p w14:paraId="7FB9E882" w14:textId="264E5C19" w:rsidR="00A449A9" w:rsidRDefault="00A449A9" w:rsidP="00662BCE">
      <w:pPr>
        <w:pStyle w:val="Nivel3SM"/>
        <w:keepNext/>
      </w:pPr>
      <w:r w:rsidRPr="00A449A9">
        <w:rPr>
          <w:b/>
          <w:bCs/>
        </w:rPr>
        <w:t>Patrimonio neto</w:t>
      </w:r>
      <w:r>
        <w:t xml:space="preserve">: </w:t>
      </w:r>
      <w:r w:rsidR="002054C6">
        <w:t>C</w:t>
      </w:r>
      <w:r w:rsidR="0004475E">
        <w:t>onstituye el valor de todos aquellos elementos que constituyen la financiación propia de la empresa. E</w:t>
      </w:r>
      <w:r w:rsidR="00CC69EE">
        <w:t xml:space="preserve">s el valor total de una empresa una vez descontadas </w:t>
      </w:r>
      <w:r w:rsidR="00CC69EE">
        <w:lastRenderedPageBreak/>
        <w:t xml:space="preserve">las deudas, es decir, </w:t>
      </w:r>
      <w:r>
        <w:t xml:space="preserve">constituye la parte de los </w:t>
      </w:r>
      <w:r w:rsidR="00F83386">
        <w:t>activos de la empresa una vez deducidos todos sus pasivos, y está compuesto por:</w:t>
      </w:r>
    </w:p>
    <w:p w14:paraId="3E6A327E" w14:textId="361626D3" w:rsidR="00F83386" w:rsidRPr="00662BCE" w:rsidRDefault="00F83386" w:rsidP="00662BCE">
      <w:pPr>
        <w:pStyle w:val="Nivel4"/>
        <w:ind w:left="1474"/>
        <w:rPr>
          <w:sz w:val="19"/>
          <w:szCs w:val="19"/>
        </w:rPr>
      </w:pPr>
      <w:r w:rsidRPr="00662BCE">
        <w:rPr>
          <w:i/>
          <w:iCs/>
          <w:sz w:val="19"/>
          <w:szCs w:val="19"/>
        </w:rPr>
        <w:t xml:space="preserve">Fondos propios </w:t>
      </w:r>
      <w:r w:rsidRPr="00662BCE">
        <w:rPr>
          <w:sz w:val="19"/>
          <w:szCs w:val="19"/>
        </w:rPr>
        <w:t>(</w:t>
      </w:r>
      <w:r w:rsidR="00557562">
        <w:rPr>
          <w:sz w:val="19"/>
          <w:szCs w:val="19"/>
        </w:rPr>
        <w:t xml:space="preserve">capital social </w:t>
      </w:r>
      <w:r w:rsidR="00557562" w:rsidRPr="00557562">
        <w:rPr>
          <w:sz w:val="16"/>
          <w:szCs w:val="16"/>
        </w:rPr>
        <w:t>(</w:t>
      </w:r>
      <w:r w:rsidRPr="00557562">
        <w:rPr>
          <w:sz w:val="16"/>
          <w:szCs w:val="16"/>
        </w:rPr>
        <w:t xml:space="preserve">aportaciones </w:t>
      </w:r>
      <w:r w:rsidR="00557562" w:rsidRPr="00557562">
        <w:rPr>
          <w:sz w:val="16"/>
          <w:szCs w:val="16"/>
        </w:rPr>
        <w:t>ya realizadas por</w:t>
      </w:r>
      <w:r w:rsidRPr="00557562">
        <w:rPr>
          <w:sz w:val="16"/>
          <w:szCs w:val="16"/>
        </w:rPr>
        <w:t xml:space="preserve"> los socios</w:t>
      </w:r>
      <w:r w:rsidR="00557562" w:rsidRPr="00557562">
        <w:rPr>
          <w:sz w:val="16"/>
          <w:szCs w:val="16"/>
        </w:rPr>
        <w:t>)</w:t>
      </w:r>
      <w:r w:rsidR="00557562">
        <w:rPr>
          <w:sz w:val="19"/>
          <w:szCs w:val="19"/>
        </w:rPr>
        <w:t xml:space="preserve">, otras aportaciones </w:t>
      </w:r>
      <w:r w:rsidR="00557562" w:rsidRPr="00557562">
        <w:rPr>
          <w:sz w:val="16"/>
          <w:szCs w:val="16"/>
        </w:rPr>
        <w:t xml:space="preserve">(p.ej. la prima de emisión, </w:t>
      </w:r>
      <w:r w:rsidR="00557562">
        <w:rPr>
          <w:sz w:val="16"/>
          <w:szCs w:val="16"/>
        </w:rPr>
        <w:t xml:space="preserve">que es el </w:t>
      </w:r>
      <w:r w:rsidR="00557562" w:rsidRPr="00557562">
        <w:rPr>
          <w:sz w:val="16"/>
          <w:szCs w:val="16"/>
        </w:rPr>
        <w:t>sobreprecio que los nuevos accionistas deberán pagar para adquirir acciones de la sociedad)</w:t>
      </w:r>
      <w:r w:rsidRPr="00662BCE">
        <w:rPr>
          <w:sz w:val="19"/>
          <w:szCs w:val="19"/>
        </w:rPr>
        <w:t xml:space="preserve"> </w:t>
      </w:r>
      <w:r w:rsidR="00150A26" w:rsidRPr="00662BCE">
        <w:rPr>
          <w:sz w:val="19"/>
          <w:szCs w:val="19"/>
        </w:rPr>
        <w:t>y</w:t>
      </w:r>
      <w:r w:rsidR="00CC69EE" w:rsidRPr="00662BCE">
        <w:rPr>
          <w:sz w:val="19"/>
          <w:szCs w:val="19"/>
        </w:rPr>
        <w:t xml:space="preserve"> beneficios retenidos de la empresa</w:t>
      </w:r>
      <w:r w:rsidRPr="00662BCE">
        <w:rPr>
          <w:sz w:val="19"/>
          <w:szCs w:val="19"/>
        </w:rPr>
        <w:t>)</w:t>
      </w:r>
      <w:r w:rsidR="00150A26" w:rsidRPr="00662BCE">
        <w:rPr>
          <w:sz w:val="19"/>
          <w:szCs w:val="19"/>
        </w:rPr>
        <w:t>;</w:t>
      </w:r>
    </w:p>
    <w:p w14:paraId="449D4841" w14:textId="3A61A9E4" w:rsidR="00CC69EE" w:rsidRPr="00662BCE" w:rsidRDefault="00CC69EE" w:rsidP="00662BCE">
      <w:pPr>
        <w:pStyle w:val="Nivel4"/>
        <w:ind w:left="1474"/>
        <w:rPr>
          <w:i/>
          <w:iCs/>
          <w:sz w:val="19"/>
          <w:szCs w:val="19"/>
        </w:rPr>
      </w:pPr>
      <w:r w:rsidRPr="00662BCE">
        <w:rPr>
          <w:i/>
          <w:iCs/>
          <w:sz w:val="19"/>
          <w:szCs w:val="19"/>
        </w:rPr>
        <w:t>Ajustes por cambio de valor</w:t>
      </w:r>
      <w:r w:rsidRPr="00662BCE">
        <w:rPr>
          <w:sz w:val="19"/>
          <w:szCs w:val="19"/>
        </w:rPr>
        <w:t>;</w:t>
      </w:r>
    </w:p>
    <w:p w14:paraId="0D262A95" w14:textId="550AECB1" w:rsidR="00F83386" w:rsidRPr="00662BCE" w:rsidRDefault="00CC69EE" w:rsidP="00662BCE">
      <w:pPr>
        <w:pStyle w:val="Nivel4"/>
        <w:ind w:left="1474"/>
        <w:rPr>
          <w:i/>
          <w:iCs/>
          <w:sz w:val="19"/>
          <w:szCs w:val="19"/>
        </w:rPr>
      </w:pPr>
      <w:r w:rsidRPr="00662BCE">
        <w:rPr>
          <w:i/>
          <w:iCs/>
          <w:sz w:val="19"/>
          <w:szCs w:val="19"/>
        </w:rPr>
        <w:t>Subvenciones/donaciones recibidas</w:t>
      </w:r>
      <w:r w:rsidRPr="00662BCE">
        <w:rPr>
          <w:sz w:val="19"/>
          <w:szCs w:val="19"/>
        </w:rPr>
        <w:t>.</w:t>
      </w:r>
    </w:p>
    <w:p w14:paraId="1B3D1BAD" w14:textId="730F5EE5" w:rsidR="0000263B" w:rsidRDefault="0000263B" w:rsidP="00662BCE">
      <w:pPr>
        <w:pStyle w:val="Nivel3SM"/>
        <w:keepNext/>
      </w:pPr>
      <w:r>
        <w:rPr>
          <w:b/>
          <w:bCs/>
        </w:rPr>
        <w:t>Pasivo</w:t>
      </w:r>
      <w:r>
        <w:t xml:space="preserve">: </w:t>
      </w:r>
      <w:r w:rsidR="002054C6">
        <w:t>C</w:t>
      </w:r>
      <w:r w:rsidR="00F83386">
        <w:t xml:space="preserve">orresponde a las deudas contraídas por la empresa. Son </w:t>
      </w:r>
      <w:r>
        <w:t>obligaciones actuales surgidas como consecuencia de sucesos pasados, para cuya extinción la empresa espera desprenderse de recursos que puedan producir beneficios o rendimientos económicos en el futuro. A estos efectos, se entienden incluidas las provisiones</w:t>
      </w:r>
      <w:r w:rsidR="00F83386">
        <w:t xml:space="preserve">. </w:t>
      </w:r>
      <w:r w:rsidR="00A449A9">
        <w:t xml:space="preserve">A su vez según su grado de </w:t>
      </w:r>
      <w:r w:rsidR="00F83386">
        <w:t>exigibilidad distinguimos:</w:t>
      </w:r>
    </w:p>
    <w:p w14:paraId="7FE875EC" w14:textId="3E259659" w:rsidR="00F83386" w:rsidRDefault="00F83386" w:rsidP="00662BCE">
      <w:pPr>
        <w:pStyle w:val="Nivel4"/>
        <w:keepNext/>
        <w:ind w:left="1474"/>
      </w:pPr>
      <w:r w:rsidRPr="00F83386">
        <w:rPr>
          <w:i/>
          <w:iCs/>
          <w:u w:val="single"/>
        </w:rPr>
        <w:t>Pasivo no corriente</w:t>
      </w:r>
      <w:r w:rsidRPr="00F83386">
        <w:t xml:space="preserve">: </w:t>
      </w:r>
      <w:r w:rsidR="00662BCE">
        <w:t>S</w:t>
      </w:r>
      <w:r w:rsidRPr="00F83386">
        <w:t>on las deudas contraídas con un vencimiento superior a 1 año.</w:t>
      </w:r>
    </w:p>
    <w:p w14:paraId="2A8A78FD" w14:textId="77777777" w:rsidR="00AC7D7C" w:rsidRPr="00662BCE" w:rsidRDefault="00AC7D7C" w:rsidP="00662BCE">
      <w:pPr>
        <w:pStyle w:val="Nivel5"/>
        <w:ind w:left="1871"/>
        <w:rPr>
          <w:i/>
          <w:iCs/>
          <w:sz w:val="19"/>
          <w:szCs w:val="19"/>
        </w:rPr>
      </w:pPr>
      <w:r w:rsidRPr="00662BCE">
        <w:rPr>
          <w:i/>
          <w:iCs/>
          <w:sz w:val="19"/>
          <w:szCs w:val="19"/>
        </w:rPr>
        <w:t>Provisiones a largo plazo</w:t>
      </w:r>
      <w:r w:rsidRPr="00662BCE">
        <w:rPr>
          <w:sz w:val="19"/>
          <w:szCs w:val="19"/>
        </w:rPr>
        <w:t>;</w:t>
      </w:r>
    </w:p>
    <w:p w14:paraId="03C6278D" w14:textId="77777777" w:rsidR="00AC7D7C" w:rsidRPr="00662BCE" w:rsidRDefault="00AC7D7C" w:rsidP="00662BCE">
      <w:pPr>
        <w:pStyle w:val="Nivel5"/>
        <w:ind w:left="1871"/>
        <w:rPr>
          <w:i/>
          <w:iCs/>
          <w:sz w:val="19"/>
          <w:szCs w:val="19"/>
        </w:rPr>
      </w:pPr>
      <w:r w:rsidRPr="00662BCE">
        <w:rPr>
          <w:i/>
          <w:iCs/>
          <w:sz w:val="19"/>
          <w:szCs w:val="19"/>
        </w:rPr>
        <w:t>Deudas a largo plazo</w:t>
      </w:r>
      <w:r w:rsidRPr="00662BCE">
        <w:rPr>
          <w:sz w:val="19"/>
          <w:szCs w:val="19"/>
        </w:rPr>
        <w:t>;</w:t>
      </w:r>
    </w:p>
    <w:p w14:paraId="6E928EEF" w14:textId="77777777" w:rsidR="00AC7D7C" w:rsidRPr="00662BCE" w:rsidRDefault="00AC7D7C" w:rsidP="00662BCE">
      <w:pPr>
        <w:pStyle w:val="Nivel5"/>
        <w:ind w:left="1871"/>
        <w:rPr>
          <w:i/>
          <w:iCs/>
          <w:sz w:val="19"/>
          <w:szCs w:val="19"/>
        </w:rPr>
      </w:pPr>
      <w:r w:rsidRPr="00662BCE">
        <w:rPr>
          <w:i/>
          <w:iCs/>
          <w:sz w:val="19"/>
          <w:szCs w:val="19"/>
        </w:rPr>
        <w:t>Deudas con empresas del grupo y asociadas a largo plazo</w:t>
      </w:r>
      <w:r w:rsidRPr="00662BCE">
        <w:rPr>
          <w:sz w:val="19"/>
          <w:szCs w:val="19"/>
        </w:rPr>
        <w:t>;</w:t>
      </w:r>
    </w:p>
    <w:p w14:paraId="1D4F3201" w14:textId="77777777" w:rsidR="00AC7D7C" w:rsidRPr="00662BCE" w:rsidRDefault="00AC7D7C" w:rsidP="00662BCE">
      <w:pPr>
        <w:pStyle w:val="Nivel5"/>
        <w:ind w:left="1871"/>
        <w:rPr>
          <w:i/>
          <w:iCs/>
          <w:sz w:val="19"/>
          <w:szCs w:val="19"/>
        </w:rPr>
      </w:pPr>
      <w:r w:rsidRPr="00662BCE">
        <w:rPr>
          <w:i/>
          <w:iCs/>
          <w:sz w:val="19"/>
          <w:szCs w:val="19"/>
        </w:rPr>
        <w:t>Pasivos por impuesto diferido</w:t>
      </w:r>
      <w:r w:rsidRPr="00662BCE">
        <w:rPr>
          <w:sz w:val="19"/>
          <w:szCs w:val="19"/>
        </w:rPr>
        <w:t>;</w:t>
      </w:r>
    </w:p>
    <w:p w14:paraId="5AF265F4" w14:textId="0332A6D8" w:rsidR="00F83386" w:rsidRPr="00662BCE" w:rsidRDefault="00AC7D7C" w:rsidP="00662BCE">
      <w:pPr>
        <w:pStyle w:val="Nivel5"/>
        <w:ind w:left="1871"/>
        <w:rPr>
          <w:i/>
          <w:iCs/>
          <w:sz w:val="19"/>
          <w:szCs w:val="19"/>
        </w:rPr>
      </w:pPr>
      <w:r w:rsidRPr="00662BCE">
        <w:rPr>
          <w:i/>
          <w:iCs/>
          <w:sz w:val="19"/>
          <w:szCs w:val="19"/>
        </w:rPr>
        <w:t>Periodificaciones a largo plazo</w:t>
      </w:r>
      <w:r w:rsidRPr="00662BCE">
        <w:rPr>
          <w:sz w:val="19"/>
          <w:szCs w:val="19"/>
        </w:rPr>
        <w:t>.</w:t>
      </w:r>
    </w:p>
    <w:p w14:paraId="0ADB24EE" w14:textId="737E4AFE" w:rsidR="00F83386" w:rsidRDefault="00F83386" w:rsidP="00662BCE">
      <w:pPr>
        <w:pStyle w:val="Nivel4"/>
        <w:keepNext/>
        <w:ind w:left="1474"/>
      </w:pPr>
      <w:r w:rsidRPr="00F83386">
        <w:rPr>
          <w:i/>
          <w:iCs/>
          <w:u w:val="single"/>
        </w:rPr>
        <w:t>Pasivo corriente</w:t>
      </w:r>
      <w:r>
        <w:t xml:space="preserve">: </w:t>
      </w:r>
      <w:r w:rsidR="00662BCE">
        <w:t>S</w:t>
      </w:r>
      <w:r>
        <w:t>on las deudas contraídas con un vencimiento inferior a 1 año.</w:t>
      </w:r>
    </w:p>
    <w:p w14:paraId="6A73640D" w14:textId="77777777" w:rsidR="00AC7D7C" w:rsidRPr="00662BCE" w:rsidRDefault="00AC7D7C" w:rsidP="00662BCE">
      <w:pPr>
        <w:pStyle w:val="Nivel5"/>
        <w:ind w:left="1871"/>
        <w:rPr>
          <w:i/>
          <w:iCs/>
          <w:sz w:val="19"/>
          <w:szCs w:val="19"/>
        </w:rPr>
      </w:pPr>
      <w:r w:rsidRPr="00662BCE">
        <w:rPr>
          <w:i/>
          <w:iCs/>
          <w:sz w:val="19"/>
          <w:szCs w:val="19"/>
        </w:rPr>
        <w:t>Pasivos vinculados con activos no corrientes mantenidos para la venta</w:t>
      </w:r>
      <w:r w:rsidRPr="00662BCE">
        <w:rPr>
          <w:sz w:val="19"/>
          <w:szCs w:val="19"/>
        </w:rPr>
        <w:t>;</w:t>
      </w:r>
    </w:p>
    <w:p w14:paraId="6045373B" w14:textId="7F94A02A" w:rsidR="00AC7D7C" w:rsidRPr="00662BCE" w:rsidRDefault="00AC7D7C" w:rsidP="00662BCE">
      <w:pPr>
        <w:pStyle w:val="Nivel5"/>
        <w:ind w:left="1871"/>
        <w:rPr>
          <w:i/>
          <w:iCs/>
          <w:sz w:val="19"/>
          <w:szCs w:val="19"/>
        </w:rPr>
      </w:pPr>
      <w:r w:rsidRPr="00662BCE">
        <w:rPr>
          <w:i/>
          <w:iCs/>
          <w:sz w:val="19"/>
          <w:szCs w:val="19"/>
        </w:rPr>
        <w:t>Provisiones a corto plazo</w:t>
      </w:r>
      <w:r w:rsidRPr="00662BCE">
        <w:rPr>
          <w:sz w:val="19"/>
          <w:szCs w:val="19"/>
        </w:rPr>
        <w:t>;</w:t>
      </w:r>
    </w:p>
    <w:p w14:paraId="5A64B616" w14:textId="7DE3BC0D" w:rsidR="00AC7D7C" w:rsidRPr="00662BCE" w:rsidRDefault="00AC7D7C" w:rsidP="00662BCE">
      <w:pPr>
        <w:pStyle w:val="Nivel5"/>
        <w:ind w:left="1871"/>
        <w:rPr>
          <w:i/>
          <w:iCs/>
          <w:sz w:val="19"/>
          <w:szCs w:val="19"/>
        </w:rPr>
      </w:pPr>
      <w:r w:rsidRPr="00662BCE">
        <w:rPr>
          <w:i/>
          <w:iCs/>
          <w:sz w:val="19"/>
          <w:szCs w:val="19"/>
        </w:rPr>
        <w:t>Deudas a corto plazo</w:t>
      </w:r>
      <w:r w:rsidRPr="00662BCE">
        <w:rPr>
          <w:sz w:val="19"/>
          <w:szCs w:val="19"/>
        </w:rPr>
        <w:t>;</w:t>
      </w:r>
    </w:p>
    <w:p w14:paraId="64AA5A28" w14:textId="568B525A" w:rsidR="00AC7D7C" w:rsidRPr="00662BCE" w:rsidRDefault="00AC7D7C" w:rsidP="00662BCE">
      <w:pPr>
        <w:pStyle w:val="Nivel5"/>
        <w:ind w:left="1871"/>
        <w:rPr>
          <w:i/>
          <w:iCs/>
          <w:sz w:val="19"/>
          <w:szCs w:val="19"/>
        </w:rPr>
      </w:pPr>
      <w:r w:rsidRPr="00662BCE">
        <w:rPr>
          <w:i/>
          <w:iCs/>
          <w:sz w:val="19"/>
          <w:szCs w:val="19"/>
        </w:rPr>
        <w:t>Deudas con empresas del grupo y asociadas a corto plazo</w:t>
      </w:r>
      <w:r w:rsidRPr="00662BCE">
        <w:rPr>
          <w:sz w:val="19"/>
          <w:szCs w:val="19"/>
        </w:rPr>
        <w:t>;</w:t>
      </w:r>
    </w:p>
    <w:p w14:paraId="7651AD82" w14:textId="0BBD245D" w:rsidR="00AC7D7C" w:rsidRPr="00662BCE" w:rsidRDefault="00AC7D7C" w:rsidP="00662BCE">
      <w:pPr>
        <w:pStyle w:val="Nivel5"/>
        <w:ind w:left="1871"/>
        <w:rPr>
          <w:i/>
          <w:iCs/>
          <w:sz w:val="19"/>
          <w:szCs w:val="19"/>
        </w:rPr>
      </w:pPr>
      <w:r w:rsidRPr="00662BCE">
        <w:rPr>
          <w:i/>
          <w:iCs/>
          <w:sz w:val="19"/>
          <w:szCs w:val="19"/>
        </w:rPr>
        <w:t>Acreedores comerciales y otras cuentas a pagar</w:t>
      </w:r>
      <w:r w:rsidRPr="00662BCE">
        <w:rPr>
          <w:sz w:val="19"/>
          <w:szCs w:val="19"/>
        </w:rPr>
        <w:t>;</w:t>
      </w:r>
    </w:p>
    <w:p w14:paraId="367A5388" w14:textId="1EFFD788" w:rsidR="00AC7D7C" w:rsidRPr="00662BCE" w:rsidRDefault="00AC7D7C" w:rsidP="00662BCE">
      <w:pPr>
        <w:pStyle w:val="Nivel5"/>
        <w:ind w:left="1871"/>
        <w:rPr>
          <w:i/>
          <w:iCs/>
          <w:sz w:val="19"/>
          <w:szCs w:val="19"/>
        </w:rPr>
      </w:pPr>
      <w:r w:rsidRPr="00662BCE">
        <w:rPr>
          <w:i/>
          <w:iCs/>
          <w:sz w:val="19"/>
          <w:szCs w:val="19"/>
        </w:rPr>
        <w:t>Periodificaciones a corto plazo</w:t>
      </w:r>
      <w:r w:rsidRPr="00662BCE">
        <w:rPr>
          <w:sz w:val="19"/>
          <w:szCs w:val="19"/>
        </w:rPr>
        <w:t>.</w:t>
      </w:r>
    </w:p>
    <w:p w14:paraId="4BE09378" w14:textId="7E2AD499" w:rsidR="00663C2C" w:rsidRPr="00663C2C" w:rsidRDefault="00663C2C" w:rsidP="00663C2C">
      <w:pPr>
        <w:pStyle w:val="Ttuloimagen"/>
        <w:rPr>
          <w:i/>
          <w:iCs/>
          <w:smallCaps w:val="0"/>
        </w:rPr>
      </w:pPr>
      <w:r>
        <w:t>Imagen</w:t>
      </w:r>
      <w:r w:rsidR="00C63905">
        <w:t> </w:t>
      </w:r>
      <w:r>
        <w:fldChar w:fldCharType="begin"/>
      </w:r>
      <w:r>
        <w:instrText xml:space="preserve"> SEQ Ilustración \* ARABIC </w:instrText>
      </w:r>
      <w:r>
        <w:fldChar w:fldCharType="separate"/>
      </w:r>
      <w:r w:rsidR="00971219">
        <w:t>3</w:t>
      </w:r>
      <w:r>
        <w:fldChar w:fldCharType="end"/>
      </w:r>
      <w:r w:rsidRPr="00663C2C">
        <w:rPr>
          <w:smallCaps w:val="0"/>
        </w:rPr>
        <w:t>.–</w:t>
      </w:r>
      <w:r>
        <w:rPr>
          <w:i/>
          <w:iCs/>
          <w:smallCaps w:val="0"/>
        </w:rPr>
        <w:t>Esquema del balance según el PGC (sin incluir las partidas)</w:t>
      </w:r>
    </w:p>
    <w:p w14:paraId="3C969411" w14:textId="3BAFDB38" w:rsidR="0000263B" w:rsidRDefault="007868A8" w:rsidP="0000263B">
      <w:pPr>
        <w:pStyle w:val="Imagen"/>
      </w:pPr>
      <w:r>
        <w:drawing>
          <wp:inline distT="0" distB="0" distL="0" distR="0" wp14:anchorId="18035899" wp14:editId="66508A32">
            <wp:extent cx="3600000" cy="3473648"/>
            <wp:effectExtent l="0" t="0" r="635" b="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rotWithShape="1">
                    <a:blip r:embed="rId14"/>
                    <a:srcRect t="7987"/>
                    <a:stretch/>
                  </pic:blipFill>
                  <pic:spPr bwMode="auto">
                    <a:xfrm>
                      <a:off x="0" y="0"/>
                      <a:ext cx="3600000" cy="3473648"/>
                    </a:xfrm>
                    <a:prstGeom prst="rect">
                      <a:avLst/>
                    </a:prstGeom>
                    <a:ln>
                      <a:noFill/>
                    </a:ln>
                    <a:extLst>
                      <a:ext uri="{53640926-AAD7-44D8-BBD7-CCE9431645EC}">
                        <a14:shadowObscured xmlns:a14="http://schemas.microsoft.com/office/drawing/2010/main"/>
                      </a:ext>
                    </a:extLst>
                  </pic:spPr>
                </pic:pic>
              </a:graphicData>
            </a:graphic>
          </wp:inline>
        </w:drawing>
      </w:r>
    </w:p>
    <w:p w14:paraId="39731CBC" w14:textId="69A61813" w:rsidR="00663C2C" w:rsidRPr="00663C2C" w:rsidRDefault="00663C2C" w:rsidP="00663C2C">
      <w:pPr>
        <w:pStyle w:val="PiedeImagen"/>
        <w:rPr>
          <w:i w:val="0"/>
          <w:iCs/>
        </w:rPr>
      </w:pPr>
      <w:r>
        <w:t>Fuente</w:t>
      </w:r>
      <w:r>
        <w:rPr>
          <w:i w:val="0"/>
          <w:iCs/>
        </w:rPr>
        <w:t xml:space="preserve">: </w:t>
      </w:r>
      <w:r w:rsidRPr="00663C2C">
        <w:rPr>
          <w:i w:val="0"/>
          <w:iCs/>
        </w:rPr>
        <w:t xml:space="preserve">Garrido Miralles, P. &amp; Íñiguez Sánchez, R. (2017). </w:t>
      </w:r>
      <w:r w:rsidRPr="00663C2C">
        <w:t>Análisis de estados contables: Elaboración e interpretación de la información financiera</w:t>
      </w:r>
      <w:r w:rsidRPr="00663C2C">
        <w:rPr>
          <w:i w:val="0"/>
          <w:iCs/>
        </w:rPr>
        <w:t>. Difusora Larousse - Ediciones Pirámide.</w:t>
      </w:r>
    </w:p>
    <w:p w14:paraId="26755908" w14:textId="6C9AC6E1" w:rsidR="00431DFE" w:rsidRDefault="009C73C2" w:rsidP="00CC53F9">
      <w:pPr>
        <w:pStyle w:val="Nivel1SM"/>
      </w:pPr>
      <w:r>
        <w:t>Hay que tener en cuenta que la estructura del balance estará condicionada por el negocio al que se dedique la empresa y todo proceso de análisis debe tener en cuenta esta realidad.</w:t>
      </w:r>
    </w:p>
    <w:p w14:paraId="23EA6C4E" w14:textId="24981CAC" w:rsidR="0000263B" w:rsidRPr="00685668" w:rsidRDefault="00E82CDF" w:rsidP="00CC53F9">
      <w:pPr>
        <w:pStyle w:val="Nivel1SM"/>
      </w:pPr>
      <w:r>
        <w:t xml:space="preserve">El </w:t>
      </w:r>
      <w:r w:rsidRPr="00E82CDF">
        <w:t>balance de situación</w:t>
      </w:r>
      <w:r>
        <w:t xml:space="preserve"> </w:t>
      </w:r>
      <w:r w:rsidR="00F901BE">
        <w:t xml:space="preserve">recoge el </w:t>
      </w:r>
      <w:r w:rsidR="00F901BE" w:rsidRPr="00F901BE">
        <w:rPr>
          <w:u w:val="single"/>
        </w:rPr>
        <w:t>stock</w:t>
      </w:r>
      <w:r w:rsidRPr="00685668">
        <w:t xml:space="preserve"> </w:t>
      </w:r>
      <w:r>
        <w:t xml:space="preserve">(es un </w:t>
      </w:r>
      <w:r w:rsidRPr="00B74E5D">
        <w:rPr>
          <w:i/>
          <w:iCs/>
        </w:rPr>
        <w:t>estado de situación</w:t>
      </w:r>
      <w:r>
        <w:t xml:space="preserve">), ya que muestra una visión global del patrimonio de la empresa en un determinado momento, sin reflejar cómo han evolucionado los diferentes elementos que lo componen. </w:t>
      </w:r>
      <w:r w:rsidR="009C73C2">
        <w:t xml:space="preserve">Para analizar estos aspectos, es necesario recurrir a un análisis </w:t>
      </w:r>
      <w:r w:rsidR="00F901BE" w:rsidRPr="00F901BE">
        <w:t xml:space="preserve">de </w:t>
      </w:r>
      <w:r w:rsidR="00F901BE">
        <w:rPr>
          <w:u w:val="single"/>
        </w:rPr>
        <w:t>flujo</w:t>
      </w:r>
      <w:r w:rsidR="00F901BE" w:rsidRPr="00F901BE">
        <w:t xml:space="preserve"> </w:t>
      </w:r>
      <w:r w:rsidR="009C73C2">
        <w:t xml:space="preserve">(es decir, a los </w:t>
      </w:r>
      <w:r w:rsidR="009C73C2">
        <w:rPr>
          <w:b/>
          <w:bCs/>
        </w:rPr>
        <w:t>estados de circulación</w:t>
      </w:r>
      <w:r w:rsidR="009C73C2">
        <w:t>).</w:t>
      </w:r>
    </w:p>
    <w:p w14:paraId="53FBDF18" w14:textId="5AF1B8B4" w:rsidR="003744DA" w:rsidRDefault="004A519F">
      <w:pPr>
        <w:pStyle w:val="Ttulo6"/>
        <w:numPr>
          <w:ilvl w:val="0"/>
          <w:numId w:val="19"/>
        </w:numPr>
        <w:ind w:left="0" w:hanging="284"/>
      </w:pPr>
      <w:bookmarkStart w:id="19" w:name="_Toc125485414"/>
      <w:r>
        <w:lastRenderedPageBreak/>
        <w:t>C</w:t>
      </w:r>
      <w:r w:rsidR="003744DA">
        <w:t>uenta de pérdidas y ganancias</w:t>
      </w:r>
      <w:bookmarkEnd w:id="19"/>
    </w:p>
    <w:p w14:paraId="5F2BC902" w14:textId="77777777" w:rsidR="008F2749" w:rsidRDefault="006C6E0B" w:rsidP="00C63905">
      <w:pPr>
        <w:pStyle w:val="Nivel1SM"/>
        <w:keepNext/>
        <w:keepLines/>
        <w:spacing w:before="0" w:after="0"/>
      </w:pPr>
      <w:r>
        <w:t xml:space="preserve">La </w:t>
      </w:r>
      <w:r w:rsidRPr="00946226">
        <w:rPr>
          <w:b/>
          <w:bCs/>
        </w:rPr>
        <w:t>cuenta de pérdidas y ganancias</w:t>
      </w:r>
      <w:r>
        <w:t xml:space="preserve"> consiste en una relación ordenada y valorada de los ingresos y </w:t>
      </w:r>
      <w:r w:rsidR="00E0281D">
        <w:t>coste</w:t>
      </w:r>
      <w:r>
        <w:t>s de la actividad empresarial acaecidos durante un ejercicio económico determinado.</w:t>
      </w:r>
    </w:p>
    <w:p w14:paraId="5458137E" w14:textId="3D6DBD20" w:rsidR="00E0281D" w:rsidRDefault="00685668" w:rsidP="00405D38">
      <w:pPr>
        <w:pStyle w:val="Nivel2SM"/>
      </w:pPr>
      <w:r>
        <w:t xml:space="preserve">Por lo tanto, recoge los </w:t>
      </w:r>
      <w:r w:rsidRPr="008F2749">
        <w:rPr>
          <w:i/>
          <w:iCs/>
          <w:u w:val="single"/>
        </w:rPr>
        <w:t>flujos económicos</w:t>
      </w:r>
      <w:r w:rsidRPr="00E0281D">
        <w:t xml:space="preserve"> </w:t>
      </w:r>
      <w:r w:rsidR="00E0281D" w:rsidRPr="00E0281D">
        <w:t>(</w:t>
      </w:r>
      <w:r w:rsidR="00E0281D" w:rsidRPr="008F2749">
        <w:rPr>
          <w:i/>
          <w:iCs/>
        </w:rPr>
        <w:t>ingresos</w:t>
      </w:r>
      <w:r w:rsidR="00E0281D">
        <w:t xml:space="preserve"> y </w:t>
      </w:r>
      <w:r w:rsidR="00E0281D" w:rsidRPr="008F2749">
        <w:rPr>
          <w:i/>
          <w:iCs/>
        </w:rPr>
        <w:t>costes</w:t>
      </w:r>
      <w:r w:rsidR="00E0281D" w:rsidRPr="00E0281D">
        <w:t xml:space="preserve">) </w:t>
      </w:r>
      <w:r>
        <w:t xml:space="preserve">producidos durante </w:t>
      </w:r>
      <w:r w:rsidR="00FE6B60">
        <w:t>un determinado per</w:t>
      </w:r>
      <w:r w:rsidR="008F2749">
        <w:t>í</w:t>
      </w:r>
      <w:r w:rsidR="00FE6B60">
        <w:t>odo y permite conocer cómo se ha llegado a esa situación y el resultado económico del ejercicio.</w:t>
      </w:r>
      <w:r w:rsidR="008F2749">
        <w:t xml:space="preserve"> </w:t>
      </w:r>
      <w:r w:rsidR="00E0281D">
        <w:t>Si se generan más ingresos que costes aumentará el patrimonio neto en el período al margen de aportaciones de socios y otros cambios de volumen y valor.</w:t>
      </w:r>
    </w:p>
    <w:p w14:paraId="54BA7D6C" w14:textId="489B3D19" w:rsidR="00E0281D" w:rsidRDefault="00E0281D" w:rsidP="00946226">
      <w:pPr>
        <w:pStyle w:val="Nivel2SM"/>
      </w:pPr>
      <w:r>
        <w:t>Los ingresos generan riqueza y los costes detraen riqueza. Hay que distinguir el efectivo de la riqueza</w:t>
      </w:r>
      <w:r w:rsidR="00946226">
        <w:t xml:space="preserve"> (</w:t>
      </w:r>
      <w:r>
        <w:t>p</w:t>
      </w:r>
      <w:r w:rsidR="00946226">
        <w:t>.</w:t>
      </w:r>
      <w:r>
        <w:t>ej</w:t>
      </w:r>
      <w:r w:rsidR="00946226">
        <w:t>.</w:t>
      </w:r>
      <w:r>
        <w:t xml:space="preserve"> comprar un apartamento significa una reducción del efectivo y un aumento de los activos inmobiliarios (pero no hay cambios en la riqueza neta)</w:t>
      </w:r>
      <w:r w:rsidR="00E84AF1">
        <w:rPr>
          <w:rStyle w:val="Refdenotaalpie"/>
        </w:rPr>
        <w:footnoteReference w:id="17"/>
      </w:r>
      <w:r w:rsidR="00946226">
        <w:t>)</w:t>
      </w:r>
      <w:r>
        <w:t>.</w:t>
      </w:r>
    </w:p>
    <w:p w14:paraId="71BB08A8" w14:textId="159E09B6" w:rsidR="00EA1F37" w:rsidRPr="00685668" w:rsidRDefault="00EA1F37" w:rsidP="00946226">
      <w:pPr>
        <w:pStyle w:val="Nivel1SM"/>
      </w:pPr>
      <w:r>
        <w:t xml:space="preserve">Su análisis es de </w:t>
      </w:r>
      <w:r w:rsidRPr="00EA1F37">
        <w:rPr>
          <w:i/>
          <w:iCs/>
        </w:rPr>
        <w:t>relevancia</w:t>
      </w:r>
      <w:r>
        <w:t>, pues refleja la habilidad de la empresa para generar beneficios durante el período contable y refleja por lo tanto el objetivo fundamental de la empresa.</w:t>
      </w:r>
    </w:p>
    <w:p w14:paraId="52944FAA" w14:textId="77777777" w:rsidR="00685668" w:rsidRDefault="00685668" w:rsidP="00946226">
      <w:pPr>
        <w:pStyle w:val="Nivel1SM"/>
        <w:keepNext/>
        <w:spacing w:after="0"/>
      </w:pPr>
      <w:r>
        <w:t>La cuenta de pérdidas y ganancias distingue entre:</w:t>
      </w:r>
    </w:p>
    <w:p w14:paraId="059FE55C" w14:textId="2F1C7FB6" w:rsidR="00685668" w:rsidRDefault="00685668" w:rsidP="00946226">
      <w:pPr>
        <w:pStyle w:val="Nivel2SM"/>
        <w:keepNext/>
        <w:spacing w:after="0"/>
      </w:pPr>
      <w:r w:rsidRPr="00EA1F37">
        <w:rPr>
          <w:i/>
          <w:iCs/>
          <w:u w:val="single"/>
        </w:rPr>
        <w:t>Operaciones continuadas</w:t>
      </w:r>
      <w:r w:rsidR="00EA1F37">
        <w:t>: Reflejan el resultado normal del ejercicio. Se distingue entre:</w:t>
      </w:r>
    </w:p>
    <w:p w14:paraId="279F91E1" w14:textId="2A51B265" w:rsidR="00EA1F37" w:rsidRDefault="00EA1F37" w:rsidP="00946226">
      <w:pPr>
        <w:pStyle w:val="Nivel3SM"/>
        <w:keepNext/>
      </w:pPr>
      <w:r w:rsidRPr="00946226">
        <w:rPr>
          <w:i/>
          <w:iCs/>
        </w:rPr>
        <w:t>Resultado de explotación</w:t>
      </w:r>
      <w:r>
        <w:t>:</w:t>
      </w:r>
    </w:p>
    <w:p w14:paraId="1B358C88" w14:textId="20908270" w:rsidR="00EA1F37" w:rsidRPr="00EA1F37" w:rsidRDefault="00EA1F37" w:rsidP="00946226">
      <w:pPr>
        <w:pStyle w:val="Nivel4"/>
        <w:keepNext/>
        <w:ind w:left="1474"/>
      </w:pPr>
      <w:r w:rsidRPr="00EA1F37">
        <w:t>Ingresos</w:t>
      </w:r>
      <w:r w:rsidR="00E724F2">
        <w:t xml:space="preserve"> de explotación</w:t>
      </w:r>
      <w:r w:rsidRPr="00EA1F37">
        <w:t>:</w:t>
      </w:r>
    </w:p>
    <w:p w14:paraId="415F3B18" w14:textId="08858AA5" w:rsidR="00EA1F37" w:rsidRPr="00946226" w:rsidRDefault="00EA1F37" w:rsidP="00946226">
      <w:pPr>
        <w:pStyle w:val="Nivel5"/>
        <w:ind w:left="1871"/>
        <w:rPr>
          <w:sz w:val="19"/>
          <w:szCs w:val="19"/>
        </w:rPr>
      </w:pPr>
      <w:r w:rsidRPr="00946226">
        <w:rPr>
          <w:sz w:val="19"/>
          <w:szCs w:val="19"/>
        </w:rPr>
        <w:t>Venta de productos y servicios (cifra de negocios)</w:t>
      </w:r>
      <w:r w:rsidR="00E724F2" w:rsidRPr="00946226">
        <w:rPr>
          <w:sz w:val="19"/>
          <w:szCs w:val="19"/>
        </w:rPr>
        <w:t>; y</w:t>
      </w:r>
    </w:p>
    <w:p w14:paraId="6154A9EE" w14:textId="062488D4" w:rsidR="00EA1F37" w:rsidRPr="00946226" w:rsidRDefault="00EA1F37" w:rsidP="00946226">
      <w:pPr>
        <w:pStyle w:val="Nivel5"/>
        <w:ind w:left="1871"/>
        <w:rPr>
          <w:sz w:val="19"/>
          <w:szCs w:val="19"/>
        </w:rPr>
      </w:pPr>
      <w:r w:rsidRPr="00946226">
        <w:rPr>
          <w:sz w:val="19"/>
          <w:szCs w:val="19"/>
        </w:rPr>
        <w:t>Subvenciones</w:t>
      </w:r>
      <w:r w:rsidR="00E724F2" w:rsidRPr="00946226">
        <w:rPr>
          <w:sz w:val="19"/>
          <w:szCs w:val="19"/>
        </w:rPr>
        <w:t>.</w:t>
      </w:r>
    </w:p>
    <w:p w14:paraId="7F598FA8" w14:textId="40C85E58" w:rsidR="00EA1F37" w:rsidRDefault="00EA1F37" w:rsidP="00946226">
      <w:pPr>
        <w:pStyle w:val="Nivel4"/>
        <w:keepNext/>
        <w:ind w:left="1474"/>
      </w:pPr>
      <w:r w:rsidRPr="00EA1F37">
        <w:t>Gastos</w:t>
      </w:r>
      <w:r w:rsidR="00E724F2">
        <w:t xml:space="preserve"> de explotación</w:t>
      </w:r>
      <w:r w:rsidRPr="00EA1F37">
        <w:t>:</w:t>
      </w:r>
    </w:p>
    <w:p w14:paraId="36C56858" w14:textId="1BE50ED9" w:rsidR="00EA1F37" w:rsidRPr="00946226" w:rsidRDefault="00EA1F37" w:rsidP="00946226">
      <w:pPr>
        <w:pStyle w:val="Nivel5"/>
        <w:ind w:left="1871"/>
        <w:rPr>
          <w:sz w:val="19"/>
          <w:szCs w:val="19"/>
        </w:rPr>
      </w:pPr>
      <w:r w:rsidRPr="00946226">
        <w:rPr>
          <w:sz w:val="19"/>
          <w:szCs w:val="19"/>
        </w:rPr>
        <w:t>Gastos de personal (sueldos y salarios</w:t>
      </w:r>
      <w:r w:rsidR="00E724F2" w:rsidRPr="00946226">
        <w:rPr>
          <w:sz w:val="19"/>
          <w:szCs w:val="19"/>
        </w:rPr>
        <w:t xml:space="preserve"> y cargas sociales);</w:t>
      </w:r>
    </w:p>
    <w:p w14:paraId="3D776995" w14:textId="45283CC1" w:rsidR="00E724F2" w:rsidRPr="00946226" w:rsidRDefault="00E724F2" w:rsidP="00946226">
      <w:pPr>
        <w:pStyle w:val="Nivel5"/>
        <w:ind w:left="1871"/>
        <w:rPr>
          <w:sz w:val="19"/>
          <w:szCs w:val="19"/>
        </w:rPr>
      </w:pPr>
      <w:r w:rsidRPr="00946226">
        <w:rPr>
          <w:sz w:val="19"/>
          <w:szCs w:val="19"/>
        </w:rPr>
        <w:t>Pago de materias primas;</w:t>
      </w:r>
    </w:p>
    <w:p w14:paraId="33AF807F" w14:textId="7864B74C" w:rsidR="00E724F2" w:rsidRPr="00946226" w:rsidRDefault="00E724F2" w:rsidP="00946226">
      <w:pPr>
        <w:pStyle w:val="Nivel5"/>
        <w:ind w:left="1871"/>
        <w:rPr>
          <w:sz w:val="19"/>
          <w:szCs w:val="19"/>
        </w:rPr>
      </w:pPr>
      <w:r w:rsidRPr="00946226">
        <w:rPr>
          <w:sz w:val="19"/>
          <w:szCs w:val="19"/>
        </w:rPr>
        <w:t>Aprovisionamientos (pago de tributos)</w:t>
      </w:r>
      <w:r w:rsidRPr="00946226">
        <w:rPr>
          <w:rStyle w:val="Refdenotaalpie"/>
          <w:sz w:val="19"/>
          <w:szCs w:val="19"/>
        </w:rPr>
        <w:footnoteReference w:id="18"/>
      </w:r>
      <w:r w:rsidRPr="00946226">
        <w:rPr>
          <w:sz w:val="19"/>
          <w:szCs w:val="19"/>
        </w:rPr>
        <w:t>;</w:t>
      </w:r>
      <w:r w:rsidR="00B0113F" w:rsidRPr="00946226">
        <w:rPr>
          <w:sz w:val="19"/>
          <w:szCs w:val="19"/>
        </w:rPr>
        <w:t xml:space="preserve"> y</w:t>
      </w:r>
    </w:p>
    <w:p w14:paraId="15F245A4" w14:textId="2E066F1C" w:rsidR="00E724F2" w:rsidRPr="00946226" w:rsidRDefault="00E724F2" w:rsidP="00946226">
      <w:pPr>
        <w:pStyle w:val="Nivel5"/>
        <w:ind w:left="1871"/>
        <w:rPr>
          <w:sz w:val="19"/>
          <w:szCs w:val="19"/>
        </w:rPr>
      </w:pPr>
      <w:r w:rsidRPr="00946226">
        <w:rPr>
          <w:sz w:val="19"/>
          <w:szCs w:val="19"/>
        </w:rPr>
        <w:t>Amortización del inmovilizado: imputar a costes la pérdida de valor de los activos fijos. Estos se denominan costes de no efectivo (reflejan las valoraciones contables para reflejar pérdidas de valor). Se deben reflejar en virtud del principio de prudencia</w:t>
      </w:r>
      <w:r w:rsidR="004A3FFE">
        <w:rPr>
          <w:rStyle w:val="Refdenotaalpie"/>
          <w:sz w:val="19"/>
          <w:szCs w:val="19"/>
        </w:rPr>
        <w:footnoteReference w:id="19"/>
      </w:r>
      <w:r w:rsidRPr="00946226">
        <w:rPr>
          <w:sz w:val="19"/>
          <w:szCs w:val="19"/>
        </w:rPr>
        <w:t>.</w:t>
      </w:r>
    </w:p>
    <w:p w14:paraId="5ADFF60D" w14:textId="42EDAFF4" w:rsidR="00EA1F37" w:rsidRDefault="00EA1F37" w:rsidP="00946226">
      <w:pPr>
        <w:pStyle w:val="Nivel3SM"/>
        <w:keepNext/>
      </w:pPr>
      <w:r w:rsidRPr="00946226">
        <w:rPr>
          <w:i/>
          <w:iCs/>
        </w:rPr>
        <w:t>Resultado financiero</w:t>
      </w:r>
      <w:r>
        <w:t>:</w:t>
      </w:r>
    </w:p>
    <w:p w14:paraId="1AFE3489" w14:textId="7A1203C2" w:rsidR="00B0113F" w:rsidRPr="00EA1F37" w:rsidRDefault="00B0113F" w:rsidP="00946226">
      <w:pPr>
        <w:pStyle w:val="Nivel4"/>
        <w:ind w:left="1474"/>
      </w:pPr>
      <w:r w:rsidRPr="00EA1F37">
        <w:t>Ingresos</w:t>
      </w:r>
      <w:r>
        <w:t xml:space="preserve"> financieros</w:t>
      </w:r>
    </w:p>
    <w:p w14:paraId="418E8F07" w14:textId="202719A6" w:rsidR="00B0113F" w:rsidRDefault="00B0113F" w:rsidP="00946226">
      <w:pPr>
        <w:pStyle w:val="Nivel4"/>
        <w:ind w:left="1474"/>
      </w:pPr>
      <w:r w:rsidRPr="00EA1F37">
        <w:t>Gastos</w:t>
      </w:r>
      <w:r>
        <w:t xml:space="preserve"> financieros</w:t>
      </w:r>
    </w:p>
    <w:p w14:paraId="3C93BA85" w14:textId="77777777" w:rsidR="00856B1C" w:rsidRDefault="00B0113F" w:rsidP="00946226">
      <w:pPr>
        <w:pStyle w:val="Nivel4"/>
        <w:keepNext/>
        <w:ind w:left="1474"/>
      </w:pPr>
      <w:r w:rsidRPr="00856B1C">
        <w:t>Otros cambios de valor</w:t>
      </w:r>
      <w:r w:rsidR="00856B1C">
        <w:t>:</w:t>
      </w:r>
    </w:p>
    <w:p w14:paraId="0D38E4F4" w14:textId="02EAEE51" w:rsidR="00B0113F" w:rsidRPr="00946226" w:rsidRDefault="00856B1C" w:rsidP="00946226">
      <w:pPr>
        <w:pStyle w:val="Nivel5"/>
        <w:ind w:left="1871"/>
        <w:rPr>
          <w:sz w:val="19"/>
          <w:szCs w:val="19"/>
        </w:rPr>
      </w:pPr>
      <w:r w:rsidRPr="00946226">
        <w:rPr>
          <w:sz w:val="19"/>
          <w:szCs w:val="19"/>
        </w:rPr>
        <w:t>V</w:t>
      </w:r>
      <w:r w:rsidR="00B0113F" w:rsidRPr="00946226">
        <w:rPr>
          <w:sz w:val="19"/>
          <w:szCs w:val="19"/>
        </w:rPr>
        <w:t>ariaciones en el tipo de cambio</w:t>
      </w:r>
      <w:r w:rsidRPr="00946226">
        <w:rPr>
          <w:sz w:val="19"/>
          <w:szCs w:val="19"/>
        </w:rPr>
        <w:t>;</w:t>
      </w:r>
    </w:p>
    <w:p w14:paraId="09C54FC1" w14:textId="2BAD55D7" w:rsidR="00856B1C" w:rsidRPr="00946226" w:rsidRDefault="00856B1C" w:rsidP="00946226">
      <w:pPr>
        <w:pStyle w:val="Nivel5"/>
        <w:ind w:left="1871"/>
        <w:rPr>
          <w:sz w:val="19"/>
          <w:szCs w:val="19"/>
        </w:rPr>
      </w:pPr>
      <w:r w:rsidRPr="00946226">
        <w:rPr>
          <w:sz w:val="19"/>
          <w:szCs w:val="19"/>
        </w:rPr>
        <w:t>Variación del valor razonable en instrumentos financieros.</w:t>
      </w:r>
    </w:p>
    <w:p w14:paraId="46AFC5BB" w14:textId="5D7D5338" w:rsidR="00EA1F37" w:rsidRDefault="00EA1F37" w:rsidP="00946226">
      <w:pPr>
        <w:pStyle w:val="Nivel3SM"/>
      </w:pPr>
      <w:r>
        <w:rPr>
          <w:i/>
          <w:iCs/>
        </w:rPr>
        <w:t>Resultado antes de impuestos</w:t>
      </w:r>
      <w:r>
        <w:t>:</w:t>
      </w:r>
      <w:r w:rsidR="00E724F2">
        <w:t xml:space="preserve"> Si sumamos el resultado de explotación y el resultado financiero obtenemos el resultado antes de impuestos.</w:t>
      </w:r>
    </w:p>
    <w:p w14:paraId="15929DEE" w14:textId="79354AA7" w:rsidR="00EA1F37" w:rsidRDefault="00EA1F37" w:rsidP="00946226">
      <w:pPr>
        <w:pStyle w:val="Nivel3SM"/>
      </w:pPr>
      <w:r>
        <w:rPr>
          <w:i/>
          <w:iCs/>
        </w:rPr>
        <w:t>Resultado del ejercicio procedente de operaciones continuadas</w:t>
      </w:r>
      <w:r>
        <w:t>:</w:t>
      </w:r>
      <w:r w:rsidR="00E724F2">
        <w:t xml:space="preserve"> Resultado antes de impuestos menos el impuestos sobre los beneficios.</w:t>
      </w:r>
    </w:p>
    <w:p w14:paraId="690FA692" w14:textId="25658839" w:rsidR="00685668" w:rsidRPr="008F2749" w:rsidRDefault="00685668" w:rsidP="00946226">
      <w:pPr>
        <w:pStyle w:val="Nivel2SM"/>
        <w:rPr>
          <w:spacing w:val="-3"/>
        </w:rPr>
      </w:pPr>
      <w:r w:rsidRPr="008F2749">
        <w:rPr>
          <w:i/>
          <w:iCs/>
          <w:spacing w:val="-3"/>
          <w:u w:val="single"/>
        </w:rPr>
        <w:t>Operaciones interrumpidas</w:t>
      </w:r>
      <w:r w:rsidR="006116E1" w:rsidRPr="008F2749">
        <w:rPr>
          <w:rStyle w:val="Refdenotaalpie"/>
          <w:spacing w:val="-3"/>
        </w:rPr>
        <w:footnoteReference w:id="20"/>
      </w:r>
      <w:r w:rsidR="00EA1F37" w:rsidRPr="008F2749">
        <w:rPr>
          <w:spacing w:val="-3"/>
        </w:rPr>
        <w:t>:</w:t>
      </w:r>
      <w:r w:rsidR="00B0113F" w:rsidRPr="008F2749">
        <w:rPr>
          <w:spacing w:val="-3"/>
        </w:rPr>
        <w:t xml:space="preserve"> Se trata de ingresos y costes de un área del negocio que esté disponible para la venta (dicho resultado no se </w:t>
      </w:r>
      <w:proofErr w:type="gramStart"/>
      <w:r w:rsidR="00B0113F" w:rsidRPr="008F2749">
        <w:rPr>
          <w:spacing w:val="-3"/>
        </w:rPr>
        <w:t>volverá a repetir</w:t>
      </w:r>
      <w:proofErr w:type="gramEnd"/>
      <w:r w:rsidR="00B0113F" w:rsidRPr="008F2749">
        <w:rPr>
          <w:spacing w:val="-3"/>
        </w:rPr>
        <w:t xml:space="preserve"> debido a la venta de esta área).</w:t>
      </w:r>
      <w:r w:rsidR="00B0113F" w:rsidRPr="008F2749">
        <w:rPr>
          <w:spacing w:val="-2"/>
        </w:rPr>
        <w:t xml:space="preserve"> Los ingresos menos los costes nos darían el </w:t>
      </w:r>
      <w:r w:rsidR="00B0113F" w:rsidRPr="008F2749">
        <w:rPr>
          <w:i/>
          <w:iCs/>
          <w:spacing w:val="-2"/>
        </w:rPr>
        <w:t>resultado del ejercicio procedente de operaciones interrumpidas</w:t>
      </w:r>
      <w:r w:rsidR="00B0113F" w:rsidRPr="008F2749">
        <w:rPr>
          <w:spacing w:val="-3"/>
        </w:rPr>
        <w:t>.</w:t>
      </w:r>
    </w:p>
    <w:p w14:paraId="4327C9D9" w14:textId="4F320F80" w:rsidR="00B0113F" w:rsidRDefault="00B0113F" w:rsidP="00946226">
      <w:pPr>
        <w:pStyle w:val="Nivel2SM"/>
      </w:pPr>
      <w:r w:rsidRPr="00946226">
        <w:rPr>
          <w:i/>
          <w:iCs/>
          <w:u w:val="single"/>
        </w:rPr>
        <w:lastRenderedPageBreak/>
        <w:t>Resultado del ejercicio</w:t>
      </w:r>
      <w:r w:rsidRPr="00946226">
        <w:t xml:space="preserve">: </w:t>
      </w:r>
      <w:r w:rsidRPr="00946226">
        <w:rPr>
          <w:i/>
          <w:iCs/>
        </w:rPr>
        <w:t>Resultado del ejercicio procedente de operaciones continuadas + Resultado del ejercicio procedente de operaciones interrumpidas</w:t>
      </w:r>
      <w:r>
        <w:t>.</w:t>
      </w:r>
    </w:p>
    <w:p w14:paraId="5339DF36" w14:textId="6877E4CB" w:rsidR="00663C2C" w:rsidRPr="00663C2C" w:rsidRDefault="00663C2C" w:rsidP="00663C2C">
      <w:pPr>
        <w:pStyle w:val="Ttuloimagen"/>
        <w:rPr>
          <w:i/>
          <w:iCs/>
          <w:smallCaps w:val="0"/>
        </w:rPr>
      </w:pPr>
      <w:r>
        <w:t>Imagen</w:t>
      </w:r>
      <w:r w:rsidR="00C63905">
        <w:t> </w:t>
      </w:r>
      <w:r>
        <w:fldChar w:fldCharType="begin"/>
      </w:r>
      <w:r>
        <w:instrText xml:space="preserve"> SEQ Ilustración \* ARABIC </w:instrText>
      </w:r>
      <w:r>
        <w:fldChar w:fldCharType="separate"/>
      </w:r>
      <w:r w:rsidR="00971219">
        <w:t>4</w:t>
      </w:r>
      <w:r>
        <w:fldChar w:fldCharType="end"/>
      </w:r>
      <w:r w:rsidRPr="00663C2C">
        <w:rPr>
          <w:smallCaps w:val="0"/>
        </w:rPr>
        <w:t>.–</w:t>
      </w:r>
      <w:r>
        <w:rPr>
          <w:i/>
          <w:iCs/>
          <w:smallCaps w:val="0"/>
        </w:rPr>
        <w:t>Esquema básico de la cuenta de pérdidas y ganancias normal</w:t>
      </w:r>
    </w:p>
    <w:p w14:paraId="6E350157" w14:textId="437B119D" w:rsidR="00663C2C" w:rsidRDefault="007868A8" w:rsidP="00663C2C">
      <w:pPr>
        <w:pStyle w:val="Imagen"/>
      </w:pPr>
      <w:r>
        <w:drawing>
          <wp:inline distT="0" distB="0" distL="0" distR="0" wp14:anchorId="5DFA7615" wp14:editId="3F1A7A75">
            <wp:extent cx="3600000" cy="2845249"/>
            <wp:effectExtent l="0" t="0" r="635" b="0"/>
            <wp:docPr id="10" name="Imagen 10"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magen que contiene Tabla&#10;&#10;Descripción generada automáticamente"/>
                    <pic:cNvPicPr/>
                  </pic:nvPicPr>
                  <pic:blipFill rotWithShape="1">
                    <a:blip r:embed="rId15"/>
                    <a:srcRect t="12855"/>
                    <a:stretch/>
                  </pic:blipFill>
                  <pic:spPr bwMode="auto">
                    <a:xfrm>
                      <a:off x="0" y="0"/>
                      <a:ext cx="3600000" cy="2845249"/>
                    </a:xfrm>
                    <a:prstGeom prst="rect">
                      <a:avLst/>
                    </a:prstGeom>
                    <a:ln>
                      <a:noFill/>
                    </a:ln>
                    <a:extLst>
                      <a:ext uri="{53640926-AAD7-44D8-BBD7-CCE9431645EC}">
                        <a14:shadowObscured xmlns:a14="http://schemas.microsoft.com/office/drawing/2010/main"/>
                      </a:ext>
                    </a:extLst>
                  </pic:spPr>
                </pic:pic>
              </a:graphicData>
            </a:graphic>
          </wp:inline>
        </w:drawing>
      </w:r>
    </w:p>
    <w:p w14:paraId="78EDBB5D" w14:textId="5FFBB2C0" w:rsidR="00663C2C" w:rsidRPr="00663C2C" w:rsidRDefault="00663C2C" w:rsidP="00663C2C">
      <w:pPr>
        <w:pStyle w:val="PiedeImagen"/>
        <w:rPr>
          <w:i w:val="0"/>
          <w:iCs/>
        </w:rPr>
      </w:pPr>
      <w:r>
        <w:t>Fuente</w:t>
      </w:r>
      <w:r>
        <w:rPr>
          <w:i w:val="0"/>
          <w:iCs/>
        </w:rPr>
        <w:t xml:space="preserve">: </w:t>
      </w:r>
      <w:r w:rsidRPr="00663C2C">
        <w:rPr>
          <w:i w:val="0"/>
          <w:iCs/>
        </w:rPr>
        <w:t xml:space="preserve">Garrido Miralles, P. &amp; Íñiguez Sánchez, R. (2017). </w:t>
      </w:r>
      <w:r w:rsidRPr="00663C2C">
        <w:t>Análisis de estados contables: Elaboración e interpretación de la información financiera</w:t>
      </w:r>
      <w:r w:rsidRPr="00663C2C">
        <w:rPr>
          <w:i w:val="0"/>
          <w:iCs/>
        </w:rPr>
        <w:t>. Difusora Larousse - Ediciones Pirámide.</w:t>
      </w:r>
    </w:p>
    <w:p w14:paraId="75BD756E" w14:textId="5824D2E6" w:rsidR="00685668" w:rsidRPr="006C6E0B" w:rsidRDefault="00685668" w:rsidP="008F2749">
      <w:pPr>
        <w:pStyle w:val="Nivel1SM"/>
      </w:pPr>
      <w:r>
        <w:t xml:space="preserve">Aunque la cuenta de pérdidas y ganancias nos puede dar una idea de los cambios que se han producido en el patrimonio neto, </w:t>
      </w:r>
      <w:r w:rsidRPr="00856B1C">
        <w:rPr>
          <w:b/>
          <w:bCs/>
        </w:rPr>
        <w:t>no todos los cambios que se producen en el patrimonio neto se registran en la cuenta de pérdidas y ganancias</w:t>
      </w:r>
      <w:r>
        <w:t>. De ahí que para tener una visión adecuada de dichos cambios recurramos al estado de cambios en el patrimonio neto.</w:t>
      </w:r>
    </w:p>
    <w:p w14:paraId="22B7429A" w14:textId="48EAE2F5" w:rsidR="003744DA" w:rsidRDefault="003744DA">
      <w:pPr>
        <w:pStyle w:val="Ttulo6"/>
        <w:numPr>
          <w:ilvl w:val="0"/>
          <w:numId w:val="19"/>
        </w:numPr>
        <w:ind w:left="0" w:hanging="284"/>
      </w:pPr>
      <w:bookmarkStart w:id="20" w:name="_Toc125485415"/>
      <w:r>
        <w:t>Estado de cambios en el patrimonio neto</w:t>
      </w:r>
      <w:bookmarkEnd w:id="20"/>
    </w:p>
    <w:p w14:paraId="446CA902" w14:textId="1C4F7632" w:rsidR="00AA1ED2" w:rsidRDefault="00F901BE" w:rsidP="00ED6486">
      <w:pPr>
        <w:pStyle w:val="Notaalopositor"/>
      </w:pPr>
      <w:r>
        <w:t>A partir de esta cuenta se menciona d</w:t>
      </w:r>
      <w:r w:rsidR="00ED6486">
        <w:t>e palabra</w:t>
      </w:r>
      <w:r>
        <w:t xml:space="preserve"> (sin pizarra)</w:t>
      </w:r>
      <w:r w:rsidR="00ED6486">
        <w:t>, pero mencionar estructura</w:t>
      </w:r>
      <w:r w:rsidR="00AA1ED2">
        <w:t>.</w:t>
      </w:r>
    </w:p>
    <w:p w14:paraId="63F8C2B3" w14:textId="68B9715A" w:rsidR="008F4CB6" w:rsidRDefault="008F2749" w:rsidP="00C63905">
      <w:pPr>
        <w:pStyle w:val="Nivel1SM"/>
        <w:spacing w:before="0"/>
      </w:pPr>
      <w:r>
        <w:t xml:space="preserve">El </w:t>
      </w:r>
      <w:r>
        <w:rPr>
          <w:b/>
          <w:bCs/>
        </w:rPr>
        <w:t>estado de cambios en el patrimonio neto</w:t>
      </w:r>
      <w:r>
        <w:t xml:space="preserve"> </w:t>
      </w:r>
      <w:r w:rsidR="00681226">
        <w:t xml:space="preserve">es un estado contable obligatorio introducido por el PGC de 2007 </w:t>
      </w:r>
      <w:r w:rsidR="00856B1C">
        <w:t xml:space="preserve">que proporciona una visión más detallada sobre los cambios en el patrimonio neto de la empresa </w:t>
      </w:r>
      <w:r w:rsidR="008F4CB6">
        <w:t>a lo largo de un ejercicio.</w:t>
      </w:r>
    </w:p>
    <w:p w14:paraId="55FFBFA9" w14:textId="2CEC2707" w:rsidR="008F4CB6" w:rsidRDefault="008F4CB6" w:rsidP="007868A8">
      <w:pPr>
        <w:pStyle w:val="Nivel1SM"/>
        <w:keepNext/>
        <w:spacing w:after="0"/>
      </w:pPr>
      <w:r>
        <w:t>Se divide en 2</w:t>
      </w:r>
      <w:r w:rsidR="00C63905">
        <w:t> </w:t>
      </w:r>
      <w:r>
        <w:t>partes:</w:t>
      </w:r>
    </w:p>
    <w:p w14:paraId="72FFA8EA" w14:textId="57D8A853" w:rsidR="008F4CB6" w:rsidRDefault="008F4CB6" w:rsidP="007868A8">
      <w:pPr>
        <w:pStyle w:val="Nivel2SM"/>
        <w:keepNext/>
        <w:spacing w:after="0"/>
      </w:pPr>
      <w:r w:rsidRPr="007868A8">
        <w:rPr>
          <w:i/>
          <w:iCs/>
          <w:u w:val="single"/>
        </w:rPr>
        <w:t>El estado de ingresos y gastos reconocidos</w:t>
      </w:r>
      <w:r w:rsidR="00F0537E">
        <w:t>:</w:t>
      </w:r>
    </w:p>
    <w:p w14:paraId="2DBE6CF8" w14:textId="23B6089A" w:rsidR="00F0537E" w:rsidRPr="00A83F52" w:rsidRDefault="00F0537E" w:rsidP="007868A8">
      <w:pPr>
        <w:pStyle w:val="Nivel3SM"/>
      </w:pPr>
      <w:r w:rsidRPr="00A83F52">
        <w:t>Cambios derivados de la cuenta de pérdidas y ganancias;</w:t>
      </w:r>
    </w:p>
    <w:p w14:paraId="1974CF45" w14:textId="442BFF50" w:rsidR="00F0537E" w:rsidRPr="00A83F52" w:rsidRDefault="00F0537E" w:rsidP="007868A8">
      <w:pPr>
        <w:pStyle w:val="Nivel3SM"/>
      </w:pPr>
      <w:r w:rsidRPr="00A83F52">
        <w:t>Otros ingresos y gastos que influyendo en el patrimonio neto</w:t>
      </w:r>
      <w:r w:rsidR="00A83F52" w:rsidRPr="00A83F52">
        <w:t xml:space="preserve"> no han tenido impacto en la cuenta de pérdidas y ganancias pero que podrían ser recogidos en el futuro (p.ej. ajuste por modificación del valor razonable de un activo financiero cuando todavía no se ha materializado la pérdida o el beneficio </w:t>
      </w:r>
      <w:proofErr w:type="gramStart"/>
      <w:r w:rsidR="00A83F52" w:rsidRPr="00A83F52">
        <w:t>del mismo</w:t>
      </w:r>
      <w:proofErr w:type="gramEnd"/>
      <w:r w:rsidR="00A83F52" w:rsidRPr="00A83F52">
        <w:t>).</w:t>
      </w:r>
    </w:p>
    <w:p w14:paraId="3E631AD5" w14:textId="66EE78A0" w:rsidR="00F0537E" w:rsidRDefault="00F0537E" w:rsidP="007868A8">
      <w:pPr>
        <w:pStyle w:val="Nivel2SM"/>
        <w:keepNext/>
        <w:spacing w:after="0"/>
      </w:pPr>
      <w:r w:rsidRPr="007868A8">
        <w:rPr>
          <w:i/>
          <w:iCs/>
          <w:u w:val="single"/>
        </w:rPr>
        <w:t>El estado total de cambios en el patrimonio neto</w:t>
      </w:r>
      <w:r>
        <w:t>:</w:t>
      </w:r>
    </w:p>
    <w:p w14:paraId="659686C9" w14:textId="666A2071" w:rsidR="00A83F52" w:rsidRPr="00A83F52" w:rsidRDefault="00A83F52" w:rsidP="007868A8">
      <w:pPr>
        <w:pStyle w:val="Nivel3SM"/>
      </w:pPr>
      <w:r w:rsidRPr="00A83F52">
        <w:t>Saldo total de ingresos y gastos reconocidos.</w:t>
      </w:r>
    </w:p>
    <w:p w14:paraId="106B6C7D" w14:textId="4930FDA4" w:rsidR="00A83F52" w:rsidRDefault="00A83F52" w:rsidP="007868A8">
      <w:pPr>
        <w:pStyle w:val="Nivel3SM"/>
      </w:pPr>
      <w:r w:rsidRPr="00A83F52">
        <w:t xml:space="preserve">Operaciones con los socios </w:t>
      </w:r>
      <w:r w:rsidRPr="00681226">
        <w:rPr>
          <w:sz w:val="19"/>
          <w:szCs w:val="19"/>
        </w:rPr>
        <w:t>(p.ej. distribución de beneficios, aumentos o reducciones de capital)</w:t>
      </w:r>
      <w:r w:rsidRPr="00A83F52">
        <w:t>.</w:t>
      </w:r>
    </w:p>
    <w:p w14:paraId="777F69D2" w14:textId="56307411" w:rsidR="00A83F52" w:rsidRPr="00A83F52" w:rsidRDefault="00A83F52" w:rsidP="007868A8">
      <w:pPr>
        <w:pStyle w:val="Nivel3SM"/>
      </w:pPr>
      <w:r>
        <w:t>Conversión de pasivos financieros en patrimonio neto.</w:t>
      </w:r>
    </w:p>
    <w:p w14:paraId="6C7BD533" w14:textId="6CF7D0A7" w:rsidR="00A83F52" w:rsidRDefault="00A83F52" w:rsidP="007868A8">
      <w:pPr>
        <w:pStyle w:val="Nivel3SM"/>
      </w:pPr>
      <w:r w:rsidRPr="00A83F52">
        <w:t>Ajustes contables.</w:t>
      </w:r>
    </w:p>
    <w:p w14:paraId="7A0C9299" w14:textId="3AA110D1" w:rsidR="00681226" w:rsidRPr="00A83F52" w:rsidRDefault="00681226" w:rsidP="00681226">
      <w:pPr>
        <w:pStyle w:val="Nivel1SM"/>
      </w:pPr>
      <w:r>
        <w:t>Teniendo en cuenta todo esto nos quedaría el saldo final del ejercicio.</w:t>
      </w:r>
    </w:p>
    <w:p w14:paraId="6321A6FE" w14:textId="122A62AB" w:rsidR="00663C2C" w:rsidRPr="004A519F" w:rsidRDefault="00663C2C" w:rsidP="00663C2C">
      <w:pPr>
        <w:pStyle w:val="Ttuloimagen"/>
        <w:rPr>
          <w:i/>
          <w:iCs/>
          <w:smallCaps w:val="0"/>
          <w:spacing w:val="-4"/>
        </w:rPr>
      </w:pPr>
      <w:r w:rsidRPr="004A519F">
        <w:rPr>
          <w:spacing w:val="-4"/>
        </w:rPr>
        <w:lastRenderedPageBreak/>
        <w:t>Imagen</w:t>
      </w:r>
      <w:r w:rsidR="00C63905">
        <w:rPr>
          <w:spacing w:val="-4"/>
        </w:rPr>
        <w:t> </w:t>
      </w:r>
      <w:r w:rsidRPr="004A519F">
        <w:rPr>
          <w:spacing w:val="-4"/>
        </w:rPr>
        <w:fldChar w:fldCharType="begin"/>
      </w:r>
      <w:r w:rsidRPr="004A519F">
        <w:rPr>
          <w:spacing w:val="-4"/>
        </w:rPr>
        <w:instrText xml:space="preserve"> SEQ Ilustración \* ARABIC </w:instrText>
      </w:r>
      <w:r w:rsidRPr="004A519F">
        <w:rPr>
          <w:spacing w:val="-4"/>
        </w:rPr>
        <w:fldChar w:fldCharType="separate"/>
      </w:r>
      <w:r w:rsidR="00971219">
        <w:rPr>
          <w:spacing w:val="-4"/>
        </w:rPr>
        <w:t>5</w:t>
      </w:r>
      <w:r w:rsidRPr="004A519F">
        <w:rPr>
          <w:spacing w:val="-4"/>
        </w:rPr>
        <w:fldChar w:fldCharType="end"/>
      </w:r>
      <w:r w:rsidRPr="004A519F">
        <w:rPr>
          <w:smallCaps w:val="0"/>
          <w:spacing w:val="-4"/>
        </w:rPr>
        <w:t>.–</w:t>
      </w:r>
      <w:r w:rsidR="004A519F" w:rsidRPr="004A519F">
        <w:rPr>
          <w:i/>
          <w:iCs/>
          <w:smallCaps w:val="0"/>
          <w:spacing w:val="-4"/>
        </w:rPr>
        <w:t>Modelo normal del Estado de Cambios en el Patrimonio Neto (Estado total de cambios en el patrimonio neto)</w:t>
      </w:r>
    </w:p>
    <w:p w14:paraId="1D103A02" w14:textId="4D55560A" w:rsidR="00663C2C" w:rsidRDefault="007868A8" w:rsidP="00663C2C">
      <w:pPr>
        <w:pStyle w:val="Imagen"/>
      </w:pPr>
      <w:r>
        <w:drawing>
          <wp:inline distT="0" distB="0" distL="0" distR="0" wp14:anchorId="474F50B4" wp14:editId="07D5C542">
            <wp:extent cx="4231661" cy="5878195"/>
            <wp:effectExtent l="0" t="4128" r="0" b="0"/>
            <wp:docPr id="11" name="Imagen 11"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Gráfico&#10;&#10;Descripción generada automáticamente con confianza media"/>
                    <pic:cNvPicPr/>
                  </pic:nvPicPr>
                  <pic:blipFill rotWithShape="1">
                    <a:blip r:embed="rId16"/>
                    <a:srcRect l="12759" r="1777"/>
                    <a:stretch/>
                  </pic:blipFill>
                  <pic:spPr bwMode="auto">
                    <a:xfrm rot="5400000">
                      <a:off x="0" y="0"/>
                      <a:ext cx="4232002" cy="5878668"/>
                    </a:xfrm>
                    <a:prstGeom prst="rect">
                      <a:avLst/>
                    </a:prstGeom>
                    <a:ln>
                      <a:noFill/>
                    </a:ln>
                    <a:extLst>
                      <a:ext uri="{53640926-AAD7-44D8-BBD7-CCE9431645EC}">
                        <a14:shadowObscured xmlns:a14="http://schemas.microsoft.com/office/drawing/2010/main"/>
                      </a:ext>
                    </a:extLst>
                  </pic:spPr>
                </pic:pic>
              </a:graphicData>
            </a:graphic>
          </wp:inline>
        </w:drawing>
      </w:r>
    </w:p>
    <w:p w14:paraId="68D7ACE8" w14:textId="2CCE3DF4" w:rsidR="00996045" w:rsidRDefault="00663C2C" w:rsidP="00663C2C">
      <w:pPr>
        <w:pStyle w:val="PiedeImagen"/>
        <w:rPr>
          <w:i w:val="0"/>
          <w:iCs/>
        </w:rPr>
      </w:pPr>
      <w:r>
        <w:t>Fuente</w:t>
      </w:r>
      <w:r>
        <w:rPr>
          <w:i w:val="0"/>
          <w:iCs/>
        </w:rPr>
        <w:t xml:space="preserve">: </w:t>
      </w:r>
      <w:r w:rsidRPr="00663C2C">
        <w:rPr>
          <w:i w:val="0"/>
          <w:iCs/>
        </w:rPr>
        <w:t xml:space="preserve">Garrido Miralles, P. &amp; Íñiguez Sánchez, R. (2017). </w:t>
      </w:r>
      <w:r w:rsidRPr="00663C2C">
        <w:t>Análisis de estados contables: Elaboración e interpretación de la información financiera</w:t>
      </w:r>
      <w:r w:rsidRPr="00663C2C">
        <w:rPr>
          <w:i w:val="0"/>
          <w:iCs/>
        </w:rPr>
        <w:t>. Difusora Larousse - Ediciones Pirámide.</w:t>
      </w:r>
    </w:p>
    <w:p w14:paraId="35BDB588" w14:textId="26B211BC" w:rsidR="00A83F52" w:rsidRPr="00A83F52" w:rsidRDefault="00A83F52" w:rsidP="00CC53F9">
      <w:pPr>
        <w:pStyle w:val="Nivel1SM"/>
      </w:pPr>
      <w:r>
        <w:t>En definitiva, algunas de estas partidas pueden ser importantes en magnitud, aunque no impacten en el resultado del ejercicio de la cuenta de pérdidas y ganancias. Ello justifica la existencia de esta cuenta.</w:t>
      </w:r>
    </w:p>
    <w:p w14:paraId="342A03C2" w14:textId="5B336D4A" w:rsidR="00685668" w:rsidRDefault="00685668">
      <w:pPr>
        <w:pStyle w:val="Ttulo6"/>
        <w:numPr>
          <w:ilvl w:val="0"/>
          <w:numId w:val="19"/>
        </w:numPr>
        <w:ind w:left="0" w:hanging="284"/>
      </w:pPr>
      <w:bookmarkStart w:id="21" w:name="_Toc125485416"/>
      <w:r>
        <w:t>Estado de flujos de efectivo</w:t>
      </w:r>
      <w:bookmarkEnd w:id="21"/>
    </w:p>
    <w:p w14:paraId="02A0AD01" w14:textId="4695C85A" w:rsidR="000C4602" w:rsidRDefault="00681226" w:rsidP="00C63905">
      <w:pPr>
        <w:pStyle w:val="Nivel1SM"/>
        <w:spacing w:before="0"/>
      </w:pPr>
      <w:r>
        <w:t xml:space="preserve">El </w:t>
      </w:r>
      <w:r>
        <w:rPr>
          <w:b/>
          <w:bCs/>
        </w:rPr>
        <w:t>estado de flujos de efectivo</w:t>
      </w:r>
      <w:r w:rsidR="000C4602">
        <w:t xml:space="preserve"> </w:t>
      </w:r>
      <w:r>
        <w:t xml:space="preserve">también es </w:t>
      </w:r>
      <w:r w:rsidR="000C4602">
        <w:t xml:space="preserve">un estado contable obligatorio introducido por el PGC </w:t>
      </w:r>
      <w:r w:rsidR="00823710">
        <w:t xml:space="preserve">de 2007 </w:t>
      </w:r>
      <w:r w:rsidR="000C4602">
        <w:t xml:space="preserve">y que trata de explicar cómo se ha generado el efectivo del que dispone la empresa. El efectivo es fundamental para la operativa diaria de la empresa dado que los proveedores, las entidades financieras que prestan los fondos, los acreedores, la Hacienda Pública, etc. requieren pagos, no beneficios. Por eso, las </w:t>
      </w:r>
      <w:r w:rsidR="008F4CB6">
        <w:t xml:space="preserve">decisiones de los gestores para generar </w:t>
      </w:r>
      <w:r w:rsidR="008F4CB6">
        <w:rPr>
          <w:i/>
          <w:iCs/>
        </w:rPr>
        <w:t xml:space="preserve">cash </w:t>
      </w:r>
      <w:proofErr w:type="spellStart"/>
      <w:r w:rsidR="00823710">
        <w:rPr>
          <w:i/>
          <w:iCs/>
        </w:rPr>
        <w:t>f</w:t>
      </w:r>
      <w:r w:rsidR="008F4CB6">
        <w:rPr>
          <w:i/>
          <w:iCs/>
        </w:rPr>
        <w:t>low</w:t>
      </w:r>
      <w:proofErr w:type="spellEnd"/>
      <w:r w:rsidR="008F4CB6">
        <w:t xml:space="preserve"> en el tiempo adecuado son esenciales para la supervivencia de la empresa a largo plazo.</w:t>
      </w:r>
    </w:p>
    <w:p w14:paraId="763B3906" w14:textId="65D9EC81" w:rsidR="00266F3F" w:rsidRDefault="00266F3F" w:rsidP="00CC53F9">
      <w:pPr>
        <w:pStyle w:val="Nivel1SM"/>
      </w:pPr>
      <w:r>
        <w:t xml:space="preserve">Su </w:t>
      </w:r>
      <w:r w:rsidRPr="001016B8">
        <w:rPr>
          <w:i/>
          <w:iCs/>
        </w:rPr>
        <w:t>relevancia</w:t>
      </w:r>
      <w:r w:rsidRPr="001016B8">
        <w:t xml:space="preserve"> se </w:t>
      </w:r>
      <w:r w:rsidR="00CC53F9" w:rsidRPr="001016B8">
        <w:t>basa</w:t>
      </w:r>
      <w:r w:rsidRPr="001016B8">
        <w:t xml:space="preserve"> en que permite analizar la capacidad de la empresa de generar </w:t>
      </w:r>
      <w:r w:rsidRPr="001016B8">
        <w:rPr>
          <w:i/>
          <w:iCs/>
        </w:rPr>
        <w:t>liquidez</w:t>
      </w:r>
      <w:r w:rsidRPr="001016B8">
        <w:t xml:space="preserve"> para la operativa diaria de la empresa</w:t>
      </w:r>
      <w:r w:rsidR="001016B8">
        <w:t xml:space="preserve">, así como su </w:t>
      </w:r>
      <w:r w:rsidR="001016B8">
        <w:rPr>
          <w:i/>
          <w:iCs/>
        </w:rPr>
        <w:t>solvencia</w:t>
      </w:r>
      <w:r w:rsidR="001016B8">
        <w:t xml:space="preserve"> a corto plazo, ya que la empresa necesita de esa liquidez para satisfacer sus obligaciones</w:t>
      </w:r>
      <w:r>
        <w:t>.</w:t>
      </w:r>
    </w:p>
    <w:p w14:paraId="6BDD9FA7" w14:textId="70698F20" w:rsidR="004433DB" w:rsidRDefault="004433DB" w:rsidP="00CC53F9">
      <w:pPr>
        <w:pStyle w:val="Nivel1SM"/>
        <w:keepNext/>
        <w:spacing w:after="0"/>
      </w:pPr>
      <w:r>
        <w:t xml:space="preserve">Se divide en </w:t>
      </w:r>
      <w:r w:rsidR="00C63905">
        <w:t>2 </w:t>
      </w:r>
      <w:r>
        <w:t>partes:</w:t>
      </w:r>
    </w:p>
    <w:p w14:paraId="48A4CD9B" w14:textId="53C73E0B" w:rsidR="004433DB" w:rsidRDefault="004433DB" w:rsidP="00CC53F9">
      <w:pPr>
        <w:pStyle w:val="Nivel2SM"/>
      </w:pPr>
      <w:r>
        <w:rPr>
          <w:i/>
          <w:iCs/>
          <w:u w:val="single"/>
        </w:rPr>
        <w:t>Flujos de efectivo de las actividades de explotación</w:t>
      </w:r>
      <w:r w:rsidRPr="004433DB">
        <w:t>:</w:t>
      </w:r>
      <w:r w:rsidR="008533E3">
        <w:t xml:space="preserve"> Fundamentalmente ocasionadas por las mismas operaciones que los ingresos y gastos generados en el ciclo de explotación de la cuenta de pérdidas y ganancias</w:t>
      </w:r>
      <w:r w:rsidR="00824D3D">
        <w:rPr>
          <w:rStyle w:val="Refdenotaalpie"/>
        </w:rPr>
        <w:footnoteReference w:id="21"/>
      </w:r>
      <w:r w:rsidR="008533E3">
        <w:t>.</w:t>
      </w:r>
    </w:p>
    <w:p w14:paraId="65899530" w14:textId="36B4FA58" w:rsidR="004433DB" w:rsidRDefault="004433DB" w:rsidP="00CC53F9">
      <w:pPr>
        <w:pStyle w:val="Nivel2SM"/>
      </w:pPr>
      <w:r>
        <w:rPr>
          <w:i/>
          <w:iCs/>
          <w:u w:val="single"/>
        </w:rPr>
        <w:t>Flujos de efectivo de las operaciones de inversión</w:t>
      </w:r>
      <w:r>
        <w:t>:</w:t>
      </w:r>
      <w:r w:rsidR="008533E3">
        <w:t xml:space="preserve"> Desde un punto de vista de flujos de caja, la inversión es un desembolso que implica renunciar a una cantidad cierta hoy con la esperanza de que en el futuro se incrementen los flujos de caja operativos</w:t>
      </w:r>
      <w:r w:rsidR="008C4CF7">
        <w:t xml:space="preserve"> </w:t>
      </w:r>
      <w:r w:rsidR="008C4CF7" w:rsidRPr="008C4CF7">
        <w:rPr>
          <w:color w:val="767171" w:themeColor="background2" w:themeShade="80"/>
          <w:sz w:val="19"/>
          <w:szCs w:val="19"/>
        </w:rPr>
        <w:t>[ver tema 3.B.</w:t>
      </w:r>
      <w:r w:rsidR="008C4CF7">
        <w:rPr>
          <w:color w:val="767171" w:themeColor="background2" w:themeShade="80"/>
          <w:sz w:val="19"/>
          <w:szCs w:val="19"/>
        </w:rPr>
        <w:t>2</w:t>
      </w:r>
      <w:r w:rsidR="008C4CF7" w:rsidRPr="008C4CF7">
        <w:rPr>
          <w:color w:val="767171" w:themeColor="background2" w:themeShade="80"/>
          <w:sz w:val="19"/>
          <w:szCs w:val="19"/>
        </w:rPr>
        <w:t>]</w:t>
      </w:r>
      <w:r w:rsidR="008533E3">
        <w:t>.</w:t>
      </w:r>
    </w:p>
    <w:p w14:paraId="5A789987" w14:textId="1197934E" w:rsidR="008533E3" w:rsidRDefault="008533E3" w:rsidP="00CC53F9">
      <w:pPr>
        <w:pStyle w:val="Nivel2SM"/>
        <w:numPr>
          <w:ilvl w:val="0"/>
          <w:numId w:val="0"/>
        </w:numPr>
        <w:ind w:left="567"/>
      </w:pPr>
      <w:r>
        <w:lastRenderedPageBreak/>
        <w:t>Por lo tanto, la naturaleza dinámica de las decisiones de inversión lleva a que los impactos sobre el flujo de caja tienen lugar más allá del ciclo operativo actual de la empresa y pueden darse entradas de efectivo en ciclos futuros.</w:t>
      </w:r>
    </w:p>
    <w:p w14:paraId="7EFAD154" w14:textId="48EB7B30" w:rsidR="005A58AD" w:rsidRDefault="005A58AD" w:rsidP="00CC53F9">
      <w:pPr>
        <w:pStyle w:val="Nivel2SM"/>
        <w:numPr>
          <w:ilvl w:val="0"/>
          <w:numId w:val="0"/>
        </w:numPr>
        <w:ind w:left="567"/>
      </w:pPr>
      <w:r>
        <w:t xml:space="preserve">En esta partida se recogen </w:t>
      </w:r>
      <w:r>
        <w:rPr>
          <w:i/>
          <w:iCs/>
        </w:rPr>
        <w:t>pagos por inversiones</w:t>
      </w:r>
      <w:r>
        <w:t xml:space="preserve"> y </w:t>
      </w:r>
      <w:r>
        <w:rPr>
          <w:i/>
          <w:iCs/>
        </w:rPr>
        <w:t>cobros por desinversiones</w:t>
      </w:r>
      <w:r>
        <w:t>.</w:t>
      </w:r>
    </w:p>
    <w:p w14:paraId="0CE1C5E5" w14:textId="59A9E1CE" w:rsidR="005A58AD" w:rsidRPr="009008C8" w:rsidRDefault="005A58AD" w:rsidP="008F2749">
      <w:pPr>
        <w:pStyle w:val="Nivel1SM"/>
      </w:pPr>
      <w:r>
        <w:t xml:space="preserve">Teniendo en cuenta todo nos queda el </w:t>
      </w:r>
      <w:r w:rsidRPr="008F2749">
        <w:rPr>
          <w:i/>
          <w:iCs/>
          <w:u w:val="single"/>
        </w:rPr>
        <w:t xml:space="preserve">aumento </w:t>
      </w:r>
      <w:r w:rsidR="009008C8" w:rsidRPr="008F2749">
        <w:rPr>
          <w:i/>
          <w:iCs/>
          <w:u w:val="single"/>
        </w:rPr>
        <w:t>neto del efectivo o equivalentes</w:t>
      </w:r>
      <w:r w:rsidR="009008C8">
        <w:t>.</w:t>
      </w:r>
    </w:p>
    <w:p w14:paraId="5342552F" w14:textId="7690CEBD" w:rsidR="004A519F" w:rsidRPr="004A519F" w:rsidRDefault="004A519F" w:rsidP="004A519F">
      <w:pPr>
        <w:pStyle w:val="Ttuloimagen"/>
        <w:rPr>
          <w:i/>
          <w:iCs/>
          <w:smallCaps w:val="0"/>
          <w:spacing w:val="-4"/>
        </w:rPr>
      </w:pPr>
      <w:r w:rsidRPr="004A519F">
        <w:rPr>
          <w:spacing w:val="-4"/>
        </w:rPr>
        <w:t>Imagen</w:t>
      </w:r>
      <w:r w:rsidR="00C63905">
        <w:rPr>
          <w:spacing w:val="-4"/>
        </w:rPr>
        <w:t> </w:t>
      </w:r>
      <w:r w:rsidRPr="004A519F">
        <w:rPr>
          <w:spacing w:val="-4"/>
        </w:rPr>
        <w:fldChar w:fldCharType="begin"/>
      </w:r>
      <w:r w:rsidRPr="004A519F">
        <w:rPr>
          <w:spacing w:val="-4"/>
        </w:rPr>
        <w:instrText xml:space="preserve"> SEQ Ilustración \* ARABIC </w:instrText>
      </w:r>
      <w:r w:rsidRPr="004A519F">
        <w:rPr>
          <w:spacing w:val="-4"/>
        </w:rPr>
        <w:fldChar w:fldCharType="separate"/>
      </w:r>
      <w:r w:rsidR="00971219">
        <w:rPr>
          <w:spacing w:val="-4"/>
        </w:rPr>
        <w:t>6</w:t>
      </w:r>
      <w:r w:rsidRPr="004A519F">
        <w:rPr>
          <w:spacing w:val="-4"/>
        </w:rPr>
        <w:fldChar w:fldCharType="end"/>
      </w:r>
      <w:r w:rsidRPr="004A519F">
        <w:rPr>
          <w:smallCaps w:val="0"/>
          <w:spacing w:val="-4"/>
        </w:rPr>
        <w:t>.–</w:t>
      </w:r>
      <w:r w:rsidRPr="004A519F">
        <w:rPr>
          <w:i/>
          <w:iCs/>
          <w:smallCaps w:val="0"/>
          <w:spacing w:val="-4"/>
        </w:rPr>
        <w:t xml:space="preserve">Modelo </w:t>
      </w:r>
      <w:r>
        <w:rPr>
          <w:i/>
          <w:iCs/>
          <w:smallCaps w:val="0"/>
          <w:spacing w:val="-4"/>
        </w:rPr>
        <w:t>oficial completo de estado de flujos de efectivo del PGC</w:t>
      </w:r>
    </w:p>
    <w:p w14:paraId="32CABB20" w14:textId="01EEE344" w:rsidR="004A519F" w:rsidRDefault="00CC53F9" w:rsidP="004A519F">
      <w:pPr>
        <w:pStyle w:val="Imagen"/>
      </w:pPr>
      <w:r>
        <w:drawing>
          <wp:inline distT="0" distB="0" distL="0" distR="0" wp14:anchorId="1E6FD8CF" wp14:editId="1657E9C7">
            <wp:extent cx="3600000" cy="4193899"/>
            <wp:effectExtent l="0" t="0" r="635" b="0"/>
            <wp:docPr id="14" name="Imagen 1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abla&#10;&#10;Descripción generada automáticamente"/>
                    <pic:cNvPicPr/>
                  </pic:nvPicPr>
                  <pic:blipFill rotWithShape="1">
                    <a:blip r:embed="rId17"/>
                    <a:srcRect t="8774"/>
                    <a:stretch/>
                  </pic:blipFill>
                  <pic:spPr bwMode="auto">
                    <a:xfrm>
                      <a:off x="0" y="0"/>
                      <a:ext cx="3600000" cy="4193899"/>
                    </a:xfrm>
                    <a:prstGeom prst="rect">
                      <a:avLst/>
                    </a:prstGeom>
                    <a:ln>
                      <a:noFill/>
                    </a:ln>
                    <a:extLst>
                      <a:ext uri="{53640926-AAD7-44D8-BBD7-CCE9431645EC}">
                        <a14:shadowObscured xmlns:a14="http://schemas.microsoft.com/office/drawing/2010/main"/>
                      </a:ext>
                    </a:extLst>
                  </pic:spPr>
                </pic:pic>
              </a:graphicData>
            </a:graphic>
          </wp:inline>
        </w:drawing>
      </w:r>
    </w:p>
    <w:p w14:paraId="4ADEEDF6" w14:textId="413225A2" w:rsidR="00685668" w:rsidRPr="004A519F" w:rsidRDefault="004A519F" w:rsidP="004A519F">
      <w:pPr>
        <w:pStyle w:val="PiedeImagen"/>
        <w:rPr>
          <w:i w:val="0"/>
          <w:iCs/>
        </w:rPr>
      </w:pPr>
      <w:r>
        <w:t>Fuente</w:t>
      </w:r>
      <w:r>
        <w:rPr>
          <w:i w:val="0"/>
          <w:iCs/>
        </w:rPr>
        <w:t xml:space="preserve">: </w:t>
      </w:r>
      <w:bookmarkStart w:id="22" w:name="_Hlk125455509"/>
      <w:r w:rsidRPr="00663C2C">
        <w:rPr>
          <w:i w:val="0"/>
          <w:iCs/>
        </w:rPr>
        <w:t xml:space="preserve">Garrido Miralles, P. &amp; Íñiguez Sánchez, R. (2017). </w:t>
      </w:r>
      <w:r w:rsidRPr="00663C2C">
        <w:t>Análisis de estados contables: Elaboración e interpretación de la información financiera</w:t>
      </w:r>
      <w:r w:rsidRPr="00663C2C">
        <w:rPr>
          <w:i w:val="0"/>
          <w:iCs/>
        </w:rPr>
        <w:t>. Difusora Larousse - Ediciones Pirámide.</w:t>
      </w:r>
    </w:p>
    <w:p w14:paraId="24CCF9CF" w14:textId="6014A29F" w:rsidR="009D5344" w:rsidRDefault="003744DA">
      <w:pPr>
        <w:pStyle w:val="Ttulo6"/>
        <w:numPr>
          <w:ilvl w:val="0"/>
          <w:numId w:val="19"/>
        </w:numPr>
        <w:ind w:left="0" w:hanging="284"/>
      </w:pPr>
      <w:bookmarkStart w:id="23" w:name="_Toc125485417"/>
      <w:bookmarkEnd w:id="22"/>
      <w:r>
        <w:t>Memoria</w:t>
      </w:r>
      <w:bookmarkEnd w:id="23"/>
    </w:p>
    <w:p w14:paraId="00192076" w14:textId="503985D2" w:rsidR="003744DA" w:rsidRDefault="003744DA" w:rsidP="00C63905">
      <w:pPr>
        <w:pStyle w:val="Nivel1SM"/>
        <w:spacing w:before="0"/>
      </w:pPr>
      <w:r>
        <w:t xml:space="preserve">La </w:t>
      </w:r>
      <w:r w:rsidRPr="006864DD">
        <w:rPr>
          <w:b/>
          <w:bCs/>
        </w:rPr>
        <w:t>memoria</w:t>
      </w:r>
      <w:r>
        <w:t xml:space="preserve"> es un estado contable que </w:t>
      </w:r>
      <w:r w:rsidRPr="006864DD">
        <w:rPr>
          <w:i/>
          <w:iCs/>
        </w:rPr>
        <w:t>amplía, complementa y comenta la información contenida en el resto de documentos que integran las cuentas anuales de una empresa</w:t>
      </w:r>
      <w:r>
        <w:t xml:space="preserve">. Contendrá información relevante para </w:t>
      </w:r>
      <w:r w:rsidR="009008C8">
        <w:t xml:space="preserve">comprender la situación de </w:t>
      </w:r>
      <w:r>
        <w:t>la empresa</w:t>
      </w:r>
      <w:r w:rsidR="009008C8">
        <w:t>.</w:t>
      </w:r>
    </w:p>
    <w:p w14:paraId="2095248B" w14:textId="77777777" w:rsidR="004E62AB" w:rsidRDefault="004E62AB" w:rsidP="004E62AB">
      <w:pPr>
        <w:pStyle w:val="Nivel1SM"/>
        <w:keepNext/>
        <w:spacing w:after="0"/>
      </w:pPr>
      <w:r>
        <w:t>Provee información sobre los siguientes aspectos:</w:t>
      </w:r>
    </w:p>
    <w:p w14:paraId="388C49F6" w14:textId="4685BDB0" w:rsidR="004E62AB" w:rsidRDefault="006864DD" w:rsidP="004E62AB">
      <w:pPr>
        <w:pStyle w:val="Nivel2SM"/>
      </w:pPr>
      <w:r>
        <w:t>Ofrece información detallada sobre ciertos elementos</w:t>
      </w:r>
      <w:r w:rsidR="004E62AB">
        <w:t xml:space="preserve"> (p.ej. elementos del balance y de la cuenta de pérdidas y ganancias)</w:t>
      </w:r>
      <w:r>
        <w:t>,</w:t>
      </w:r>
    </w:p>
    <w:p w14:paraId="06D3A391" w14:textId="00369B1E" w:rsidR="004E62AB" w:rsidRDefault="004E62AB" w:rsidP="004E62AB">
      <w:pPr>
        <w:pStyle w:val="Nivel2SM"/>
      </w:pPr>
      <w:r>
        <w:t>P</w:t>
      </w:r>
      <w:r w:rsidR="006864DD">
        <w:t>uede ofrecer desgloses del negocio por regiones o por productos</w:t>
      </w:r>
      <w:r>
        <w:t>,</w:t>
      </w:r>
      <w:r w:rsidR="006864DD">
        <w:t xml:space="preserve"> y</w:t>
      </w:r>
    </w:p>
    <w:p w14:paraId="49CF9E2F" w14:textId="1AE79626" w:rsidR="006864DD" w:rsidRDefault="004E62AB" w:rsidP="004E62AB">
      <w:pPr>
        <w:pStyle w:val="Nivel2SM"/>
      </w:pPr>
      <w:r>
        <w:t>O</w:t>
      </w:r>
      <w:r w:rsidR="006864DD">
        <w:t>frece explicaciones sobre excepciones que se han llevado a cabo en la aplicación de principios contables.</w:t>
      </w:r>
    </w:p>
    <w:p w14:paraId="6FFAE0B1" w14:textId="27085F4A" w:rsidR="006C3932" w:rsidRDefault="009008C8" w:rsidP="009008C8">
      <w:pPr>
        <w:pStyle w:val="Ttulo6"/>
      </w:pPr>
      <w:bookmarkStart w:id="24" w:name="_Toc125485418"/>
      <w:r>
        <w:t xml:space="preserve">Otras cuentas: el informe de </w:t>
      </w:r>
      <w:r w:rsidR="00E969DF">
        <w:t>auditoría</w:t>
      </w:r>
      <w:r>
        <w:t xml:space="preserve"> y el informe de </w:t>
      </w:r>
      <w:r w:rsidR="00E969DF">
        <w:t>gestión</w:t>
      </w:r>
      <w:bookmarkEnd w:id="24"/>
    </w:p>
    <w:p w14:paraId="592BF093" w14:textId="449151D0" w:rsidR="000D3AF2" w:rsidRPr="000D3AF2" w:rsidRDefault="000D3AF2" w:rsidP="00C63905">
      <w:pPr>
        <w:pStyle w:val="Nivel1SM"/>
        <w:spacing w:before="0"/>
      </w:pPr>
      <w:r>
        <w:t>Hasta aquí hemos analizado la estructura de los documentos que componen las cuentas anuales y que permiten dar una imagen fiel de la estructura económica y financiera de la empresa. E</w:t>
      </w:r>
      <w:r w:rsidR="00BD7839">
        <w:t>n cualquier caso, es importante mencionar que e</w:t>
      </w:r>
      <w:r>
        <w:t xml:space="preserve">xisten otros documentos como el </w:t>
      </w:r>
      <w:r w:rsidRPr="006864DD">
        <w:rPr>
          <w:b/>
          <w:bCs/>
        </w:rPr>
        <w:t xml:space="preserve">informe de </w:t>
      </w:r>
      <w:r w:rsidR="00E969DF" w:rsidRPr="006864DD">
        <w:rPr>
          <w:b/>
          <w:bCs/>
        </w:rPr>
        <w:lastRenderedPageBreak/>
        <w:t>auditoría</w:t>
      </w:r>
      <w:r w:rsidR="00E969DF" w:rsidRPr="00E969DF">
        <w:rPr>
          <w:rStyle w:val="Refdenotaalpie"/>
        </w:rPr>
        <w:footnoteReference w:id="22"/>
      </w:r>
      <w:r w:rsidR="00CC53F9" w:rsidRPr="00CC53F9">
        <w:rPr>
          <w:vertAlign w:val="superscript"/>
        </w:rPr>
        <w:t>,</w:t>
      </w:r>
      <w:r w:rsidR="009161FE" w:rsidRPr="00CC53F9">
        <w:rPr>
          <w:rStyle w:val="Refdenotaalpie"/>
        </w:rPr>
        <w:footnoteReference w:id="23"/>
      </w:r>
      <w:r>
        <w:t xml:space="preserve"> o el </w:t>
      </w:r>
      <w:r w:rsidRPr="006864DD">
        <w:rPr>
          <w:b/>
          <w:bCs/>
        </w:rPr>
        <w:t xml:space="preserve">informe de </w:t>
      </w:r>
      <w:r w:rsidR="00E969DF" w:rsidRPr="006864DD">
        <w:rPr>
          <w:b/>
          <w:bCs/>
        </w:rPr>
        <w:t>gestión</w:t>
      </w:r>
      <w:r w:rsidR="00E969DF" w:rsidRPr="00E969DF">
        <w:rPr>
          <w:rStyle w:val="Refdenotaalpie"/>
        </w:rPr>
        <w:footnoteReference w:id="24"/>
      </w:r>
      <w:r w:rsidR="00E969DF" w:rsidRPr="00E969DF">
        <w:t xml:space="preserve"> </w:t>
      </w:r>
      <w:r>
        <w:t xml:space="preserve">que también aportan información relevante para entender cuál es la situación en la que se encuentra la empresa. </w:t>
      </w:r>
      <w:r w:rsidR="00BD7839">
        <w:t>Además</w:t>
      </w:r>
      <w:r>
        <w:t>, para obtener una información más precisa muchas veces es necesario llevar a cabo un análisis económico y financiero de algunas magnitudes, el uso de ratios será de gran utilidad para alcanzar este propósito que abordaremos en el siguiente apartado.</w:t>
      </w:r>
    </w:p>
    <w:p w14:paraId="3CBFBDFE" w14:textId="284F2C50" w:rsidR="00F14C38" w:rsidRDefault="00F14C38" w:rsidP="00C471BA">
      <w:pPr>
        <w:pStyle w:val="Ttulo2"/>
      </w:pPr>
      <w:bookmarkStart w:id="25" w:name="_Toc125485419"/>
      <w:r>
        <w:t>Cuadro de cuentas</w:t>
      </w:r>
      <w:bookmarkEnd w:id="25"/>
    </w:p>
    <w:p w14:paraId="51CB692B" w14:textId="30A332CD" w:rsidR="004F4D2A" w:rsidRDefault="004F4D2A" w:rsidP="00C63905">
      <w:pPr>
        <w:pStyle w:val="Nivel1SM"/>
        <w:spacing w:before="0"/>
      </w:pPr>
      <w:r>
        <w:t>Constituye la cuarta parte del plan y no tiene carácter obligatorio para las empresas. Contiene los grupos, subgrupos y cuentas necesarios, codificados en forma decimal y con un título expresivo de su contenido.</w:t>
      </w:r>
    </w:p>
    <w:p w14:paraId="4F64F395" w14:textId="2D45EE69" w:rsidR="004F4D2A" w:rsidRDefault="004F4D2A" w:rsidP="00AD576D">
      <w:pPr>
        <w:pStyle w:val="Nivel1SM"/>
        <w:keepNext/>
        <w:spacing w:after="0"/>
      </w:pPr>
      <w:r>
        <w:t>El PGC divide las cuentas en</w:t>
      </w:r>
      <w:r w:rsidRPr="00723B76">
        <w:t xml:space="preserve"> </w:t>
      </w:r>
      <w:r w:rsidRPr="00723B76">
        <w:rPr>
          <w:b/>
          <w:bCs/>
        </w:rPr>
        <w:t>9</w:t>
      </w:r>
      <w:r w:rsidR="00C63905">
        <w:rPr>
          <w:b/>
          <w:bCs/>
        </w:rPr>
        <w:t> </w:t>
      </w:r>
      <w:r w:rsidRPr="00723B76">
        <w:rPr>
          <w:b/>
          <w:bCs/>
        </w:rPr>
        <w:t>grupos</w:t>
      </w:r>
      <w:r>
        <w:t>. Los 5</w:t>
      </w:r>
      <w:r w:rsidR="00C63905">
        <w:t> </w:t>
      </w:r>
      <w:r>
        <w:t>primeros son de cuentas patrimoniales</w:t>
      </w:r>
      <w:r w:rsidR="00723B76">
        <w:t xml:space="preserve"> (o de situación)</w:t>
      </w:r>
      <w:r>
        <w:t>, y los 4</w:t>
      </w:r>
      <w:r w:rsidR="00C63905">
        <w:t> </w:t>
      </w:r>
      <w:r>
        <w:t xml:space="preserve">últimos </w:t>
      </w:r>
      <w:r w:rsidR="00723B76">
        <w:t xml:space="preserve">son de </w:t>
      </w:r>
      <w:r>
        <w:t>cuentas de gestión</w:t>
      </w:r>
      <w:r w:rsidR="00723B76">
        <w:t xml:space="preserve"> (o de circulación)</w:t>
      </w:r>
      <w:r>
        <w:t>:</w:t>
      </w:r>
    </w:p>
    <w:p w14:paraId="0C16F126" w14:textId="740DC5AA" w:rsidR="00BE3A8F" w:rsidRPr="00F14C38" w:rsidRDefault="00BE3A8F" w:rsidP="00723B76">
      <w:pPr>
        <w:jc w:val="center"/>
      </w:pPr>
      <w:r>
        <w:rPr>
          <w:noProof/>
        </w:rPr>
        <w:drawing>
          <wp:inline distT="0" distB="0" distL="0" distR="0" wp14:anchorId="7B06FA72" wp14:editId="65BB7A0D">
            <wp:extent cx="5278837" cy="1696972"/>
            <wp:effectExtent l="0" t="0" r="0" b="0"/>
            <wp:docPr id="30" name="Imagen 3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Interfaz de usuario gráfica, Texto, Aplicación, Correo electrónico&#10;&#10;Descripción generada automáticamente"/>
                    <pic:cNvPicPr/>
                  </pic:nvPicPr>
                  <pic:blipFill>
                    <a:blip r:embed="rId18"/>
                    <a:stretch>
                      <a:fillRect/>
                    </a:stretch>
                  </pic:blipFill>
                  <pic:spPr>
                    <a:xfrm>
                      <a:off x="0" y="0"/>
                      <a:ext cx="5291076" cy="1700907"/>
                    </a:xfrm>
                    <a:prstGeom prst="rect">
                      <a:avLst/>
                    </a:prstGeom>
                  </pic:spPr>
                </pic:pic>
              </a:graphicData>
            </a:graphic>
          </wp:inline>
        </w:drawing>
      </w:r>
    </w:p>
    <w:p w14:paraId="50442863" w14:textId="7D2D025C" w:rsidR="00F14C38" w:rsidRDefault="00F14C38" w:rsidP="00C471BA">
      <w:pPr>
        <w:pStyle w:val="Ttulo2"/>
      </w:pPr>
      <w:bookmarkStart w:id="26" w:name="_Toc125485420"/>
      <w:r>
        <w:t>Definiciones y relaciones contables</w:t>
      </w:r>
      <w:bookmarkEnd w:id="26"/>
    </w:p>
    <w:p w14:paraId="2D6650A3" w14:textId="2249D220" w:rsidR="004F4D2A" w:rsidRPr="00755A7D" w:rsidRDefault="004F4D2A" w:rsidP="00C63905">
      <w:pPr>
        <w:pStyle w:val="Nivel1SM"/>
        <w:spacing w:before="0"/>
      </w:pPr>
      <w:r w:rsidRPr="004F4D2A">
        <w:t>Representa la quinta parte del plan y tampoco tiene carácter obligatorio</w:t>
      </w:r>
      <w:r w:rsidR="009E5E15">
        <w:t>. I</w:t>
      </w:r>
      <w:r w:rsidRPr="004F4D2A">
        <w:t>ncluye las definiciones de distintas partidas que</w:t>
      </w:r>
      <w:r w:rsidR="009E5E15">
        <w:t xml:space="preserve"> </w:t>
      </w:r>
      <w:r w:rsidRPr="004F4D2A">
        <w:t>se incorporarán en el balance, cuenta de pérdidas y ganancias y en el estado de cambio en el patrimonio neto, así como las de cada una de las cuentas que se recogen en dichas partidas</w:t>
      </w:r>
      <w:r>
        <w:t>.</w:t>
      </w:r>
      <w:r w:rsidR="009E5E15">
        <w:t xml:space="preserve"> Es decir, profundiza en la interpretación del contenido de cada cuenta y los motivos de cargo y abono.</w:t>
      </w:r>
    </w:p>
    <w:p w14:paraId="31304ADC" w14:textId="6E163ED7" w:rsidR="002E0C48" w:rsidRDefault="00F71B3E" w:rsidP="00DA723A">
      <w:pPr>
        <w:pStyle w:val="Ttulo1"/>
      </w:pPr>
      <w:bookmarkStart w:id="27" w:name="_Toc55381922"/>
      <w:bookmarkStart w:id="28" w:name="_Toc55382057"/>
      <w:bookmarkStart w:id="29" w:name="_Toc55382092"/>
      <w:bookmarkStart w:id="30" w:name="_Toc55381923"/>
      <w:bookmarkStart w:id="31" w:name="_Toc55382058"/>
      <w:bookmarkStart w:id="32" w:name="_Toc55382093"/>
      <w:bookmarkStart w:id="33" w:name="_Toc55382521"/>
      <w:bookmarkStart w:id="34" w:name="_Toc55381924"/>
      <w:bookmarkStart w:id="35" w:name="_Toc55382059"/>
      <w:bookmarkStart w:id="36" w:name="_Toc55382094"/>
      <w:bookmarkStart w:id="37" w:name="_Toc55382522"/>
      <w:bookmarkStart w:id="38" w:name="_Toc125485421"/>
      <w:bookmarkEnd w:id="27"/>
      <w:bookmarkEnd w:id="28"/>
      <w:bookmarkEnd w:id="29"/>
      <w:bookmarkEnd w:id="30"/>
      <w:bookmarkEnd w:id="31"/>
      <w:bookmarkEnd w:id="32"/>
      <w:bookmarkEnd w:id="33"/>
      <w:bookmarkEnd w:id="34"/>
      <w:bookmarkEnd w:id="35"/>
      <w:bookmarkEnd w:id="36"/>
      <w:bookmarkEnd w:id="37"/>
      <w:r>
        <w:t>MÉTODOS DE ANÁLISIS ECONÓMICO Y FINANCIERO DE LA EMPRESA</w:t>
      </w:r>
      <w:bookmarkEnd w:id="38"/>
    </w:p>
    <w:p w14:paraId="06C200B5" w14:textId="34079C8C" w:rsidR="00AD576D" w:rsidRPr="00AD576D" w:rsidRDefault="00AD576D" w:rsidP="00AD576D">
      <w:pPr>
        <w:pStyle w:val="Cajadeanotaciones"/>
        <w:rPr>
          <w:rStyle w:val="Hipervnculo"/>
          <w:color w:val="auto"/>
          <w:u w:val="none"/>
        </w:rPr>
      </w:pPr>
      <w:r w:rsidRPr="00AD576D">
        <w:rPr>
          <w:rStyle w:val="Hipervnculo"/>
          <w:color w:val="auto"/>
          <w:u w:val="none"/>
        </w:rPr>
        <w:t xml:space="preserve">Garrido Miralles, P. &amp; Íñiguez Sánchez, R. (2017). </w:t>
      </w:r>
      <w:r w:rsidRPr="00AD576D">
        <w:rPr>
          <w:rStyle w:val="Hipervnculo"/>
          <w:i/>
          <w:iCs/>
          <w:color w:val="auto"/>
          <w:u w:val="none"/>
        </w:rPr>
        <w:t>Análisis de estados contables: Elaboración e interpretación de la información financiera</w:t>
      </w:r>
      <w:r w:rsidRPr="00AD576D">
        <w:rPr>
          <w:rStyle w:val="Hipervnculo"/>
          <w:color w:val="auto"/>
          <w:u w:val="none"/>
        </w:rPr>
        <w:t>. Difusora Larousse - Ediciones Pirámide.</w:t>
      </w:r>
    </w:p>
    <w:p w14:paraId="0E835763" w14:textId="72233F91" w:rsidR="009B3EAA" w:rsidRPr="00091E89" w:rsidRDefault="009B3EAA" w:rsidP="00C63905">
      <w:pPr>
        <w:pStyle w:val="Nivel1SM"/>
        <w:spacing w:before="0"/>
      </w:pPr>
      <w:r>
        <w:t xml:space="preserve">La información financiera y su publicación en las cuentas anuales son la vertiente descriptiva de la información financiera pero es necesario su análisis y comprensión, para lo </w:t>
      </w:r>
      <w:r w:rsidR="004E62AB">
        <w:t>cual</w:t>
      </w:r>
      <w:r>
        <w:t xml:space="preserve"> existen métodos de análisis económico-financieros, que so</w:t>
      </w:r>
      <w:r w:rsidR="00AA5863">
        <w:t>n</w:t>
      </w:r>
      <w:r>
        <w:t xml:space="preserve"> técnicas para facilitar la comprensión de la información financiera y el análisis comparativo.</w:t>
      </w:r>
    </w:p>
    <w:p w14:paraId="0EA4A83E" w14:textId="29A9E959" w:rsidR="001A1EB3" w:rsidRDefault="001A1EB3" w:rsidP="008233F9">
      <w:pPr>
        <w:pStyle w:val="Ttulo2"/>
      </w:pPr>
      <w:bookmarkStart w:id="39" w:name="_Toc125485422"/>
      <w:r>
        <w:t xml:space="preserve">Análisis </w:t>
      </w:r>
      <w:r w:rsidR="00161E21">
        <w:t>de la liquidez</w:t>
      </w:r>
      <w:bookmarkEnd w:id="39"/>
    </w:p>
    <w:p w14:paraId="2B5513C2" w14:textId="63F8DD34" w:rsidR="001A1EB3" w:rsidRDefault="001A1EB3" w:rsidP="00C63905">
      <w:pPr>
        <w:pStyle w:val="Ttulo3"/>
        <w:spacing w:before="0"/>
      </w:pPr>
      <w:bookmarkStart w:id="40" w:name="_Toc125485423"/>
      <w:r>
        <w:t>Análisis de la liquidez</w:t>
      </w:r>
      <w:bookmarkEnd w:id="40"/>
      <w:r w:rsidR="00161E21">
        <w:t xml:space="preserve"> basado en el balance</w:t>
      </w:r>
    </w:p>
    <w:p w14:paraId="1A5A09EC" w14:textId="3B159ABF" w:rsidR="001A1EB3" w:rsidRDefault="001A1EB3" w:rsidP="00C63905">
      <w:pPr>
        <w:pStyle w:val="Nivel1SM"/>
        <w:spacing w:before="0"/>
      </w:pPr>
      <w:r>
        <w:t>La liquidez se puede analizar tomando como referencia el balance de la empresa. Muestra la capacidad de la empresa de obtener los recursos</w:t>
      </w:r>
      <w:r w:rsidR="00C63905">
        <w:t xml:space="preserve"> </w:t>
      </w:r>
      <w:r>
        <w:t>necesarios para la operativa de la misma.</w:t>
      </w:r>
    </w:p>
    <w:p w14:paraId="3574E017" w14:textId="288238AE" w:rsidR="001A1EB3" w:rsidRDefault="001A1EB3" w:rsidP="001A1EB3">
      <w:pPr>
        <w:pStyle w:val="Nivel1SM"/>
      </w:pPr>
      <w:r>
        <w:t>El riesgo de liquidez ocurre cuando el vencimiento de los activos es mayor que el de los pasivos.</w:t>
      </w:r>
    </w:p>
    <w:p w14:paraId="35764E1F" w14:textId="2438FD49" w:rsidR="001A1EB3" w:rsidRDefault="001A1EB3" w:rsidP="009D051D">
      <w:pPr>
        <w:pStyle w:val="Nivel1SM"/>
        <w:keepNext/>
        <w:spacing w:after="0"/>
      </w:pPr>
      <w:r>
        <w:lastRenderedPageBreak/>
        <w:t xml:space="preserve">Por tanto, para medir la liquidez debemos comparar el vencimiento de los activos con el vencimiento de los pasivos. Ello nos lleva a las siguientes </w:t>
      </w:r>
      <w:r w:rsidR="009D051D">
        <w:t>medidas</w:t>
      </w:r>
      <w:r w:rsidR="002B5FCD">
        <w:rPr>
          <w:rStyle w:val="Refdenotaalpie"/>
        </w:rPr>
        <w:footnoteReference w:id="25"/>
      </w:r>
      <w:r w:rsidR="009D051D">
        <w:t>:</w:t>
      </w:r>
    </w:p>
    <w:p w14:paraId="5FF1B08E" w14:textId="77777777" w:rsidR="009D051D" w:rsidRDefault="009D051D">
      <w:pPr>
        <w:pStyle w:val="Prrafodelista"/>
        <w:numPr>
          <w:ilvl w:val="0"/>
          <w:numId w:val="21"/>
        </w:numPr>
        <w:spacing w:after="100"/>
        <w:ind w:left="568" w:hanging="284"/>
      </w:pPr>
      <w:r>
        <w:t>Fondo de maniobra</w:t>
      </w:r>
    </w:p>
    <w:p w14:paraId="23D04261" w14:textId="77777777" w:rsidR="009D051D" w:rsidRDefault="009D051D">
      <w:pPr>
        <w:pStyle w:val="Prrafodelista"/>
        <w:numPr>
          <w:ilvl w:val="0"/>
          <w:numId w:val="21"/>
        </w:numPr>
        <w:spacing w:after="100"/>
        <w:ind w:left="568" w:hanging="284"/>
      </w:pPr>
      <w:r>
        <w:t>Necesidades operativas de financiación</w:t>
      </w:r>
    </w:p>
    <w:p w14:paraId="018358D9" w14:textId="4313BCEC" w:rsidR="009D051D" w:rsidRDefault="009D051D">
      <w:pPr>
        <w:pStyle w:val="Prrafodelista"/>
        <w:numPr>
          <w:ilvl w:val="0"/>
          <w:numId w:val="21"/>
        </w:numPr>
        <w:spacing w:after="100"/>
        <w:ind w:left="568" w:hanging="284"/>
      </w:pPr>
      <w:r>
        <w:t>Ratio de liquidez</w:t>
      </w:r>
    </w:p>
    <w:p w14:paraId="26F426F2" w14:textId="4365C358" w:rsidR="009D051D" w:rsidRDefault="009D051D">
      <w:pPr>
        <w:pStyle w:val="Prrafodelista"/>
        <w:numPr>
          <w:ilvl w:val="0"/>
          <w:numId w:val="21"/>
        </w:numPr>
        <w:spacing w:after="100"/>
        <w:ind w:left="568" w:hanging="284"/>
      </w:pPr>
      <w:r>
        <w:t>Ratio de liquidez inmediata (test de acidez)</w:t>
      </w:r>
    </w:p>
    <w:p w14:paraId="7F86C889" w14:textId="68BFF4A0" w:rsidR="009D051D" w:rsidRDefault="009D051D">
      <w:pPr>
        <w:pStyle w:val="Prrafodelista"/>
        <w:numPr>
          <w:ilvl w:val="0"/>
          <w:numId w:val="21"/>
        </w:numPr>
        <w:spacing w:after="100"/>
        <w:ind w:left="568" w:hanging="284"/>
      </w:pPr>
      <w:r>
        <w:t>Ratio de tesorería</w:t>
      </w:r>
    </w:p>
    <w:p w14:paraId="520BC700" w14:textId="1994EA41" w:rsidR="001A1EB3" w:rsidRDefault="001A1EB3">
      <w:pPr>
        <w:pStyle w:val="Ttulo6"/>
        <w:numPr>
          <w:ilvl w:val="0"/>
          <w:numId w:val="27"/>
        </w:numPr>
        <w:ind w:left="0" w:hanging="284"/>
      </w:pPr>
      <w:bookmarkStart w:id="41" w:name="_Toc125485424"/>
      <w:r>
        <w:t>Fondo de maniobra</w:t>
      </w:r>
      <w:bookmarkEnd w:id="41"/>
    </w:p>
    <w:p w14:paraId="3B47C4C7" w14:textId="05FDDFF1" w:rsidR="001A1EB3" w:rsidRPr="00F61382" w:rsidRDefault="001A1EB3" w:rsidP="00734349">
      <w:pPr>
        <w:pStyle w:val="Nivel1SM"/>
        <w:keepNext/>
        <w:spacing w:before="0" w:after="0"/>
        <w:rPr>
          <w:spacing w:val="-4"/>
        </w:rPr>
      </w:pPr>
      <w:r w:rsidRPr="00F61382">
        <w:rPr>
          <w:spacing w:val="-4"/>
        </w:rPr>
        <w:t>El fondo de maniobra se define como la parte del activo corriente financiado con recursos permanentes:</w:t>
      </w:r>
    </w:p>
    <w:p w14:paraId="1C6F3D13" w14:textId="77777777" w:rsidR="00882DD5" w:rsidRPr="00882DD5" w:rsidRDefault="001A1EB3" w:rsidP="001A1EB3">
      <w:pPr>
        <w:pStyle w:val="Nivel1SM"/>
        <w:numPr>
          <w:ilvl w:val="0"/>
          <w:numId w:val="0"/>
        </w:numPr>
        <w:spacing w:before="0"/>
        <w:rPr>
          <w:rFonts w:eastAsiaTheme="minorEastAsia"/>
          <w:iCs/>
        </w:rPr>
      </w:pPr>
      <m:oMathPara>
        <m:oMath>
          <m:r>
            <w:rPr>
              <w:rFonts w:ascii="Cambria Math" w:eastAsiaTheme="minorEastAsia" w:hAnsi="Cambria Math"/>
            </w:rPr>
            <m:t xml:space="preserve"> </m:t>
          </m:r>
          <m:r>
            <m:rPr>
              <m:nor/>
            </m:rPr>
            <w:rPr>
              <w:i/>
              <w:iCs/>
            </w:rPr>
            <m:t>Fondo de maniobra</m:t>
          </m:r>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Patrimonio Neto</m:t>
                  </m:r>
                  <m:r>
                    <w:rPr>
                      <w:rFonts w:ascii="Cambria Math" w:hAnsi="Cambria Math"/>
                    </w:rPr>
                    <m:t>+</m:t>
                  </m:r>
                  <m:r>
                    <m:rPr>
                      <m:nor/>
                    </m:rPr>
                    <w:rPr>
                      <w:i/>
                      <w:iCs/>
                    </w:rPr>
                    <m:t>Pasivo No Corriente</m:t>
                  </m:r>
                </m:e>
              </m:groupChr>
            </m:e>
            <m:lim>
              <m:r>
                <m:rPr>
                  <m:nor/>
                </m:rPr>
                <w:rPr>
                  <w:i/>
                  <w:iCs/>
                </w:rPr>
                <m:t>Estructura financiera menos Pasivo Corriente</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Activo No Corriente</m:t>
                  </m:r>
                </m:e>
              </m:groupChr>
            </m:e>
            <m:lim>
              <m:r>
                <m:rPr>
                  <m:nor/>
                </m:rPr>
                <w:rPr>
                  <w:i/>
                  <w:iCs/>
                </w:rPr>
                <m:t>Estructura económica menos Activo Corriente</m:t>
              </m:r>
            </m:lim>
          </m:limLow>
        </m:oMath>
      </m:oMathPara>
    </w:p>
    <w:tbl>
      <w:tblPr>
        <w:tblStyle w:val="Tablaconcuadrcula"/>
        <w:tblW w:w="0" w:type="auto"/>
        <w:jc w:val="center"/>
        <w:tblLook w:val="04A0" w:firstRow="1" w:lastRow="0" w:firstColumn="1" w:lastColumn="0" w:noHBand="0" w:noVBand="1"/>
      </w:tblPr>
      <w:tblGrid>
        <w:gridCol w:w="2551"/>
        <w:gridCol w:w="1701"/>
        <w:gridCol w:w="2551"/>
      </w:tblGrid>
      <w:tr w:rsidR="00882DD5" w14:paraId="7B5937E3" w14:textId="77777777" w:rsidTr="001C2D6D">
        <w:trPr>
          <w:jc w:val="center"/>
        </w:trPr>
        <w:tc>
          <w:tcPr>
            <w:tcW w:w="2551" w:type="dxa"/>
            <w:vMerge w:val="restart"/>
            <w:vAlign w:val="center"/>
          </w:tcPr>
          <w:p w14:paraId="06A09AD4" w14:textId="622FA8FC" w:rsidR="00882DD5" w:rsidRPr="001C2D6D" w:rsidRDefault="00882DD5" w:rsidP="00882DD5">
            <w:pPr>
              <w:pStyle w:val="Nivel1SM"/>
              <w:numPr>
                <w:ilvl w:val="0"/>
                <w:numId w:val="0"/>
              </w:numPr>
              <w:spacing w:before="0" w:after="0"/>
              <w:jc w:val="center"/>
              <w:rPr>
                <w:rFonts w:eastAsia="Times New Roman" w:cs="Arial"/>
                <w:iCs/>
                <w:color w:val="538135" w:themeColor="accent6" w:themeShade="BF"/>
              </w:rPr>
            </w:pPr>
            <w:r w:rsidRPr="001C2D6D">
              <w:rPr>
                <w:rFonts w:eastAsia="Times New Roman" w:cs="Arial"/>
                <w:iCs/>
                <w:color w:val="538135" w:themeColor="accent6" w:themeShade="BF"/>
              </w:rPr>
              <w:t>Activo No Corriente</w:t>
            </w:r>
          </w:p>
        </w:tc>
        <w:tc>
          <w:tcPr>
            <w:tcW w:w="1701" w:type="dxa"/>
            <w:tcBorders>
              <w:top w:val="nil"/>
              <w:bottom w:val="nil"/>
            </w:tcBorders>
            <w:vAlign w:val="center"/>
          </w:tcPr>
          <w:p w14:paraId="5A607C40" w14:textId="77777777" w:rsidR="00882DD5" w:rsidRPr="00882DD5" w:rsidRDefault="00882DD5" w:rsidP="00882DD5">
            <w:pPr>
              <w:pStyle w:val="Nivel1SM"/>
              <w:numPr>
                <w:ilvl w:val="0"/>
                <w:numId w:val="0"/>
              </w:numPr>
              <w:spacing w:before="0" w:after="0"/>
              <w:jc w:val="center"/>
              <w:rPr>
                <w:rFonts w:eastAsia="Times New Roman" w:cs="Arial"/>
                <w:iCs/>
                <w:sz w:val="19"/>
                <w:szCs w:val="19"/>
              </w:rPr>
            </w:pPr>
          </w:p>
        </w:tc>
        <w:tc>
          <w:tcPr>
            <w:tcW w:w="2551" w:type="dxa"/>
            <w:vAlign w:val="center"/>
          </w:tcPr>
          <w:p w14:paraId="428B76CC" w14:textId="6AACC8FC" w:rsidR="00882DD5" w:rsidRPr="001C2D6D" w:rsidRDefault="00882DD5" w:rsidP="00882DD5">
            <w:pPr>
              <w:pStyle w:val="Nivel1SM"/>
              <w:numPr>
                <w:ilvl w:val="0"/>
                <w:numId w:val="0"/>
              </w:numPr>
              <w:spacing w:before="0" w:after="0"/>
              <w:jc w:val="center"/>
              <w:rPr>
                <w:rFonts w:eastAsia="Times New Roman" w:cs="Arial"/>
                <w:iCs/>
                <w:color w:val="820000"/>
              </w:rPr>
            </w:pPr>
            <w:r w:rsidRPr="001C2D6D">
              <w:rPr>
                <w:rFonts w:eastAsia="Times New Roman" w:cs="Arial"/>
                <w:iCs/>
                <w:color w:val="BE0000"/>
              </w:rPr>
              <w:t>Patrimonio Neto</w:t>
            </w:r>
          </w:p>
        </w:tc>
      </w:tr>
      <w:tr w:rsidR="00882DD5" w14:paraId="71B61D0B" w14:textId="77777777" w:rsidTr="001C2D6D">
        <w:trPr>
          <w:jc w:val="center"/>
        </w:trPr>
        <w:tc>
          <w:tcPr>
            <w:tcW w:w="2551" w:type="dxa"/>
            <w:vMerge/>
            <w:vAlign w:val="center"/>
          </w:tcPr>
          <w:p w14:paraId="28C2001E" w14:textId="77777777" w:rsidR="00882DD5" w:rsidRPr="001C2D6D" w:rsidRDefault="00882DD5" w:rsidP="00882DD5">
            <w:pPr>
              <w:pStyle w:val="Nivel1SM"/>
              <w:numPr>
                <w:ilvl w:val="0"/>
                <w:numId w:val="0"/>
              </w:numPr>
              <w:spacing w:before="0" w:after="0"/>
              <w:jc w:val="center"/>
              <w:rPr>
                <w:rFonts w:eastAsia="Times New Roman" w:cs="Arial"/>
                <w:iCs/>
                <w:color w:val="538135" w:themeColor="accent6" w:themeShade="BF"/>
              </w:rPr>
            </w:pPr>
          </w:p>
        </w:tc>
        <w:tc>
          <w:tcPr>
            <w:tcW w:w="1701" w:type="dxa"/>
            <w:tcBorders>
              <w:top w:val="nil"/>
              <w:bottom w:val="dashed" w:sz="4" w:space="0" w:color="auto"/>
            </w:tcBorders>
            <w:vAlign w:val="center"/>
          </w:tcPr>
          <w:p w14:paraId="358B5418" w14:textId="77777777" w:rsidR="00882DD5" w:rsidRPr="00882DD5" w:rsidRDefault="00882DD5" w:rsidP="00882DD5">
            <w:pPr>
              <w:pStyle w:val="Nivel1SM"/>
              <w:numPr>
                <w:ilvl w:val="0"/>
                <w:numId w:val="0"/>
              </w:numPr>
              <w:spacing w:before="0" w:after="0"/>
              <w:jc w:val="center"/>
              <w:rPr>
                <w:rFonts w:eastAsia="Times New Roman" w:cs="Arial"/>
                <w:iCs/>
                <w:sz w:val="19"/>
                <w:szCs w:val="19"/>
              </w:rPr>
            </w:pPr>
          </w:p>
        </w:tc>
        <w:tc>
          <w:tcPr>
            <w:tcW w:w="2551" w:type="dxa"/>
            <w:vMerge w:val="restart"/>
            <w:vAlign w:val="center"/>
          </w:tcPr>
          <w:p w14:paraId="3D25E45A" w14:textId="0EC9DB82" w:rsidR="00882DD5" w:rsidRPr="001C2D6D" w:rsidRDefault="00882DD5" w:rsidP="00882DD5">
            <w:pPr>
              <w:pStyle w:val="Nivel1SM"/>
              <w:numPr>
                <w:ilvl w:val="0"/>
                <w:numId w:val="0"/>
              </w:numPr>
              <w:spacing w:before="0" w:after="0"/>
              <w:jc w:val="center"/>
              <w:rPr>
                <w:rFonts w:eastAsia="Times New Roman" w:cs="Arial"/>
                <w:iCs/>
                <w:color w:val="FF3737"/>
              </w:rPr>
            </w:pPr>
            <w:r w:rsidRPr="001C2D6D">
              <w:rPr>
                <w:rFonts w:eastAsia="Times New Roman" w:cs="Arial"/>
                <w:iCs/>
                <w:color w:val="FF3737"/>
              </w:rPr>
              <w:t>Pasivo No Corriente</w:t>
            </w:r>
          </w:p>
        </w:tc>
      </w:tr>
      <w:tr w:rsidR="00882DD5" w14:paraId="62426CDA" w14:textId="77777777" w:rsidTr="001C2D6D">
        <w:trPr>
          <w:jc w:val="center"/>
        </w:trPr>
        <w:tc>
          <w:tcPr>
            <w:tcW w:w="2551" w:type="dxa"/>
            <w:vMerge w:val="restart"/>
            <w:vAlign w:val="center"/>
          </w:tcPr>
          <w:p w14:paraId="728532B8" w14:textId="74350AA5" w:rsidR="00882DD5" w:rsidRPr="001C2D6D" w:rsidRDefault="00882DD5" w:rsidP="00882DD5">
            <w:pPr>
              <w:pStyle w:val="Nivel1SM"/>
              <w:numPr>
                <w:ilvl w:val="0"/>
                <w:numId w:val="0"/>
              </w:numPr>
              <w:spacing w:before="0" w:after="0"/>
              <w:jc w:val="center"/>
              <w:rPr>
                <w:rFonts w:eastAsia="Times New Roman" w:cs="Arial"/>
                <w:iCs/>
                <w:color w:val="538135" w:themeColor="accent6" w:themeShade="BF"/>
              </w:rPr>
            </w:pPr>
            <w:r w:rsidRPr="001C2D6D">
              <w:rPr>
                <w:rFonts w:eastAsia="Times New Roman" w:cs="Arial"/>
                <w:iCs/>
                <w:color w:val="A8D08D" w:themeColor="accent6" w:themeTint="99"/>
              </w:rPr>
              <w:t>Activo Corriente</w:t>
            </w:r>
          </w:p>
        </w:tc>
        <w:tc>
          <w:tcPr>
            <w:tcW w:w="1701" w:type="dxa"/>
            <w:tcBorders>
              <w:top w:val="dashed" w:sz="4" w:space="0" w:color="auto"/>
              <w:bottom w:val="dashed" w:sz="4" w:space="0" w:color="auto"/>
            </w:tcBorders>
            <w:vAlign w:val="center"/>
          </w:tcPr>
          <w:p w14:paraId="7AF7A344" w14:textId="59791BFD" w:rsidR="00882DD5" w:rsidRPr="001C2D6D" w:rsidRDefault="00882DD5" w:rsidP="00882DD5">
            <w:pPr>
              <w:pStyle w:val="Nivel1SM"/>
              <w:numPr>
                <w:ilvl w:val="0"/>
                <w:numId w:val="0"/>
              </w:numPr>
              <w:spacing w:before="0" w:after="0"/>
              <w:jc w:val="center"/>
              <w:rPr>
                <w:rFonts w:eastAsia="Times New Roman" w:cs="Arial"/>
                <w:i/>
                <w:spacing w:val="-2"/>
                <w:sz w:val="19"/>
                <w:szCs w:val="19"/>
              </w:rPr>
            </w:pPr>
            <w:r w:rsidRPr="001C2D6D">
              <w:rPr>
                <w:rFonts w:eastAsia="Times New Roman" w:cs="Arial"/>
                <w:i/>
                <w:spacing w:val="-2"/>
                <w:sz w:val="19"/>
                <w:szCs w:val="19"/>
              </w:rPr>
              <w:t>Fondo de Maniobra (FM)</w:t>
            </w:r>
          </w:p>
        </w:tc>
        <w:tc>
          <w:tcPr>
            <w:tcW w:w="2551" w:type="dxa"/>
            <w:vMerge/>
            <w:vAlign w:val="center"/>
          </w:tcPr>
          <w:p w14:paraId="093F7399" w14:textId="77777777" w:rsidR="00882DD5" w:rsidRPr="001C2D6D" w:rsidRDefault="00882DD5" w:rsidP="00882DD5">
            <w:pPr>
              <w:pStyle w:val="Nivel1SM"/>
              <w:numPr>
                <w:ilvl w:val="0"/>
                <w:numId w:val="0"/>
              </w:numPr>
              <w:spacing w:before="0" w:after="0"/>
              <w:jc w:val="center"/>
              <w:rPr>
                <w:rFonts w:eastAsia="Times New Roman" w:cs="Arial"/>
                <w:iCs/>
                <w:color w:val="BE0000"/>
              </w:rPr>
            </w:pPr>
          </w:p>
        </w:tc>
      </w:tr>
      <w:tr w:rsidR="00882DD5" w14:paraId="29FF2390" w14:textId="77777777" w:rsidTr="001C2D6D">
        <w:trPr>
          <w:jc w:val="center"/>
        </w:trPr>
        <w:tc>
          <w:tcPr>
            <w:tcW w:w="2551" w:type="dxa"/>
            <w:vMerge/>
            <w:vAlign w:val="center"/>
          </w:tcPr>
          <w:p w14:paraId="2956D0D9" w14:textId="77777777" w:rsidR="00882DD5" w:rsidRDefault="00882DD5" w:rsidP="00882DD5">
            <w:pPr>
              <w:pStyle w:val="Nivel1SM"/>
              <w:numPr>
                <w:ilvl w:val="0"/>
                <w:numId w:val="0"/>
              </w:numPr>
              <w:spacing w:before="0" w:after="0"/>
              <w:jc w:val="center"/>
              <w:rPr>
                <w:rFonts w:eastAsia="Times New Roman" w:cs="Arial"/>
                <w:iCs/>
              </w:rPr>
            </w:pPr>
          </w:p>
        </w:tc>
        <w:tc>
          <w:tcPr>
            <w:tcW w:w="1701" w:type="dxa"/>
            <w:tcBorders>
              <w:top w:val="dashed" w:sz="4" w:space="0" w:color="auto"/>
              <w:bottom w:val="nil"/>
            </w:tcBorders>
            <w:vAlign w:val="center"/>
          </w:tcPr>
          <w:p w14:paraId="0296CCA8" w14:textId="77777777" w:rsidR="00882DD5" w:rsidRPr="00882DD5" w:rsidRDefault="00882DD5" w:rsidP="00882DD5">
            <w:pPr>
              <w:pStyle w:val="Nivel1SM"/>
              <w:numPr>
                <w:ilvl w:val="0"/>
                <w:numId w:val="0"/>
              </w:numPr>
              <w:spacing w:before="0" w:after="0"/>
              <w:jc w:val="center"/>
              <w:rPr>
                <w:rFonts w:eastAsia="Times New Roman" w:cs="Arial"/>
                <w:iCs/>
                <w:sz w:val="19"/>
                <w:szCs w:val="19"/>
              </w:rPr>
            </w:pPr>
          </w:p>
        </w:tc>
        <w:tc>
          <w:tcPr>
            <w:tcW w:w="2551" w:type="dxa"/>
            <w:vAlign w:val="center"/>
          </w:tcPr>
          <w:p w14:paraId="6E3608DE" w14:textId="65B9EBE9" w:rsidR="00882DD5" w:rsidRPr="001C2D6D" w:rsidRDefault="00882DD5" w:rsidP="00882DD5">
            <w:pPr>
              <w:pStyle w:val="Nivel1SM"/>
              <w:numPr>
                <w:ilvl w:val="0"/>
                <w:numId w:val="0"/>
              </w:numPr>
              <w:spacing w:before="0" w:after="0"/>
              <w:jc w:val="center"/>
              <w:rPr>
                <w:rFonts w:eastAsia="Times New Roman" w:cs="Arial"/>
                <w:iCs/>
                <w:color w:val="FF7575"/>
              </w:rPr>
            </w:pPr>
            <w:r w:rsidRPr="001C2D6D">
              <w:rPr>
                <w:rFonts w:eastAsia="Times New Roman" w:cs="Arial"/>
                <w:iCs/>
                <w:color w:val="FF7575"/>
              </w:rPr>
              <w:t>Pasivo Corriente</w:t>
            </w:r>
          </w:p>
        </w:tc>
      </w:tr>
    </w:tbl>
    <w:p w14:paraId="70327448" w14:textId="0DD6FC11" w:rsidR="001A1EB3" w:rsidRPr="001A1EB3" w:rsidRDefault="001A1EB3" w:rsidP="001A1EB3">
      <w:pPr>
        <w:pStyle w:val="Nivel1SM"/>
        <w:numPr>
          <w:ilvl w:val="0"/>
          <w:numId w:val="0"/>
        </w:numPr>
        <w:spacing w:before="0"/>
        <w:rPr>
          <w:rFonts w:eastAsiaTheme="minorEastAsia"/>
          <w:iCs/>
        </w:rPr>
      </w:pPr>
      <m:oMathPara>
        <m:oMath>
          <m:r>
            <w:rPr>
              <w:rFonts w:ascii="Cambria Math" w:eastAsiaTheme="minorEastAsia" w:hAnsi="Cambria Math"/>
            </w:rPr>
            <m:t xml:space="preserve"> </m:t>
          </m:r>
          <m:r>
            <m:rPr>
              <m:nor/>
            </m:rPr>
            <w:rPr>
              <w:i/>
              <w:iCs/>
            </w:rPr>
            <m:t>Fondo de maniobra</m:t>
          </m:r>
          <m:r>
            <w:rPr>
              <w:rFonts w:ascii="Cambria Math" w:eastAsiaTheme="minorEastAsia" w:hAnsi="Cambria Math"/>
            </w:rPr>
            <m:t>≡</m:t>
          </m:r>
          <m:r>
            <m:rPr>
              <m:nor/>
            </m:rPr>
            <w:rPr>
              <w:i/>
              <w:iCs/>
            </w:rPr>
            <m:t>Activo Corriente</m:t>
          </m:r>
          <m:r>
            <w:rPr>
              <w:rFonts w:ascii="Cambria Math" w:hAnsi="Cambria Math"/>
            </w:rPr>
            <m:t>-</m:t>
          </m:r>
          <m:r>
            <m:rPr>
              <m:nor/>
            </m:rPr>
            <w:rPr>
              <w:i/>
              <w:iCs/>
            </w:rPr>
            <m:t>Pasivo Corriente</m:t>
          </m:r>
        </m:oMath>
      </m:oMathPara>
    </w:p>
    <w:p w14:paraId="4C04D3AC" w14:textId="534F7AB9" w:rsidR="001A1EB3" w:rsidRDefault="001A1EB3" w:rsidP="009808E2">
      <w:pPr>
        <w:pStyle w:val="Nivel2SM"/>
      </w:pPr>
      <w:r>
        <w:t xml:space="preserve">Un </w:t>
      </w:r>
      <w:r w:rsidRPr="009808E2">
        <w:rPr>
          <w:i/>
          <w:iCs/>
          <w:u w:val="single"/>
        </w:rPr>
        <w:t>fondo de maniobra positivo</w:t>
      </w:r>
      <w:r>
        <w:t xml:space="preserve"> implica que la empresa tendrá suficientes recursos a corto plazo para satisfacer sus obligaciones financieras a corto plazo.</w:t>
      </w:r>
    </w:p>
    <w:p w14:paraId="2B23DCCE" w14:textId="5AA3E519" w:rsidR="001A1EB3" w:rsidRPr="001A1EB3" w:rsidRDefault="001A1EB3" w:rsidP="009808E2">
      <w:pPr>
        <w:pStyle w:val="Nivel2SM"/>
      </w:pPr>
      <w:r>
        <w:t xml:space="preserve">Por el contrario, un </w:t>
      </w:r>
      <w:r w:rsidRPr="009808E2">
        <w:rPr>
          <w:i/>
          <w:iCs/>
          <w:u w:val="single"/>
        </w:rPr>
        <w:t>fondo de maniobra negativo</w:t>
      </w:r>
      <w:r>
        <w:t xml:space="preserve"> </w:t>
      </w:r>
      <w:r w:rsidR="009808E2">
        <w:t xml:space="preserve">podría </w:t>
      </w:r>
      <w:r>
        <w:t>implica</w:t>
      </w:r>
      <w:r w:rsidR="009808E2">
        <w:t>r</w:t>
      </w:r>
      <w:r>
        <w:t xml:space="preserve"> un desequilibrio del balance. Esto puede suponer un problema tanto de liquidez como de solvencia dado que la empresa tendrá que hacer frente a deudas que vencen a corto plazo y sin embargo, los activos no se convertirán en liquidez hasta pasado un años. Sin embargo, un fondo de maniobra </w:t>
      </w:r>
      <w:r w:rsidR="009808E2">
        <w:t>negativo</w:t>
      </w:r>
      <w:r>
        <w:t xml:space="preserve"> no implica necesariamente problemas de liquidez, ya que permite la financiación de la empresa. De hecho, hay sectores que funcionan bien con fondo de maniobra negativo</w:t>
      </w:r>
      <w:r w:rsidR="009808E2">
        <w:t>. Los supermercados compran mucho a proveedores (les paga a 60 días como mucho y lo venden con una rotación menor (los consumidores pagan al contado)). El activo corriente es menor que lo que deben a los proveedores en el corto plazo (menor que el pasivo corriente).</w:t>
      </w:r>
    </w:p>
    <w:p w14:paraId="63D0A793" w14:textId="7F6CB5F3" w:rsidR="001A1EB3" w:rsidRDefault="001A1EB3">
      <w:pPr>
        <w:pStyle w:val="Ttulo6"/>
        <w:numPr>
          <w:ilvl w:val="0"/>
          <w:numId w:val="27"/>
        </w:numPr>
        <w:ind w:left="0" w:hanging="284"/>
      </w:pPr>
      <w:bookmarkStart w:id="42" w:name="_Toc125485425"/>
      <w:r>
        <w:t>Necesidades operativas de fondos</w:t>
      </w:r>
      <w:bookmarkEnd w:id="42"/>
    </w:p>
    <w:p w14:paraId="04C9DE60" w14:textId="75741D50" w:rsidR="009808E2" w:rsidRDefault="009808E2" w:rsidP="00734349">
      <w:pPr>
        <w:pStyle w:val="Nivel1SM"/>
        <w:keepNext/>
        <w:spacing w:before="0" w:after="0"/>
      </w:pPr>
      <w:r>
        <w:t>Al hablar de fondo de maniobra nos hemos referido al existente.</w:t>
      </w:r>
      <w:r w:rsidR="005E38F4">
        <w:t xml:space="preserve"> </w:t>
      </w:r>
      <w:r>
        <w:t>El fondo de maniobra existente debe compararse con las necesidades reales de fondos de la empresa: las necesidades operativas de fondos.</w:t>
      </w:r>
    </w:p>
    <w:p w14:paraId="6B02D0C2" w14:textId="074B9667" w:rsidR="009808E2" w:rsidRDefault="009808E2" w:rsidP="005E38F4">
      <w:pPr>
        <w:pStyle w:val="Nivel2SM"/>
        <w:keepNext/>
        <w:spacing w:after="0"/>
      </w:pPr>
      <w:r>
        <w:t>Para ello, se deben comparar:</w:t>
      </w:r>
    </w:p>
    <w:p w14:paraId="13A099F0" w14:textId="291C4DB4" w:rsidR="009808E2" w:rsidRDefault="009808E2">
      <w:pPr>
        <w:pStyle w:val="Prrafodelista"/>
        <w:numPr>
          <w:ilvl w:val="0"/>
          <w:numId w:val="20"/>
        </w:numPr>
        <w:spacing w:after="100"/>
        <w:ind w:left="1135" w:hanging="284"/>
      </w:pPr>
      <w:r>
        <w:t>Aquellas partidas que la empresa todavía no ha podido convertir en efectivo (p.ej. existencias o cuentas por cobrar a clientes).</w:t>
      </w:r>
    </w:p>
    <w:p w14:paraId="482F6975" w14:textId="447A81C9" w:rsidR="009808E2" w:rsidRDefault="009808E2">
      <w:pPr>
        <w:pStyle w:val="Prrafodelista"/>
        <w:numPr>
          <w:ilvl w:val="0"/>
          <w:numId w:val="20"/>
        </w:numPr>
        <w:spacing w:after="100"/>
        <w:ind w:left="1135" w:hanging="284"/>
      </w:pPr>
      <w:r>
        <w:t>Aquellas partidas que la empresa todavía no ha sufrido una pérdida de efectivo (p.ej. cuentas por pagar y pagos por anticipado de clientes).</w:t>
      </w:r>
    </w:p>
    <w:p w14:paraId="2AD1DEB4" w14:textId="025E2AC7" w:rsidR="009808E2" w:rsidRDefault="009808E2" w:rsidP="005E38F4">
      <w:pPr>
        <w:pStyle w:val="Nivel1SM"/>
        <w:keepNext/>
        <w:spacing w:after="0"/>
      </w:pPr>
      <w:r>
        <w:t xml:space="preserve">El neto de estas partidas constituye las </w:t>
      </w:r>
      <w:r w:rsidRPr="00907428">
        <w:rPr>
          <w:b/>
          <w:bCs/>
        </w:rPr>
        <w:t>necesidades operativas de fondos</w:t>
      </w:r>
      <w:r w:rsidR="00907428">
        <w:rPr>
          <w:rStyle w:val="Refdenotaalpie"/>
        </w:rPr>
        <w:footnoteReference w:id="26"/>
      </w:r>
      <w:r w:rsidR="00907428" w:rsidRPr="00907428">
        <w:t xml:space="preserve"> </w:t>
      </w:r>
      <w:r>
        <w:t>(NOF)</w:t>
      </w:r>
      <w:r w:rsidR="005E38F4">
        <w:t>.</w:t>
      </w:r>
    </w:p>
    <w:p w14:paraId="41E110B8" w14:textId="6DF9268C" w:rsidR="00E27E0F" w:rsidRDefault="00E27E0F" w:rsidP="00720EFD">
      <w:pPr>
        <w:pStyle w:val="Nivel2SM"/>
        <w:keepNext/>
        <w:spacing w:after="0"/>
      </w:pPr>
      <w:r>
        <w:t xml:space="preserve">La NOF muestran la (poca) capacidad que tiene la empresa para financiar sus activos corrientes con pasivos corrientes </w:t>
      </w:r>
      <w:r>
        <w:rPr>
          <w:i/>
          <w:iCs/>
        </w:rPr>
        <w:t>operativos</w:t>
      </w:r>
      <w:r>
        <w:t xml:space="preserve"> (también llamados “recursos espontáneos”), esto es, aquellos pasivos corrientes que en principio no suponen coste por generarse por el mero transcurso de la actividad empresarial (pagos debidos a proveedores, a las administraciones públicas, etc.). Es decir, las NOF serían aquella parte de los activos corrientes que la empresa </w:t>
      </w:r>
      <w:r>
        <w:lastRenderedPageBreak/>
        <w:t>no llega a financiar con pasivo corriente operativo, y que, por tanto, tendrá que cubrir con pasi</w:t>
      </w:r>
      <w:r w:rsidR="00CE0351">
        <w:t>v</w:t>
      </w:r>
      <w:r>
        <w:t>os corrientes con coste: préstamos a corto plazo, letras, pagarés, etc.</w:t>
      </w:r>
    </w:p>
    <w:p w14:paraId="2821BFCD" w14:textId="2A5855BD" w:rsidR="00720EFD" w:rsidRDefault="00720EFD" w:rsidP="00720EFD">
      <w:pPr>
        <w:pStyle w:val="Nivel3SM"/>
        <w:keepNext/>
      </w:pPr>
      <w:r>
        <w:t>Por lo tanto, en principio, cuanto mayor sean las NOF peor, ya que puede significar que la empresa</w:t>
      </w:r>
      <w:r w:rsidR="00882DD5">
        <w:rPr>
          <w:rStyle w:val="Refdenotaalpie"/>
        </w:rPr>
        <w:footnoteReference w:id="27"/>
      </w:r>
      <w:r w:rsidR="00994918" w:rsidRPr="00994918">
        <w:rPr>
          <w:vertAlign w:val="superscript"/>
        </w:rPr>
        <w:t>,</w:t>
      </w:r>
      <w:r w:rsidR="00994918">
        <w:rPr>
          <w:rStyle w:val="Refdenotaalpie"/>
        </w:rPr>
        <w:footnoteReference w:id="28"/>
      </w:r>
      <w:r>
        <w:t>:</w:t>
      </w:r>
    </w:p>
    <w:p w14:paraId="4D2BF07C" w14:textId="77777777" w:rsidR="00882DD5" w:rsidRDefault="00720EFD">
      <w:pPr>
        <w:pStyle w:val="Prrafodelista"/>
        <w:numPr>
          <w:ilvl w:val="0"/>
          <w:numId w:val="25"/>
        </w:numPr>
        <w:spacing w:after="0"/>
        <w:ind w:left="1474" w:hanging="198"/>
      </w:pPr>
      <w:r>
        <w:t>Está generando excesos de tesorería o de existencias, con el asociado coste de oportunidad.</w:t>
      </w:r>
    </w:p>
    <w:p w14:paraId="18B26C45" w14:textId="77777777" w:rsidR="00882DD5" w:rsidRDefault="00720EFD">
      <w:pPr>
        <w:pStyle w:val="Prrafodelista"/>
        <w:numPr>
          <w:ilvl w:val="0"/>
          <w:numId w:val="25"/>
        </w:numPr>
        <w:spacing w:after="0"/>
        <w:ind w:left="1474" w:hanging="198"/>
      </w:pPr>
      <w:r>
        <w:t>Está vendiendo a crédito.</w:t>
      </w:r>
    </w:p>
    <w:p w14:paraId="7E17BD52" w14:textId="4F876820" w:rsidR="00720EFD" w:rsidRDefault="00720EFD">
      <w:pPr>
        <w:pStyle w:val="Prrafodelista"/>
        <w:keepNext/>
        <w:numPr>
          <w:ilvl w:val="0"/>
          <w:numId w:val="25"/>
        </w:numPr>
        <w:spacing w:after="0"/>
        <w:ind w:left="1474" w:hanging="198"/>
      </w:pPr>
      <w:r>
        <w:t>Está pagando al contado.</w:t>
      </w:r>
    </w:p>
    <w:p w14:paraId="6D6E7677" w14:textId="45FC1473" w:rsidR="00720EFD" w:rsidRDefault="00720EFD" w:rsidP="00720EFD">
      <w:pPr>
        <w:pStyle w:val="Nivel5"/>
        <w:keepNext/>
        <w:ind w:left="1871"/>
      </w:pPr>
      <w:r>
        <w:t>De hecho, el modelo de negocio de muchas empresas se basa en tener unas NOF negativas, esto es, utilizarlas como fuente de financiación:</w:t>
      </w:r>
    </w:p>
    <w:p w14:paraId="72A96514" w14:textId="3774A837" w:rsidR="00720EFD" w:rsidRDefault="00720EFD" w:rsidP="00720EFD">
      <w:pPr>
        <w:pStyle w:val="Nivel6"/>
        <w:ind w:left="2212"/>
      </w:pPr>
      <w:r>
        <w:t xml:space="preserve">Empresas de venta online, pues cobran al contado y tienen pocas existencias (i.e. </w:t>
      </w:r>
      <w:r>
        <w:rPr>
          <w:i/>
          <w:iCs/>
        </w:rPr>
        <w:t>AC</w:t>
      </w:r>
      <w:r>
        <w:t xml:space="preserve"> bajo).</w:t>
      </w:r>
    </w:p>
    <w:p w14:paraId="116612A3" w14:textId="0AE12C2B" w:rsidR="00720EFD" w:rsidRDefault="00720EFD" w:rsidP="00720EFD">
      <w:pPr>
        <w:pStyle w:val="Nivel6"/>
        <w:ind w:left="2212"/>
      </w:pPr>
      <w:r>
        <w:t xml:space="preserve">Grandes superficies, pues cobran al contado (i.e. </w:t>
      </w:r>
      <w:r>
        <w:rPr>
          <w:i/>
          <w:iCs/>
        </w:rPr>
        <w:t>AC</w:t>
      </w:r>
      <w:r>
        <w:t xml:space="preserve"> bajo) y pagan a plazo (</w:t>
      </w:r>
      <w:proofErr w:type="spellStart"/>
      <w:r>
        <w:t>ie</w:t>
      </w:r>
      <w:proofErr w:type="spellEnd"/>
      <w:r>
        <w:t xml:space="preserve">. </w:t>
      </w:r>
      <w:proofErr w:type="spellStart"/>
      <w:r>
        <w:rPr>
          <w:i/>
          <w:iCs/>
        </w:rPr>
        <w:t>PC</w:t>
      </w:r>
      <w:r>
        <w:rPr>
          <w:i/>
          <w:iCs/>
          <w:vertAlign w:val="subscript"/>
        </w:rPr>
        <w:t>op</w:t>
      </w:r>
      <w:proofErr w:type="spellEnd"/>
      <w:r>
        <w:t xml:space="preserve"> alto).</w:t>
      </w:r>
    </w:p>
    <w:p w14:paraId="4E483843" w14:textId="338FC7AC" w:rsidR="00720EFD" w:rsidRDefault="00720EFD" w:rsidP="00882DD5">
      <w:pPr>
        <w:pStyle w:val="Nivel3SM"/>
        <w:keepNext/>
      </w:pPr>
      <w:r>
        <w:t>La relación entre las NOF y el FM es:</w:t>
      </w:r>
    </w:p>
    <w:p w14:paraId="2DEBD020" w14:textId="7A3E7934" w:rsidR="00720EFD" w:rsidRPr="00720EFD" w:rsidRDefault="00000000" w:rsidP="00720EFD">
      <w:pPr>
        <w:pStyle w:val="Nivel3SM"/>
        <w:numPr>
          <w:ilvl w:val="0"/>
          <w:numId w:val="0"/>
        </w:numPr>
        <w:ind w:left="963"/>
      </w:pPr>
      <m:oMathPara>
        <m:oMath>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r>
                      <m:rPr>
                        <m:nor/>
                      </m:rPr>
                      <w:rPr>
                        <w:i/>
                        <w:iCs/>
                      </w:rPr>
                      <m:t>NOF</m:t>
                    </m:r>
                    <m:r>
                      <w:rPr>
                        <w:rFonts w:ascii="Cambria Math" w:hAnsi="Cambria Math"/>
                      </w:rPr>
                      <m:t>=</m:t>
                    </m:r>
                    <m:r>
                      <m:rPr>
                        <m:nor/>
                      </m:rPr>
                      <w:rPr>
                        <w:i/>
                        <w:iCs/>
                      </w:rPr>
                      <m:t>AC</m:t>
                    </m:r>
                    <m:r>
                      <w:rPr>
                        <w:rFonts w:ascii="Cambria Math" w:hAnsi="Cambria Math"/>
                      </w:rPr>
                      <m:t>-</m:t>
                    </m:r>
                    <m:sSub>
                      <m:sSubPr>
                        <m:ctrlPr>
                          <w:rPr>
                            <w:rFonts w:ascii="Cambria Math" w:hAnsi="Cambria Math"/>
                            <w:i/>
                          </w:rPr>
                        </m:ctrlPr>
                      </m:sSubPr>
                      <m:e>
                        <m:r>
                          <m:rPr>
                            <m:nor/>
                          </m:rPr>
                          <w:rPr>
                            <w:i/>
                            <w:iCs/>
                          </w:rPr>
                          <m:t>PC</m:t>
                        </m:r>
                      </m:e>
                      <m:sub>
                        <m:r>
                          <m:rPr>
                            <m:nor/>
                          </m:rPr>
                          <w:rPr>
                            <w:i/>
                            <w:iCs/>
                          </w:rPr>
                          <m:t>op</m:t>
                        </m:r>
                      </m:sub>
                    </m:sSub>
                  </m:e>
                </m:mr>
                <m:mr>
                  <m:e>
                    <m:r>
                      <w:rPr>
                        <w:rFonts w:ascii="Cambria Math" w:hAnsi="Cambria Math"/>
                      </w:rPr>
                      <m:t xml:space="preserve"> </m:t>
                    </m:r>
                  </m:e>
                </m:mr>
                <m:mr>
                  <m:e>
                    <m:r>
                      <m:rPr>
                        <m:nor/>
                      </m:rPr>
                      <w:rPr>
                        <w:i/>
                        <w:iCs/>
                      </w:rPr>
                      <m:t>FM</m:t>
                    </m:r>
                    <m:r>
                      <w:rPr>
                        <w:rFonts w:ascii="Cambria Math" w:hAnsi="Cambria Math"/>
                      </w:rPr>
                      <m:t>=</m:t>
                    </m:r>
                    <m:r>
                      <m:rPr>
                        <m:nor/>
                      </m:rPr>
                      <w:rPr>
                        <w:i/>
                        <w:iCs/>
                      </w:rPr>
                      <m:t>AC</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iCs/>
                                      </w:rPr>
                                      <m:t>PC</m:t>
                                    </m:r>
                                  </m:e>
                                  <m:sub>
                                    <m:r>
                                      <m:rPr>
                                        <m:nor/>
                                      </m:rPr>
                                      <w:rPr>
                                        <w:i/>
                                        <w:iCs/>
                                      </w:rPr>
                                      <m:t>op</m:t>
                                    </m:r>
                                  </m:sub>
                                </m:sSub>
                                <m:r>
                                  <w:rPr>
                                    <w:rFonts w:ascii="Cambria Math" w:hAnsi="Cambria Math"/>
                                  </w:rPr>
                                  <m:t>+</m:t>
                                </m:r>
                                <m:sSub>
                                  <m:sSubPr>
                                    <m:ctrlPr>
                                      <w:rPr>
                                        <w:rFonts w:ascii="Cambria Math" w:hAnsi="Cambria Math"/>
                                        <w:i/>
                                      </w:rPr>
                                    </m:ctrlPr>
                                  </m:sSubPr>
                                  <m:e>
                                    <m:r>
                                      <m:rPr>
                                        <m:nor/>
                                      </m:rPr>
                                      <w:rPr>
                                        <w:i/>
                                        <w:iCs/>
                                      </w:rPr>
                                      <m:t>PC</m:t>
                                    </m:r>
                                  </m:e>
                                  <m:sub>
                                    <m:r>
                                      <m:rPr>
                                        <m:nor/>
                                      </m:rPr>
                                      <w:rPr>
                                        <w:i/>
                                        <w:iCs/>
                                      </w:rPr>
                                      <m:t>no op</m:t>
                                    </m:r>
                                  </m:sub>
                                </m:sSub>
                              </m:e>
                            </m:d>
                          </m:e>
                        </m:groupChr>
                      </m:e>
                      <m:lim>
                        <m:r>
                          <m:rPr>
                            <m:nor/>
                          </m:rPr>
                          <w:rPr>
                            <w:i/>
                            <w:iCs/>
                          </w:rPr>
                          <m:t>PC</m:t>
                        </m:r>
                      </m:lim>
                    </m:limLow>
                  </m:e>
                </m:mr>
              </m:m>
            </m:e>
          </m:d>
          <m:r>
            <w:rPr>
              <w:rFonts w:ascii="Cambria Math" w:hAnsi="Cambria Math"/>
            </w:rPr>
            <m:t>⟹</m:t>
          </m:r>
          <m:r>
            <m:rPr>
              <m:nor/>
            </m:rPr>
            <w:rPr>
              <w:i/>
              <w:iCs/>
            </w:rPr>
            <m:t>FM</m:t>
          </m:r>
          <m:r>
            <w:rPr>
              <w:rFonts w:ascii="Cambria Math" w:hAnsi="Cambria Math"/>
            </w:rPr>
            <m:t>+</m:t>
          </m:r>
          <m:sSub>
            <m:sSubPr>
              <m:ctrlPr>
                <w:rPr>
                  <w:rFonts w:ascii="Cambria Math" w:hAnsi="Cambria Math"/>
                  <w:i/>
                </w:rPr>
              </m:ctrlPr>
            </m:sSubPr>
            <m:e>
              <m:r>
                <m:rPr>
                  <m:nor/>
                </m:rPr>
                <w:rPr>
                  <w:i/>
                  <w:iCs/>
                </w:rPr>
                <m:t>PC</m:t>
              </m:r>
            </m:e>
            <m:sub>
              <m:r>
                <m:rPr>
                  <m:nor/>
                </m:rPr>
                <w:rPr>
                  <w:i/>
                  <w:iCs/>
                </w:rPr>
                <m:t>no op</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iCs/>
                    </w:rPr>
                    <m:t>AC</m:t>
                  </m:r>
                  <m:r>
                    <w:rPr>
                      <w:rFonts w:ascii="Cambria Math" w:hAnsi="Cambria Math"/>
                    </w:rPr>
                    <m:t>-</m:t>
                  </m:r>
                  <m:sSub>
                    <m:sSubPr>
                      <m:ctrlPr>
                        <w:rPr>
                          <w:rFonts w:ascii="Cambria Math" w:hAnsi="Cambria Math"/>
                          <w:i/>
                        </w:rPr>
                      </m:ctrlPr>
                    </m:sSubPr>
                    <m:e>
                      <m:r>
                        <m:rPr>
                          <m:nor/>
                        </m:rPr>
                        <w:rPr>
                          <w:i/>
                          <w:iCs/>
                        </w:rPr>
                        <m:t>PC</m:t>
                      </m:r>
                    </m:e>
                    <m:sub>
                      <m:r>
                        <m:rPr>
                          <m:nor/>
                        </m:rPr>
                        <w:rPr>
                          <w:i/>
                          <w:iCs/>
                        </w:rPr>
                        <m:t>op</m:t>
                      </m:r>
                    </m:sub>
                  </m:sSub>
                </m:e>
              </m:groupChr>
            </m:e>
            <m:lim>
              <m:r>
                <m:rPr>
                  <m:nor/>
                </m:rPr>
                <w:rPr>
                  <w:i/>
                  <w:iCs/>
                </w:rPr>
                <m:t>NOF</m:t>
              </m:r>
            </m:lim>
          </m:limLow>
          <m:r>
            <w:rPr>
              <w:rFonts w:ascii="Cambria Math" w:hAnsi="Cambria Math"/>
            </w:rPr>
            <m:t>⟹</m:t>
          </m:r>
          <m:borderBox>
            <m:borderBoxPr>
              <m:ctrlPr>
                <w:rPr>
                  <w:rFonts w:ascii="Cambria Math" w:hAnsi="Cambria Math"/>
                  <w:i/>
                  <w:iCs/>
                </w:rPr>
              </m:ctrlPr>
            </m:borderBoxPr>
            <m:e>
              <m:r>
                <m:rPr>
                  <m:nor/>
                </m:rPr>
                <w:rPr>
                  <w:i/>
                  <w:iCs/>
                </w:rPr>
                <m:t>NOF</m:t>
              </m:r>
              <m:r>
                <w:rPr>
                  <w:rFonts w:ascii="Cambria Math" w:hAnsi="Cambria Math"/>
                </w:rPr>
                <m:t>=</m:t>
              </m:r>
              <m:r>
                <m:rPr>
                  <m:nor/>
                </m:rPr>
                <w:rPr>
                  <w:i/>
                  <w:iCs/>
                </w:rPr>
                <m:t>FM</m:t>
              </m:r>
              <m:r>
                <w:rPr>
                  <w:rFonts w:ascii="Cambria Math" w:hAnsi="Cambria Math"/>
                </w:rPr>
                <m:t>+</m:t>
              </m:r>
              <m:sSub>
                <m:sSubPr>
                  <m:ctrlPr>
                    <w:rPr>
                      <w:rFonts w:ascii="Cambria Math" w:hAnsi="Cambria Math"/>
                      <w:i/>
                    </w:rPr>
                  </m:ctrlPr>
                </m:sSubPr>
                <m:e>
                  <m:r>
                    <m:rPr>
                      <m:nor/>
                    </m:rPr>
                    <w:rPr>
                      <w:i/>
                      <w:iCs/>
                    </w:rPr>
                    <m:t>PC</m:t>
                  </m:r>
                </m:e>
                <m:sub>
                  <m:r>
                    <m:rPr>
                      <m:nor/>
                    </m:rPr>
                    <w:rPr>
                      <w:i/>
                      <w:iCs/>
                    </w:rPr>
                    <m:t>no op</m:t>
                  </m:r>
                </m:sub>
              </m:sSub>
            </m:e>
          </m:borderBox>
        </m:oMath>
      </m:oMathPara>
    </w:p>
    <w:p w14:paraId="7B682BE2" w14:textId="1ED39664" w:rsidR="00720EFD" w:rsidRDefault="00720EFD" w:rsidP="00720EFD">
      <w:pPr>
        <w:pStyle w:val="Nivel3SM"/>
      </w:pPr>
      <w:r>
        <w:t>Nótese que, mientras unas NOF altas suelen considerarse negativas, un fondo de maniobra alto suele considerarse positivo (pues los activos líquidos de la empresa son mayores que las deudas a corto plazo).</w:t>
      </w:r>
    </w:p>
    <w:p w14:paraId="40503BC7" w14:textId="33795896" w:rsidR="009808E2" w:rsidRDefault="009808E2" w:rsidP="009808E2">
      <w:pPr>
        <w:pStyle w:val="Nivel1SM"/>
      </w:pPr>
      <w:r>
        <w:t>El fondo de maniobra incluye otras partidas que no se encuentran en las NOF (p.ej. tesorería, activos y pasivos financieros a corto plazo).</w:t>
      </w:r>
    </w:p>
    <w:p w14:paraId="51483FBE" w14:textId="6F9ED29C" w:rsidR="009808E2" w:rsidRDefault="009808E2" w:rsidP="009808E2">
      <w:pPr>
        <w:pStyle w:val="Nivel1SM"/>
      </w:pPr>
      <w:r>
        <w:t>Si NOF&gt;FM, la empresa necesita financiación para sus actividades diarias. Pueden existir problemas de liquidez.</w:t>
      </w:r>
    </w:p>
    <w:p w14:paraId="5F54F2BD" w14:textId="449F6516" w:rsidR="001A1EB3" w:rsidRDefault="001A1EB3">
      <w:pPr>
        <w:pStyle w:val="Ttulo6"/>
        <w:numPr>
          <w:ilvl w:val="0"/>
          <w:numId w:val="27"/>
        </w:numPr>
        <w:ind w:left="0" w:hanging="284"/>
      </w:pPr>
      <w:bookmarkStart w:id="43" w:name="_Toc125485427"/>
      <w:r>
        <w:t>Ratio de liquidez general</w:t>
      </w:r>
      <w:bookmarkEnd w:id="43"/>
    </w:p>
    <w:p w14:paraId="14B37E3B" w14:textId="20F70D95" w:rsidR="00D17ACC" w:rsidRPr="00D17ACC" w:rsidRDefault="00D17ACC" w:rsidP="00734349">
      <w:pPr>
        <w:pStyle w:val="Nivel1SM"/>
        <w:keepNext/>
        <w:spacing w:before="0" w:after="0"/>
      </w:pPr>
      <w:r>
        <w:t>La ratio de liquidez general se calcula como</w:t>
      </w:r>
      <w:r w:rsidR="00907E3C">
        <w:rPr>
          <w:rStyle w:val="Refdenotaalpie"/>
        </w:rPr>
        <w:footnoteReference w:id="29"/>
      </w:r>
      <w:r>
        <w:t>:</w:t>
      </w:r>
    </w:p>
    <w:p w14:paraId="73DCDAD5" w14:textId="4FAA9D59" w:rsidR="009808E2" w:rsidRPr="009808E2" w:rsidRDefault="009808E2" w:rsidP="00D17ACC">
      <w:pPr>
        <w:spacing w:after="100"/>
        <w:rPr>
          <w:rFonts w:eastAsiaTheme="minorEastAsia"/>
          <w:iCs/>
        </w:rPr>
      </w:pPr>
      <m:oMathPara>
        <m:oMath>
          <m:r>
            <w:rPr>
              <w:rFonts w:ascii="Cambria Math" w:eastAsiaTheme="majorEastAsia" w:hAnsi="Cambria Math" w:cstheme="majorBidi"/>
            </w:rPr>
            <m:t xml:space="preserve"> </m:t>
          </m:r>
          <m:r>
            <m:rPr>
              <m:nor/>
            </m:rPr>
            <w:rPr>
              <w:i/>
              <w:iCs/>
            </w:rPr>
            <m:t>Ratio de liquidez general</m:t>
          </m:r>
          <m:r>
            <w:rPr>
              <w:rFonts w:ascii="Cambria Math" w:eastAsiaTheme="minorEastAsia" w:hAnsi="Cambria Math"/>
            </w:rPr>
            <m:t>≡</m:t>
          </m:r>
          <m:f>
            <m:fPr>
              <m:ctrlPr>
                <w:rPr>
                  <w:rFonts w:ascii="Cambria Math" w:eastAsiaTheme="minorEastAsia" w:hAnsi="Cambria Math"/>
                  <w:i/>
                  <w:iCs/>
                </w:rPr>
              </m:ctrlPr>
            </m:fPr>
            <m:num>
              <m:r>
                <m:rPr>
                  <m:nor/>
                </m:rPr>
                <w:rPr>
                  <w:i/>
                  <w:iCs/>
                </w:rPr>
                <m:t>Activo Corriente</m:t>
              </m:r>
            </m:num>
            <m:den>
              <m:r>
                <m:rPr>
                  <m:nor/>
                </m:rPr>
                <w:rPr>
                  <w:i/>
                  <w:iCs/>
                </w:rPr>
                <m:t>Pasivo Corriente</m:t>
              </m:r>
            </m:den>
          </m:f>
        </m:oMath>
      </m:oMathPara>
    </w:p>
    <w:p w14:paraId="4168D6C2" w14:textId="2F0CB45E" w:rsidR="009808E2" w:rsidRDefault="009808E2" w:rsidP="002B5FCD">
      <w:pPr>
        <w:pStyle w:val="Nivel2SM"/>
      </w:pPr>
      <w:r>
        <w:t xml:space="preserve">Esta ratio </w:t>
      </w:r>
      <w:r w:rsidR="002B5FCD">
        <w:t xml:space="preserve">(muy relacionada con el fondo de maniobra) </w:t>
      </w:r>
      <w:r>
        <w:t xml:space="preserve">mide si los activos que pueden ser convertidos en </w:t>
      </w:r>
      <w:r>
        <w:rPr>
          <w:i/>
          <w:iCs/>
        </w:rPr>
        <w:t>cash</w:t>
      </w:r>
      <w:r>
        <w:t xml:space="preserve"> en el corto plazo exceden las deudas que hay que pagar en el corto plazo.</w:t>
      </w:r>
    </w:p>
    <w:p w14:paraId="1570551D" w14:textId="1FB01EFC" w:rsidR="002B5FCD" w:rsidRPr="009808E2" w:rsidRDefault="002B5FCD" w:rsidP="002B5FCD">
      <w:pPr>
        <w:pStyle w:val="Nivel2SM"/>
      </w:pPr>
      <w:r w:rsidRPr="002B5FCD">
        <w:t>Aunque es difícil est</w:t>
      </w:r>
      <w:r>
        <w:t>ablecer un valor tipo (que pueda servir para distintos sectores) se suele considerar que esta ratio debe tener un valor superior a la unidad. Nótese que si esta ratio es mayor que uno, el fondo de maniobra será positivo.</w:t>
      </w:r>
    </w:p>
    <w:p w14:paraId="75DD7916" w14:textId="3271ABE8" w:rsidR="001A1EB3" w:rsidRDefault="001A1EB3">
      <w:pPr>
        <w:pStyle w:val="Ttulo6"/>
        <w:numPr>
          <w:ilvl w:val="0"/>
          <w:numId w:val="27"/>
        </w:numPr>
        <w:ind w:left="0" w:hanging="284"/>
      </w:pPr>
      <w:bookmarkStart w:id="44" w:name="_Toc125485428"/>
      <w:r>
        <w:lastRenderedPageBreak/>
        <w:t>Ratio de tesorería</w:t>
      </w:r>
      <w:r w:rsidR="009808E2">
        <w:t xml:space="preserve"> inmediat</w:t>
      </w:r>
      <w:r w:rsidR="00D17ACC">
        <w:t>a</w:t>
      </w:r>
      <w:r w:rsidR="009808E2">
        <w:t xml:space="preserve"> (test ácido)</w:t>
      </w:r>
      <w:bookmarkEnd w:id="44"/>
    </w:p>
    <w:p w14:paraId="60E49756" w14:textId="2A27E782" w:rsidR="001A1EB3" w:rsidRDefault="00D17ACC" w:rsidP="00734349">
      <w:pPr>
        <w:pStyle w:val="Nivel1SM"/>
        <w:keepNext/>
        <w:spacing w:before="0" w:after="0"/>
      </w:pPr>
      <w:r>
        <w:t>La ratio de tesorería inmediata se calcula como:</w:t>
      </w:r>
    </w:p>
    <w:p w14:paraId="333D3BAE" w14:textId="03E67303" w:rsidR="00D17ACC" w:rsidRPr="00D17ACC" w:rsidRDefault="00D17ACC" w:rsidP="00D17ACC">
      <w:pPr>
        <w:pStyle w:val="Nivel1SM"/>
        <w:keepNext/>
        <w:numPr>
          <w:ilvl w:val="0"/>
          <w:numId w:val="0"/>
        </w:numPr>
        <w:spacing w:before="0" w:after="0"/>
        <w:rPr>
          <w:rFonts w:eastAsiaTheme="minorEastAsia"/>
          <w:iCs/>
        </w:rPr>
      </w:pPr>
      <m:oMathPara>
        <m:oMath>
          <m:r>
            <m:rPr>
              <m:nor/>
            </m:rPr>
            <w:rPr>
              <w:rFonts w:ascii="Cambria Math"/>
            </w:rPr>
            <m:t xml:space="preserve"> </m:t>
          </m:r>
          <m:r>
            <m:rPr>
              <m:nor/>
            </m:rPr>
            <w:rPr>
              <w:i/>
              <w:iCs/>
            </w:rPr>
            <m:t>Ratio de tesorería inmediata</m:t>
          </m:r>
          <m:r>
            <w:rPr>
              <w:rFonts w:ascii="Cambria Math" w:eastAsiaTheme="minorEastAsia" w:hAnsi="Cambria Math"/>
            </w:rPr>
            <m:t>≡</m:t>
          </m:r>
          <w:bookmarkStart w:id="45" w:name="_Hlk125477320"/>
          <m:f>
            <m:fPr>
              <m:ctrlPr>
                <w:rPr>
                  <w:rFonts w:ascii="Cambria Math" w:eastAsiaTheme="minorEastAsia" w:hAnsi="Cambria Math"/>
                  <w:i/>
                  <w:iCs/>
                </w:rPr>
              </m:ctrlPr>
            </m:fPr>
            <m:num>
              <m:r>
                <m:rPr>
                  <m:nor/>
                </m:rPr>
                <w:rPr>
                  <w:i/>
                  <w:iCs/>
                </w:rPr>
                <m:t>Activo Corriente</m:t>
              </m:r>
              <m:r>
                <w:rPr>
                  <w:rFonts w:ascii="Cambria Math" w:hAnsi="Cambria Math"/>
                </w:rPr>
                <m:t>-</m:t>
              </m:r>
              <m:r>
                <m:rPr>
                  <m:nor/>
                </m:rPr>
                <w:rPr>
                  <w:i/>
                  <w:iCs/>
                </w:rPr>
                <m:t>Existencias</m:t>
              </m:r>
              <m:r>
                <w:rPr>
                  <w:rFonts w:ascii="Cambria Math" w:hAnsi="Cambria Math"/>
                </w:rPr>
                <m:t>-</m:t>
              </m:r>
              <m:r>
                <m:rPr>
                  <m:nor/>
                </m:rPr>
                <w:rPr>
                  <w:i/>
                  <w:iCs/>
                </w:rPr>
                <m:t>Anticipos a proveedores</m:t>
              </m:r>
            </m:num>
            <m:den>
              <m:r>
                <m:rPr>
                  <m:nor/>
                </m:rPr>
                <w:rPr>
                  <w:i/>
                  <w:iCs/>
                </w:rPr>
                <m:t>Pasivo Corriente</m:t>
              </m:r>
            </m:den>
          </m:f>
        </m:oMath>
      </m:oMathPara>
      <w:bookmarkEnd w:id="45"/>
    </w:p>
    <w:p w14:paraId="11F81084" w14:textId="3AD6E852" w:rsidR="00D17ACC" w:rsidRDefault="00D17ACC" w:rsidP="00D17ACC">
      <w:pPr>
        <w:pStyle w:val="Nivel2SM"/>
      </w:pPr>
      <w:r>
        <w:t>Es decir, la ratio de tesorería inmediata es igual que la ratio de liquidez general pero excluyendo del numerador las existencias en reconocimiento de que una gran parte de las existencias podrían no ser liquidables en el corto plazo. También se excluyen los anticipos a proveedores (tampoco permitirían generar liquidez en el corto plazo).</w:t>
      </w:r>
    </w:p>
    <w:p w14:paraId="619B6E66" w14:textId="7DA849E7" w:rsidR="002B5FCD" w:rsidRDefault="002B5FCD" w:rsidP="002B5FCD">
      <w:pPr>
        <w:pStyle w:val="Nivel2SM"/>
        <w:keepNext/>
      </w:pPr>
      <w:r>
        <w:t>Tras esto, la ratio sería equivalente a:</w:t>
      </w:r>
    </w:p>
    <w:p w14:paraId="3C282631" w14:textId="6B4E08A1" w:rsidR="002B5FCD" w:rsidRDefault="002B5FCD" w:rsidP="002B5FCD">
      <w:pPr>
        <w:pStyle w:val="Nivel2SM"/>
        <w:numPr>
          <w:ilvl w:val="0"/>
          <w:numId w:val="0"/>
        </w:numPr>
        <w:ind w:left="567"/>
      </w:pPr>
      <m:oMathPara>
        <m:oMath>
          <m:r>
            <m:rPr>
              <m:nor/>
            </m:rPr>
            <w:rPr>
              <w:i/>
              <w:iCs/>
            </w:rPr>
            <m:t>Ratio de tesorería inmediata</m:t>
          </m:r>
          <m:r>
            <w:rPr>
              <w:rFonts w:ascii="Cambria Math" w:eastAsiaTheme="minorEastAsia" w:hAnsi="Cambria Math"/>
            </w:rPr>
            <m:t>≡</m:t>
          </m:r>
          <m:f>
            <m:fPr>
              <m:ctrlPr>
                <w:rPr>
                  <w:rFonts w:ascii="Cambria Math" w:eastAsiaTheme="minorEastAsia" w:hAnsi="Cambria Math"/>
                  <w:i/>
                  <w:iCs/>
                </w:rPr>
              </m:ctrlPr>
            </m:fPr>
            <m:num>
              <m:r>
                <m:rPr>
                  <m:nor/>
                </m:rPr>
                <w:rPr>
                  <w:i/>
                  <w:iCs/>
                </w:rPr>
                <m:t>Cuentas por cobrar</m:t>
              </m:r>
              <m:r>
                <w:rPr>
                  <w:rFonts w:ascii="Cambria Math" w:hAnsi="Cambria Math"/>
                </w:rPr>
                <m:t>+</m:t>
              </m:r>
              <m:r>
                <m:rPr>
                  <m:nor/>
                </m:rPr>
                <w:rPr>
                  <w:i/>
                  <w:iCs/>
                </w:rPr>
                <m:t>Inversiones a corto plazo</m:t>
              </m:r>
              <m:r>
                <w:rPr>
                  <w:rFonts w:ascii="Cambria Math" w:hAnsi="Cambria Math"/>
                </w:rPr>
                <m:t>+</m:t>
              </m:r>
              <m:r>
                <m:rPr>
                  <m:nor/>
                </m:rPr>
                <w:rPr>
                  <w:i/>
                  <w:iCs/>
                </w:rPr>
                <m:t>Tesorería</m:t>
              </m:r>
            </m:num>
            <m:den>
              <m:r>
                <m:rPr>
                  <m:nor/>
                </m:rPr>
                <w:rPr>
                  <w:i/>
                  <w:iCs/>
                </w:rPr>
                <m:t>Pasivo Corriente</m:t>
              </m:r>
            </m:den>
          </m:f>
        </m:oMath>
      </m:oMathPara>
    </w:p>
    <w:p w14:paraId="4BF2571D" w14:textId="5178654A" w:rsidR="00D17ACC" w:rsidRDefault="00D17ACC" w:rsidP="00D17ACC">
      <w:pPr>
        <w:pStyle w:val="Nivel1SM"/>
        <w:keepNext/>
        <w:spacing w:after="0"/>
      </w:pPr>
      <w:r>
        <w:t>El valor crítico de esta ratio es 1.</w:t>
      </w:r>
    </w:p>
    <w:p w14:paraId="12D2A4F2" w14:textId="732943F2" w:rsidR="00D17ACC" w:rsidRPr="001A1EB3" w:rsidRDefault="00D17ACC" w:rsidP="00D17ACC">
      <w:pPr>
        <w:pStyle w:val="Nivel2SM"/>
      </w:pPr>
      <m:oMath>
        <m:r>
          <m:rPr>
            <m:nor/>
          </m:rPr>
          <w:rPr>
            <w:i/>
            <w:iCs/>
          </w:rPr>
          <m:t>Ratio de tesorería inmediata</m:t>
        </m:r>
        <m:r>
          <w:rPr>
            <w:rFonts w:ascii="Cambria Math" w:eastAsiaTheme="minorEastAsia" w:hAnsi="Cambria Math"/>
          </w:rPr>
          <m:t>&lt;</m:t>
        </m:r>
        <m:r>
          <m:rPr>
            <m:nor/>
          </m:rPr>
          <w:rPr>
            <w:i/>
            <w:iCs/>
          </w:rPr>
          <m:t>1</m:t>
        </m:r>
      </m:oMath>
      <w:r>
        <w:rPr>
          <w:rFonts w:eastAsiaTheme="minorEastAsia"/>
          <w:iCs/>
        </w:rPr>
        <w:t xml:space="preserve"> implica problemas de corto plazo de liquidez.</w:t>
      </w:r>
    </w:p>
    <w:p w14:paraId="45FDA426" w14:textId="0B7DFC28" w:rsidR="00D17ACC" w:rsidRDefault="00D17ACC">
      <w:pPr>
        <w:pStyle w:val="Ttulo6"/>
        <w:numPr>
          <w:ilvl w:val="0"/>
          <w:numId w:val="27"/>
        </w:numPr>
        <w:ind w:left="0" w:hanging="284"/>
      </w:pPr>
      <w:bookmarkStart w:id="46" w:name="_Toc125485429"/>
      <w:r>
        <w:t>Ratio de tesorería</w:t>
      </w:r>
      <w:bookmarkEnd w:id="46"/>
    </w:p>
    <w:p w14:paraId="4C16E532" w14:textId="2CD019E6" w:rsidR="00D17ACC" w:rsidRDefault="00D17ACC" w:rsidP="00734349">
      <w:pPr>
        <w:pStyle w:val="Nivel1SM"/>
        <w:keepNext/>
        <w:spacing w:before="0" w:after="0"/>
      </w:pPr>
      <w:r>
        <w:t>La ratio de tesorería se calcula como:</w:t>
      </w:r>
    </w:p>
    <w:p w14:paraId="45405505" w14:textId="715E8382" w:rsidR="00D17ACC" w:rsidRPr="00D17ACC" w:rsidRDefault="00D17ACC" w:rsidP="00D17ACC">
      <w:pPr>
        <w:pStyle w:val="Nivel1SM"/>
        <w:keepNext/>
        <w:numPr>
          <w:ilvl w:val="0"/>
          <w:numId w:val="0"/>
        </w:numPr>
        <w:spacing w:before="0" w:after="0"/>
        <w:rPr>
          <w:rFonts w:eastAsiaTheme="minorEastAsia"/>
          <w:iCs/>
        </w:rPr>
      </w:pPr>
      <m:oMathPara>
        <m:oMath>
          <m:r>
            <m:rPr>
              <m:nor/>
            </m:rPr>
            <w:rPr>
              <w:rFonts w:ascii="Cambria Math"/>
            </w:rPr>
            <m:t xml:space="preserve"> </m:t>
          </m:r>
          <m:r>
            <m:rPr>
              <m:nor/>
            </m:rPr>
            <w:rPr>
              <w:i/>
              <w:iCs/>
            </w:rPr>
            <m:t>Ratio de tesorería inmediata</m:t>
          </m:r>
          <m:r>
            <w:rPr>
              <w:rFonts w:ascii="Cambria Math" w:eastAsiaTheme="minorEastAsia" w:hAnsi="Cambria Math"/>
            </w:rPr>
            <m:t>≡</m:t>
          </m:r>
          <m:f>
            <m:fPr>
              <m:ctrlPr>
                <w:rPr>
                  <w:rFonts w:ascii="Cambria Math" w:eastAsiaTheme="minorEastAsia" w:hAnsi="Cambria Math"/>
                  <w:i/>
                  <w:iCs/>
                </w:rPr>
              </m:ctrlPr>
            </m:fPr>
            <m:num>
              <m:r>
                <m:rPr>
                  <m:nor/>
                </m:rPr>
                <w:rPr>
                  <w:i/>
                  <w:iCs/>
                </w:rPr>
                <m:t>Tesorería</m:t>
              </m:r>
            </m:num>
            <m:den>
              <m:r>
                <m:rPr>
                  <m:nor/>
                </m:rPr>
                <w:rPr>
                  <w:i/>
                  <w:iCs/>
                </w:rPr>
                <m:t>Pasivo Corriente</m:t>
              </m:r>
            </m:den>
          </m:f>
        </m:oMath>
      </m:oMathPara>
    </w:p>
    <w:p w14:paraId="78539792" w14:textId="335C7D52" w:rsidR="00D17ACC" w:rsidRPr="00882DD5" w:rsidRDefault="00D17ACC" w:rsidP="00D17ACC">
      <w:pPr>
        <w:pStyle w:val="Nivel2SM"/>
        <w:rPr>
          <w:rFonts w:eastAsiaTheme="minorEastAsia"/>
          <w:iCs/>
        </w:rPr>
      </w:pPr>
      <w:r>
        <w:t>Es decir, la ratio de tesorería solo tiene en cuenta la tesorería.</w:t>
      </w:r>
    </w:p>
    <w:p w14:paraId="7E407ED6" w14:textId="3F54FA48" w:rsidR="00882DD5" w:rsidRDefault="00882DD5" w:rsidP="00882DD5">
      <w:pPr>
        <w:pStyle w:val="Ttulo3"/>
      </w:pPr>
      <w:r>
        <w:t>¿Qué hacer en caso de problemas de liquidez?</w:t>
      </w:r>
    </w:p>
    <w:p w14:paraId="230FE73E" w14:textId="77777777" w:rsidR="00882DD5" w:rsidRDefault="00882DD5" w:rsidP="00734349">
      <w:pPr>
        <w:pStyle w:val="Nivel1SM"/>
        <w:keepNext/>
        <w:spacing w:before="0" w:after="0"/>
      </w:pPr>
      <w:r>
        <w:t xml:space="preserve">¿Qué hacer si los análisis anteriores revelan </w:t>
      </w:r>
      <w:r>
        <w:rPr>
          <w:b/>
          <w:bCs/>
        </w:rPr>
        <w:t>problemas de liquidez</w:t>
      </w:r>
      <w:r>
        <w:t>?</w:t>
      </w:r>
    </w:p>
    <w:p w14:paraId="3426FA02" w14:textId="77777777" w:rsidR="00882DD5" w:rsidRDefault="00882DD5" w:rsidP="00882DD5">
      <w:pPr>
        <w:pStyle w:val="Nivel2SM"/>
      </w:pPr>
      <w:r>
        <w:t>Tratar de aplazar pagos y adelantar cobros.</w:t>
      </w:r>
    </w:p>
    <w:p w14:paraId="5651F950" w14:textId="77777777" w:rsidR="00882DD5" w:rsidRDefault="00882DD5" w:rsidP="00882DD5">
      <w:pPr>
        <w:pStyle w:val="Nivel2SM"/>
      </w:pPr>
      <w:r>
        <w:t>Reducir el pago de dividendos y aumentar la autofinanciación.</w:t>
      </w:r>
    </w:p>
    <w:p w14:paraId="21D6630E" w14:textId="77777777" w:rsidR="00882DD5" w:rsidRPr="009808E2" w:rsidRDefault="00882DD5" w:rsidP="00882DD5">
      <w:pPr>
        <w:pStyle w:val="Nivel2SM"/>
      </w:pPr>
      <w:r>
        <w:t>Ampliar capital.</w:t>
      </w:r>
    </w:p>
    <w:p w14:paraId="34DC9C0A" w14:textId="77777777" w:rsidR="00161E21" w:rsidRDefault="001A1EB3" w:rsidP="00161E21">
      <w:pPr>
        <w:pStyle w:val="Ttulo2"/>
      </w:pPr>
      <w:bookmarkStart w:id="47" w:name="_Toc125485430"/>
      <w:r>
        <w:t>Análisis de la solvencia</w:t>
      </w:r>
      <w:bookmarkEnd w:id="47"/>
    </w:p>
    <w:p w14:paraId="0BD4F579" w14:textId="388CD481" w:rsidR="001A1EB3" w:rsidRDefault="00161E21" w:rsidP="00161E21">
      <w:pPr>
        <w:pStyle w:val="Ttulo3"/>
      </w:pPr>
      <w:r>
        <w:t>Análisis de la solvencia basado en el balance</w:t>
      </w:r>
    </w:p>
    <w:p w14:paraId="0F83B923" w14:textId="67EB20CB" w:rsidR="00907E3C" w:rsidRDefault="00907E3C" w:rsidP="00734349">
      <w:pPr>
        <w:pStyle w:val="Nivel1SM"/>
        <w:keepNext/>
        <w:spacing w:before="0" w:after="0"/>
      </w:pPr>
      <w:r>
        <w:t xml:space="preserve">La solvencia también se puede analizar tomando como referencia el balance de la empresa. Muestra la capacidad de la empresa para hacer frente a sus obligaciones en caso de </w:t>
      </w:r>
      <w:r w:rsidR="009D051D">
        <w:t>liquidación</w:t>
      </w:r>
      <w:r>
        <w:t xml:space="preserve">. </w:t>
      </w:r>
      <w:r w:rsidR="009D051D">
        <w:t>Distinguimos</w:t>
      </w:r>
      <w:r>
        <w:t xml:space="preserve"> las siguientes ratios</w:t>
      </w:r>
      <w:r w:rsidR="009D051D">
        <w:t>:</w:t>
      </w:r>
    </w:p>
    <w:p w14:paraId="42560C40" w14:textId="31243526" w:rsidR="009D051D" w:rsidRDefault="009D051D">
      <w:pPr>
        <w:pStyle w:val="Prrafodelista"/>
        <w:numPr>
          <w:ilvl w:val="0"/>
          <w:numId w:val="26"/>
        </w:numPr>
        <w:spacing w:after="100"/>
        <w:ind w:left="568" w:hanging="284"/>
      </w:pPr>
      <w:r>
        <w:t>Ratio básica de solvencia</w:t>
      </w:r>
    </w:p>
    <w:p w14:paraId="5517C23A" w14:textId="4CC03414" w:rsidR="009D051D" w:rsidRDefault="009D051D">
      <w:pPr>
        <w:pStyle w:val="Prrafodelista"/>
        <w:numPr>
          <w:ilvl w:val="0"/>
          <w:numId w:val="26"/>
        </w:numPr>
        <w:spacing w:after="100"/>
        <w:ind w:left="568" w:hanging="284"/>
      </w:pPr>
      <w:r>
        <w:t>Ratio de financiación propia</w:t>
      </w:r>
    </w:p>
    <w:p w14:paraId="049ACDE4" w14:textId="57EC192B" w:rsidR="009D051D" w:rsidRDefault="009D051D">
      <w:pPr>
        <w:pStyle w:val="Prrafodelista"/>
        <w:numPr>
          <w:ilvl w:val="0"/>
          <w:numId w:val="26"/>
        </w:numPr>
        <w:spacing w:after="100"/>
        <w:ind w:left="568" w:hanging="284"/>
      </w:pPr>
      <w:r>
        <w:t>Ratio de endeudamiento</w:t>
      </w:r>
    </w:p>
    <w:p w14:paraId="27299497" w14:textId="197DDC34" w:rsidR="00907E3C" w:rsidRDefault="00907E3C">
      <w:pPr>
        <w:pStyle w:val="Ttulo6"/>
        <w:numPr>
          <w:ilvl w:val="0"/>
          <w:numId w:val="28"/>
        </w:numPr>
        <w:ind w:left="0" w:hanging="284"/>
      </w:pPr>
      <w:bookmarkStart w:id="48" w:name="_Toc125485431"/>
      <w:r>
        <w:t>Ratio básica de solvencia</w:t>
      </w:r>
      <w:bookmarkEnd w:id="48"/>
    </w:p>
    <w:p w14:paraId="4FA68522" w14:textId="544A1C98" w:rsidR="00907E3C" w:rsidRDefault="00907E3C" w:rsidP="00734349">
      <w:pPr>
        <w:pStyle w:val="Nivel1SM"/>
        <w:keepNext/>
        <w:spacing w:before="0" w:after="0"/>
      </w:pPr>
      <w:r>
        <w:t>La ratio de solvencia se calcula como:</w:t>
      </w:r>
    </w:p>
    <w:p w14:paraId="3A37D440" w14:textId="69178052" w:rsidR="00907E3C" w:rsidRDefault="00907E3C" w:rsidP="00907E3C">
      <w:pPr>
        <w:pStyle w:val="Nivel1SM"/>
        <w:numPr>
          <w:ilvl w:val="0"/>
          <w:numId w:val="0"/>
        </w:numPr>
        <w:spacing w:before="0" w:after="0"/>
      </w:pPr>
      <m:oMathPara>
        <m:oMath>
          <m:r>
            <w:rPr>
              <w:rFonts w:ascii="Cambria Math" w:eastAsiaTheme="minorEastAsia" w:hAnsi="Cambria Math"/>
            </w:rPr>
            <m:t xml:space="preserve"> </m:t>
          </m:r>
          <m:r>
            <m:rPr>
              <m:nor/>
            </m:rPr>
            <w:rPr>
              <w:i/>
              <w:iCs/>
            </w:rPr>
            <m:t>Ratio de solvencia</m:t>
          </m:r>
          <m:r>
            <w:rPr>
              <w:rFonts w:ascii="Cambria Math" w:eastAsiaTheme="minorEastAsia" w:hAnsi="Cambria Math"/>
            </w:rPr>
            <m:t>≡</m:t>
          </m:r>
          <m:f>
            <m:fPr>
              <m:ctrlPr>
                <w:rPr>
                  <w:rFonts w:ascii="Cambria Math" w:eastAsiaTheme="minorEastAsia" w:hAnsi="Cambria Math"/>
                  <w:i/>
                  <w:iCs/>
                </w:rPr>
              </m:ctrlPr>
            </m:fPr>
            <m:num>
              <m:r>
                <m:rPr>
                  <m:nor/>
                </m:rPr>
                <w:rPr>
                  <w:i/>
                  <w:iCs/>
                </w:rPr>
                <m:t>Activo</m:t>
              </m:r>
            </m:num>
            <m:den>
              <m:r>
                <m:rPr>
                  <m:nor/>
                </m:rPr>
                <w:rPr>
                  <w:i/>
                  <w:iCs/>
                </w:rPr>
                <m:t>Pasivo</m:t>
              </m:r>
            </m:den>
          </m:f>
        </m:oMath>
      </m:oMathPara>
    </w:p>
    <w:p w14:paraId="0573085D" w14:textId="4F8A9CA6" w:rsidR="00907E3C" w:rsidRPr="00907E3C" w:rsidRDefault="00907E3C" w:rsidP="00907E3C">
      <w:pPr>
        <w:pStyle w:val="Nivel1SM"/>
      </w:pPr>
      <w:r>
        <w:t>Esta ratio debe ser mayor que uno ya que en caso contrario la empresa entraría en concurso de acreedores (i.e. el patrimonio neto sería negativo).</w:t>
      </w:r>
    </w:p>
    <w:p w14:paraId="0B8C8CFC" w14:textId="2100DA15" w:rsidR="00907E3C" w:rsidRDefault="00907E3C">
      <w:pPr>
        <w:pStyle w:val="Ttulo6"/>
        <w:numPr>
          <w:ilvl w:val="0"/>
          <w:numId w:val="28"/>
        </w:numPr>
        <w:ind w:left="0" w:hanging="284"/>
      </w:pPr>
      <w:bookmarkStart w:id="49" w:name="_Toc125485432"/>
      <w:r>
        <w:t>Ratio de financiación propia</w:t>
      </w:r>
      <w:bookmarkEnd w:id="49"/>
    </w:p>
    <w:p w14:paraId="3D69565D" w14:textId="388ED1CE" w:rsidR="00907E3C" w:rsidRDefault="00907E3C" w:rsidP="00734349">
      <w:pPr>
        <w:pStyle w:val="Nivel1SM"/>
        <w:keepNext/>
        <w:spacing w:before="0" w:after="0"/>
      </w:pPr>
      <w:r>
        <w:t>La ratio de financiación propia se calcula como:</w:t>
      </w:r>
    </w:p>
    <w:p w14:paraId="5A139D5B" w14:textId="6602850A" w:rsidR="00907E3C" w:rsidRDefault="00907E3C" w:rsidP="00907E3C">
      <w:pPr>
        <w:pStyle w:val="Nivel1SM"/>
        <w:numPr>
          <w:ilvl w:val="0"/>
          <w:numId w:val="0"/>
        </w:numPr>
        <w:spacing w:before="0" w:after="0"/>
      </w:pPr>
      <m:oMathPara>
        <m:oMath>
          <m:r>
            <w:rPr>
              <w:rFonts w:ascii="Cambria Math" w:eastAsiaTheme="minorEastAsia" w:hAnsi="Cambria Math"/>
            </w:rPr>
            <m:t xml:space="preserve"> </m:t>
          </m:r>
          <m:r>
            <m:rPr>
              <m:nor/>
            </m:rPr>
            <w:rPr>
              <w:i/>
              <w:iCs/>
            </w:rPr>
            <m:t>Ratio de financiación propia</m:t>
          </m:r>
          <m:r>
            <w:rPr>
              <w:rFonts w:ascii="Cambria Math" w:eastAsiaTheme="minorEastAsia" w:hAnsi="Cambria Math"/>
            </w:rPr>
            <m:t>≡</m:t>
          </m:r>
          <m:f>
            <m:fPr>
              <m:ctrlPr>
                <w:rPr>
                  <w:rFonts w:ascii="Cambria Math" w:eastAsiaTheme="minorEastAsia" w:hAnsi="Cambria Math"/>
                  <w:i/>
                  <w:iCs/>
                </w:rPr>
              </m:ctrlPr>
            </m:fPr>
            <m:num>
              <m:r>
                <m:rPr>
                  <m:nor/>
                </m:rPr>
                <w:rPr>
                  <w:i/>
                  <w:iCs/>
                </w:rPr>
                <m:t>Patrimonio neto</m:t>
              </m:r>
            </m:num>
            <m:den>
              <m:r>
                <m:rPr>
                  <m:nor/>
                </m:rPr>
                <w:rPr>
                  <w:i/>
                  <w:iCs/>
                </w:rPr>
                <m:t>Activo</m:t>
              </m:r>
            </m:den>
          </m:f>
        </m:oMath>
      </m:oMathPara>
    </w:p>
    <w:p w14:paraId="2D7ED979" w14:textId="0576DBF6" w:rsidR="00907E3C" w:rsidRDefault="00907E3C" w:rsidP="00907E3C">
      <w:pPr>
        <w:pStyle w:val="Nivel1SM"/>
        <w:keepNext/>
        <w:spacing w:after="0"/>
      </w:pPr>
      <w:r>
        <w:t>Es especialmente relevante en el caso de entidades financieras manejar estos indicadores numéricos.</w:t>
      </w:r>
    </w:p>
    <w:p w14:paraId="3BE110B5" w14:textId="0BA8D810" w:rsidR="00907E3C" w:rsidRDefault="00907E3C" w:rsidP="00907E3C">
      <w:pPr>
        <w:pStyle w:val="Nivel2SM"/>
        <w:keepNext/>
        <w:spacing w:after="0"/>
      </w:pPr>
      <w:r>
        <w:t>Basilea</w:t>
      </w:r>
      <w:r w:rsidR="00194892">
        <w:t> </w:t>
      </w:r>
      <w:r>
        <w:t xml:space="preserve">III establece límites en el capital regulatorio que han de tener los bancos </w:t>
      </w:r>
      <w:r w:rsidRPr="00907E3C">
        <w:rPr>
          <w:color w:val="767171" w:themeColor="background2" w:themeShade="80"/>
          <w:sz w:val="19"/>
          <w:szCs w:val="19"/>
        </w:rPr>
        <w:t>[</w:t>
      </w:r>
      <w:r>
        <w:rPr>
          <w:color w:val="767171" w:themeColor="background2" w:themeShade="80"/>
          <w:sz w:val="19"/>
          <w:szCs w:val="19"/>
        </w:rPr>
        <w:t>ver tema 3.B.2</w:t>
      </w:r>
      <w:r w:rsidR="00194892">
        <w:rPr>
          <w:color w:val="767171" w:themeColor="background2" w:themeShade="80"/>
          <w:sz w:val="19"/>
          <w:szCs w:val="19"/>
        </w:rPr>
        <w:t>7</w:t>
      </w:r>
      <w:r w:rsidRPr="00907E3C">
        <w:rPr>
          <w:color w:val="767171" w:themeColor="background2" w:themeShade="80"/>
          <w:sz w:val="19"/>
          <w:szCs w:val="19"/>
        </w:rPr>
        <w:t>]</w:t>
      </w:r>
      <w:r>
        <w:t>.</w:t>
      </w:r>
    </w:p>
    <w:p w14:paraId="33829259" w14:textId="2F905602" w:rsidR="00907E3C" w:rsidRDefault="00907E3C" w:rsidP="00907E3C">
      <w:pPr>
        <w:pStyle w:val="Nivel3SM"/>
      </w:pPr>
      <w:r>
        <w:t>En particular establece distintas ratios de capital en función de los activos:</w:t>
      </w:r>
    </w:p>
    <w:p w14:paraId="4F405967" w14:textId="381D2CC3" w:rsidR="00907E3C" w:rsidRPr="00907E3C" w:rsidRDefault="00000000" w:rsidP="00907E3C">
      <w:pPr>
        <w:pStyle w:val="Nivel3SM"/>
        <w:numPr>
          <w:ilvl w:val="0"/>
          <w:numId w:val="0"/>
        </w:numPr>
        <w:ind w:left="963"/>
        <w:rPr>
          <w:rFonts w:eastAsiaTheme="minorEastAsia"/>
          <w:iCs/>
        </w:rPr>
      </w:pPr>
      <m:oMathPara>
        <m:oMath>
          <m:f>
            <m:fPr>
              <m:ctrlPr>
                <w:rPr>
                  <w:rFonts w:ascii="Cambria Math" w:hAnsi="Cambria Math"/>
                  <w:i/>
                </w:rPr>
              </m:ctrlPr>
            </m:fPr>
            <m:num>
              <m:r>
                <m:rPr>
                  <m:nor/>
                </m:rPr>
                <w:rPr>
                  <w:i/>
                  <w:iCs/>
                </w:rPr>
                <m:t>Common Equity Tier 1</m:t>
              </m:r>
            </m:num>
            <m:den>
              <m:r>
                <m:rPr>
                  <m:nor/>
                </m:rPr>
                <w:rPr>
                  <w:i/>
                  <w:iCs/>
                </w:rPr>
                <m:t>Activos ponderados por riesgo</m:t>
              </m:r>
            </m:den>
          </m:f>
          <m:r>
            <w:rPr>
              <w:rFonts w:ascii="Cambria Math" w:eastAsiaTheme="minorEastAsia" w:hAnsi="Cambria Math"/>
            </w:rPr>
            <m:t>&gt;</m:t>
          </m:r>
          <m:r>
            <m:rPr>
              <m:nor/>
            </m:rPr>
            <w:rPr>
              <w:i/>
              <w:iCs/>
            </w:rPr>
            <m:t>4,5 %</m:t>
          </m:r>
          <m:r>
            <m:rPr>
              <m:sty m:val="p"/>
            </m:rPr>
            <w:rPr>
              <w:rFonts w:eastAsiaTheme="minorEastAsia"/>
            </w:rPr>
            <w:br/>
          </m:r>
        </m:oMath>
        <m:oMath>
          <m:f>
            <m:fPr>
              <m:ctrlPr>
                <w:rPr>
                  <w:rFonts w:ascii="Cambria Math" w:hAnsi="Cambria Math"/>
                  <w:i/>
                </w:rPr>
              </m:ctrlPr>
            </m:fPr>
            <m:num>
              <m:r>
                <m:rPr>
                  <m:nor/>
                </m:rPr>
                <w:rPr>
                  <w:i/>
                  <w:iCs/>
                </w:rPr>
                <m:t>Tier 1</m:t>
              </m:r>
            </m:num>
            <m:den>
              <m:r>
                <m:rPr>
                  <m:nor/>
                </m:rPr>
                <w:rPr>
                  <w:i/>
                  <w:iCs/>
                </w:rPr>
                <m:t>Activos ponderados por riesgo</m:t>
              </m:r>
            </m:den>
          </m:f>
          <m:r>
            <w:rPr>
              <w:rFonts w:ascii="Cambria Math" w:eastAsiaTheme="minorEastAsia" w:hAnsi="Cambria Math"/>
            </w:rPr>
            <m:t>&gt;</m:t>
          </m:r>
          <m:r>
            <m:rPr>
              <m:nor/>
            </m:rPr>
            <w:rPr>
              <w:i/>
              <w:iCs/>
            </w:rPr>
            <m:t>6 %</m:t>
          </m:r>
          <m:r>
            <m:rPr>
              <m:nor/>
            </m:rPr>
            <w:rPr>
              <w:rFonts w:ascii="Cambria Math"/>
              <w:i/>
              <w:iCs/>
            </w:rPr>
            <w:br/>
          </m:r>
        </m:oMath>
        <m:oMath>
          <m:f>
            <m:fPr>
              <m:ctrlPr>
                <w:rPr>
                  <w:rFonts w:ascii="Cambria Math" w:hAnsi="Cambria Math"/>
                  <w:i/>
                </w:rPr>
              </m:ctrlPr>
            </m:fPr>
            <m:num>
              <m:r>
                <m:rPr>
                  <m:nor/>
                </m:rPr>
                <w:rPr>
                  <w:i/>
                  <w:iCs/>
                </w:rPr>
                <m:t>Capital total</m:t>
              </m:r>
            </m:num>
            <m:den>
              <m:r>
                <m:rPr>
                  <m:nor/>
                </m:rPr>
                <w:rPr>
                  <w:i/>
                  <w:iCs/>
                </w:rPr>
                <m:t>Activos ponderados por riesgo</m:t>
              </m:r>
            </m:den>
          </m:f>
          <m:r>
            <w:rPr>
              <w:rFonts w:ascii="Cambria Math" w:eastAsiaTheme="minorEastAsia" w:hAnsi="Cambria Math"/>
            </w:rPr>
            <m:t>&gt;</m:t>
          </m:r>
          <m:r>
            <m:rPr>
              <m:nor/>
            </m:rPr>
            <w:rPr>
              <w:i/>
              <w:iCs/>
            </w:rPr>
            <m:t>8 %</m:t>
          </m:r>
        </m:oMath>
      </m:oMathPara>
    </w:p>
    <w:p w14:paraId="06D6E7EC" w14:textId="5C4E5F70" w:rsidR="00907E3C" w:rsidRDefault="00907E3C" w:rsidP="00907E3C">
      <w:pPr>
        <w:pStyle w:val="Nivel4"/>
        <w:keepNext/>
        <w:ind w:left="1474"/>
      </w:pPr>
      <w:r>
        <w:t>Además establece 3</w:t>
      </w:r>
      <w:r w:rsidR="00734349">
        <w:t> </w:t>
      </w:r>
      <w:r>
        <w:t>colchones adicionales:</w:t>
      </w:r>
    </w:p>
    <w:p w14:paraId="1FDCA42E" w14:textId="2664B58F" w:rsidR="00907E3C" w:rsidRDefault="009C7250" w:rsidP="00907E3C">
      <w:pPr>
        <w:pStyle w:val="Nivel5"/>
        <w:ind w:left="1871"/>
      </w:pPr>
      <w:r>
        <w:t>Colchón de conservación de capital (+2,5 %).</w:t>
      </w:r>
    </w:p>
    <w:p w14:paraId="15518251" w14:textId="17AE2026" w:rsidR="00907E3C" w:rsidRDefault="00907E3C" w:rsidP="00907E3C">
      <w:pPr>
        <w:pStyle w:val="Nivel5"/>
        <w:ind w:left="1871"/>
      </w:pPr>
      <w:r>
        <w:t>Colchón de capital anticíclico (</w:t>
      </w:r>
      <w:r w:rsidR="009C7250">
        <w:t>0 %/</w:t>
      </w:r>
      <w:r>
        <w:t>+2</w:t>
      </w:r>
      <w:r w:rsidR="009C7250">
        <w:t>,5 %</w:t>
      </w:r>
      <w:r>
        <w:t>).</w:t>
      </w:r>
    </w:p>
    <w:p w14:paraId="0E142308" w14:textId="15609021" w:rsidR="009C7250" w:rsidRPr="00907E3C" w:rsidRDefault="009C7250" w:rsidP="00907E3C">
      <w:pPr>
        <w:pStyle w:val="Nivel5"/>
        <w:ind w:left="1871"/>
      </w:pPr>
      <w:r>
        <w:t>Colchón de riesgo sistémico (1 %/+2,5 %).</w:t>
      </w:r>
    </w:p>
    <w:p w14:paraId="252C877E" w14:textId="12FE0DD0" w:rsidR="00907E3C" w:rsidRDefault="00907E3C" w:rsidP="00907E3C">
      <w:pPr>
        <w:pStyle w:val="Nivel3SM"/>
      </w:pPr>
      <w:r>
        <w:t>Además</w:t>
      </w:r>
      <w:r w:rsidR="009C7250">
        <w:t xml:space="preserve">, para controlar el endeudamiento, Basilea III introduce una </w:t>
      </w:r>
      <w:r w:rsidR="009C7250">
        <w:rPr>
          <w:i/>
          <w:iCs/>
        </w:rPr>
        <w:t>ratio de apalancamiento mínima</w:t>
      </w:r>
      <w:r w:rsidR="009C7250">
        <w:t xml:space="preserve"> del 3 % calculado como cociente entre el capital </w:t>
      </w:r>
      <w:proofErr w:type="spellStart"/>
      <w:r w:rsidR="009C7250">
        <w:t>Tier</w:t>
      </w:r>
      <w:proofErr w:type="spellEnd"/>
      <w:r w:rsidR="00734349">
        <w:t> </w:t>
      </w:r>
      <w:r w:rsidR="009C7250">
        <w:t>1 y los activos consolidados totales del banco</w:t>
      </w:r>
      <w:r w:rsidR="009C7250">
        <w:rPr>
          <w:rStyle w:val="Refdenotaalpie"/>
        </w:rPr>
        <w:footnoteReference w:id="30"/>
      </w:r>
      <w:r w:rsidR="009C7250">
        <w:t>.</w:t>
      </w:r>
    </w:p>
    <w:p w14:paraId="6A228331" w14:textId="27DEF82E" w:rsidR="00907E3C" w:rsidRDefault="00907E3C" w:rsidP="009C7250">
      <w:pPr>
        <w:pStyle w:val="Nivel3SM"/>
        <w:keepNext/>
      </w:pPr>
      <w:r>
        <w:t>Finalmente, también exige la liquidez de los bancos</w:t>
      </w:r>
      <w:r w:rsidR="009C7250">
        <w:t xml:space="preserve"> mediante 2</w:t>
      </w:r>
      <w:r w:rsidR="00734349">
        <w:t> </w:t>
      </w:r>
      <w:r w:rsidR="009C7250">
        <w:t>ratios</w:t>
      </w:r>
      <w:r>
        <w:t>:</w:t>
      </w:r>
    </w:p>
    <w:p w14:paraId="50F472F4" w14:textId="08D28861" w:rsidR="009C7250" w:rsidRDefault="009C7250" w:rsidP="009C7250">
      <w:pPr>
        <w:pStyle w:val="Nivel4"/>
        <w:ind w:left="1474"/>
      </w:pPr>
      <w:r>
        <w:t>Ratio de cobertura de liquidez: Obligación de mantener un volumen de activos líquidos de alta calidad suficiente para cubrir las salidas netas de efectivo a lo largo de 30 días.</w:t>
      </w:r>
    </w:p>
    <w:p w14:paraId="3877EC31" w14:textId="5D6B1D53" w:rsidR="009C7250" w:rsidRPr="00907E3C" w:rsidRDefault="009C7250" w:rsidP="009C7250">
      <w:pPr>
        <w:pStyle w:val="Nivel4"/>
        <w:ind w:left="1474"/>
      </w:pPr>
      <w:r>
        <w:t>Ratio de financiación neta estable:</w:t>
      </w:r>
      <w:r w:rsidRPr="009C7250">
        <w:t xml:space="preserve"> Obligación de mantener un volumen de financiación estable que permita resistir 1 año a una crisis específica de la institución.</w:t>
      </w:r>
    </w:p>
    <w:p w14:paraId="58E2E6F4" w14:textId="0C3071BF" w:rsidR="00907E3C" w:rsidRDefault="00907E3C">
      <w:pPr>
        <w:pStyle w:val="Ttulo6"/>
        <w:numPr>
          <w:ilvl w:val="0"/>
          <w:numId w:val="28"/>
        </w:numPr>
        <w:ind w:left="0" w:hanging="284"/>
      </w:pPr>
      <w:bookmarkStart w:id="50" w:name="_Toc125485433"/>
      <w:proofErr w:type="spellStart"/>
      <w:r>
        <w:t>Debt-equity</w:t>
      </w:r>
      <w:proofErr w:type="spellEnd"/>
      <w:r>
        <w:t xml:space="preserve"> ratio (o </w:t>
      </w:r>
      <w:r w:rsidR="00193116">
        <w:t>ratio de endeudamiento</w:t>
      </w:r>
      <w:r>
        <w:t>)</w:t>
      </w:r>
      <w:bookmarkEnd w:id="50"/>
    </w:p>
    <w:p w14:paraId="1972C827" w14:textId="016A33D0" w:rsidR="00907E3C" w:rsidRDefault="00193116" w:rsidP="00734349">
      <w:pPr>
        <w:pStyle w:val="Nivel1SM"/>
        <w:keepNext/>
        <w:spacing w:before="0" w:after="0"/>
      </w:pPr>
      <w:r>
        <w:t>La ratio de endeudamiento se calcula como:</w:t>
      </w:r>
    </w:p>
    <w:p w14:paraId="33FCE5C9" w14:textId="360A0619" w:rsidR="00193116" w:rsidRDefault="00193116" w:rsidP="00193116">
      <w:pPr>
        <w:pStyle w:val="Nivel1SM"/>
        <w:numPr>
          <w:ilvl w:val="0"/>
          <w:numId w:val="0"/>
        </w:numPr>
        <w:spacing w:before="0" w:after="0"/>
      </w:pPr>
      <m:oMathPara>
        <m:oMath>
          <m:r>
            <m:rPr>
              <m:nor/>
            </m:rPr>
            <w:rPr>
              <w:i/>
              <w:iCs/>
            </w:rPr>
            <m:t>Ratio de endeudamiento</m:t>
          </m:r>
          <m:r>
            <w:rPr>
              <w:rFonts w:ascii="Cambria Math" w:eastAsiaTheme="minorEastAsia" w:hAnsi="Cambria Math"/>
            </w:rPr>
            <m:t>≡</m:t>
          </m:r>
          <m:f>
            <m:fPr>
              <m:ctrlPr>
                <w:rPr>
                  <w:rFonts w:ascii="Cambria Math" w:eastAsiaTheme="minorEastAsia" w:hAnsi="Cambria Math"/>
                  <w:i/>
                  <w:iCs/>
                </w:rPr>
              </m:ctrlPr>
            </m:fPr>
            <m:num>
              <m:r>
                <m:rPr>
                  <m:nor/>
                </m:rPr>
                <w:rPr>
                  <w:i/>
                  <w:iCs/>
                </w:rPr>
                <m:t>Pasivo</m:t>
              </m:r>
            </m:num>
            <m:den>
              <m:r>
                <m:rPr>
                  <m:nor/>
                </m:rPr>
                <w:rPr>
                  <w:i/>
                  <w:iCs/>
                </w:rPr>
                <m:t>Patrimonio neto</m:t>
              </m:r>
            </m:den>
          </m:f>
        </m:oMath>
      </m:oMathPara>
    </w:p>
    <w:p w14:paraId="34AC2F1A" w14:textId="1BE915EF" w:rsidR="00193116" w:rsidRDefault="00193116" w:rsidP="002416BA">
      <w:pPr>
        <w:pStyle w:val="Nivel2SM"/>
      </w:pPr>
      <w:r>
        <w:t xml:space="preserve">Esta ratio nos está indicando como es la estructura financiera de la empresa (i.e. cuanto </w:t>
      </w:r>
      <w:r w:rsidR="002416BA">
        <w:t>pesan las deudas en relación a los recursos propios).</w:t>
      </w:r>
    </w:p>
    <w:p w14:paraId="57FB394E" w14:textId="337342E9" w:rsidR="002416BA" w:rsidRDefault="002416BA" w:rsidP="003D28EC">
      <w:pPr>
        <w:pStyle w:val="Nivel2SM"/>
        <w:keepNext/>
        <w:spacing w:after="0"/>
      </w:pPr>
      <w:r>
        <w:t>Esta ratio es muy variable de unos sectores a otros e incluso de unas épocas a otras. En cualquier caso, se suele establecer un punto de inflexión en 1.</w:t>
      </w:r>
    </w:p>
    <w:p w14:paraId="67DAA90D" w14:textId="123870DF" w:rsidR="002416BA" w:rsidRDefault="002416BA" w:rsidP="003D28EC">
      <w:pPr>
        <w:pStyle w:val="Nivel3SM"/>
      </w:pPr>
      <w:r>
        <w:t>Si esta ratio es superior a 1, se suele considerar que el endeudamiento es alto (la financiación ajena es mayor que la propia).</w:t>
      </w:r>
    </w:p>
    <w:p w14:paraId="1A4EDC21" w14:textId="4B10FDC6" w:rsidR="003D28EC" w:rsidRPr="00907E3C" w:rsidRDefault="003D28EC" w:rsidP="002416BA">
      <w:pPr>
        <w:pStyle w:val="Nivel2SM"/>
      </w:pPr>
      <w:r>
        <w:t>Es un indicador criticado para medir la solvencia. Por ejemplo, EDF (el operador de elect</w:t>
      </w:r>
      <w:r w:rsidR="005E38F4">
        <w:t>r</w:t>
      </w:r>
      <w:r>
        <w:t>icidad francés) genera muchos flujos de caja de sus plantas nucleares y puede endeudarse más que otra empresa que genere menos flujos de caja.</w:t>
      </w:r>
    </w:p>
    <w:p w14:paraId="12BCA97B" w14:textId="74FB8125" w:rsidR="005E38F4" w:rsidRDefault="005E38F4" w:rsidP="00161E21">
      <w:pPr>
        <w:pStyle w:val="Ttulo3"/>
      </w:pPr>
      <w:bookmarkStart w:id="51" w:name="_Toc125485434"/>
      <w:r>
        <w:t xml:space="preserve">Análisis </w:t>
      </w:r>
      <w:r w:rsidR="00161E21">
        <w:t xml:space="preserve">de la solvencia </w:t>
      </w:r>
      <w:r>
        <w:t>basado en la cuenta de pérdidas y ganancias</w:t>
      </w:r>
      <w:bookmarkEnd w:id="51"/>
    </w:p>
    <w:p w14:paraId="5E197B99" w14:textId="1D086C1F" w:rsidR="005E38F4" w:rsidRDefault="005E38F4" w:rsidP="00734349">
      <w:pPr>
        <w:pStyle w:val="Nivel1SM"/>
        <w:spacing w:before="0"/>
      </w:pPr>
      <w:r>
        <w:t>En</w:t>
      </w:r>
      <w:r w:rsidR="00161E21">
        <w:t xml:space="preserve"> este caso, la solvencia es en</w:t>
      </w:r>
      <w:r>
        <w:t xml:space="preserve">tendida como </w:t>
      </w:r>
      <w:r w:rsidR="007D4E06">
        <w:t xml:space="preserve">la </w:t>
      </w:r>
      <w:r>
        <w:t>capacidad de hacer frente a sus obligaciones en el futuro (concepto dinámico frente a estático).</w:t>
      </w:r>
    </w:p>
    <w:p w14:paraId="125A891B" w14:textId="70447FBF" w:rsidR="005E38F4" w:rsidRDefault="005E38F4" w:rsidP="005E38F4">
      <w:pPr>
        <w:pStyle w:val="Nivel1SM"/>
      </w:pPr>
      <w:r>
        <w:t>Una forma de medir la solvencia sería emplear el plan de negocios y proyectar los flujos de caja esperados. Sin embargo, existe incertidumbre en los flujos de caja futuros o no se dispone del plan de negocios de la empresa.</w:t>
      </w:r>
    </w:p>
    <w:p w14:paraId="378C9348" w14:textId="72EFEFDD" w:rsidR="005E38F4" w:rsidRDefault="005E38F4">
      <w:pPr>
        <w:pStyle w:val="Ttulo6"/>
        <w:numPr>
          <w:ilvl w:val="0"/>
          <w:numId w:val="29"/>
        </w:numPr>
        <w:ind w:left="0" w:hanging="284"/>
      </w:pPr>
      <w:bookmarkStart w:id="52" w:name="_Toc125485436"/>
      <w:r>
        <w:t>Deuda neta/EBITDA</w:t>
      </w:r>
      <w:bookmarkEnd w:id="52"/>
    </w:p>
    <w:p w14:paraId="0EE5B854" w14:textId="0C9E7F76" w:rsidR="005E38F4" w:rsidRDefault="005E38F4" w:rsidP="005E2D7D">
      <w:pPr>
        <w:pStyle w:val="Nivel1SM"/>
        <w:keepNext/>
        <w:spacing w:before="0" w:after="0"/>
      </w:pPr>
      <w:r>
        <w:t xml:space="preserve">Un indicador utilizado como aproximación por algunos analistas es la </w:t>
      </w:r>
      <w:r w:rsidRPr="005120E6">
        <w:rPr>
          <w:b/>
          <w:bCs/>
        </w:rPr>
        <w:t>Deuda neta/EBITDA</w:t>
      </w:r>
      <w:r>
        <w:t>:</w:t>
      </w:r>
    </w:p>
    <w:p w14:paraId="3B8F8999" w14:textId="10D2A3B7" w:rsidR="005E38F4" w:rsidRDefault="00000000" w:rsidP="008D388E">
      <w:pPr>
        <w:pStyle w:val="Nivel1SM"/>
        <w:keepNext/>
        <w:numPr>
          <w:ilvl w:val="0"/>
          <w:numId w:val="0"/>
        </w:numPr>
        <w:spacing w:before="0" w:after="0"/>
      </w:pPr>
      <m:oMathPara>
        <m:oMath>
          <m:f>
            <m:fPr>
              <m:ctrlPr>
                <w:rPr>
                  <w:rFonts w:ascii="Cambria Math" w:eastAsiaTheme="minorEastAsia" w:hAnsi="Cambria Math"/>
                  <w:i/>
                  <w:iCs/>
                </w:rPr>
              </m:ctrlPr>
            </m:fPr>
            <m:num>
              <m:r>
                <m:rPr>
                  <m:nor/>
                </m:rPr>
                <w:rPr>
                  <w:i/>
                  <w:iCs/>
                </w:rPr>
                <m:t>Deuda neta</m:t>
              </m:r>
            </m:num>
            <m:den>
              <m:r>
                <m:rPr>
                  <m:nor/>
                </m:rPr>
                <w:rPr>
                  <w:i/>
                  <w:iCs/>
                </w:rPr>
                <m:t>EBITDA</m:t>
              </m:r>
            </m:den>
          </m:f>
          <m:r>
            <w:rPr>
              <w:rFonts w:ascii="Cambria Math" w:eastAsiaTheme="minorEastAsia" w:hAnsi="Cambria Math"/>
            </w:rPr>
            <m:t>≡</m:t>
          </m:r>
          <m:f>
            <m:fPr>
              <m:ctrlPr>
                <w:rPr>
                  <w:rFonts w:ascii="Cambria Math" w:eastAsiaTheme="minorEastAsia" w:hAnsi="Cambria Math"/>
                  <w:i/>
                  <w:iCs/>
                </w:rPr>
              </m:ctrlPr>
            </m:fPr>
            <m:num>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Deuda bruta</m:t>
                      </m:r>
                    </m:e>
                  </m:groupChr>
                </m:e>
                <m:lim>
                  <m:r>
                    <m:rPr>
                      <m:nor/>
                    </m:rPr>
                    <w:rPr>
                      <w:i/>
                    </w:rPr>
                    <m:t>Pasivo corriente</m:t>
                  </m:r>
                  <m:r>
                    <w:rPr>
                      <w:rFonts w:ascii="Cambria Math" w:hAnsi="Cambria Math"/>
                    </w:rPr>
                    <m:t>+</m:t>
                  </m:r>
                  <m:r>
                    <m:rPr>
                      <m:nor/>
                    </m:rPr>
                    <w:rPr>
                      <w:i/>
                    </w:rPr>
                    <m:t>Pasivo no corriente</m:t>
                  </m:r>
                </m:lim>
              </m:limUpp>
              <m:r>
                <w:rPr>
                  <w:rFonts w:ascii="Cambria Math" w:hAnsi="Cambria Math"/>
                </w:rPr>
                <m:t>-</m:t>
              </m:r>
              <m:r>
                <m:rPr>
                  <m:nor/>
                </m:rPr>
                <w:rPr>
                  <w:i/>
                  <w:iCs/>
                </w:rPr>
                <m:t>Efectivo y equivalentes</m:t>
              </m:r>
            </m:num>
            <m:den>
              <m:r>
                <m:rPr>
                  <m:nor/>
                </m:rPr>
                <w:rPr>
                  <w:i/>
                  <w:iCs/>
                </w:rPr>
                <m:t>EBITDA</m:t>
              </m:r>
            </m:den>
          </m:f>
        </m:oMath>
      </m:oMathPara>
    </w:p>
    <w:p w14:paraId="038D49E2" w14:textId="4CCC4E0D" w:rsidR="005120E6" w:rsidRDefault="00873523" w:rsidP="00873523">
      <w:pPr>
        <w:pStyle w:val="Nivel2SM"/>
        <w:keepNext/>
        <w:spacing w:after="0"/>
      </w:pPr>
      <w:r>
        <w:t>Por el lado del numerador, l</w:t>
      </w:r>
      <w:r w:rsidR="005120E6">
        <w:t>a deuda neta es igual a la deuda bruta (pasivo total) menos la tesorería y las inversiones financieras corrientes.</w:t>
      </w:r>
    </w:p>
    <w:p w14:paraId="602FF49A" w14:textId="4452641F" w:rsidR="005E38F4" w:rsidRDefault="005120E6" w:rsidP="00873523">
      <w:pPr>
        <w:pStyle w:val="Nivel3SM"/>
      </w:pPr>
      <w:r>
        <w:t>Si la deuda neta es negativa se dice que la empresa tiene efectivo neto</w:t>
      </w:r>
      <w:r w:rsidR="000F6B65">
        <w:t>.</w:t>
      </w:r>
    </w:p>
    <w:p w14:paraId="27D7CCBC" w14:textId="05C131E6" w:rsidR="00873523" w:rsidRPr="00873523" w:rsidRDefault="00873523" w:rsidP="00873523">
      <w:pPr>
        <w:pStyle w:val="Nivel2SM"/>
        <w:keepNext/>
        <w:spacing w:after="0"/>
        <w:rPr>
          <w:spacing w:val="-1"/>
        </w:rPr>
      </w:pPr>
      <w:r w:rsidRPr="00873523">
        <w:rPr>
          <w:spacing w:val="-1"/>
        </w:rPr>
        <w:lastRenderedPageBreak/>
        <w:t>Por el lado del denominador, el EBITDA son los ingresos de explotación menos los gastos de explotación (</w:t>
      </w:r>
      <w:proofErr w:type="spellStart"/>
      <w:r w:rsidRPr="00873523">
        <w:rPr>
          <w:i/>
          <w:iCs/>
          <w:spacing w:val="-1"/>
        </w:rPr>
        <w:t>Earnings</w:t>
      </w:r>
      <w:proofErr w:type="spellEnd"/>
      <w:r w:rsidRPr="00873523">
        <w:rPr>
          <w:i/>
          <w:iCs/>
          <w:spacing w:val="-1"/>
        </w:rPr>
        <w:t xml:space="preserve"> </w:t>
      </w:r>
      <w:proofErr w:type="spellStart"/>
      <w:r w:rsidRPr="00873523">
        <w:rPr>
          <w:i/>
          <w:iCs/>
          <w:spacing w:val="-1"/>
        </w:rPr>
        <w:t>Before</w:t>
      </w:r>
      <w:proofErr w:type="spellEnd"/>
      <w:r w:rsidRPr="00873523">
        <w:rPr>
          <w:i/>
          <w:iCs/>
          <w:spacing w:val="-1"/>
        </w:rPr>
        <w:t xml:space="preserve"> </w:t>
      </w:r>
      <w:proofErr w:type="spellStart"/>
      <w:r w:rsidRPr="00873523">
        <w:rPr>
          <w:i/>
          <w:iCs/>
          <w:spacing w:val="-1"/>
        </w:rPr>
        <w:t>Interests</w:t>
      </w:r>
      <w:proofErr w:type="spellEnd"/>
      <w:r w:rsidRPr="00873523">
        <w:rPr>
          <w:i/>
          <w:iCs/>
          <w:spacing w:val="-1"/>
        </w:rPr>
        <w:t xml:space="preserve">, </w:t>
      </w:r>
      <w:proofErr w:type="spellStart"/>
      <w:r w:rsidRPr="00873523">
        <w:rPr>
          <w:i/>
          <w:iCs/>
          <w:spacing w:val="-1"/>
        </w:rPr>
        <w:t>Depreciation</w:t>
      </w:r>
      <w:proofErr w:type="spellEnd"/>
      <w:r w:rsidRPr="00873523">
        <w:rPr>
          <w:i/>
          <w:iCs/>
          <w:spacing w:val="-1"/>
        </w:rPr>
        <w:t xml:space="preserve"> and </w:t>
      </w:r>
      <w:proofErr w:type="spellStart"/>
      <w:r w:rsidRPr="00873523">
        <w:rPr>
          <w:i/>
          <w:iCs/>
          <w:spacing w:val="-1"/>
        </w:rPr>
        <w:t>Amortization</w:t>
      </w:r>
      <w:proofErr w:type="spellEnd"/>
      <w:r w:rsidRPr="00873523">
        <w:rPr>
          <w:spacing w:val="-1"/>
        </w:rPr>
        <w:t>, o beneficio bruto operativo).</w:t>
      </w:r>
    </w:p>
    <w:p w14:paraId="5FA3FF5F" w14:textId="58434CE0" w:rsidR="00873523" w:rsidRDefault="00873523" w:rsidP="00873523">
      <w:pPr>
        <w:pStyle w:val="Nivel3SM"/>
      </w:pPr>
      <w:r>
        <w:t>Esta medida no tiene en cuenta el resultado financiero.</w:t>
      </w:r>
    </w:p>
    <w:p w14:paraId="0805A8A3" w14:textId="77777777" w:rsidR="00873523" w:rsidRDefault="00873523" w:rsidP="00873523">
      <w:pPr>
        <w:pStyle w:val="Nivel3SM"/>
      </w:pPr>
      <w:r>
        <w:t>El EBITDA es muy cercano al flujo de caja de las actividades operativas.</w:t>
      </w:r>
    </w:p>
    <w:p w14:paraId="28E918F9" w14:textId="48F2070F" w:rsidR="00873523" w:rsidRDefault="00873523" w:rsidP="00873523">
      <w:pPr>
        <w:pStyle w:val="Nivel1SM"/>
      </w:pPr>
      <w:r>
        <w:t>Simplificando mucho, pero para tener una idea, un valor de 2,5 en esta ratio significa que la deuda podrá sr pagada en 2 años y medio.</w:t>
      </w:r>
    </w:p>
    <w:p w14:paraId="34C753C6" w14:textId="621DED80" w:rsidR="005120E6" w:rsidRDefault="00873523" w:rsidP="005E38F4">
      <w:pPr>
        <w:pStyle w:val="Nivel1SM"/>
      </w:pPr>
      <w:r>
        <w:t>Un indicador mayor llevaría a dudas sobre la habilidad de la empresa de ser solvente.</w:t>
      </w:r>
    </w:p>
    <w:p w14:paraId="312D4289" w14:textId="063375D8" w:rsidR="00873523" w:rsidRDefault="008D388E">
      <w:pPr>
        <w:pStyle w:val="Ttulo6"/>
        <w:numPr>
          <w:ilvl w:val="0"/>
          <w:numId w:val="29"/>
        </w:numPr>
        <w:ind w:left="0" w:hanging="284"/>
      </w:pPr>
      <w:bookmarkStart w:id="53" w:name="_Toc125485437"/>
      <w:r>
        <w:t>Ratio de cobertura de intereses</w:t>
      </w:r>
      <w:bookmarkEnd w:id="53"/>
    </w:p>
    <w:p w14:paraId="2E4D217A" w14:textId="36F21071" w:rsidR="008D388E" w:rsidRDefault="008D388E" w:rsidP="005E2D7D">
      <w:pPr>
        <w:pStyle w:val="Nivel1SM"/>
        <w:keepNext/>
        <w:spacing w:before="0" w:after="0"/>
      </w:pPr>
      <w:r>
        <w:t>La ratio de cobertura de intereses se calcula como:</w:t>
      </w:r>
    </w:p>
    <w:p w14:paraId="50AF7200" w14:textId="16409602" w:rsidR="008D388E" w:rsidRPr="008D388E" w:rsidRDefault="008D388E" w:rsidP="008D388E">
      <w:pPr>
        <w:spacing w:after="0"/>
        <w:rPr>
          <w:rFonts w:eastAsiaTheme="minorEastAsia"/>
          <w:iCs/>
        </w:rPr>
      </w:pPr>
      <m:oMathPara>
        <m:oMath>
          <m:r>
            <m:rPr>
              <m:nor/>
            </m:rPr>
            <w:rPr>
              <w:i/>
              <w:iCs/>
            </w:rPr>
            <m:t>Ratio de cobertura de intereses</m:t>
          </m:r>
          <m:r>
            <w:rPr>
              <w:rFonts w:ascii="Cambria Math" w:eastAsiaTheme="minorEastAsia" w:hAnsi="Cambria Math"/>
            </w:rPr>
            <m:t>≡</m:t>
          </m:r>
          <m:f>
            <m:fPr>
              <m:ctrlPr>
                <w:rPr>
                  <w:rFonts w:ascii="Cambria Math" w:eastAsiaTheme="minorEastAsia" w:hAnsi="Cambria Math"/>
                  <w:i/>
                  <w:iCs/>
                </w:rPr>
              </m:ctrlPr>
            </m:fPr>
            <m:num>
              <m:r>
                <m:rPr>
                  <m:nor/>
                </m:rPr>
                <w:rPr>
                  <w:i/>
                  <w:iCs/>
                </w:rPr>
                <m:t>EBIT</m:t>
              </m:r>
            </m:num>
            <m:den>
              <m:r>
                <m:rPr>
                  <m:nor/>
                </m:rPr>
                <w:rPr>
                  <w:i/>
                  <w:iCs/>
                </w:rPr>
                <m:t>Net interest expense</m:t>
              </m:r>
            </m:den>
          </m:f>
        </m:oMath>
      </m:oMathPara>
    </w:p>
    <w:p w14:paraId="1FFBFDBB" w14:textId="7613EEE3" w:rsidR="008D388E" w:rsidRDefault="008D388E" w:rsidP="008D388E">
      <w:pPr>
        <w:pStyle w:val="Nivel2SM"/>
      </w:pPr>
      <w:r>
        <w:t>Por el lado del numerador tenemos el EBIT (</w:t>
      </w:r>
      <w:proofErr w:type="spellStart"/>
      <w:r>
        <w:rPr>
          <w:i/>
          <w:iCs/>
        </w:rPr>
        <w:t>Earnings</w:t>
      </w:r>
      <w:proofErr w:type="spellEnd"/>
      <w:r>
        <w:rPr>
          <w:i/>
          <w:iCs/>
        </w:rPr>
        <w:t xml:space="preserve"> </w:t>
      </w:r>
      <w:proofErr w:type="spellStart"/>
      <w:r>
        <w:rPr>
          <w:i/>
          <w:iCs/>
        </w:rPr>
        <w:t>Before</w:t>
      </w:r>
      <w:proofErr w:type="spellEnd"/>
      <w:r>
        <w:rPr>
          <w:i/>
          <w:iCs/>
        </w:rPr>
        <w:t xml:space="preserve"> </w:t>
      </w:r>
      <w:proofErr w:type="spellStart"/>
      <w:r>
        <w:rPr>
          <w:i/>
          <w:iCs/>
        </w:rPr>
        <w:t>Interest</w:t>
      </w:r>
      <w:proofErr w:type="spellEnd"/>
      <w:r>
        <w:rPr>
          <w:i/>
          <w:iCs/>
        </w:rPr>
        <w:t xml:space="preserve"> and </w:t>
      </w:r>
      <w:proofErr w:type="spellStart"/>
      <w:r>
        <w:rPr>
          <w:i/>
          <w:iCs/>
        </w:rPr>
        <w:t>Taxes</w:t>
      </w:r>
      <w:proofErr w:type="spellEnd"/>
      <w:r>
        <w:t>), que es igual al EBITDA menos la amortización y la depreciación. Refleja los beneficios que la empresa genera por sus actividades (i.e. el beneficio operativo).</w:t>
      </w:r>
    </w:p>
    <w:p w14:paraId="4B4A068C" w14:textId="497528D3" w:rsidR="008D388E" w:rsidRPr="005E38F4" w:rsidRDefault="008D388E" w:rsidP="005E38F4">
      <w:pPr>
        <w:pStyle w:val="Nivel1SM"/>
      </w:pPr>
      <w:r>
        <w:t>Un valor de 3 se considera nivel crítico.</w:t>
      </w:r>
    </w:p>
    <w:p w14:paraId="5FD7F5B9" w14:textId="5AF0E1B6" w:rsidR="00C82425" w:rsidRDefault="00C82425" w:rsidP="00C82425">
      <w:pPr>
        <w:pStyle w:val="Ttulo2"/>
      </w:pPr>
      <w:bookmarkStart w:id="54" w:name="_Toc125485438"/>
      <w:r>
        <w:t xml:space="preserve">Análisis </w:t>
      </w:r>
      <w:r w:rsidR="00664D5D">
        <w:t xml:space="preserve">de la rentabilidad (análisis </w:t>
      </w:r>
      <w:r>
        <w:t>económico y análisis financiero de la empresa</w:t>
      </w:r>
      <w:r w:rsidR="00664D5D">
        <w:t>)</w:t>
      </w:r>
    </w:p>
    <w:p w14:paraId="66E93003" w14:textId="25E5115D" w:rsidR="005E38F4" w:rsidRDefault="005E38F4" w:rsidP="005E2D7D">
      <w:pPr>
        <w:pStyle w:val="Ttulo3"/>
        <w:spacing w:before="0"/>
      </w:pPr>
      <w:r>
        <w:t xml:space="preserve">Análisis </w:t>
      </w:r>
      <w:r w:rsidR="008D388E">
        <w:t>económico</w:t>
      </w:r>
      <w:bookmarkEnd w:id="54"/>
    </w:p>
    <w:p w14:paraId="5F289444" w14:textId="4C5CF928" w:rsidR="008D388E" w:rsidRDefault="008D388E" w:rsidP="005E2D7D">
      <w:pPr>
        <w:pStyle w:val="Ttulo6"/>
        <w:spacing w:before="0"/>
      </w:pPr>
      <w:bookmarkStart w:id="55" w:name="_Toc125485439"/>
      <w:r>
        <w:t>Análisis de márgenes</w:t>
      </w:r>
      <w:bookmarkEnd w:id="55"/>
    </w:p>
    <w:p w14:paraId="25CF528B" w14:textId="4D4D6E39" w:rsidR="008D388E" w:rsidRPr="008D388E" w:rsidRDefault="008D388E" w:rsidP="005E2D7D">
      <w:pPr>
        <w:pStyle w:val="Nivel1SM"/>
        <w:keepNext/>
        <w:spacing w:before="0" w:after="0"/>
      </w:pPr>
      <w:r>
        <w:t xml:space="preserve">Distinguimos </w:t>
      </w:r>
      <w:r w:rsidRPr="008D388E">
        <w:rPr>
          <w:b/>
          <w:bCs/>
        </w:rPr>
        <w:t>3</w:t>
      </w:r>
      <w:r w:rsidR="005E2D7D">
        <w:rPr>
          <w:b/>
          <w:bCs/>
        </w:rPr>
        <w:t> </w:t>
      </w:r>
      <w:r w:rsidRPr="008D388E">
        <w:rPr>
          <w:b/>
          <w:bCs/>
        </w:rPr>
        <w:t>márgenes</w:t>
      </w:r>
      <w:r>
        <w:t xml:space="preserve"> que nos permiten realizar un análisis económico de la empresa</w:t>
      </w:r>
      <w:r w:rsidR="0084464E">
        <w:rPr>
          <w:rStyle w:val="Refdenotaalpie"/>
        </w:rPr>
        <w:footnoteReference w:id="31"/>
      </w:r>
      <w:r>
        <w:t>:</w:t>
      </w:r>
    </w:p>
    <w:p w14:paraId="6822921C" w14:textId="04916975" w:rsidR="008D388E" w:rsidRDefault="008D388E" w:rsidP="008D388E">
      <w:pPr>
        <w:pStyle w:val="Nivel2SM"/>
        <w:keepNext/>
        <w:spacing w:after="0"/>
      </w:pPr>
      <w:r w:rsidRPr="008D388E">
        <w:rPr>
          <w:i/>
          <w:iCs/>
          <w:u w:val="single"/>
        </w:rPr>
        <w:t>Margen bruto</w:t>
      </w:r>
      <w:r>
        <w:t>:</w:t>
      </w:r>
    </w:p>
    <w:p w14:paraId="40845C7C" w14:textId="4A5CFE38" w:rsidR="008D388E" w:rsidRPr="008D388E" w:rsidRDefault="00F45B1F" w:rsidP="008D388E">
      <m:oMathPara>
        <m:oMath>
          <m:r>
            <w:rPr>
              <w:rFonts w:ascii="Cambria Math" w:eastAsiaTheme="minorEastAsia" w:hAnsi="Cambria Math"/>
            </w:rPr>
            <m:t xml:space="preserve"> </m:t>
          </m:r>
          <m:r>
            <m:rPr>
              <m:nor/>
            </m:rPr>
            <w:rPr>
              <w:i/>
              <w:iCs/>
            </w:rPr>
            <m:t>Margen bruto</m:t>
          </m:r>
          <m:r>
            <w:rPr>
              <w:rFonts w:ascii="Cambria Math" w:hAnsi="Cambria Math"/>
            </w:rPr>
            <m:t>≡</m:t>
          </m:r>
          <m:f>
            <m:fPr>
              <m:ctrlPr>
                <w:rPr>
                  <w:rFonts w:ascii="Cambria Math" w:hAnsi="Cambria Math"/>
                  <w:i/>
                </w:rPr>
              </m:ctrlPr>
            </m:fPr>
            <m:num>
              <m:r>
                <m:rPr>
                  <m:nor/>
                </m:rPr>
                <w:rPr>
                  <w:i/>
                  <w:iCs/>
                </w:rPr>
                <m:t>Ingresos por ventas</m:t>
              </m:r>
              <m:r>
                <w:rPr>
                  <w:rFonts w:ascii="Cambria Math" w:hAnsi="Cambria Math"/>
                </w:rPr>
                <m:t>-</m:t>
              </m:r>
              <m:r>
                <m:rPr>
                  <m:nor/>
                </m:rPr>
                <w:rPr>
                  <w:i/>
                  <w:iCs/>
                </w:rPr>
                <m:t>Costes por ventas</m:t>
              </m:r>
            </m:num>
            <m:den>
              <m:r>
                <m:rPr>
                  <m:nor/>
                </m:rPr>
                <w:rPr>
                  <w:i/>
                  <w:iCs/>
                </w:rPr>
                <m:t>Ingresos por ventas</m:t>
              </m:r>
            </m:den>
          </m:f>
        </m:oMath>
      </m:oMathPara>
    </w:p>
    <w:p w14:paraId="2D723E67" w14:textId="0754618E" w:rsidR="008D388E" w:rsidRDefault="008D388E" w:rsidP="008D388E">
      <w:pPr>
        <w:pStyle w:val="Nivel2SM"/>
        <w:keepNext/>
        <w:spacing w:after="0"/>
      </w:pPr>
      <w:r w:rsidRPr="008D388E">
        <w:rPr>
          <w:i/>
          <w:iCs/>
          <w:u w:val="single"/>
        </w:rPr>
        <w:t>Margen EBITDA</w:t>
      </w:r>
      <w:r>
        <w:t>:</w:t>
      </w:r>
    </w:p>
    <w:p w14:paraId="2708E585" w14:textId="2273AA67" w:rsidR="008D388E" w:rsidRPr="008D388E" w:rsidRDefault="00F45B1F" w:rsidP="008D388E">
      <m:oMathPara>
        <m:oMath>
          <m:r>
            <w:rPr>
              <w:rFonts w:ascii="Cambria Math" w:eastAsiaTheme="minorEastAsia" w:hAnsi="Cambria Math"/>
            </w:rPr>
            <m:t xml:space="preserve"> </m:t>
          </m:r>
          <m:r>
            <m:rPr>
              <m:nor/>
            </m:rPr>
            <w:rPr>
              <w:i/>
              <w:iCs/>
            </w:rPr>
            <m:t>Margen EBITDA</m:t>
          </m:r>
          <m:r>
            <w:rPr>
              <w:rFonts w:ascii="Cambria Math" w:hAnsi="Cambria Math"/>
            </w:rPr>
            <m:t>≡</m:t>
          </m:r>
          <m:f>
            <m:fPr>
              <m:ctrlPr>
                <w:rPr>
                  <w:rFonts w:ascii="Cambria Math" w:hAnsi="Cambria Math"/>
                  <w:i/>
                </w:rPr>
              </m:ctrlPr>
            </m:fPr>
            <m:num>
              <m:r>
                <m:rPr>
                  <m:nor/>
                </m:rPr>
                <w:rPr>
                  <w:i/>
                  <w:iCs/>
                </w:rPr>
                <m:t>EBITDA</m:t>
              </m:r>
            </m:num>
            <m:den>
              <m:r>
                <m:rPr>
                  <m:nor/>
                </m:rPr>
                <w:rPr>
                  <w:i/>
                  <w:iCs/>
                </w:rPr>
                <m:t>Ingresos por ventas</m:t>
              </m:r>
            </m:den>
          </m:f>
        </m:oMath>
      </m:oMathPara>
    </w:p>
    <w:p w14:paraId="2675FA5B" w14:textId="35F4524C" w:rsidR="008D388E" w:rsidRDefault="008D388E" w:rsidP="008D388E">
      <w:pPr>
        <w:pStyle w:val="Nivel2SM"/>
        <w:keepNext/>
        <w:spacing w:after="0"/>
      </w:pPr>
      <w:r>
        <w:rPr>
          <w:i/>
          <w:iCs/>
          <w:u w:val="single"/>
        </w:rPr>
        <w:t>Margen o</w:t>
      </w:r>
      <w:r w:rsidRPr="008D388E">
        <w:rPr>
          <w:i/>
          <w:iCs/>
          <w:u w:val="single"/>
        </w:rPr>
        <w:t>perativo</w:t>
      </w:r>
      <w:r>
        <w:t>:</w:t>
      </w:r>
    </w:p>
    <w:p w14:paraId="22B01693" w14:textId="31B934FD" w:rsidR="0084464E" w:rsidRPr="008D388E" w:rsidRDefault="00F45B1F" w:rsidP="008D388E">
      <w:pPr>
        <w:rPr>
          <w:rFonts w:eastAsiaTheme="minorEastAsia"/>
        </w:rPr>
      </w:pPr>
      <m:oMathPara>
        <m:oMath>
          <m:r>
            <w:rPr>
              <w:rFonts w:ascii="Cambria Math" w:eastAsiaTheme="minorEastAsia" w:hAnsi="Cambria Math"/>
            </w:rPr>
            <m:t xml:space="preserve"> </m:t>
          </m:r>
          <m:r>
            <m:rPr>
              <m:nor/>
            </m:rPr>
            <w:rPr>
              <w:i/>
              <w:iCs/>
            </w:rPr>
            <m:t>Margen operativo</m:t>
          </m:r>
          <m:r>
            <w:rPr>
              <w:rFonts w:ascii="Cambria Math" w:hAnsi="Cambria Math"/>
            </w:rPr>
            <m:t>≡</m:t>
          </m:r>
          <m:f>
            <m:fPr>
              <m:ctrlPr>
                <w:rPr>
                  <w:rFonts w:ascii="Cambria Math" w:hAnsi="Cambria Math"/>
                  <w:i/>
                </w:rPr>
              </m:ctrlPr>
            </m:fPr>
            <m:num>
              <m:r>
                <m:rPr>
                  <m:nor/>
                </m:rPr>
                <w:rPr>
                  <w:i/>
                  <w:iCs/>
                </w:rPr>
                <m:t>EBIT</m:t>
              </m:r>
            </m:num>
            <m:den>
              <m:r>
                <m:rPr>
                  <m:nor/>
                </m:rPr>
                <w:rPr>
                  <w:i/>
                  <w:iCs/>
                </w:rPr>
                <m:t>Ingresos por ventas</m:t>
              </m:r>
            </m:den>
          </m:f>
        </m:oMath>
      </m:oMathPara>
    </w:p>
    <w:p w14:paraId="3C5D8816" w14:textId="7BDC22CE" w:rsidR="008D388E" w:rsidRPr="008D388E" w:rsidRDefault="008D388E" w:rsidP="008D388E">
      <w:pPr>
        <w:pStyle w:val="Nivel1SM"/>
        <w:rPr>
          <w:spacing w:val="-3"/>
        </w:rPr>
      </w:pPr>
      <w:r w:rsidRPr="008D388E">
        <w:rPr>
          <w:spacing w:val="-3"/>
        </w:rPr>
        <w:t>Un mayor margen puede ser debido a un efecto volumen (más ventas) o a un efecto precio (más precio).</w:t>
      </w:r>
    </w:p>
    <w:p w14:paraId="4791EFFE" w14:textId="3075E977" w:rsidR="008D388E" w:rsidRDefault="008D388E" w:rsidP="008D388E">
      <w:pPr>
        <w:pStyle w:val="Ttulo6"/>
      </w:pPr>
      <w:bookmarkStart w:id="56" w:name="_Toc125485440"/>
      <w:r>
        <w:t>Rentabilidad económica (</w:t>
      </w:r>
      <w:proofErr w:type="spellStart"/>
      <w:r>
        <w:t>Return-on-Assets</w:t>
      </w:r>
      <w:proofErr w:type="spellEnd"/>
      <w:r>
        <w:t xml:space="preserve"> (ROA))</w:t>
      </w:r>
      <w:bookmarkEnd w:id="56"/>
    </w:p>
    <w:p w14:paraId="368A40F7" w14:textId="423651FE" w:rsidR="008D388E" w:rsidRDefault="00F45B1F" w:rsidP="005E2D7D">
      <w:pPr>
        <w:pStyle w:val="Nivel1SM"/>
        <w:spacing w:before="0"/>
      </w:pPr>
      <w:r>
        <w:t>La rentabilidad económica es la capacidad de los activos para generar una rentabilidad operativa (</w:t>
      </w:r>
      <w:proofErr w:type="spellStart"/>
      <w:r w:rsidR="00BF50C7">
        <w:rPr>
          <w:i/>
          <w:iCs/>
        </w:rPr>
        <w:t>Earnings</w:t>
      </w:r>
      <w:proofErr w:type="spellEnd"/>
      <w:r w:rsidR="00BF50C7">
        <w:rPr>
          <w:i/>
          <w:iCs/>
        </w:rPr>
        <w:t xml:space="preserve"> </w:t>
      </w:r>
      <w:proofErr w:type="spellStart"/>
      <w:r w:rsidR="00BF50C7">
        <w:rPr>
          <w:i/>
          <w:iCs/>
        </w:rPr>
        <w:t>Before</w:t>
      </w:r>
      <w:proofErr w:type="spellEnd"/>
      <w:r w:rsidR="00BF50C7">
        <w:rPr>
          <w:i/>
          <w:iCs/>
        </w:rPr>
        <w:t xml:space="preserve"> </w:t>
      </w:r>
      <w:proofErr w:type="spellStart"/>
      <w:r w:rsidR="00BF50C7">
        <w:rPr>
          <w:i/>
          <w:iCs/>
        </w:rPr>
        <w:t>Interests</w:t>
      </w:r>
      <w:proofErr w:type="spellEnd"/>
      <w:r w:rsidR="00BF50C7">
        <w:rPr>
          <w:i/>
          <w:iCs/>
        </w:rPr>
        <w:t xml:space="preserve"> After </w:t>
      </w:r>
      <w:proofErr w:type="spellStart"/>
      <w:r w:rsidR="00BF50C7">
        <w:rPr>
          <w:i/>
          <w:iCs/>
        </w:rPr>
        <w:t>Taxes</w:t>
      </w:r>
      <w:proofErr w:type="spellEnd"/>
      <w:r w:rsidR="00BF50C7">
        <w:t xml:space="preserve">, </w:t>
      </w:r>
      <w:r>
        <w:t>EBI</w:t>
      </w:r>
      <w:r w:rsidR="00BF50C7">
        <w:t>A</w:t>
      </w:r>
      <w:r>
        <w:t>T)</w:t>
      </w:r>
      <w:r>
        <w:rPr>
          <w:rStyle w:val="Refdenotaalpie"/>
        </w:rPr>
        <w:footnoteReference w:id="32"/>
      </w:r>
      <w:r>
        <w:t xml:space="preserve"> para los accionistas y acreedores independientemente de cómo se financie. Se toma el conjunto del capital empleado, que engloba pasivo y patrimonio neto (i.e. por igualdad contable tomamos el activo)</w:t>
      </w:r>
      <w:r w:rsidR="00E74483">
        <w:rPr>
          <w:rStyle w:val="Refdenotaalpie"/>
        </w:rPr>
        <w:footnoteReference w:id="33"/>
      </w:r>
      <w:r>
        <w:t>.</w:t>
      </w:r>
    </w:p>
    <w:p w14:paraId="45A3CA95" w14:textId="1177657E" w:rsidR="00F45B1F" w:rsidRDefault="00F45B1F" w:rsidP="00F45B1F">
      <w:pPr>
        <w:pStyle w:val="Nivel1SM"/>
        <w:numPr>
          <w:ilvl w:val="0"/>
          <w:numId w:val="0"/>
        </w:numPr>
      </w:pPr>
      <m:oMathPara>
        <m:oMath>
          <m:r>
            <w:rPr>
              <w:rFonts w:ascii="Cambria Math" w:eastAsiaTheme="minorEastAsia" w:hAnsi="Cambria Math"/>
            </w:rPr>
            <m:t xml:space="preserve"> </m:t>
          </m:r>
          <m:r>
            <m:rPr>
              <m:nor/>
            </m:rPr>
            <w:rPr>
              <w:i/>
              <w:iCs/>
            </w:rPr>
            <m:t>ROA</m:t>
          </m:r>
          <m:r>
            <w:rPr>
              <w:rFonts w:ascii="Cambria Math" w:hAnsi="Cambria Math"/>
            </w:rPr>
            <m:t>≡</m:t>
          </m:r>
          <m:f>
            <m:fPr>
              <m:ctrlPr>
                <w:rPr>
                  <w:rFonts w:ascii="Cambria Math" w:hAnsi="Cambria Math"/>
                  <w:i/>
                </w:rPr>
              </m:ctrlPr>
            </m:fPr>
            <m:num>
              <m:r>
                <m:rPr>
                  <m:nor/>
                </m:rPr>
                <w:rPr>
                  <w:i/>
                  <w:iCs/>
                </w:rPr>
                <m:t>EBIAT</m:t>
              </m:r>
            </m:num>
            <m:den>
              <m:r>
                <m:rPr>
                  <m:nor/>
                </m:rPr>
                <w:rPr>
                  <w:i/>
                  <w:iCs/>
                </w:rPr>
                <m:t>Activos totales</m:t>
              </m:r>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iCs/>
                        </w:rPr>
                        <m:t>EBIAT</m:t>
                      </m:r>
                    </m:num>
                    <m:den>
                      <m:r>
                        <m:rPr>
                          <m:nor/>
                        </m:rPr>
                        <w:rPr>
                          <w:i/>
                          <w:iCs/>
                        </w:rPr>
                        <m:t>Ventas</m:t>
                      </m:r>
                    </m:den>
                  </m:f>
                </m:e>
              </m:groupChr>
            </m:e>
            <m:lim>
              <m:r>
                <m:rPr>
                  <m:nor/>
                </m:rPr>
                <w:rPr>
                  <w:i/>
                  <w:iCs/>
                </w:rPr>
                <m:t>Margen operativo</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iCs/>
                        </w:rPr>
                        <m:t>Ventas</m:t>
                      </m:r>
                    </m:num>
                    <m:den>
                      <m:r>
                        <m:rPr>
                          <m:nor/>
                        </m:rPr>
                        <w:rPr>
                          <w:i/>
                          <w:iCs/>
                        </w:rPr>
                        <m:t>Activos totales</m:t>
                      </m:r>
                    </m:den>
                  </m:f>
                </m:e>
              </m:groupChr>
            </m:e>
            <m:lim>
              <m:r>
                <m:rPr>
                  <m:nor/>
                </m:rPr>
                <w:rPr>
                  <w:i/>
                  <w:iCs/>
                </w:rPr>
                <m:t>Rotación</m:t>
              </m:r>
            </m:lim>
          </m:limLow>
        </m:oMath>
      </m:oMathPara>
    </w:p>
    <w:p w14:paraId="6E58D9B1" w14:textId="3D2BE074" w:rsidR="00F45B1F" w:rsidRDefault="00073657" w:rsidP="00073657">
      <w:pPr>
        <w:pStyle w:val="Nivel1SM"/>
        <w:keepNext/>
        <w:spacing w:after="0"/>
      </w:pPr>
      <w:r>
        <w:lastRenderedPageBreak/>
        <w:t>Otra forma de ver la rentabilidad económica es como el margen por la rotación.</w:t>
      </w:r>
    </w:p>
    <w:p w14:paraId="574E93D0" w14:textId="59830F3E" w:rsidR="00073657" w:rsidRDefault="00073657" w:rsidP="00073657">
      <w:pPr>
        <w:pStyle w:val="Nivel2SM"/>
      </w:pPr>
      <w:r>
        <w:t xml:space="preserve">El </w:t>
      </w:r>
      <w:r w:rsidRPr="00073657">
        <w:rPr>
          <w:i/>
          <w:iCs/>
        </w:rPr>
        <w:t>margen operativo</w:t>
      </w:r>
      <w:r>
        <w:t xml:space="preserve"> es la rentabilidad comercial u operativa.</w:t>
      </w:r>
    </w:p>
    <w:p w14:paraId="13EC98B7" w14:textId="2B2F2E24" w:rsidR="00073657" w:rsidRDefault="00073657" w:rsidP="00073657">
      <w:pPr>
        <w:pStyle w:val="Nivel2SM"/>
      </w:pPr>
      <w:r>
        <w:t xml:space="preserve">La </w:t>
      </w:r>
      <w:r w:rsidRPr="00073657">
        <w:rPr>
          <w:i/>
          <w:iCs/>
        </w:rPr>
        <w:t>rotación de activos totales</w:t>
      </w:r>
      <w:r>
        <w:t xml:space="preserve"> mide la eficiencia con que las empresas utilizan sus activos para generar ingresos en ventas. Se calcula dividiendo los ingresos por ventas de activos totales.</w:t>
      </w:r>
    </w:p>
    <w:p w14:paraId="46BDB323" w14:textId="30750EFC" w:rsidR="00073657" w:rsidRDefault="00073657" w:rsidP="00073657">
      <w:pPr>
        <w:pStyle w:val="Nivel1SM"/>
        <w:keepNext/>
        <w:spacing w:after="0"/>
      </w:pPr>
      <w:r>
        <w:t>Por tanto, vemos como si la empresa quiere aumentar su rentabilidad puede:</w:t>
      </w:r>
    </w:p>
    <w:p w14:paraId="7442F8E3" w14:textId="30DE385A" w:rsidR="00073657" w:rsidRDefault="00073657">
      <w:pPr>
        <w:pStyle w:val="Prrafodelista"/>
        <w:numPr>
          <w:ilvl w:val="0"/>
          <w:numId w:val="22"/>
        </w:numPr>
        <w:spacing w:after="100"/>
        <w:ind w:left="568" w:hanging="284"/>
      </w:pPr>
      <w:r>
        <w:rPr>
          <w:i/>
          <w:iCs/>
        </w:rPr>
        <w:t>Aumentar su margen</w:t>
      </w:r>
      <w:r>
        <w:t xml:space="preserve"> (aumentando precios o reduciendo costes).</w:t>
      </w:r>
    </w:p>
    <w:p w14:paraId="0EA19042" w14:textId="19949604" w:rsidR="00073657" w:rsidRDefault="00073657">
      <w:pPr>
        <w:pStyle w:val="Prrafodelista"/>
        <w:numPr>
          <w:ilvl w:val="0"/>
          <w:numId w:val="22"/>
        </w:numPr>
        <w:spacing w:after="100"/>
        <w:ind w:left="568" w:hanging="284"/>
      </w:pPr>
      <w:r>
        <w:rPr>
          <w:i/>
          <w:iCs/>
        </w:rPr>
        <w:t>Aumentar su rotación</w:t>
      </w:r>
      <w:r>
        <w:t xml:space="preserve"> (aumentando sus ventas por unidad de activo empleado)</w:t>
      </w:r>
      <w:r>
        <w:rPr>
          <w:rStyle w:val="Refdenotaalpie"/>
        </w:rPr>
        <w:footnoteReference w:id="34"/>
      </w:r>
      <w:r>
        <w:t>.</w:t>
      </w:r>
    </w:p>
    <w:p w14:paraId="16E0DBDB" w14:textId="5BDBED80" w:rsidR="008D388E" w:rsidRDefault="008D388E" w:rsidP="008D388E">
      <w:pPr>
        <w:pStyle w:val="Ttulo6"/>
      </w:pPr>
      <w:bookmarkStart w:id="57" w:name="_Toc125485441"/>
      <w:r>
        <w:t>Riesgos</w:t>
      </w:r>
      <w:bookmarkEnd w:id="57"/>
    </w:p>
    <w:p w14:paraId="5A97793F" w14:textId="144F70B4" w:rsidR="00E74483" w:rsidRDefault="00E74483" w:rsidP="005E2D7D">
      <w:pPr>
        <w:pStyle w:val="Ttulo7"/>
        <w:spacing w:before="0"/>
      </w:pPr>
      <w:r>
        <w:t>Punto muerto operativo o umbral de rentabilidad (</w:t>
      </w:r>
      <w:proofErr w:type="spellStart"/>
      <w:r>
        <w:t>breakeven</w:t>
      </w:r>
      <w:proofErr w:type="spellEnd"/>
      <w:r>
        <w:t xml:space="preserve"> </w:t>
      </w:r>
      <w:proofErr w:type="spellStart"/>
      <w:r>
        <w:t>point</w:t>
      </w:r>
      <w:proofErr w:type="spellEnd"/>
      <w:r>
        <w:t>)</w:t>
      </w:r>
    </w:p>
    <w:p w14:paraId="156ADACF" w14:textId="77777777" w:rsidR="00E74483" w:rsidRDefault="00E74483" w:rsidP="005E2D7D">
      <w:pPr>
        <w:pStyle w:val="Nivel1SM"/>
        <w:keepNext/>
        <w:spacing w:before="0" w:after="0"/>
      </w:pPr>
      <w:r>
        <w:t xml:space="preserve">El </w:t>
      </w:r>
      <w:r w:rsidRPr="00E74483">
        <w:rPr>
          <w:b/>
          <w:bCs/>
        </w:rPr>
        <w:t>punto muerto</w:t>
      </w:r>
      <w:r>
        <w:t xml:space="preserve"> o </w:t>
      </w:r>
      <w:r>
        <w:rPr>
          <w:b/>
          <w:bCs/>
        </w:rPr>
        <w:t>umbral de rentabilidad</w:t>
      </w:r>
      <w:r>
        <w:t xml:space="preserve"> (</w:t>
      </w:r>
      <w:proofErr w:type="spellStart"/>
      <w:r>
        <w:rPr>
          <w:i/>
          <w:iCs/>
        </w:rPr>
        <w:t>breakeven</w:t>
      </w:r>
      <w:proofErr w:type="spellEnd"/>
      <w:r>
        <w:rPr>
          <w:i/>
          <w:iCs/>
        </w:rPr>
        <w:t xml:space="preserve"> </w:t>
      </w:r>
      <w:proofErr w:type="spellStart"/>
      <w:r>
        <w:rPr>
          <w:i/>
          <w:iCs/>
        </w:rPr>
        <w:t>point</w:t>
      </w:r>
      <w:proofErr w:type="spellEnd"/>
      <w:r>
        <w:t>) se define como el número mínimo de unidades que una empresa necesita vender para que el beneficio operativo en ese momento sea cero.</w:t>
      </w:r>
    </w:p>
    <w:p w14:paraId="2D54F0DA" w14:textId="5254AC82" w:rsidR="00E74483" w:rsidRDefault="00E74483" w:rsidP="00E74483">
      <w:pPr>
        <w:pStyle w:val="Nivel2SM"/>
        <w:keepNext/>
        <w:spacing w:after="0"/>
      </w:pPr>
      <w:r>
        <w:t>Es decir, es el nivel de ventas que hace que los costes totales se igualen a los ingresos totales por ventas. A partir de ese volumen mínimo, el producto tendrá rentabilidad comercial para la empresa.</w:t>
      </w:r>
    </w:p>
    <w:p w14:paraId="024EE431" w14:textId="4D50BC4F" w:rsidR="00E74483" w:rsidRDefault="00E74483" w:rsidP="00E74483">
      <w:pPr>
        <w:pStyle w:val="Nivel3SM"/>
      </w:pPr>
      <w:r>
        <w:t>Si la empresa no alcanza el umbral de rentabilidad (ventas insuficientes) se darían pérdidas.</w:t>
      </w:r>
    </w:p>
    <w:p w14:paraId="5200C6E8" w14:textId="44DC19D1" w:rsidR="00E74483" w:rsidRDefault="00E74483" w:rsidP="00E74483">
      <w:pPr>
        <w:pStyle w:val="Nivel3SM"/>
      </w:pPr>
      <w:r>
        <w:t>Si las ventas son exactamente iguales al umbral de rentabilidad, los beneficios serían cero.</w:t>
      </w:r>
    </w:p>
    <w:p w14:paraId="4AD74FFA" w14:textId="3863EF72" w:rsidR="00E74483" w:rsidRDefault="00E74483" w:rsidP="00E74483">
      <w:pPr>
        <w:pStyle w:val="Nivel3SM"/>
      </w:pPr>
      <w:r>
        <w:t>Si la empresa excede el umbral de rentabilidad se generaría un beneficio.</w:t>
      </w:r>
    </w:p>
    <w:p w14:paraId="6CE5B836" w14:textId="00BCB0A4" w:rsidR="00E74483" w:rsidRDefault="00E74483" w:rsidP="00E74483">
      <w:pPr>
        <w:pStyle w:val="Nivel1SM"/>
        <w:keepNext/>
        <w:spacing w:after="0"/>
      </w:pPr>
      <w:r>
        <w:t>El punto muerto o umbral de rentabilidad se calcular como:</w:t>
      </w:r>
    </w:p>
    <w:p w14:paraId="61D12ECF" w14:textId="65D8BDEF" w:rsidR="00E74483" w:rsidRDefault="00F42FCF" w:rsidP="00E74483">
      <w:pPr>
        <w:spacing w:after="0"/>
      </w:pPr>
      <m:oMathPara>
        <m:oMath>
          <m:r>
            <w:rPr>
              <w:rFonts w:ascii="Cambria Math" w:eastAsiaTheme="minorEastAsia" w:hAnsi="Cambria Math"/>
            </w:rPr>
            <m:t xml:space="preserve"> </m:t>
          </m:r>
          <m:limLow>
            <m:limLowPr>
              <m:ctrlPr>
                <w:rPr>
                  <w:rFonts w:ascii="Cambria Math" w:hAnsi="Cambria Math"/>
                  <w:i/>
                  <w:iCs/>
                </w:rPr>
              </m:ctrlPr>
            </m:limLowPr>
            <m:e>
              <m:groupChr>
                <m:groupChrPr>
                  <m:ctrlPr>
                    <w:rPr>
                      <w:rFonts w:ascii="Cambria Math" w:hAnsi="Cambria Math"/>
                      <w:i/>
                      <w:iCs/>
                    </w:rPr>
                  </m:ctrlPr>
                </m:groupChrPr>
                <m:e>
                  <m:r>
                    <m:rPr>
                      <m:nor/>
                    </m:rPr>
                    <w:rPr>
                      <w:i/>
                      <w:iCs/>
                    </w:rPr>
                    <m:t>Ingresos totales</m:t>
                  </m:r>
                </m:e>
              </m:groupChr>
            </m:e>
            <m:lim>
              <m:limLow>
                <m:limLowPr>
                  <m:ctrlPr>
                    <w:rPr>
                      <w:rFonts w:ascii="Cambria Math" w:hAnsi="Cambria Math"/>
                      <w:i/>
                      <w:iCs/>
                    </w:rPr>
                  </m:ctrlPr>
                </m:limLowPr>
                <m:e>
                  <m:groupChr>
                    <m:groupChrPr>
                      <m:ctrlPr>
                        <w:rPr>
                          <w:rFonts w:ascii="Cambria Math" w:hAnsi="Cambria Math"/>
                          <w:i/>
                          <w:iCs/>
                        </w:rPr>
                      </m:ctrlPr>
                    </m:groupChrPr>
                    <m:e>
                      <m:r>
                        <m:rPr>
                          <m:nor/>
                        </m:rPr>
                        <w:rPr>
                          <w:i/>
                          <w:iCs/>
                        </w:rPr>
                        <m:t>Precio</m:t>
                      </m:r>
                    </m:e>
                  </m:groupChr>
                </m:e>
                <m:lim>
                  <m:r>
                    <m:rPr>
                      <m:nor/>
                    </m:rPr>
                    <w:rPr>
                      <w:i/>
                      <w:iCs/>
                    </w:rPr>
                    <m:t>P</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Cantidad</m:t>
                      </m:r>
                    </m:e>
                  </m:groupChr>
                </m:e>
                <m:lim>
                  <m:r>
                    <m:rPr>
                      <m:nor/>
                    </m:rPr>
                    <w:rPr>
                      <w:i/>
                      <w:iCs/>
                    </w:rPr>
                    <m:t>Q</m:t>
                  </m:r>
                </m:lim>
              </m:limLow>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Costes variables</m:t>
                  </m:r>
                </m:e>
              </m:groupChr>
            </m:e>
            <m:lim>
              <m:limLow>
                <m:limLowPr>
                  <m:ctrlPr>
                    <w:rPr>
                      <w:rFonts w:ascii="Cambria Math" w:hAnsi="Cambria Math"/>
                      <w:i/>
                      <w:iCs/>
                    </w:rPr>
                  </m:ctrlPr>
                </m:limLowPr>
                <m:e>
                  <m:groupChr>
                    <m:groupChrPr>
                      <m:ctrlPr>
                        <w:rPr>
                          <w:rFonts w:ascii="Cambria Math" w:hAnsi="Cambria Math"/>
                          <w:i/>
                          <w:iCs/>
                        </w:rPr>
                      </m:ctrlPr>
                    </m:groupChrPr>
                    <m:e>
                      <m:r>
                        <m:rPr>
                          <m:nor/>
                        </m:rPr>
                        <w:rPr>
                          <w:i/>
                          <w:iCs/>
                        </w:rPr>
                        <m:t>CV</m:t>
                      </m:r>
                    </m:e>
                  </m:groupChr>
                </m:e>
                <m:lim>
                  <m:r>
                    <m:rPr>
                      <m:nor/>
                    </m:rPr>
                    <w:rPr>
                      <w:i/>
                      <w:iCs/>
                    </w:rPr>
                    <m:t>CVUnitario</m:t>
                  </m:r>
                  <m:r>
                    <w:rPr>
                      <w:rFonts w:ascii="Cambria Math" w:hAnsi="Cambria Math"/>
                    </w:rPr>
                    <m:t>×</m:t>
                  </m:r>
                  <m:r>
                    <m:rPr>
                      <m:nor/>
                    </m:rPr>
                    <w:rPr>
                      <w:i/>
                      <w:iCs/>
                    </w:rPr>
                    <m:t>Q</m:t>
                  </m:r>
                </m:lim>
              </m:limLow>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Costes fijos</m:t>
                  </m:r>
                </m:e>
              </m:groupChr>
            </m:e>
            <m:lim>
              <m:r>
                <m:rPr>
                  <m:nor/>
                </m:rPr>
                <w:rPr>
                  <w:i/>
                  <w:iCs/>
                </w:rPr>
                <m:t>CF</m:t>
              </m:r>
            </m:lim>
          </m:limLow>
          <m:r>
            <m:rPr>
              <m:sty m:val="p"/>
            </m:rPr>
            <w:rPr>
              <w:rFonts w:ascii="Cambria Math" w:hAnsi="Cambria Math"/>
            </w:rPr>
            <w:br/>
          </m:r>
        </m:oMath>
        <m:oMath>
          <m:r>
            <w:rPr>
              <w:rFonts w:ascii="Cambria Math" w:eastAsiaTheme="minorEastAsia" w:hAnsi="Cambria Math"/>
            </w:rPr>
            <m:t xml:space="preserve"> </m:t>
          </m:r>
          <m:r>
            <m:rPr>
              <m:nor/>
            </m:rPr>
            <w:rPr>
              <w:i/>
              <w:iCs/>
            </w:rPr>
            <m:t>P</m:t>
          </m:r>
          <m:r>
            <w:rPr>
              <w:rFonts w:ascii="Cambria Math" w:hAnsi="Cambria Math"/>
            </w:rPr>
            <m:t>∙</m:t>
          </m:r>
          <m:r>
            <m:rPr>
              <m:nor/>
            </m:rPr>
            <w:rPr>
              <w:i/>
              <w:iCs/>
            </w:rPr>
            <m:t>Q</m:t>
          </m:r>
          <m:r>
            <w:rPr>
              <w:rFonts w:ascii="Cambria Math" w:hAnsi="Cambria Math"/>
            </w:rPr>
            <m:t>=</m:t>
          </m:r>
          <m:r>
            <m:rPr>
              <m:nor/>
            </m:rPr>
            <w:rPr>
              <w:i/>
              <w:iCs/>
            </w:rPr>
            <m:t>CVUnitario</m:t>
          </m:r>
          <m:r>
            <w:rPr>
              <w:rFonts w:ascii="Cambria Math" w:hAnsi="Cambria Math"/>
            </w:rPr>
            <m:t>∙</m:t>
          </m:r>
          <m:r>
            <m:rPr>
              <m:nor/>
            </m:rPr>
            <w:rPr>
              <w:i/>
              <w:iCs/>
            </w:rPr>
            <m:t>Q</m:t>
          </m:r>
          <m:r>
            <w:rPr>
              <w:rFonts w:ascii="Cambria Math" w:hAnsi="Cambria Math"/>
            </w:rPr>
            <m:t>+</m:t>
          </m:r>
          <m:r>
            <m:rPr>
              <m:nor/>
            </m:rPr>
            <w:rPr>
              <w:i/>
              <w:iCs/>
            </w:rPr>
            <m:t>CF</m:t>
          </m:r>
          <m:r>
            <m:rPr>
              <m:nor/>
            </m:rPr>
            <w:rPr>
              <w:rFonts w:ascii="Cambria Math"/>
              <w:i/>
              <w:iCs/>
            </w:rPr>
            <w:br/>
          </m:r>
        </m:oMath>
        <m:oMath>
          <m:r>
            <w:rPr>
              <w:rFonts w:ascii="Cambria Math" w:eastAsiaTheme="minorEastAsia" w:hAnsi="Cambria Math"/>
            </w:rPr>
            <m:t xml:space="preserve"> </m:t>
          </m:r>
          <m:borderBox>
            <m:borderBoxPr>
              <m:ctrlPr>
                <w:rPr>
                  <w:rFonts w:ascii="Cambria Math" w:hAnsi="Cambria Math"/>
                  <w:i/>
                  <w:iCs/>
                </w:rPr>
              </m:ctrlPr>
            </m:borderBoxPr>
            <m:e>
              <m:r>
                <m:rPr>
                  <m:nor/>
                </m:rPr>
                <w:rPr>
                  <w:i/>
                  <w:iCs/>
                </w:rPr>
                <m:t>Q</m:t>
              </m:r>
              <m:r>
                <w:rPr>
                  <w:rFonts w:ascii="Cambria Math" w:hAnsi="Cambria Math"/>
                </w:rPr>
                <m:t>=</m:t>
              </m:r>
              <m:f>
                <m:fPr>
                  <m:type m:val="lin"/>
                  <m:ctrlPr>
                    <w:rPr>
                      <w:rFonts w:ascii="Cambria Math" w:hAnsi="Cambria Math"/>
                      <w:i/>
                    </w:rPr>
                  </m:ctrlPr>
                </m:fPr>
                <m:num>
                  <m:r>
                    <m:rPr>
                      <m:nor/>
                    </m:rPr>
                    <w:rPr>
                      <w:i/>
                      <w:iCs/>
                    </w:rPr>
                    <m:t>CF</m:t>
                  </m:r>
                </m:num>
                <m:den>
                  <m:d>
                    <m:dPr>
                      <m:ctrlPr>
                        <w:rPr>
                          <w:rFonts w:ascii="Cambria Math" w:hAnsi="Cambria Math"/>
                          <w:i/>
                        </w:rPr>
                      </m:ctrlPr>
                    </m:dPr>
                    <m:e>
                      <m:r>
                        <m:rPr>
                          <m:nor/>
                        </m:rPr>
                        <w:rPr>
                          <w:i/>
                          <w:iCs/>
                        </w:rPr>
                        <m:t>P</m:t>
                      </m:r>
                      <m:r>
                        <w:rPr>
                          <w:rFonts w:ascii="Cambria Math" w:hAnsi="Cambria Math"/>
                        </w:rPr>
                        <m:t>-</m:t>
                      </m:r>
                      <m:r>
                        <m:rPr>
                          <m:nor/>
                        </m:rPr>
                        <w:rPr>
                          <w:i/>
                          <w:iCs/>
                        </w:rPr>
                        <m:t>CVUnitario</m:t>
                      </m:r>
                    </m:e>
                  </m:d>
                </m:den>
              </m:f>
            </m:e>
          </m:borderBox>
        </m:oMath>
      </m:oMathPara>
    </w:p>
    <w:p w14:paraId="2B0FA0B9" w14:textId="77777777" w:rsidR="00F42FCF" w:rsidRDefault="00F42FCF" w:rsidP="00F42FCF">
      <w:pPr>
        <w:pStyle w:val="Nivel2SM"/>
        <w:keepNext/>
        <w:spacing w:after="0"/>
      </w:pPr>
      <w:r>
        <w:t>Es vital dividir entre costes fijos y costes variables. Esta clasificación depende del período que consideramos. Por ejemplo, podríamos considerar que:</w:t>
      </w:r>
    </w:p>
    <w:p w14:paraId="51BD94C8" w14:textId="3D3AFDC2" w:rsidR="00E74483" w:rsidRDefault="00F42FCF" w:rsidP="00F42FCF">
      <w:pPr>
        <w:pStyle w:val="Nivel3SM"/>
      </w:pPr>
      <w:r>
        <w:t>En el largo plazo, todos los costes son variables, sin importar su naturaleza. Si una compañía es incapaz de ajustar su base de costes no es una compañía viable.</w:t>
      </w:r>
    </w:p>
    <w:p w14:paraId="1B25D83E" w14:textId="21A11545" w:rsidR="00F42FCF" w:rsidRDefault="00F42FCF" w:rsidP="00F42FCF">
      <w:pPr>
        <w:pStyle w:val="Nivel3SM"/>
      </w:pPr>
      <w:r>
        <w:t>En el muy corto plazo (p.ej. menos de 3</w:t>
      </w:r>
      <w:r w:rsidR="005E2D7D">
        <w:t> </w:t>
      </w:r>
      <w:r>
        <w:t>meses), casi todos los costes son fijos (con la excepción de ciertos costes directos y ciertas materias primas).</w:t>
      </w:r>
    </w:p>
    <w:p w14:paraId="0D1E6368" w14:textId="7ADFC358" w:rsidR="00F42FCF" w:rsidRDefault="00F42FCF" w:rsidP="00F42FCF">
      <w:pPr>
        <w:pStyle w:val="Nivel2SM"/>
      </w:pPr>
      <w:r>
        <w:t>Habrá mayor riesgo cuanto mayores sean los costes fijos de una industria (lo que llevará a un mayor coste de financiación).</w:t>
      </w:r>
    </w:p>
    <w:p w14:paraId="1F333306" w14:textId="0CFC39BE" w:rsidR="00E74483" w:rsidRDefault="00F5179C" w:rsidP="00E74483">
      <w:pPr>
        <w:pStyle w:val="Ttulo7"/>
      </w:pPr>
      <w:r>
        <w:t>Grado de a</w:t>
      </w:r>
      <w:r w:rsidR="00E74483">
        <w:t>palancamiento operativo</w:t>
      </w:r>
    </w:p>
    <w:p w14:paraId="55C86C42" w14:textId="1BDEEF0C" w:rsidR="00E74483" w:rsidRDefault="00F42FCF" w:rsidP="005E2D7D">
      <w:pPr>
        <w:pStyle w:val="Nivel1SM"/>
        <w:spacing w:before="0"/>
      </w:pPr>
      <w:r>
        <w:t>Un indicador relacionado es el grado de apalancamiento operativo (GAO).</w:t>
      </w:r>
    </w:p>
    <w:p w14:paraId="5285698A" w14:textId="0F6599B6" w:rsidR="00F42FCF" w:rsidRDefault="00F42FCF" w:rsidP="00BF50C7">
      <w:pPr>
        <w:pStyle w:val="Nivel1SM"/>
        <w:keepNext/>
        <w:spacing w:after="0"/>
      </w:pPr>
      <w:r>
        <w:t>El grado de apalancamiento operativo mide cómo varía el beneficio de explotación (EBI</w:t>
      </w:r>
      <w:r w:rsidR="00BF50C7">
        <w:t>A</w:t>
      </w:r>
      <w:r>
        <w:t>T) ante variaciones de las ventas de la empresa. Conforme aumenta el número de unidades vendidas, se irán amortizando los costes fijos gracias al margen variable unitario conseguido y las ventas se trasladarán en mayor manera al EBIT:</w:t>
      </w:r>
    </w:p>
    <w:p w14:paraId="6376EB18" w14:textId="55DEB911" w:rsidR="00F42FCF" w:rsidRPr="00D149E0" w:rsidRDefault="00D149E0" w:rsidP="00F42FCF">
      <w:pPr>
        <w:spacing w:after="0"/>
        <w:rPr>
          <w:lang w:val="fr-FR"/>
        </w:rPr>
      </w:pPr>
      <m:oMathPara>
        <m:oMath>
          <m:r>
            <w:rPr>
              <w:rFonts w:ascii="Cambria Math" w:eastAsiaTheme="minorEastAsia" w:hAnsi="Cambria Math"/>
            </w:rPr>
            <m:t xml:space="preserve"> </m:t>
          </m:r>
          <m:r>
            <m:rPr>
              <m:nor/>
            </m:rPr>
            <w:rPr>
              <w:i/>
              <w:iCs/>
              <w:lang w:val="fr-FR"/>
            </w:rPr>
            <m:t>GAO</m:t>
          </m:r>
          <m:r>
            <w:rPr>
              <w:rFonts w:ascii="Cambria Math" w:eastAsiaTheme="minorEastAsia" w:hAnsi="Cambria Math"/>
              <w:lang w:val="fr-FR"/>
            </w:rPr>
            <m:t>≡</m:t>
          </m:r>
          <m:f>
            <m:fPr>
              <m:ctrlPr>
                <w:rPr>
                  <w:rFonts w:ascii="Cambria Math" w:eastAsiaTheme="minorEastAsia" w:hAnsi="Cambria Math"/>
                  <w:i/>
                  <w:iCs/>
                </w:rPr>
              </m:ctrlPr>
            </m:fPr>
            <m:num>
              <m:f>
                <m:fPr>
                  <m:type m:val="lin"/>
                  <m:ctrlPr>
                    <w:rPr>
                      <w:rFonts w:ascii="Cambria Math" w:eastAsiaTheme="minorEastAsia" w:hAnsi="Cambria Math"/>
                      <w:i/>
                      <w:iCs/>
                    </w:rPr>
                  </m:ctrlPr>
                </m:fPr>
                <m:num>
                  <m:r>
                    <w:rPr>
                      <w:rFonts w:ascii="Cambria Math" w:eastAsiaTheme="minorEastAsia" w:hAnsi="Cambria Math"/>
                      <w:lang w:val="fr-FR"/>
                    </w:rPr>
                    <m:t>∆</m:t>
                  </m:r>
                  <m:r>
                    <m:rPr>
                      <m:nor/>
                    </m:rPr>
                    <w:rPr>
                      <w:i/>
                      <w:iCs/>
                      <w:lang w:val="fr-FR"/>
                    </w:rPr>
                    <m:t>EBIAT</m:t>
                  </m:r>
                </m:num>
                <m:den>
                  <m:r>
                    <m:rPr>
                      <m:nor/>
                    </m:rPr>
                    <w:rPr>
                      <w:i/>
                      <w:iCs/>
                      <w:lang w:val="fr-FR"/>
                    </w:rPr>
                    <m:t>EBIAT</m:t>
                  </m:r>
                </m:den>
              </m:f>
            </m:num>
            <m:den>
              <m:f>
                <m:fPr>
                  <m:type m:val="lin"/>
                  <m:ctrlPr>
                    <w:rPr>
                      <w:rFonts w:ascii="Cambria Math" w:eastAsiaTheme="minorEastAsia" w:hAnsi="Cambria Math"/>
                      <w:i/>
                      <w:iCs/>
                    </w:rPr>
                  </m:ctrlPr>
                </m:fPr>
                <m:num>
                  <m:r>
                    <w:rPr>
                      <w:rFonts w:ascii="Cambria Math" w:eastAsiaTheme="minorEastAsia" w:hAnsi="Cambria Math"/>
                      <w:lang w:val="fr-FR"/>
                    </w:rPr>
                    <m:t>∆</m:t>
                  </m:r>
                  <m:r>
                    <m:rPr>
                      <m:nor/>
                    </m:rPr>
                    <w:rPr>
                      <w:i/>
                      <w:iCs/>
                      <w:lang w:val="fr-FR"/>
                    </w:rPr>
                    <m:t>Ventas</m:t>
                  </m:r>
                </m:num>
                <m:den>
                  <m:r>
                    <m:rPr>
                      <m:nor/>
                    </m:rPr>
                    <w:rPr>
                      <w:i/>
                      <w:iCs/>
                      <w:lang w:val="fr-FR"/>
                    </w:rPr>
                    <m:t>Ventas</m:t>
                  </m:r>
                </m:den>
              </m:f>
            </m:den>
          </m:f>
          <m:r>
            <w:rPr>
              <w:rFonts w:ascii="Cambria Math" w:hAnsi="Cambria Math"/>
              <w:lang w:val="fr-FR"/>
            </w:rPr>
            <m:t>=</m:t>
          </m:r>
          <m:f>
            <m:fPr>
              <m:ctrlPr>
                <w:rPr>
                  <w:rFonts w:ascii="Cambria Math" w:eastAsiaTheme="minorEastAsia" w:hAnsi="Cambria Math"/>
                  <w:i/>
                  <w:iCs/>
                </w:rPr>
              </m:ctrlPr>
            </m:fPr>
            <m:num>
              <m:r>
                <w:rPr>
                  <w:rFonts w:ascii="Cambria Math" w:eastAsiaTheme="minorEastAsia" w:hAnsi="Cambria Math"/>
                  <w:lang w:val="fr-FR"/>
                </w:rPr>
                <m:t>∆</m:t>
              </m:r>
              <m:r>
                <m:rPr>
                  <m:nor/>
                </m:rPr>
                <w:rPr>
                  <w:i/>
                  <w:iCs/>
                  <w:lang w:val="fr-FR"/>
                </w:rPr>
                <m:t>EBIAT</m:t>
              </m:r>
              <m:r>
                <w:rPr>
                  <w:rFonts w:ascii="Cambria Math" w:hAnsi="Cambria Math"/>
                  <w:lang w:val="fr-FR"/>
                </w:rPr>
                <m:t>∙</m:t>
              </m:r>
              <m:r>
                <m:rPr>
                  <m:nor/>
                </m:rPr>
                <w:rPr>
                  <w:i/>
                  <w:iCs/>
                  <w:lang w:val="fr-FR"/>
                </w:rPr>
                <m:t>Ventas</m:t>
              </m:r>
            </m:num>
            <m:den>
              <m:r>
                <w:rPr>
                  <w:rFonts w:ascii="Cambria Math" w:eastAsiaTheme="minorEastAsia" w:hAnsi="Cambria Math"/>
                  <w:lang w:val="fr-FR"/>
                </w:rPr>
                <m:t>∆</m:t>
              </m:r>
              <m:r>
                <m:rPr>
                  <m:nor/>
                </m:rPr>
                <w:rPr>
                  <w:i/>
                  <w:iCs/>
                  <w:lang w:val="fr-FR"/>
                </w:rPr>
                <m:t>Ventas</m:t>
              </m:r>
              <m:r>
                <w:rPr>
                  <w:rFonts w:ascii="Cambria Math" w:hAnsi="Cambria Math"/>
                  <w:lang w:val="fr-FR"/>
                </w:rPr>
                <m:t>∙</m:t>
              </m:r>
              <m:r>
                <m:rPr>
                  <m:nor/>
                </m:rPr>
                <w:rPr>
                  <w:i/>
                  <w:iCs/>
                  <w:lang w:val="fr-FR"/>
                </w:rPr>
                <m:t>EBIAT</m:t>
              </m:r>
            </m:den>
          </m:f>
          <m:r>
            <w:rPr>
              <w:rFonts w:ascii="Cambria Math" w:hAnsi="Cambria Math"/>
              <w:lang w:val="fr-FR"/>
            </w:rPr>
            <m:t>=</m:t>
          </m:r>
          <m:f>
            <m:fPr>
              <m:ctrlPr>
                <w:rPr>
                  <w:rFonts w:ascii="Cambria Math" w:eastAsiaTheme="minorEastAsia" w:hAnsi="Cambria Math"/>
                  <w:i/>
                  <w:iCs/>
                </w:rPr>
              </m:ctrlPr>
            </m:fPr>
            <m:num>
              <m:r>
                <m:rPr>
                  <m:nor/>
                </m:rPr>
                <w:rPr>
                  <w:i/>
                  <w:iCs/>
                  <w:lang w:val="fr-FR"/>
                </w:rPr>
                <m:t>Margen</m:t>
              </m:r>
            </m:num>
            <m:den>
              <m:r>
                <m:rPr>
                  <m:nor/>
                </m:rPr>
                <w:rPr>
                  <w:i/>
                  <w:iCs/>
                  <w:lang w:val="fr-FR"/>
                </w:rPr>
                <m:t>EBIAT</m:t>
              </m:r>
            </m:den>
          </m:f>
        </m:oMath>
      </m:oMathPara>
    </w:p>
    <w:p w14:paraId="3DB82B37" w14:textId="77777777" w:rsidR="004E5E13" w:rsidRDefault="004E5E13" w:rsidP="004E5E13">
      <w:pPr>
        <w:pStyle w:val="Nivel1SM"/>
      </w:pPr>
      <w:r>
        <w:t>El beneficio se diferencia del margen en que tiene en cuenta los costes fijos. De hecho, cuando las ventas son lo suficientemente altas como para que los costes fijos se hayan diluido, el GAO tenderá a 1 (es decir, los aumentos de las ventas darán lugar a aumentos proporcionales del beneficio de explotación).</w:t>
      </w:r>
    </w:p>
    <w:p w14:paraId="5D5EB505" w14:textId="77777777" w:rsidR="004E5E13" w:rsidRDefault="004E5E13" w:rsidP="00C77D54">
      <w:pPr>
        <w:pStyle w:val="Nivel1SM"/>
        <w:keepNext/>
        <w:spacing w:after="0"/>
      </w:pPr>
      <w:r>
        <w:lastRenderedPageBreak/>
        <w:t xml:space="preserve">El apalancamiento operativo es, pues, </w:t>
      </w:r>
      <w:r w:rsidRPr="006478C6">
        <w:rPr>
          <w:b/>
          <w:bCs/>
        </w:rPr>
        <w:t>sensible</w:t>
      </w:r>
      <w:r>
        <w:t xml:space="preserve"> a la </w:t>
      </w:r>
      <w:r w:rsidRPr="006478C6">
        <w:rPr>
          <w:b/>
          <w:bCs/>
        </w:rPr>
        <w:t>estructura de costes de la empresa</w:t>
      </w:r>
      <w:r>
        <w:t>.</w:t>
      </w:r>
    </w:p>
    <w:p w14:paraId="15536B11" w14:textId="77777777" w:rsidR="004E5E13" w:rsidRDefault="004E5E13" w:rsidP="004E5E13">
      <w:pPr>
        <w:pStyle w:val="Nivel2SM"/>
      </w:pPr>
      <w:r>
        <w:t>Las empresas pueden elegir entre una estructura con grandes inmovilizados (y, en consecuencia, con grandes costes fijos pero pequeños costes variables), y una estructura con pequeños inmovilizados (y, en consecuencia, pequeños costes fijos pero grandes costes variables).</w:t>
      </w:r>
    </w:p>
    <w:p w14:paraId="3C3F3462" w14:textId="77777777" w:rsidR="004E5E13" w:rsidRDefault="004E5E13" w:rsidP="004E5E13">
      <w:pPr>
        <w:pStyle w:val="Nivel2SM"/>
      </w:pPr>
      <w:r>
        <w:t>Suponiendo que sean capaces de generar el mismo margen, la empresa con grandes inmovilizados se enfrentará a un mayor riesgo económico, esto es, tendrá un mayor apalancamiento operativo, porque el beneficio se ve más afectado ante variaciones en las ventas (ya que una empresa con mucho inmovilizado tendrá que hacer frente siempre a elevados costes fijos, y éstos se cubrirán o no dependiendo de las ventas, mientras que una empresa con poco inmovilizado no tiene apenas costes fijos y sólo obtendrá pérdidas si vende por debajo del coste variable) .</w:t>
      </w:r>
    </w:p>
    <w:p w14:paraId="5FC958D5" w14:textId="77777777" w:rsidR="004E5E13" w:rsidRDefault="004E5E13" w:rsidP="004E5E13">
      <w:pPr>
        <w:pStyle w:val="Nivel2SM"/>
      </w:pPr>
      <w:r>
        <w:t>Analíticamente, esto se aprecia analizando el denominador de la última fórmula: el beneficio de explotación será menor cuanto mayor sean los costes fijos (ceteris paribus), por lo que el apalancamiento operativo será mayor cuanto mayores sean éstos.</w:t>
      </w:r>
    </w:p>
    <w:p w14:paraId="4A61DD49" w14:textId="0A72ECD6" w:rsidR="004E5E13" w:rsidRDefault="004E5E13" w:rsidP="004E5E13">
      <w:pPr>
        <w:pStyle w:val="Nivel1SM"/>
        <w:keepNext/>
        <w:spacing w:after="0"/>
      </w:pPr>
      <w:r>
        <w:t>El GAO depende de 2</w:t>
      </w:r>
      <w:r w:rsidR="005E2D7D">
        <w:t> </w:t>
      </w:r>
      <w:r>
        <w:t>factores:</w:t>
      </w:r>
    </w:p>
    <w:p w14:paraId="0DEB171C" w14:textId="77777777" w:rsidR="004E5E13" w:rsidRDefault="004E5E13">
      <w:pPr>
        <w:pStyle w:val="Prrafodelista"/>
        <w:numPr>
          <w:ilvl w:val="0"/>
          <w:numId w:val="23"/>
        </w:numPr>
        <w:spacing w:after="100"/>
        <w:ind w:left="568" w:hanging="284"/>
      </w:pPr>
      <w:r>
        <w:t>Los costes fijos: cuanto mayor sean, mayor será el GAO (porque menor será el denominador –beneficio–).</w:t>
      </w:r>
    </w:p>
    <w:p w14:paraId="5F9C8A8F" w14:textId="77777777" w:rsidR="004E5E13" w:rsidRDefault="004E5E13">
      <w:pPr>
        <w:pStyle w:val="Prrafodelista"/>
        <w:keepNext/>
        <w:numPr>
          <w:ilvl w:val="0"/>
          <w:numId w:val="23"/>
        </w:numPr>
        <w:spacing w:after="0"/>
        <w:ind w:left="568" w:hanging="284"/>
      </w:pPr>
      <w:r>
        <w:t>Cómo de próximas se encuentren las ventas al umbral de rentabilidad: cuanto más cerca estén del umbral de rentabilidad, mayor será el GAO en valor absoluto (pues la variación de las ventas en una unidad supone un cambio importante al poder pasarse de pérdidas a beneficios o viceversa; de hecho, en el punto muerto el denominador es cero, por lo que el GAO será infinito). A la izquierda del punto muerto existen pérdidas, por lo que el GAO es negativo, mientras que a la derecha existen beneficios, por lo que el GAO es positivo.</w:t>
      </w:r>
    </w:p>
    <w:p w14:paraId="3EA7C47A" w14:textId="753A7B63" w:rsidR="004E5E13" w:rsidRDefault="004E5E13" w:rsidP="004E5E13">
      <w:pPr>
        <w:pStyle w:val="Nivel3SM"/>
      </w:pPr>
      <w:r>
        <w:t>Por lo tanto, el GAO no es constante, sino que depende del volumen de ventas. Así, conforme las ventas crecen, los costes fijos juegan un papel menor en los costes totales.</w:t>
      </w:r>
    </w:p>
    <w:p w14:paraId="45296359" w14:textId="77777777" w:rsidR="004E5E13" w:rsidRDefault="004E5E13" w:rsidP="004E5E13">
      <w:pPr>
        <w:pStyle w:val="Nivel1SM"/>
      </w:pPr>
      <w:r>
        <w:t>Un GAO elevado implica que una pequeña variación de las ventas producirá una gran variación del beneficio de explotación (i.e. un pequeño aumento de las ventas producirá un gran aumento de los beneficios y un pequeño descenso de las ventas producirá una gran reducción de los beneficios).</w:t>
      </w:r>
    </w:p>
    <w:p w14:paraId="5FD51DCE" w14:textId="3411674C" w:rsidR="004E5E13" w:rsidRDefault="004E5E13" w:rsidP="004E5E13">
      <w:pPr>
        <w:pStyle w:val="Nivel1SM"/>
      </w:pPr>
      <w:r>
        <w:t>Gráficamente, supongamos 2</w:t>
      </w:r>
      <w:r w:rsidR="005E2D7D">
        <w:t> </w:t>
      </w:r>
      <w:r>
        <w:t xml:space="preserve">empresas, </w:t>
      </w:r>
      <w:r w:rsidRPr="005E2D7D">
        <w:rPr>
          <w:i/>
          <w:iCs/>
        </w:rPr>
        <w:t>A</w:t>
      </w:r>
      <w:r>
        <w:t xml:space="preserve"> y </w:t>
      </w:r>
      <w:r w:rsidRPr="005E2D7D">
        <w:rPr>
          <w:i/>
          <w:iCs/>
        </w:rPr>
        <w:t>B</w:t>
      </w:r>
      <w:r>
        <w:t>. La empresa</w:t>
      </w:r>
      <w:r w:rsidR="005E2D7D">
        <w:t> </w:t>
      </w:r>
      <w:r w:rsidRPr="005E2D7D">
        <w:rPr>
          <w:i/>
          <w:iCs/>
        </w:rPr>
        <w:t>B</w:t>
      </w:r>
      <w:r>
        <w:t xml:space="preserve"> tiene mayores costes fijos.</w:t>
      </w:r>
    </w:p>
    <w:p w14:paraId="57EAA1A0" w14:textId="7EECE95E" w:rsidR="00C77D54" w:rsidRDefault="00C77D54" w:rsidP="00C77D54">
      <w:pPr>
        <w:pStyle w:val="Imagen"/>
      </w:pPr>
      <w:r>
        <w:drawing>
          <wp:inline distT="0" distB="0" distL="0" distR="0" wp14:anchorId="4BB7F6F1" wp14:editId="39B36359">
            <wp:extent cx="2268000" cy="1494000"/>
            <wp:effectExtent l="0" t="0" r="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8000" cy="1494000"/>
                    </a:xfrm>
                    <a:prstGeom prst="rect">
                      <a:avLst/>
                    </a:prstGeom>
                    <a:noFill/>
                    <a:ln>
                      <a:noFill/>
                    </a:ln>
                  </pic:spPr>
                </pic:pic>
              </a:graphicData>
            </a:graphic>
          </wp:inline>
        </w:drawing>
      </w:r>
    </w:p>
    <w:p w14:paraId="61C1BA9A" w14:textId="3F416144" w:rsidR="00C77D54" w:rsidRPr="00C77D54" w:rsidRDefault="00C77D54" w:rsidP="00C77D54">
      <w:pPr>
        <w:pStyle w:val="PiedeImagen"/>
        <w:rPr>
          <w:i w:val="0"/>
          <w:iCs/>
        </w:rPr>
      </w:pPr>
      <w:r>
        <w:t>Fuente</w:t>
      </w:r>
      <w:r>
        <w:rPr>
          <w:i w:val="0"/>
          <w:iCs/>
        </w:rPr>
        <w:t>: Sahuquillo (3B-1)</w:t>
      </w:r>
    </w:p>
    <w:p w14:paraId="70F4C96C" w14:textId="6FE03560" w:rsidR="008D388E" w:rsidRDefault="008D388E" w:rsidP="008D388E">
      <w:pPr>
        <w:pStyle w:val="Ttulo3"/>
      </w:pPr>
      <w:bookmarkStart w:id="58" w:name="_Toc125485442"/>
      <w:r>
        <w:t>Análisis financiero</w:t>
      </w:r>
      <w:bookmarkEnd w:id="58"/>
    </w:p>
    <w:p w14:paraId="6DA39E27" w14:textId="70B02D42" w:rsidR="008D388E" w:rsidRDefault="008D388E" w:rsidP="005E2D7D">
      <w:pPr>
        <w:pStyle w:val="Ttulo6"/>
        <w:spacing w:before="0"/>
      </w:pPr>
      <w:bookmarkStart w:id="59" w:name="_Toc125485443"/>
      <w:r>
        <w:t>Análisis de márgenes</w:t>
      </w:r>
      <w:bookmarkEnd w:id="59"/>
    </w:p>
    <w:p w14:paraId="31C52A4C" w14:textId="093333EC" w:rsidR="006478C6" w:rsidRDefault="006478C6" w:rsidP="005E2D7D">
      <w:pPr>
        <w:pStyle w:val="Nivel1SM"/>
        <w:keepNext/>
        <w:spacing w:before="0" w:after="0"/>
      </w:pPr>
      <w:r>
        <w:t xml:space="preserve">En relación al análisis financiero cabe hacer referencia al </w:t>
      </w:r>
      <w:r>
        <w:rPr>
          <w:i/>
          <w:iCs/>
          <w:u w:val="single"/>
        </w:rPr>
        <w:t>margen neto</w:t>
      </w:r>
      <w:r>
        <w:t>, calculado de la siguiente manera:</w:t>
      </w:r>
    </w:p>
    <w:p w14:paraId="19437549" w14:textId="35CD1ABB" w:rsidR="006478C6" w:rsidRPr="000D5CC1" w:rsidRDefault="000D5CC1" w:rsidP="000D5CC1">
      <w:pPr>
        <w:keepNext/>
        <w:spacing w:after="0"/>
        <w:rPr>
          <w:rFonts w:eastAsiaTheme="minorEastAsia"/>
        </w:rPr>
      </w:pPr>
      <m:oMathPara>
        <m:oMath>
          <m:r>
            <m:rPr>
              <m:nor/>
            </m:rPr>
            <w:rPr>
              <w:i/>
              <w:iCs/>
            </w:rPr>
            <m:t>Margen neto</m:t>
          </m:r>
          <m:r>
            <w:rPr>
              <w:rFonts w:ascii="Cambria Math" w:hAnsi="Cambria Math"/>
            </w:rPr>
            <m:t>≡</m:t>
          </m:r>
          <m:f>
            <m:fPr>
              <m:ctrlPr>
                <w:rPr>
                  <w:rFonts w:ascii="Cambria Math" w:hAnsi="Cambria Math"/>
                  <w:i/>
                </w:rPr>
              </m:ctrlPr>
            </m:fPr>
            <m:num>
              <m:r>
                <m:rPr>
                  <m:nor/>
                </m:rPr>
                <w:rPr>
                  <w:i/>
                  <w:iCs/>
                </w:rPr>
                <m:t>Beneficio neto</m:t>
              </m:r>
            </m:num>
            <m:den>
              <m:r>
                <m:rPr>
                  <m:nor/>
                </m:rPr>
                <w:rPr>
                  <w:i/>
                  <w:iCs/>
                </w:rPr>
                <m:t>Ingresos por ventas</m:t>
              </m:r>
            </m:den>
          </m:f>
        </m:oMath>
      </m:oMathPara>
    </w:p>
    <w:p w14:paraId="18875380" w14:textId="55026530" w:rsidR="000D5CC1" w:rsidRPr="006478C6" w:rsidRDefault="000D5CC1" w:rsidP="000D5CC1">
      <w:pPr>
        <w:pStyle w:val="Nivel2SM"/>
      </w:pPr>
      <w:r>
        <w:t>Con respecto al EBIT, se suma el resultado del ciclo financiero y se controla por eventos extraordinarios e impuestos.</w:t>
      </w:r>
    </w:p>
    <w:p w14:paraId="02996381" w14:textId="57F0D800" w:rsidR="008D388E" w:rsidRDefault="008D388E" w:rsidP="008D388E">
      <w:pPr>
        <w:pStyle w:val="Ttulo6"/>
      </w:pPr>
      <w:bookmarkStart w:id="60" w:name="_Toc125485444"/>
      <w:r>
        <w:lastRenderedPageBreak/>
        <w:t>Rentabilidad financiera (</w:t>
      </w:r>
      <w:proofErr w:type="spellStart"/>
      <w:r>
        <w:t>Return-on-Equity</w:t>
      </w:r>
      <w:proofErr w:type="spellEnd"/>
      <w:r>
        <w:t xml:space="preserve"> (ROE))</w:t>
      </w:r>
      <w:bookmarkEnd w:id="60"/>
    </w:p>
    <w:p w14:paraId="520A026C" w14:textId="18E0CD0D" w:rsidR="000D5CC1" w:rsidRDefault="000D5CC1" w:rsidP="005E2D7D">
      <w:pPr>
        <w:pStyle w:val="Nivel1SM"/>
        <w:keepNext/>
        <w:spacing w:before="0" w:after="0"/>
      </w:pPr>
      <w:r>
        <w:t>La rentabilidad financiera, a diferencia de la ROA, tiene en cuenta el pago de intereses. Por tanto, mide la capacidad de la empresa para generar rentabilidad descontando el pago de sus recursos de deuda. Así, la ROE mide la rentabilidad del capital propio (</w:t>
      </w:r>
      <w:r>
        <w:rPr>
          <w:i/>
          <w:iCs/>
        </w:rPr>
        <w:t>equity</w:t>
      </w:r>
      <w:r w:rsidRPr="000D5CC1">
        <w:t>)</w:t>
      </w:r>
      <w:r>
        <w:t>, es decir, su capacidad para generar los beneficios que quedan para el accionista.</w:t>
      </w:r>
    </w:p>
    <w:p w14:paraId="78ACF7E1" w14:textId="0775A2FE" w:rsidR="000D5CC1" w:rsidRPr="005C614E" w:rsidRDefault="000D5CC1" w:rsidP="000D5CC1">
      <w:pPr>
        <w:rPr>
          <w:rFonts w:eastAsiaTheme="minorEastAsia"/>
          <w:i/>
          <w:iCs/>
        </w:rPr>
      </w:pPr>
      <m:oMathPara>
        <m:oMath>
          <m:r>
            <m:rPr>
              <m:sty m:val="p"/>
            </m:rPr>
            <w:rPr>
              <w:rFonts w:ascii="Cambria Math" w:eastAsiaTheme="minorEastAsia" w:hAnsi="Cambria Math"/>
            </w:rPr>
            <m:t xml:space="preserve"> </m:t>
          </m:r>
          <m:r>
            <m:rPr>
              <m:nor/>
            </m:rPr>
            <w:rPr>
              <w:i/>
              <w:iCs/>
            </w:rPr>
            <m:t>ROE</m:t>
          </m:r>
          <m:r>
            <w:rPr>
              <w:rFonts w:ascii="Cambria Math" w:hAnsi="Cambria Math"/>
            </w:rPr>
            <m:t>≡</m:t>
          </m:r>
          <m:f>
            <m:fPr>
              <m:ctrlPr>
                <w:rPr>
                  <w:rFonts w:ascii="Cambria Math" w:hAnsi="Cambria Math"/>
                  <w:i/>
                  <w:iCs/>
                </w:rPr>
              </m:ctrlPr>
            </m:fPr>
            <m:num>
              <m:r>
                <m:rPr>
                  <m:nor/>
                </m:rPr>
                <w:rPr>
                  <w:i/>
                  <w:iCs/>
                </w:rPr>
                <m:t>Beneficio neto</m:t>
              </m:r>
            </m:num>
            <m:den>
              <m:r>
                <m:rPr>
                  <m:nor/>
                </m:rPr>
                <w:rPr>
                  <w:i/>
                  <w:iCs/>
                </w:rPr>
                <m:t>Patrimonio neto</m:t>
              </m:r>
            </m:den>
          </m:f>
        </m:oMath>
      </m:oMathPara>
    </w:p>
    <w:p w14:paraId="46FA9C07" w14:textId="0D76BF84" w:rsidR="005C614E" w:rsidRDefault="005C614E" w:rsidP="005C614E">
      <w:pPr>
        <w:pStyle w:val="Nivel1SM"/>
        <w:keepNext/>
        <w:spacing w:after="0"/>
      </w:pPr>
      <w:r>
        <w:t>Relación entre ROE y ROA:</w:t>
      </w:r>
    </w:p>
    <w:p w14:paraId="1F9DE673" w14:textId="5D957459" w:rsidR="005C614E" w:rsidRPr="005C614E" w:rsidRDefault="005C614E" w:rsidP="005C614E">
      <w:pPr>
        <w:pStyle w:val="Nivel2SM"/>
        <w:keepNext/>
        <w:spacing w:after="0"/>
      </w:pPr>
      <w:r>
        <w:t xml:space="preserve">Si la empresa no tiene deuda (i.e. el pasivo es nulo): </w:t>
      </w:r>
      <m:oMath>
        <m:r>
          <m:rPr>
            <m:nor/>
          </m:rPr>
          <w:rPr>
            <w:i/>
            <w:iCs/>
          </w:rPr>
          <m:t>ROA</m:t>
        </m:r>
        <m:r>
          <w:rPr>
            <w:rFonts w:ascii="Cambria Math" w:hAnsi="Cambria Math"/>
          </w:rPr>
          <m:t>=</m:t>
        </m:r>
        <m:r>
          <m:rPr>
            <m:nor/>
          </m:rPr>
          <w:rPr>
            <w:i/>
            <w:iCs/>
          </w:rPr>
          <m:t>ROE</m:t>
        </m:r>
      </m:oMath>
    </w:p>
    <w:p w14:paraId="499D57C4" w14:textId="19A1DF76" w:rsidR="005C614E" w:rsidRPr="005C614E" w:rsidRDefault="005C614E" w:rsidP="005C614E">
      <w:pPr>
        <w:pStyle w:val="Nivel3SM"/>
      </w:pPr>
      <w:r>
        <w:t>Esto es así ya que al no tener deuda la empresa, el denominador de ambas fórmulas es el mismo y además su EBI</w:t>
      </w:r>
      <w:r w:rsidR="00BF50C7">
        <w:t>A</w:t>
      </w:r>
      <w:r>
        <w:t>T es igual al beneficio neto (la diferencia es el pago de intereses).</w:t>
      </w:r>
    </w:p>
    <w:p w14:paraId="3E954A31" w14:textId="4A56DAFE" w:rsidR="005C614E" w:rsidRDefault="00BF50C7" w:rsidP="00BF50C7">
      <w:pPr>
        <w:pStyle w:val="Nivel2SM"/>
        <w:keepNext/>
        <w:spacing w:after="0"/>
      </w:pPr>
      <w:r>
        <w:t>Sin embargo, si existe deuda la relación es la siguiente:</w:t>
      </w:r>
    </w:p>
    <w:p w14:paraId="2612E83E" w14:textId="326686EF" w:rsidR="00BF50C7" w:rsidRDefault="00000000" w:rsidP="00BF50C7">
      <w:pPr>
        <w:pStyle w:val="Nivel2SM"/>
        <w:keepNext/>
        <w:numPr>
          <w:ilvl w:val="0"/>
          <w:numId w:val="0"/>
        </w:numPr>
        <w:spacing w:after="0"/>
        <w:ind w:left="567"/>
      </w:pPr>
      <m:oMathPara>
        <m:oMath>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r>
                      <m:rPr>
                        <m:nor/>
                      </m:rPr>
                      <w:rPr>
                        <w:i/>
                        <w:iCs/>
                      </w:rPr>
                      <m:t>ROA</m:t>
                    </m:r>
                    <m:r>
                      <w:rPr>
                        <w:rFonts w:ascii="Cambria Math" w:hAnsi="Cambria Math"/>
                      </w:rPr>
                      <m:t>≡</m:t>
                    </m:r>
                    <m:f>
                      <m:fPr>
                        <m:ctrlPr>
                          <w:rPr>
                            <w:rFonts w:ascii="Cambria Math" w:hAnsi="Cambria Math"/>
                            <w:i/>
                          </w:rPr>
                        </m:ctrlPr>
                      </m:fPr>
                      <m:num>
                        <m:r>
                          <m:rPr>
                            <m:nor/>
                          </m:rPr>
                          <w:rPr>
                            <w:i/>
                            <w:iCs/>
                          </w:rPr>
                          <m:t>EBIAT</m:t>
                        </m:r>
                      </m:num>
                      <m:den>
                        <m:r>
                          <m:rPr>
                            <m:nor/>
                          </m:rPr>
                          <w:rPr>
                            <w:i/>
                            <w:iCs/>
                          </w:rPr>
                          <m:t>Activos totales</m:t>
                        </m:r>
                      </m:den>
                    </m:f>
                  </m:e>
                </m:mr>
                <m:mr>
                  <m:e>
                    <m:r>
                      <w:rPr>
                        <w:rFonts w:ascii="Cambria Math" w:hAnsi="Cambria Math"/>
                      </w:rPr>
                      <m:t xml:space="preserve"> </m:t>
                    </m:r>
                  </m:e>
                </m:mr>
                <m:mr>
                  <m:e>
                    <m:r>
                      <m:rPr>
                        <m:nor/>
                      </m:rPr>
                      <w:rPr>
                        <w:i/>
                        <w:iCs/>
                      </w:rPr>
                      <m:t>ROE</m:t>
                    </m:r>
                    <m:r>
                      <w:rPr>
                        <w:rFonts w:ascii="Cambria Math" w:hAnsi="Cambria Math"/>
                      </w:rPr>
                      <m:t>≡</m:t>
                    </m:r>
                    <m:f>
                      <m:fPr>
                        <m:ctrlPr>
                          <w:rPr>
                            <w:rFonts w:ascii="Cambria Math" w:hAnsi="Cambria Math"/>
                            <w:i/>
                            <w:iCs/>
                          </w:rPr>
                        </m:ctrlPr>
                      </m:fPr>
                      <m:num>
                        <m:r>
                          <m:rPr>
                            <m:nor/>
                          </m:rPr>
                          <w:rPr>
                            <w:i/>
                            <w:iCs/>
                          </w:rPr>
                          <m:t>Beneficio neto</m:t>
                        </m:r>
                      </m:num>
                      <m:den>
                        <m:r>
                          <m:rPr>
                            <m:nor/>
                          </m:rPr>
                          <w:rPr>
                            <w:i/>
                            <w:iCs/>
                          </w:rPr>
                          <m:t>Patrimonio neto</m:t>
                        </m:r>
                      </m:den>
                    </m:f>
                  </m:e>
                </m:mr>
              </m:m>
            </m:e>
          </m:d>
          <m:r>
            <w:rPr>
              <w:rFonts w:ascii="Cambria Math" w:eastAsiaTheme="minorEastAsia" w:hAnsi="Cambria Math"/>
            </w:rPr>
            <m:t>⟹</m:t>
          </m:r>
          <m:r>
            <m:rPr>
              <m:nor/>
            </m:rPr>
            <w:rPr>
              <w:i/>
              <w:iCs/>
            </w:rPr>
            <m:t>ROE</m:t>
          </m:r>
          <m:r>
            <w:rPr>
              <w:rFonts w:ascii="Cambria Math" w:eastAsiaTheme="minorEastAsia" w:hAnsi="Cambria Math"/>
            </w:rPr>
            <m:t>=</m:t>
          </m:r>
          <m:r>
            <m:rPr>
              <m:nor/>
            </m:rPr>
            <w:rPr>
              <w:i/>
              <w:iCs/>
            </w:rPr>
            <m:t>ROA</m:t>
          </m:r>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rPr>
                        <m:t>ROA</m:t>
                      </m:r>
                      <m:r>
                        <w:rPr>
                          <w:rFonts w:ascii="Cambria Math" w:hAnsi="Cambria Math"/>
                        </w:rPr>
                        <m:t>-</m:t>
                      </m:r>
                      <m:r>
                        <m:rPr>
                          <m:nor/>
                        </m:rPr>
                        <w:rPr>
                          <w:i/>
                          <w:iCs/>
                        </w:rPr>
                        <m:t>costes financieros</m:t>
                      </m:r>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rPr>
                        <m:t>Pasivo total</m:t>
                      </m:r>
                    </m:num>
                    <m:den>
                      <m:r>
                        <m:rPr>
                          <m:nor/>
                        </m:rPr>
                        <w:rPr>
                          <w:rFonts w:eastAsiaTheme="minorEastAsia"/>
                          <w:i/>
                        </w:rPr>
                        <m:t>Patrimonio neto</m:t>
                      </m:r>
                    </m:den>
                  </m:f>
                </m:e>
              </m:groupChr>
            </m:e>
            <m:lim>
              <m:r>
                <m:rPr>
                  <m:nor/>
                </m:rPr>
                <w:rPr>
                  <w:i/>
                  <w:iCs/>
                </w:rPr>
                <m:t>Factor de apalancamiento</m:t>
              </m:r>
            </m:lim>
          </m:limLow>
        </m:oMath>
      </m:oMathPara>
    </w:p>
    <w:p w14:paraId="011C20C3" w14:textId="46766E41" w:rsidR="00BF50C7" w:rsidRPr="00BF50C7" w:rsidRDefault="00BF50C7" w:rsidP="00BF50C7">
      <w:pPr>
        <w:pStyle w:val="Nivel3SM"/>
      </w:pPr>
      <w:r>
        <w:t xml:space="preserve">Si </w:t>
      </w:r>
      <m:oMath>
        <m:r>
          <m:rPr>
            <m:nor/>
          </m:rPr>
          <w:rPr>
            <w:i/>
            <w:iCs/>
          </w:rPr>
          <m:t>ROA</m:t>
        </m:r>
        <m:r>
          <w:rPr>
            <w:rFonts w:ascii="Cambria Math" w:hAnsi="Cambria Math"/>
          </w:rPr>
          <m:t>&gt;</m:t>
        </m:r>
        <m:r>
          <m:rPr>
            <m:nor/>
          </m:rPr>
          <w:rPr>
            <w:i/>
            <w:iCs/>
          </w:rPr>
          <m:t>costes financieros</m:t>
        </m:r>
      </m:oMath>
      <w:r>
        <w:rPr>
          <w:rFonts w:eastAsiaTheme="minorEastAsia"/>
          <w:iCs/>
        </w:rPr>
        <w:t xml:space="preserve">, entonces el hecho de que la empresa se endeude con capital ajeno, redunde en una rentabilidad mayor para los accionistas: </w:t>
      </w:r>
      <m:oMath>
        <m:r>
          <m:rPr>
            <m:nor/>
          </m:rPr>
          <w:rPr>
            <w:i/>
            <w:iCs/>
          </w:rPr>
          <m:t>ROE</m:t>
        </m:r>
        <m:r>
          <w:rPr>
            <w:rFonts w:ascii="Cambria Math" w:eastAsiaTheme="minorEastAsia" w:hAnsi="Cambria Math"/>
          </w:rPr>
          <m:t>&gt;</m:t>
        </m:r>
        <m:r>
          <m:rPr>
            <m:nor/>
          </m:rPr>
          <w:rPr>
            <w:i/>
            <w:iCs/>
          </w:rPr>
          <m:t>ROA</m:t>
        </m:r>
      </m:oMath>
      <w:r>
        <w:rPr>
          <w:rFonts w:eastAsiaTheme="minorEastAsia"/>
          <w:iCs/>
        </w:rPr>
        <w:t>. Así pues, endeudarse es beneficioso para los accionistas</w:t>
      </w:r>
      <w:r w:rsidR="004C05C9">
        <w:rPr>
          <w:rStyle w:val="Refdenotaalpie"/>
          <w:rFonts w:eastAsiaTheme="minorEastAsia"/>
          <w:iCs/>
        </w:rPr>
        <w:footnoteReference w:id="35"/>
      </w:r>
      <w:r>
        <w:rPr>
          <w:rFonts w:eastAsiaTheme="minorEastAsia"/>
          <w:iCs/>
        </w:rPr>
        <w:t xml:space="preserve">. Sin embargo, el efecto macroeconómico puede ser propenso a la generación de ciclos económicos si seguimos la teoría del ciclo financiero de </w:t>
      </w:r>
      <w:r w:rsidRPr="00BF50C7">
        <w:rPr>
          <w:rFonts w:eastAsiaTheme="minorEastAsia"/>
          <w:iCs/>
          <w:smallCaps/>
        </w:rPr>
        <w:t>Minsky</w:t>
      </w:r>
      <w:r>
        <w:rPr>
          <w:rFonts w:eastAsiaTheme="minorEastAsia"/>
          <w:iCs/>
        </w:rPr>
        <w:t>.</w:t>
      </w:r>
    </w:p>
    <w:p w14:paraId="41CFBEB1" w14:textId="248BADC6" w:rsidR="00BF50C7" w:rsidRPr="000D5CC1" w:rsidRDefault="00BF50C7" w:rsidP="00BF50C7">
      <w:pPr>
        <w:pStyle w:val="Nivel3SM"/>
      </w:pPr>
      <w:r>
        <w:t xml:space="preserve">Si </w:t>
      </w:r>
      <m:oMath>
        <m:r>
          <m:rPr>
            <m:nor/>
          </m:rPr>
          <w:rPr>
            <w:i/>
            <w:iCs/>
          </w:rPr>
          <m:t>ROA</m:t>
        </m:r>
        <m:r>
          <w:rPr>
            <w:rFonts w:ascii="Cambria Math" w:hAnsi="Cambria Math"/>
          </w:rPr>
          <m:t>&lt;</m:t>
        </m:r>
        <m:r>
          <m:rPr>
            <m:nor/>
          </m:rPr>
          <w:rPr>
            <w:i/>
            <w:iCs/>
          </w:rPr>
          <m:t>costes financieros</m:t>
        </m:r>
      </m:oMath>
      <w:r>
        <w:rPr>
          <w:rFonts w:eastAsiaTheme="minorEastAsia"/>
          <w:iCs/>
        </w:rPr>
        <w:t xml:space="preserve">, </w:t>
      </w:r>
      <w:r w:rsidR="004C05C9">
        <w:rPr>
          <w:rFonts w:eastAsiaTheme="minorEastAsia"/>
          <w:iCs/>
        </w:rPr>
        <w:t>ocurre lo contrario y se produce un efecto negativo del apalancamiento para los accionistas</w:t>
      </w:r>
      <w:r>
        <w:rPr>
          <w:rFonts w:eastAsiaTheme="minorEastAsia"/>
          <w:iCs/>
        </w:rPr>
        <w:t xml:space="preserve">: </w:t>
      </w:r>
      <m:oMath>
        <m:r>
          <m:rPr>
            <m:nor/>
          </m:rPr>
          <w:rPr>
            <w:i/>
            <w:iCs/>
          </w:rPr>
          <m:t>ROE</m:t>
        </m:r>
        <m:r>
          <w:rPr>
            <w:rFonts w:ascii="Cambria Math" w:eastAsiaTheme="minorEastAsia" w:hAnsi="Cambria Math"/>
          </w:rPr>
          <m:t>&lt;</m:t>
        </m:r>
        <m:r>
          <m:rPr>
            <m:nor/>
          </m:rPr>
          <w:rPr>
            <w:i/>
            <w:iCs/>
          </w:rPr>
          <m:t>ROA</m:t>
        </m:r>
      </m:oMath>
      <w:r>
        <w:rPr>
          <w:rFonts w:eastAsiaTheme="minorEastAsia"/>
          <w:iCs/>
        </w:rPr>
        <w:t>.</w:t>
      </w:r>
    </w:p>
    <w:p w14:paraId="076CA4D5" w14:textId="3E7FDB05" w:rsidR="008D388E" w:rsidRDefault="008D388E" w:rsidP="008D388E">
      <w:pPr>
        <w:pStyle w:val="Ttulo6"/>
      </w:pPr>
      <w:bookmarkStart w:id="61" w:name="_Toc125485445"/>
      <w:r>
        <w:t>Riesgos</w:t>
      </w:r>
      <w:bookmarkEnd w:id="61"/>
    </w:p>
    <w:p w14:paraId="4A022715" w14:textId="4DDCF974" w:rsidR="00F5179C" w:rsidRPr="00F5179C" w:rsidRDefault="00F5179C" w:rsidP="005E2D7D">
      <w:pPr>
        <w:pStyle w:val="Ttulo7"/>
        <w:spacing w:before="0"/>
      </w:pPr>
      <w:r>
        <w:t>Grado de apalancamiento financiero</w:t>
      </w:r>
    </w:p>
    <w:p w14:paraId="6992060C" w14:textId="7D8698FF" w:rsidR="004C05C9" w:rsidRDefault="00405D38" w:rsidP="005E2D7D">
      <w:pPr>
        <w:pStyle w:val="Nivel1SM"/>
        <w:spacing w:before="0"/>
      </w:pPr>
      <w:r>
        <w:t>Un</w:t>
      </w:r>
      <w:r w:rsidR="00F5179C">
        <w:t xml:space="preserve"> mayor endeudamiento suele ir asociado a un mayor riesgo.</w:t>
      </w:r>
    </w:p>
    <w:p w14:paraId="4EA54BA0" w14:textId="75C959DF" w:rsidR="00C07F39" w:rsidRDefault="00C07F39" w:rsidP="00C07F39">
      <w:pPr>
        <w:pStyle w:val="Nivel1SM"/>
      </w:pPr>
      <w:r>
        <w:t xml:space="preserve">En efecto, hay que tener en cuenta que un mayor endeudamiento </w:t>
      </w:r>
      <w:r w:rsidRPr="00C07F39">
        <w:rPr>
          <w:i/>
          <w:iCs/>
        </w:rPr>
        <w:t xml:space="preserve">aumenta los intereses a pagar </w:t>
      </w:r>
      <w:r>
        <w:t>(tanto porque aumenta el capital por el que pagar intereses como porque aumenta el coste de la deuda al aumentar el riesgo de insolvencia), lo que reduce el beneficio neto.</w:t>
      </w:r>
    </w:p>
    <w:p w14:paraId="365325EC" w14:textId="652AC44C" w:rsidR="00C07F39" w:rsidRDefault="00C07F39" w:rsidP="00C07F39">
      <w:pPr>
        <w:pStyle w:val="Nivel1SM"/>
      </w:pPr>
      <w:r>
        <w:t>Es decir, un mayor endeudamiento para financiar activos aumenta el beneficio de explotación (EBIT), pero ello no tiene por qué conducir necesariamente a un aumento del beneficio neto, ya que el alto servicio de la deuda puede anular el mayor beneficio de explotación.</w:t>
      </w:r>
    </w:p>
    <w:p w14:paraId="2EE29EAF" w14:textId="3F65596D" w:rsidR="00C07F39" w:rsidRDefault="00C07F39" w:rsidP="00C82425">
      <w:pPr>
        <w:pStyle w:val="Nivel1SM"/>
        <w:keepNext/>
        <w:spacing w:after="0"/>
      </w:pPr>
      <w:r>
        <w:t>Esto lo podemos observar a partir del (grado) de apalancamiento financiero, que mide cómo varía porcentualmente el beneficio neto ante variaciones porcentuales del beneficio de explotación (EBIT), y operando se puede definir como el beneficio de explotación (EBIT) entre el beneficio bruto (beneficio después de intereses pero antes de impuestos, EBIAT):</w:t>
      </w:r>
    </w:p>
    <w:p w14:paraId="69F56492" w14:textId="2F04C62B" w:rsidR="00C07F39" w:rsidRPr="00C07F39" w:rsidRDefault="00C82425" w:rsidP="00C82425">
      <w:pPr>
        <w:pStyle w:val="Nivel1SM"/>
        <w:numPr>
          <w:ilvl w:val="0"/>
          <w:numId w:val="0"/>
        </w:numPr>
        <w:rPr>
          <w:i/>
          <w:iCs/>
        </w:rPr>
      </w:pPr>
      <m:oMathPara>
        <m:oMath>
          <m:r>
            <w:rPr>
              <w:rFonts w:ascii="Cambria Math" w:eastAsiaTheme="minorEastAsia" w:hAnsi="Cambria Math"/>
            </w:rPr>
            <m:t xml:space="preserve"> </m:t>
          </m:r>
          <m:r>
            <m:rPr>
              <m:nor/>
            </m:rPr>
            <w:rPr>
              <w:i/>
              <w:iCs/>
              <w:noProof/>
            </w:rPr>
            <m:t>GAF</m:t>
          </m:r>
          <m:r>
            <w:rPr>
              <w:rFonts w:ascii="Cambria Math" w:hAnsi="Cambria Math"/>
              <w:noProof/>
            </w:rPr>
            <m:t>=</m:t>
          </m:r>
          <m:f>
            <m:fPr>
              <m:ctrlPr>
                <w:rPr>
                  <w:rFonts w:ascii="Cambria Math" w:hAnsi="Cambria Math"/>
                  <w:i/>
                  <w:iCs/>
                  <w:noProof/>
                </w:rPr>
              </m:ctrlPr>
            </m:fPr>
            <m:num>
              <m:f>
                <m:fPr>
                  <m:type m:val="lin"/>
                  <m:ctrlPr>
                    <w:rPr>
                      <w:rFonts w:ascii="Cambria Math" w:hAnsi="Cambria Math"/>
                      <w:i/>
                      <w:iCs/>
                      <w:noProof/>
                    </w:rPr>
                  </m:ctrlPr>
                </m:fPr>
                <m:num>
                  <m:r>
                    <m:rPr>
                      <m:nor/>
                    </m:rPr>
                    <w:rPr>
                      <w:i/>
                      <w:iCs/>
                      <w:noProof/>
                    </w:rPr>
                    <m:t>ΔBºNeto</m:t>
                  </m:r>
                </m:num>
                <m:den>
                  <m:r>
                    <m:rPr>
                      <m:nor/>
                    </m:rPr>
                    <w:rPr>
                      <w:i/>
                      <w:iCs/>
                      <w:noProof/>
                    </w:rPr>
                    <m:t>BºNeto</m:t>
                  </m:r>
                </m:den>
              </m:f>
            </m:num>
            <m:den>
              <m:f>
                <m:fPr>
                  <m:type m:val="lin"/>
                  <m:ctrlPr>
                    <w:rPr>
                      <w:rFonts w:ascii="Cambria Math" w:hAnsi="Cambria Math"/>
                      <w:i/>
                      <w:iCs/>
                      <w:noProof/>
                    </w:rPr>
                  </m:ctrlPr>
                </m:fPr>
                <m:num>
                  <m:r>
                    <m:rPr>
                      <m:nor/>
                    </m:rPr>
                    <w:rPr>
                      <w:i/>
                      <w:iCs/>
                      <w:noProof/>
                    </w:rPr>
                    <m:t>ΔBºExplotación</m:t>
                  </m:r>
                </m:num>
                <m:den>
                  <m:r>
                    <m:rPr>
                      <m:nor/>
                    </m:rPr>
                    <w:rPr>
                      <w:i/>
                      <w:iCs/>
                      <w:noProof/>
                    </w:rPr>
                    <m:t>BºExplotación</m:t>
                  </m:r>
                </m:den>
              </m:f>
            </m:den>
          </m:f>
          <m:r>
            <w:rPr>
              <w:rFonts w:ascii="Cambria Math" w:hAnsi="Cambria Math"/>
              <w:noProof/>
            </w:rPr>
            <m:t>=</m:t>
          </m:r>
          <m:f>
            <m:fPr>
              <m:ctrlPr>
                <w:rPr>
                  <w:rFonts w:ascii="Cambria Math" w:hAnsi="Cambria Math"/>
                  <w:i/>
                  <w:iCs/>
                  <w:noProof/>
                </w:rPr>
              </m:ctrlPr>
            </m:fPr>
            <m:num>
              <m:r>
                <m:rPr>
                  <m:nor/>
                </m:rPr>
                <w:rPr>
                  <w:i/>
                  <w:iCs/>
                  <w:noProof/>
                </w:rPr>
                <m:t>BºExplotación</m:t>
              </m:r>
            </m:num>
            <m:den>
              <m:r>
                <m:rPr>
                  <m:nor/>
                </m:rPr>
                <w:rPr>
                  <w:i/>
                  <w:iCs/>
                  <w:noProof/>
                </w:rPr>
                <m:t>BºBruto</m:t>
              </m:r>
            </m:den>
          </m:f>
        </m:oMath>
      </m:oMathPara>
    </w:p>
    <w:p w14:paraId="15EB97A9" w14:textId="1A861BCC" w:rsidR="00C07F39" w:rsidRDefault="00C07F39" w:rsidP="00C07F39">
      <w:pPr>
        <w:pStyle w:val="Nivel1SM"/>
      </w:pPr>
      <w:r>
        <w:t>Es decir, de la misma manera que el apalancamiento económico era mayor cuanto mayor eran los costes fijos, el apalancamiento financiero será mayor cuanto mayor</w:t>
      </w:r>
      <w:r w:rsidR="00C82425">
        <w:t>es</w:t>
      </w:r>
      <w:r>
        <w:t xml:space="preserve"> sean los costes financieros.</w:t>
      </w:r>
    </w:p>
    <w:p w14:paraId="2B696DB2" w14:textId="1589EA2B" w:rsidR="00F71B3E" w:rsidRPr="00901B06" w:rsidRDefault="009D5344" w:rsidP="008233F9">
      <w:pPr>
        <w:pStyle w:val="Ttulo2"/>
        <w:rPr>
          <w:highlight w:val="yellow"/>
        </w:rPr>
      </w:pPr>
      <w:bookmarkStart w:id="62" w:name="_Toc125485446"/>
      <w:r w:rsidRPr="00901B06">
        <w:rPr>
          <w:highlight w:val="yellow"/>
        </w:rPr>
        <w:lastRenderedPageBreak/>
        <w:t>Análisis de la l</w:t>
      </w:r>
      <w:r w:rsidR="00F71B3E" w:rsidRPr="00901B06">
        <w:rPr>
          <w:highlight w:val="yellow"/>
        </w:rPr>
        <w:t>iquidez</w:t>
      </w:r>
      <w:bookmarkEnd w:id="62"/>
    </w:p>
    <w:p w14:paraId="2DAD06F8" w14:textId="53C0BC41" w:rsidR="00091E89" w:rsidRPr="00901B06" w:rsidRDefault="00091E89" w:rsidP="00C30654">
      <w:pPr>
        <w:pStyle w:val="Imagen"/>
        <w:rPr>
          <w:highlight w:val="yellow"/>
        </w:rPr>
      </w:pPr>
      <w:r w:rsidRPr="00901B06">
        <w:rPr>
          <w:highlight w:val="yellow"/>
        </w:rPr>
        <w:drawing>
          <wp:inline distT="0" distB="0" distL="0" distR="0" wp14:anchorId="6BA8CA8E" wp14:editId="456F8E5D">
            <wp:extent cx="3524250" cy="2352675"/>
            <wp:effectExtent l="0" t="0" r="0" b="9525"/>
            <wp:docPr id="17" name="Imagen 17"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nterfaz de usuario gráfica, Texto&#10;&#10;Descripción generada automáticamente"/>
                    <pic:cNvPicPr/>
                  </pic:nvPicPr>
                  <pic:blipFill>
                    <a:blip r:embed="rId20"/>
                    <a:stretch>
                      <a:fillRect/>
                    </a:stretch>
                  </pic:blipFill>
                  <pic:spPr>
                    <a:xfrm>
                      <a:off x="0" y="0"/>
                      <a:ext cx="3524250" cy="2352675"/>
                    </a:xfrm>
                    <a:prstGeom prst="rect">
                      <a:avLst/>
                    </a:prstGeom>
                  </pic:spPr>
                </pic:pic>
              </a:graphicData>
            </a:graphic>
          </wp:inline>
        </w:drawing>
      </w:r>
    </w:p>
    <w:p w14:paraId="2402F8A9" w14:textId="70B395F3" w:rsidR="00091E89" w:rsidRPr="00901B06" w:rsidRDefault="00091E89" w:rsidP="00C30654">
      <w:pPr>
        <w:pStyle w:val="Imagen"/>
        <w:rPr>
          <w:highlight w:val="yellow"/>
        </w:rPr>
      </w:pPr>
      <w:r w:rsidRPr="00901B06">
        <w:rPr>
          <w:highlight w:val="yellow"/>
        </w:rPr>
        <w:drawing>
          <wp:inline distT="0" distB="0" distL="0" distR="0" wp14:anchorId="48C62814" wp14:editId="74FC697E">
            <wp:extent cx="3124200" cy="1095375"/>
            <wp:effectExtent l="0" t="0" r="0" b="9525"/>
            <wp:docPr id="18" name="Imagen 1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Diagrama&#10;&#10;Descripción generada automáticamente"/>
                    <pic:cNvPicPr/>
                  </pic:nvPicPr>
                  <pic:blipFill>
                    <a:blip r:embed="rId21"/>
                    <a:stretch>
                      <a:fillRect/>
                    </a:stretch>
                  </pic:blipFill>
                  <pic:spPr>
                    <a:xfrm>
                      <a:off x="0" y="0"/>
                      <a:ext cx="3124200" cy="1095375"/>
                    </a:xfrm>
                    <a:prstGeom prst="rect">
                      <a:avLst/>
                    </a:prstGeom>
                  </pic:spPr>
                </pic:pic>
              </a:graphicData>
            </a:graphic>
          </wp:inline>
        </w:drawing>
      </w:r>
    </w:p>
    <w:p w14:paraId="348C7C32" w14:textId="10CA36E3" w:rsidR="00091E89" w:rsidRPr="00901B06" w:rsidRDefault="00091E89" w:rsidP="00C30654">
      <w:pPr>
        <w:pStyle w:val="Imagen"/>
        <w:rPr>
          <w:highlight w:val="yellow"/>
        </w:rPr>
      </w:pPr>
      <w:r w:rsidRPr="00901B06">
        <w:rPr>
          <w:highlight w:val="yellow"/>
        </w:rPr>
        <w:drawing>
          <wp:inline distT="0" distB="0" distL="0" distR="0" wp14:anchorId="62EA396C" wp14:editId="4EA9BDC6">
            <wp:extent cx="3476625" cy="1476375"/>
            <wp:effectExtent l="0" t="0" r="9525" b="9525"/>
            <wp:docPr id="19" name="Imagen 1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Diagrama&#10;&#10;Descripción generada automáticamente"/>
                    <pic:cNvPicPr/>
                  </pic:nvPicPr>
                  <pic:blipFill>
                    <a:blip r:embed="rId22"/>
                    <a:stretch>
                      <a:fillRect/>
                    </a:stretch>
                  </pic:blipFill>
                  <pic:spPr>
                    <a:xfrm>
                      <a:off x="0" y="0"/>
                      <a:ext cx="3476625" cy="1476375"/>
                    </a:xfrm>
                    <a:prstGeom prst="rect">
                      <a:avLst/>
                    </a:prstGeom>
                  </pic:spPr>
                </pic:pic>
              </a:graphicData>
            </a:graphic>
          </wp:inline>
        </w:drawing>
      </w:r>
      <w:r w:rsidRPr="00901B06">
        <w:rPr>
          <w:highlight w:val="yellow"/>
        </w:rPr>
        <w:t xml:space="preserve"> </w:t>
      </w:r>
      <w:r w:rsidRPr="00901B06">
        <w:rPr>
          <w:highlight w:val="yellow"/>
        </w:rPr>
        <w:drawing>
          <wp:inline distT="0" distB="0" distL="0" distR="0" wp14:anchorId="3043AA88" wp14:editId="2EF1E425">
            <wp:extent cx="2990850" cy="1762125"/>
            <wp:effectExtent l="0" t="0" r="0" b="9525"/>
            <wp:docPr id="20" name="Imagen 20"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nterfaz de usuario gráfica, Texto, Aplicación&#10;&#10;Descripción generada automáticamente"/>
                    <pic:cNvPicPr/>
                  </pic:nvPicPr>
                  <pic:blipFill>
                    <a:blip r:embed="rId23"/>
                    <a:stretch>
                      <a:fillRect/>
                    </a:stretch>
                  </pic:blipFill>
                  <pic:spPr>
                    <a:xfrm>
                      <a:off x="0" y="0"/>
                      <a:ext cx="2990850" cy="1762125"/>
                    </a:xfrm>
                    <a:prstGeom prst="rect">
                      <a:avLst/>
                    </a:prstGeom>
                  </pic:spPr>
                </pic:pic>
              </a:graphicData>
            </a:graphic>
          </wp:inline>
        </w:drawing>
      </w:r>
    </w:p>
    <w:p w14:paraId="5E30A14E" w14:textId="72161E19" w:rsidR="00F71B3E" w:rsidRPr="00901B06" w:rsidRDefault="009D5344" w:rsidP="008233F9">
      <w:pPr>
        <w:pStyle w:val="Ttulo2"/>
        <w:rPr>
          <w:highlight w:val="yellow"/>
        </w:rPr>
      </w:pPr>
      <w:bookmarkStart w:id="63" w:name="_Toc125485447"/>
      <w:r w:rsidRPr="00901B06">
        <w:rPr>
          <w:highlight w:val="yellow"/>
        </w:rPr>
        <w:t>Análisis de la s</w:t>
      </w:r>
      <w:r w:rsidR="00F71B3E" w:rsidRPr="00901B06">
        <w:rPr>
          <w:highlight w:val="yellow"/>
        </w:rPr>
        <w:t>olvencia</w:t>
      </w:r>
      <w:bookmarkEnd w:id="63"/>
    </w:p>
    <w:p w14:paraId="558D8FC7" w14:textId="15991521" w:rsidR="00091E89" w:rsidRPr="00901B06" w:rsidRDefault="00091E89" w:rsidP="00C30654">
      <w:pPr>
        <w:pStyle w:val="Imagen"/>
        <w:rPr>
          <w:highlight w:val="yellow"/>
        </w:rPr>
      </w:pPr>
      <w:r w:rsidRPr="00901B06">
        <w:rPr>
          <w:highlight w:val="yellow"/>
        </w:rPr>
        <w:lastRenderedPageBreak/>
        <w:drawing>
          <wp:inline distT="0" distB="0" distL="0" distR="0" wp14:anchorId="3CD0AF5C" wp14:editId="2CE424E1">
            <wp:extent cx="3105150" cy="1295400"/>
            <wp:effectExtent l="0" t="0" r="0" b="0"/>
            <wp:docPr id="21" name="Imagen 21" descr="Interfaz de usuario gráfica, Diagram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Interfaz de usuario gráfica, Diagrama, Aplicación&#10;&#10;Descripción generada automáticamente"/>
                    <pic:cNvPicPr/>
                  </pic:nvPicPr>
                  <pic:blipFill>
                    <a:blip r:embed="rId24"/>
                    <a:stretch>
                      <a:fillRect/>
                    </a:stretch>
                  </pic:blipFill>
                  <pic:spPr>
                    <a:xfrm>
                      <a:off x="0" y="0"/>
                      <a:ext cx="3105150" cy="1295400"/>
                    </a:xfrm>
                    <a:prstGeom prst="rect">
                      <a:avLst/>
                    </a:prstGeom>
                  </pic:spPr>
                </pic:pic>
              </a:graphicData>
            </a:graphic>
          </wp:inline>
        </w:drawing>
      </w:r>
      <w:r w:rsidRPr="00901B06">
        <w:rPr>
          <w:highlight w:val="yellow"/>
        </w:rPr>
        <w:t xml:space="preserve"> </w:t>
      </w:r>
      <w:r w:rsidRPr="00901B06">
        <w:rPr>
          <w:highlight w:val="yellow"/>
        </w:rPr>
        <w:drawing>
          <wp:inline distT="0" distB="0" distL="0" distR="0" wp14:anchorId="7EAAEDD4" wp14:editId="7E72CFC1">
            <wp:extent cx="3219450" cy="1562100"/>
            <wp:effectExtent l="0" t="0" r="0" b="0"/>
            <wp:docPr id="22" name="Imagen 2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Tabla&#10;&#10;Descripción generada automáticamente"/>
                    <pic:cNvPicPr/>
                  </pic:nvPicPr>
                  <pic:blipFill>
                    <a:blip r:embed="rId25"/>
                    <a:stretch>
                      <a:fillRect/>
                    </a:stretch>
                  </pic:blipFill>
                  <pic:spPr>
                    <a:xfrm>
                      <a:off x="0" y="0"/>
                      <a:ext cx="3219450" cy="1562100"/>
                    </a:xfrm>
                    <a:prstGeom prst="rect">
                      <a:avLst/>
                    </a:prstGeom>
                  </pic:spPr>
                </pic:pic>
              </a:graphicData>
            </a:graphic>
          </wp:inline>
        </w:drawing>
      </w:r>
    </w:p>
    <w:p w14:paraId="24B4AF6B" w14:textId="0588EEEF" w:rsidR="00DA723A" w:rsidRPr="00901B06" w:rsidRDefault="009D5344" w:rsidP="008233F9">
      <w:pPr>
        <w:pStyle w:val="Ttulo2"/>
        <w:rPr>
          <w:highlight w:val="yellow"/>
        </w:rPr>
      </w:pPr>
      <w:bookmarkStart w:id="64" w:name="_Toc125485448"/>
      <w:r w:rsidRPr="00901B06">
        <w:rPr>
          <w:highlight w:val="yellow"/>
        </w:rPr>
        <w:t>Análisis del r</w:t>
      </w:r>
      <w:r w:rsidR="00F71B3E" w:rsidRPr="00901B06">
        <w:rPr>
          <w:highlight w:val="yellow"/>
        </w:rPr>
        <w:t>esultado</w:t>
      </w:r>
      <w:bookmarkEnd w:id="64"/>
    </w:p>
    <w:p w14:paraId="42BA5903" w14:textId="37E7CFF6" w:rsidR="00606E13" w:rsidRPr="00606E13" w:rsidRDefault="00091E89" w:rsidP="00C30654">
      <w:pPr>
        <w:pStyle w:val="Imagen"/>
      </w:pPr>
      <w:r w:rsidRPr="00901B06">
        <w:rPr>
          <w:highlight w:val="yellow"/>
        </w:rPr>
        <w:drawing>
          <wp:inline distT="0" distB="0" distL="0" distR="0" wp14:anchorId="5321DCDE" wp14:editId="55231BF2">
            <wp:extent cx="3438525" cy="1028700"/>
            <wp:effectExtent l="0" t="0" r="9525" b="0"/>
            <wp:docPr id="23" name="Imagen 23" descr="Texto,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Texto, Tabla&#10;&#10;Descripción generada automáticamente"/>
                    <pic:cNvPicPr/>
                  </pic:nvPicPr>
                  <pic:blipFill>
                    <a:blip r:embed="rId26"/>
                    <a:stretch>
                      <a:fillRect/>
                    </a:stretch>
                  </pic:blipFill>
                  <pic:spPr>
                    <a:xfrm>
                      <a:off x="0" y="0"/>
                      <a:ext cx="3438525" cy="1028700"/>
                    </a:xfrm>
                    <a:prstGeom prst="rect">
                      <a:avLst/>
                    </a:prstGeom>
                  </pic:spPr>
                </pic:pic>
              </a:graphicData>
            </a:graphic>
          </wp:inline>
        </w:drawing>
      </w:r>
    </w:p>
    <w:p w14:paraId="01F5AA53" w14:textId="77777777" w:rsidR="00342648" w:rsidRDefault="00342648" w:rsidP="00E5034D">
      <w:pPr>
        <w:pStyle w:val="Introduccinyconclusin"/>
      </w:pPr>
      <w:bookmarkStart w:id="65" w:name="_Toc55381925"/>
      <w:bookmarkStart w:id="66" w:name="_Toc55382060"/>
      <w:bookmarkStart w:id="67" w:name="_Toc55382095"/>
      <w:bookmarkStart w:id="68" w:name="_Toc55382523"/>
      <w:r>
        <w:t>CONCLUSIÓN</w:t>
      </w:r>
      <w:bookmarkEnd w:id="65"/>
      <w:bookmarkEnd w:id="66"/>
      <w:bookmarkEnd w:id="67"/>
      <w:bookmarkEnd w:id="68"/>
    </w:p>
    <w:p w14:paraId="4893EAA6" w14:textId="77777777" w:rsidR="002E0C48" w:rsidRDefault="00A42B58" w:rsidP="005E2D7D">
      <w:pPr>
        <w:pStyle w:val="Nivel1"/>
        <w:keepNext/>
        <w:spacing w:before="0" w:after="0"/>
      </w:pPr>
      <w:r w:rsidRPr="00764940">
        <w:rPr>
          <w:b/>
          <w:bCs/>
          <w:i/>
          <w:iCs/>
        </w:rPr>
        <w:t>Recapitulación (</w:t>
      </w:r>
      <w:r w:rsidR="00EB707E" w:rsidRPr="00764940">
        <w:rPr>
          <w:b/>
          <w:bCs/>
          <w:i/>
          <w:iCs/>
        </w:rPr>
        <w:t>Ideas clave</w:t>
      </w:r>
      <w:r w:rsidRPr="00764940">
        <w:rPr>
          <w:b/>
          <w:bCs/>
          <w:i/>
          <w:iCs/>
        </w:rPr>
        <w:t>)</w:t>
      </w:r>
      <w:r w:rsidR="002E0C48">
        <w:t>:</w:t>
      </w:r>
    </w:p>
    <w:p w14:paraId="78062603" w14:textId="77777777" w:rsidR="00EF6D90" w:rsidRDefault="00EF6D90" w:rsidP="00C4210F">
      <w:pPr>
        <w:pStyle w:val="Nivel2"/>
      </w:pPr>
      <w:r>
        <w:t xml:space="preserve">A lo largo de la exposición se han mostrado los conceptos básicos relativos a la </w:t>
      </w:r>
      <w:r w:rsidRPr="008F3C2B">
        <w:rPr>
          <w:i/>
          <w:iCs/>
        </w:rPr>
        <w:t>información financiera</w:t>
      </w:r>
      <w:r>
        <w:t xml:space="preserve">, las </w:t>
      </w:r>
      <w:r w:rsidRPr="008F3C2B">
        <w:rPr>
          <w:i/>
          <w:iCs/>
        </w:rPr>
        <w:t>cuentas anuales del PGC de 2007</w:t>
      </w:r>
      <w:r>
        <w:t xml:space="preserve"> y una serie de </w:t>
      </w:r>
      <w:r w:rsidRPr="008F3C2B">
        <w:rPr>
          <w:i/>
          <w:iCs/>
        </w:rPr>
        <w:t>indicadores básicos al análisis financiero de uso habitual</w:t>
      </w:r>
      <w:r>
        <w:t>.</w:t>
      </w:r>
    </w:p>
    <w:p w14:paraId="67696499" w14:textId="7446D9F4" w:rsidR="00EF6D90" w:rsidRDefault="00EF6D90" w:rsidP="00C4210F">
      <w:pPr>
        <w:pStyle w:val="Nivel2"/>
      </w:pPr>
      <w:r>
        <w:t xml:space="preserve">Antes de concluir, es preciso señalar que la información financiera está sujeta a un </w:t>
      </w:r>
      <w:r w:rsidRPr="00EF6D90">
        <w:rPr>
          <w:i/>
          <w:iCs/>
        </w:rPr>
        <w:t>grado de discrecionalidad</w:t>
      </w:r>
      <w:r>
        <w:t xml:space="preserve"> cuyos resultados se ven modulados por los incentivos de los agentes que compilan y presentan la información financiera. Por ello, no basta sólo con el informe del auditor para garantizar que las cuentas anuales aportan efectivamente una visión realista de la situación de la empresa, sino que </w:t>
      </w:r>
      <w:r w:rsidRPr="00EF6D90">
        <w:rPr>
          <w:i/>
          <w:iCs/>
        </w:rPr>
        <w:t>es además fundamental el examen crítico y desagregado de la información disponible por parte del analista financiero</w:t>
      </w:r>
      <w:r>
        <w:t>. A fin de cuentas será su capacidad para extraer una opinión acertada lo que determinará el éxito de la labor de análisis y la utilidad de la información financiera.</w:t>
      </w:r>
    </w:p>
    <w:p w14:paraId="5D2459C7" w14:textId="0BA7E5AB" w:rsidR="00E12674" w:rsidRDefault="00E12674" w:rsidP="00C4210F">
      <w:pPr>
        <w:pStyle w:val="Nivel2"/>
      </w:pPr>
    </w:p>
    <w:p w14:paraId="689A78C6" w14:textId="22306A8F" w:rsidR="00E12674" w:rsidRDefault="00E12674" w:rsidP="00C4210F">
      <w:pPr>
        <w:pStyle w:val="Nivel2"/>
      </w:pPr>
      <w:r>
        <w:t>La información financiera de la empresa representa un pilar básico de su funcionamiento. Es utilizada por los distintos agentes económicos para optimizar sus decisiones. Problema IA empresas mayor información que agentes externos sobre su situación financiera. En este sentido, el procedimiento de armonización contable en los países es fundamental, lo que ha redundado en una mayor comparabilidad y transparencia de la información financiera de las empresas.</w:t>
      </w:r>
    </w:p>
    <w:p w14:paraId="79A2C82A" w14:textId="77777777" w:rsidR="005E53B9" w:rsidRDefault="002E0C48" w:rsidP="00FD540F">
      <w:pPr>
        <w:pStyle w:val="Nivel1"/>
        <w:keepNext/>
        <w:spacing w:after="0"/>
      </w:pPr>
      <w:r w:rsidRPr="00764940">
        <w:rPr>
          <w:b/>
          <w:bCs/>
          <w:i/>
          <w:iCs/>
        </w:rPr>
        <w:t>Relevancia</w:t>
      </w:r>
      <w:r>
        <w:t>:</w:t>
      </w:r>
    </w:p>
    <w:p w14:paraId="74E5E213" w14:textId="77777777" w:rsidR="00502A72" w:rsidRDefault="00502A72" w:rsidP="00C4210F">
      <w:pPr>
        <w:pStyle w:val="Nivel2"/>
      </w:pPr>
    </w:p>
    <w:p w14:paraId="321EE59E" w14:textId="77777777" w:rsidR="00342648" w:rsidRDefault="002E0C48" w:rsidP="00FD540F">
      <w:pPr>
        <w:pStyle w:val="Nivel1"/>
        <w:keepNext/>
        <w:spacing w:after="0"/>
      </w:pPr>
      <w:r w:rsidRPr="00764940">
        <w:rPr>
          <w:b/>
          <w:bCs/>
          <w:i/>
          <w:iCs/>
        </w:rPr>
        <w:lastRenderedPageBreak/>
        <w:t>E</w:t>
      </w:r>
      <w:r w:rsidR="00EB707E" w:rsidRPr="00764940">
        <w:rPr>
          <w:b/>
          <w:bCs/>
          <w:i/>
          <w:iCs/>
        </w:rPr>
        <w:t>xtensiones y relación con otras partes del temario</w:t>
      </w:r>
      <w:r>
        <w:t>:</w:t>
      </w:r>
    </w:p>
    <w:p w14:paraId="3A746B52" w14:textId="6811B957" w:rsidR="00E12674" w:rsidRDefault="00E12674" w:rsidP="00E12674">
      <w:pPr>
        <w:pStyle w:val="Nivel2"/>
        <w:keepNext/>
        <w:spacing w:after="0"/>
      </w:pPr>
      <w:r>
        <w:t xml:space="preserve">Sin embargo, a nivel europeo todavía queda mucho por hacer en materia de una mejor información financiera. Ello tiene </w:t>
      </w:r>
      <w:r w:rsidRPr="00E34762">
        <w:rPr>
          <w:b/>
          <w:bCs/>
        </w:rPr>
        <w:t>repercusiones sobre la recaudación impositiva</w:t>
      </w:r>
      <w:r>
        <w:t>.</w:t>
      </w:r>
    </w:p>
    <w:p w14:paraId="62ACB446" w14:textId="00D61617" w:rsidR="00E12674" w:rsidRDefault="00E12674" w:rsidP="00E12674">
      <w:pPr>
        <w:pStyle w:val="Nivel3"/>
        <w:keepNext/>
      </w:pPr>
      <w:r>
        <w:t>Problema: Omisión de datos importantes/Falta de fiabilidad/Contabilidad creativa</w:t>
      </w:r>
    </w:p>
    <w:p w14:paraId="301A184B" w14:textId="1D5FB893" w:rsidR="00E12674" w:rsidRDefault="00E12674" w:rsidP="00E12674">
      <w:pPr>
        <w:pStyle w:val="Nivel4"/>
      </w:pPr>
      <w:r>
        <w:t>Una de las soluciones a este problema es hacer que las multinacionales ofrezcan información financiera clave de las filiales por país, propuesta del Parlamento que, sin embargo, el Consejo no aprobó pues para temas de fiscalidad se requiere unanimidad.</w:t>
      </w:r>
    </w:p>
    <w:p w14:paraId="52D73F13" w14:textId="2DB16A5F" w:rsidR="00E12674" w:rsidRDefault="00E34762" w:rsidP="00E34762">
      <w:pPr>
        <w:pStyle w:val="Nivel2"/>
        <w:keepNext/>
        <w:spacing w:after="0"/>
      </w:pPr>
      <w:r>
        <w:t xml:space="preserve">Desde </w:t>
      </w:r>
      <w:r w:rsidR="00E12674">
        <w:t>2019</w:t>
      </w:r>
      <w:r>
        <w:t xml:space="preserve">, conforme a la </w:t>
      </w:r>
      <w:r w:rsidR="00E12674" w:rsidRPr="00E34762">
        <w:rPr>
          <w:i/>
          <w:iCs/>
        </w:rPr>
        <w:t>Directiva Europea sobre Divulgación de Información No Financiera</w:t>
      </w:r>
      <w:r>
        <w:t>,</w:t>
      </w:r>
      <w:r w:rsidR="00E12674">
        <w:t xml:space="preserve"> </w:t>
      </w:r>
      <w:r>
        <w:t>p</w:t>
      </w:r>
      <w:r w:rsidR="00E12674">
        <w:t xml:space="preserve">asa a ser obligatoria la publicación de </w:t>
      </w:r>
      <w:r w:rsidR="00E12674" w:rsidRPr="00E34762">
        <w:rPr>
          <w:b/>
          <w:bCs/>
        </w:rPr>
        <w:t>informes de responsabilidad social corporativa y de sostenibilidad en empresas de gran tamaño</w:t>
      </w:r>
      <w:r w:rsidR="00E12674">
        <w:t>.</w:t>
      </w:r>
    </w:p>
    <w:p w14:paraId="531F8541" w14:textId="77777777" w:rsidR="00E12674" w:rsidRDefault="00E12674" w:rsidP="00E34762">
      <w:pPr>
        <w:pStyle w:val="Nivel3"/>
        <w:keepNext/>
      </w:pPr>
      <w:r>
        <w:t>Contenidos mínimos:</w:t>
      </w:r>
    </w:p>
    <w:p w14:paraId="64561B18" w14:textId="645F7A99" w:rsidR="00E12674" w:rsidRDefault="00E34762">
      <w:pPr>
        <w:pStyle w:val="Prrafodelista"/>
        <w:numPr>
          <w:ilvl w:val="0"/>
          <w:numId w:val="30"/>
        </w:numPr>
        <w:spacing w:after="0"/>
        <w:ind w:left="1985" w:hanging="284"/>
      </w:pPr>
      <w:r>
        <w:rPr>
          <w:i/>
          <w:iCs/>
        </w:rPr>
        <w:t>Información sobre cuestiones medioambientales</w:t>
      </w:r>
      <w:r>
        <w:t>: Medidas para prevenir la contaminación, economía circular, sostenibilidad de los recursos, protección de la biodiversidad, cambio climático (emisiones de gases efecto invernadero).</w:t>
      </w:r>
    </w:p>
    <w:p w14:paraId="09EA3BD9" w14:textId="25DD3B9D" w:rsidR="00E34762" w:rsidRDefault="00E34762">
      <w:pPr>
        <w:pStyle w:val="Prrafodelista"/>
        <w:numPr>
          <w:ilvl w:val="0"/>
          <w:numId w:val="30"/>
        </w:numPr>
        <w:spacing w:after="0"/>
        <w:ind w:left="1985" w:hanging="284"/>
      </w:pPr>
      <w:r>
        <w:rPr>
          <w:i/>
          <w:iCs/>
        </w:rPr>
        <w:t>Información sobre cuestiones sociales</w:t>
      </w:r>
      <w:r w:rsidRPr="00E34762">
        <w:t>:</w:t>
      </w:r>
      <w:r>
        <w:t xml:space="preserve"> Empleo, organización del trabajo, formación, salud y seguridad.</w:t>
      </w:r>
    </w:p>
    <w:p w14:paraId="7A98CAE5" w14:textId="72DCA1D4" w:rsidR="00E34762" w:rsidRPr="00E34762" w:rsidRDefault="00E34762">
      <w:pPr>
        <w:pStyle w:val="Prrafodelista"/>
        <w:numPr>
          <w:ilvl w:val="0"/>
          <w:numId w:val="30"/>
        </w:numPr>
        <w:spacing w:after="0"/>
        <w:ind w:left="1985" w:hanging="284"/>
      </w:pPr>
      <w:r>
        <w:rPr>
          <w:i/>
          <w:iCs/>
        </w:rPr>
        <w:t>Derechos humanos</w:t>
      </w:r>
      <w:r w:rsidRPr="00E34762">
        <w:t>:</w:t>
      </w:r>
      <w:r>
        <w:t xml:space="preserve"> Cumplimiento de las disposiciones de los convenios fundamentales de la Organización Internacional del Trabajo (OIT).</w:t>
      </w:r>
    </w:p>
    <w:p w14:paraId="5C238BFE" w14:textId="0AFC1E30" w:rsidR="00E34762" w:rsidRDefault="00E34762">
      <w:pPr>
        <w:pStyle w:val="Prrafodelista"/>
        <w:numPr>
          <w:ilvl w:val="0"/>
          <w:numId w:val="30"/>
        </w:numPr>
        <w:spacing w:after="0"/>
        <w:ind w:left="1985" w:hanging="284"/>
      </w:pPr>
      <w:r w:rsidRPr="00E34762">
        <w:rPr>
          <w:i/>
          <w:iCs/>
        </w:rPr>
        <w:t>Información relativa a la lucha contra la corrupción</w:t>
      </w:r>
      <w:r>
        <w:t>: Incluida la lucha contra el blanqueo de capitales.</w:t>
      </w:r>
    </w:p>
    <w:p w14:paraId="765F08A4" w14:textId="327EA880" w:rsidR="00E34762" w:rsidRDefault="00E34762" w:rsidP="00FD540F">
      <w:pPr>
        <w:pStyle w:val="Nivel2"/>
        <w:spacing w:after="0"/>
      </w:pPr>
      <w:r>
        <w:t>COVID-19 La caída de la facturación de las empresas elevó las necesidades de liquidez agregadas generada por el déficit entre los ingresos y los pagos asociados a la actividad de explotación (como os alquileres y los salarios) y a la amortización de la deuda viva.</w:t>
      </w:r>
    </w:p>
    <w:p w14:paraId="29924D0F" w14:textId="4F1BF8C3" w:rsidR="00E34762" w:rsidRDefault="00E34762" w:rsidP="004A276E">
      <w:pPr>
        <w:pStyle w:val="Nivel3"/>
      </w:pPr>
      <w:r w:rsidRPr="00E34762">
        <w:rPr>
          <w:i/>
          <w:iCs/>
        </w:rPr>
        <w:t>Riesgos a corto plazo</w:t>
      </w:r>
      <w:r>
        <w:t>: En 2021, persisten algunos riesgos relacionados con la situación de liquidez, especialmente en el caso de las empresas y de los empresarios individuales de los sectores más afectados por la pandemia y que tienen un acceso más difícil a la financiación externa.</w:t>
      </w:r>
    </w:p>
    <w:p w14:paraId="60E13074" w14:textId="364FAC50" w:rsidR="00E12674" w:rsidRDefault="00E34762" w:rsidP="00E34762">
      <w:pPr>
        <w:pStyle w:val="Nivel3"/>
      </w:pPr>
      <w:r w:rsidRPr="00E34762">
        <w:rPr>
          <w:i/>
          <w:iCs/>
        </w:rPr>
        <w:t>Riesgo a medio plazo</w:t>
      </w:r>
      <w:r>
        <w:t>: Endeudamiento elevado: cuando la Tatio de la deuda financiera sobre los resultados corrientes supera cierto umbral.</w:t>
      </w:r>
    </w:p>
    <w:p w14:paraId="159B71ED" w14:textId="77777777" w:rsidR="00E12674" w:rsidRDefault="00E12674" w:rsidP="00FD540F">
      <w:pPr>
        <w:pStyle w:val="Nivel2"/>
        <w:spacing w:after="0"/>
      </w:pPr>
    </w:p>
    <w:p w14:paraId="2B0D5B4D" w14:textId="77777777" w:rsidR="00E12674" w:rsidRDefault="00E12674" w:rsidP="00FD540F">
      <w:pPr>
        <w:pStyle w:val="Nivel2"/>
        <w:spacing w:after="0"/>
      </w:pPr>
    </w:p>
    <w:p w14:paraId="48FCF23B" w14:textId="076E3C56" w:rsidR="00FD540F" w:rsidRDefault="00FD540F" w:rsidP="00FD540F">
      <w:pPr>
        <w:pStyle w:val="Nivel2"/>
        <w:spacing w:after="0"/>
      </w:pPr>
      <w:r>
        <w:t>Contabilidad es una versión posible.</w:t>
      </w:r>
    </w:p>
    <w:p w14:paraId="2AE5A863" w14:textId="77777777" w:rsidR="00FD540F" w:rsidRDefault="00FD540F" w:rsidP="00FD540F">
      <w:pPr>
        <w:pStyle w:val="Nivel2"/>
        <w:spacing w:after="0"/>
      </w:pPr>
      <w:r>
        <w:t>No se puede gestionar lo que no se conoce.</w:t>
      </w:r>
    </w:p>
    <w:p w14:paraId="4779A778" w14:textId="77777777" w:rsidR="00FD540F" w:rsidRDefault="00FD540F" w:rsidP="00FD540F">
      <w:pPr>
        <w:pStyle w:val="Nivel2"/>
        <w:spacing w:after="0"/>
      </w:pPr>
      <w:r>
        <w:t>Necesario examen crítico de cuentas.</w:t>
      </w:r>
    </w:p>
    <w:p w14:paraId="6841C79F" w14:textId="64386903" w:rsidR="009E71EC" w:rsidRDefault="009E71EC" w:rsidP="00FD540F">
      <w:pPr>
        <w:pStyle w:val="Nivel1"/>
        <w:keepNext/>
        <w:spacing w:after="0"/>
      </w:pPr>
      <w:r w:rsidRPr="00764940">
        <w:rPr>
          <w:b/>
          <w:bCs/>
          <w:i/>
          <w:iCs/>
        </w:rPr>
        <w:t>Opinión</w:t>
      </w:r>
      <w:r>
        <w:t>:</w:t>
      </w:r>
    </w:p>
    <w:p w14:paraId="63217A52" w14:textId="77777777" w:rsidR="00FD540F" w:rsidRDefault="00FD540F" w:rsidP="00FD540F">
      <w:pPr>
        <w:pStyle w:val="Nivel2"/>
      </w:pPr>
    </w:p>
    <w:p w14:paraId="3E941885" w14:textId="0E4FFE5E" w:rsidR="00F2467B" w:rsidRDefault="00A42B58" w:rsidP="00FD540F">
      <w:pPr>
        <w:pStyle w:val="Nivel1"/>
        <w:keepNext/>
        <w:spacing w:after="0"/>
      </w:pPr>
      <w:r w:rsidRPr="00764940">
        <w:rPr>
          <w:b/>
          <w:bCs/>
          <w:i/>
          <w:iCs/>
        </w:rPr>
        <w:t>Idea final (</w:t>
      </w:r>
      <w:r w:rsidR="00606E13" w:rsidRPr="00764940">
        <w:rPr>
          <w:b/>
          <w:bCs/>
          <w:i/>
          <w:iCs/>
        </w:rPr>
        <w:t>Salida o cierre</w:t>
      </w:r>
      <w:r w:rsidRPr="00764940">
        <w:rPr>
          <w:b/>
          <w:bCs/>
          <w:i/>
          <w:iCs/>
        </w:rPr>
        <w:t>)</w:t>
      </w:r>
      <w:r w:rsidR="00606E13">
        <w:t>:</w:t>
      </w:r>
    </w:p>
    <w:p w14:paraId="2DDE1E16" w14:textId="4CF47E34" w:rsidR="00960A1D" w:rsidRDefault="00960A1D" w:rsidP="00960A1D">
      <w:pPr>
        <w:pStyle w:val="Nivel2"/>
      </w:pPr>
      <w:r>
        <w:t xml:space="preserve">En definitiva, por estas razones se debe perseguir que la información contable cumpla von los atributos contables que hemos comentado en la exposición: </w:t>
      </w:r>
      <w:r w:rsidR="0042079B">
        <w:t>relevancia</w:t>
      </w:r>
      <w:r>
        <w:t xml:space="preserve">, </w:t>
      </w:r>
      <w:r w:rsidR="0042079B">
        <w:t>fiabilidad</w:t>
      </w:r>
      <w:r>
        <w:t xml:space="preserve">, </w:t>
      </w:r>
      <w:r w:rsidR="0042079B">
        <w:t>integridad</w:t>
      </w:r>
      <w:r>
        <w:t>, comparabilidad y claridad.</w:t>
      </w:r>
    </w:p>
    <w:p w14:paraId="0C212F3A" w14:textId="77777777" w:rsidR="009B7B4A" w:rsidRDefault="008233F9">
      <w:pPr>
        <w:sectPr w:rsidR="009B7B4A" w:rsidSect="003055D5">
          <w:headerReference w:type="even" r:id="rId27"/>
          <w:headerReference w:type="default" r:id="rId28"/>
          <w:footerReference w:type="even" r:id="rId29"/>
          <w:footerReference w:type="default" r:id="rId30"/>
          <w:headerReference w:type="first" r:id="rId31"/>
          <w:footerReference w:type="first" r:id="rId32"/>
          <w:pgSz w:w="11906" w:h="16838"/>
          <w:pgMar w:top="567" w:right="1134" w:bottom="567" w:left="1134" w:header="113" w:footer="113" w:gutter="0"/>
          <w:cols w:space="708"/>
          <w:titlePg/>
          <w:docGrid w:linePitch="360"/>
        </w:sectPr>
      </w:pPr>
      <w:r>
        <w:br w:type="page"/>
      </w:r>
    </w:p>
    <w:p w14:paraId="349EA536" w14:textId="77777777" w:rsidR="00342648" w:rsidRDefault="00342648" w:rsidP="00342648">
      <w:pPr>
        <w:pStyle w:val="Ttulo4"/>
      </w:pPr>
      <w:r>
        <w:lastRenderedPageBreak/>
        <w:t>Bibliografía</w:t>
      </w:r>
    </w:p>
    <w:p w14:paraId="0174FB9B" w14:textId="77777777" w:rsidR="00194892" w:rsidRDefault="00996045" w:rsidP="00996045">
      <w:pPr>
        <w:ind w:left="567" w:hanging="567"/>
      </w:pPr>
      <w:r>
        <w:t>Tema ICEX-CECO.</w:t>
      </w:r>
    </w:p>
    <w:p w14:paraId="4534DCFD" w14:textId="32D3F285" w:rsidR="00342648" w:rsidRDefault="00996045" w:rsidP="00996045">
      <w:pPr>
        <w:ind w:left="284" w:hanging="284"/>
        <w:rPr>
          <w:rStyle w:val="Hipervnculo"/>
        </w:rPr>
      </w:pPr>
      <w:r w:rsidRPr="00996045">
        <w:t xml:space="preserve">Garrido Miralles, P. (2017). </w:t>
      </w:r>
      <w:r w:rsidRPr="00996045">
        <w:rPr>
          <w:i/>
          <w:iCs/>
        </w:rPr>
        <w:t>Análisis de estados contables</w:t>
      </w:r>
      <w:r w:rsidRPr="00996045">
        <w:t xml:space="preserve">. Difusora Larousse - Ediciones Pirámide. </w:t>
      </w:r>
      <w:hyperlink r:id="rId33" w:history="1">
        <w:r w:rsidRPr="00DC27A5">
          <w:rPr>
            <w:rStyle w:val="Hipervnculo"/>
          </w:rPr>
          <w:t>https://public.ebookcentral.proquest.com/choice/publicfullrecord.aspx?p=5757003</w:t>
        </w:r>
      </w:hyperlink>
    </w:p>
    <w:p w14:paraId="5552427C" w14:textId="1502DF5D" w:rsidR="00996045" w:rsidRDefault="00996045" w:rsidP="00996045">
      <w:pPr>
        <w:ind w:left="284" w:hanging="284"/>
      </w:pPr>
      <w:r w:rsidRPr="00996045">
        <w:t xml:space="preserve">Besteiro, M. A. &amp; </w:t>
      </w:r>
      <w:proofErr w:type="spellStart"/>
      <w:r w:rsidRPr="00996045">
        <w:t>Mazarracín</w:t>
      </w:r>
      <w:proofErr w:type="spellEnd"/>
      <w:r w:rsidRPr="00996045">
        <w:t xml:space="preserve">, M. R. (2016). </w:t>
      </w:r>
      <w:r w:rsidRPr="00996045">
        <w:rPr>
          <w:i/>
          <w:iCs/>
        </w:rPr>
        <w:t>Contabilidad financiera superior I</w:t>
      </w:r>
      <w:r w:rsidRPr="00996045">
        <w:t xml:space="preserve"> (2a. Ed.). Difusora Larousse - Ediciones Pirámide. </w:t>
      </w:r>
      <w:hyperlink r:id="rId34" w:history="1">
        <w:r w:rsidRPr="00DC27A5">
          <w:rPr>
            <w:rStyle w:val="Hipervnculo"/>
          </w:rPr>
          <w:t>https://public.ebookcentral.proquest.com/choice/publicfullrecord.aspx?p=5102473</w:t>
        </w:r>
      </w:hyperlink>
      <w:r>
        <w:t xml:space="preserve"> </w:t>
      </w:r>
    </w:p>
    <w:p w14:paraId="15DE0EA6" w14:textId="159668D2" w:rsidR="00194892" w:rsidRDefault="00194892" w:rsidP="00996045">
      <w:pPr>
        <w:ind w:left="284" w:hanging="284"/>
      </w:pPr>
      <w:r>
        <w:t>Tema Juan Luis Cordero Tarifa</w:t>
      </w:r>
    </w:p>
    <w:p w14:paraId="4BD32887" w14:textId="61C7DBEE" w:rsidR="00827B1C" w:rsidRDefault="00827B1C" w:rsidP="00827B1C">
      <w:pPr>
        <w:pStyle w:val="Ttulo4"/>
      </w:pPr>
      <w:bookmarkStart w:id="69" w:name="_Hlk94717872"/>
      <w:r>
        <w:t>Preguntas de otros exámenes</w:t>
      </w:r>
    </w:p>
    <w:p w14:paraId="4B4D24FC" w14:textId="77777777" w:rsidR="00827B1C" w:rsidRPr="00827B1C" w:rsidRDefault="00827B1C" w:rsidP="00E7253F">
      <w:pPr>
        <w:pStyle w:val="Nivel2SM"/>
      </w:pPr>
    </w:p>
    <w:p w14:paraId="76CD3073" w14:textId="77777777" w:rsidR="00827B1C" w:rsidRDefault="00827B1C" w:rsidP="00827B1C">
      <w:pPr>
        <w:pStyle w:val="Ttulo4"/>
      </w:pPr>
      <w:r>
        <w:t>Enlace a preguntas tipo test</w:t>
      </w:r>
    </w:p>
    <w:p w14:paraId="2A59264B" w14:textId="753E237C" w:rsidR="009B7B4A" w:rsidRDefault="00000000" w:rsidP="00630D0B">
      <w:hyperlink r:id="rId35" w:history="1">
        <w:r w:rsidR="00827B1C" w:rsidRPr="00DC27A5">
          <w:rPr>
            <w:rStyle w:val="Hipervnculo"/>
          </w:rPr>
          <w:t>https://www.quia.com/quiz/6562937.html</w:t>
        </w:r>
      </w:hyperlink>
    </w:p>
    <w:bookmarkEnd w:id="69"/>
    <w:p w14:paraId="546052BF" w14:textId="77777777" w:rsidR="00827B1C" w:rsidRDefault="00827B1C" w:rsidP="00630D0B"/>
    <w:p w14:paraId="3D2AC1E3" w14:textId="17D6E698" w:rsidR="00996045" w:rsidRDefault="00996045" w:rsidP="00630D0B">
      <w:pPr>
        <w:sectPr w:rsidR="00996045" w:rsidSect="00636FB6">
          <w:headerReference w:type="first" r:id="rId36"/>
          <w:pgSz w:w="11906" w:h="16838"/>
          <w:pgMar w:top="567" w:right="1134" w:bottom="567" w:left="1134" w:header="113" w:footer="113" w:gutter="0"/>
          <w:cols w:space="708"/>
          <w:titlePg/>
          <w:docGrid w:linePitch="360"/>
        </w:sectPr>
      </w:pPr>
    </w:p>
    <w:p w14:paraId="180E9D9F" w14:textId="50D21761" w:rsidR="00342648" w:rsidRDefault="00342648" w:rsidP="004B6D04">
      <w:pPr>
        <w:pStyle w:val="Ttulo4"/>
        <w:spacing w:before="0" w:after="0" w:line="240" w:lineRule="auto"/>
      </w:pPr>
      <w:r w:rsidRPr="00342648">
        <w:lastRenderedPageBreak/>
        <w:t>Anexos</w:t>
      </w:r>
    </w:p>
    <w:p w14:paraId="6A202E93" w14:textId="71AFEB7A" w:rsidR="00091E89" w:rsidRDefault="00091E89" w:rsidP="00091E89">
      <w:pPr>
        <w:pStyle w:val="Ttulo5"/>
        <w:rPr>
          <w:i w:val="0"/>
          <w:iCs w:val="0"/>
          <w:u w:val="none"/>
        </w:rPr>
      </w:pPr>
      <w:r>
        <w:t xml:space="preserve"> Anexo</w:t>
      </w:r>
      <w:r w:rsidR="005E2D7D">
        <w:t> </w:t>
      </w:r>
      <w:r>
        <w:t>1</w:t>
      </w:r>
      <w:r>
        <w:rPr>
          <w:i w:val="0"/>
          <w:iCs w:val="0"/>
          <w:u w:val="none"/>
        </w:rPr>
        <w:t>: Resumen de ratios</w:t>
      </w:r>
    </w:p>
    <w:p w14:paraId="11AECB51" w14:textId="26D7B71C" w:rsidR="00091E89" w:rsidRPr="00091E89" w:rsidRDefault="004B6D04" w:rsidP="004B6D04">
      <w:pPr>
        <w:pStyle w:val="Imagen"/>
      </w:pPr>
      <w:r>
        <w:drawing>
          <wp:inline distT="0" distB="0" distL="0" distR="0" wp14:anchorId="3E488CBE" wp14:editId="77C781AA">
            <wp:extent cx="4112260" cy="3413877"/>
            <wp:effectExtent l="0" t="0" r="254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7">
                      <a:extLst>
                        <a:ext uri="{28A0092B-C50C-407E-A947-70E740481C1C}">
                          <a14:useLocalDpi xmlns:a14="http://schemas.microsoft.com/office/drawing/2010/main" val="0"/>
                        </a:ext>
                      </a:extLst>
                    </a:blip>
                    <a:stretch>
                      <a:fillRect/>
                    </a:stretch>
                  </pic:blipFill>
                  <pic:spPr>
                    <a:xfrm>
                      <a:off x="0" y="0"/>
                      <a:ext cx="4177478" cy="3468019"/>
                    </a:xfrm>
                    <a:prstGeom prst="rect">
                      <a:avLst/>
                    </a:prstGeom>
                  </pic:spPr>
                </pic:pic>
              </a:graphicData>
            </a:graphic>
          </wp:inline>
        </w:drawing>
      </w:r>
    </w:p>
    <w:p w14:paraId="0BA5C99B" w14:textId="46E39968" w:rsidR="00091E89" w:rsidRDefault="00091E89" w:rsidP="004B6D04">
      <w:pPr>
        <w:pStyle w:val="Imagen"/>
      </w:pPr>
      <w:r>
        <w:drawing>
          <wp:inline distT="0" distB="0" distL="0" distR="0" wp14:anchorId="441DC060" wp14:editId="78B786DB">
            <wp:extent cx="4089400" cy="5082943"/>
            <wp:effectExtent l="0" t="0" r="6350" b="3810"/>
            <wp:docPr id="25" name="Imagen 25"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Tabla&#10;&#10;Descripción generada automáticamente"/>
                    <pic:cNvPicPr/>
                  </pic:nvPicPr>
                  <pic:blipFill rotWithShape="1">
                    <a:blip r:embed="rId38"/>
                    <a:srcRect b="784"/>
                    <a:stretch/>
                  </pic:blipFill>
                  <pic:spPr bwMode="auto">
                    <a:xfrm>
                      <a:off x="0" y="0"/>
                      <a:ext cx="4101658" cy="5098179"/>
                    </a:xfrm>
                    <a:prstGeom prst="rect">
                      <a:avLst/>
                    </a:prstGeom>
                    <a:ln>
                      <a:noFill/>
                    </a:ln>
                    <a:extLst>
                      <a:ext uri="{53640926-AAD7-44D8-BBD7-CCE9431645EC}">
                        <a14:shadowObscured xmlns:a14="http://schemas.microsoft.com/office/drawing/2010/main"/>
                      </a:ext>
                    </a:extLst>
                  </pic:spPr>
                </pic:pic>
              </a:graphicData>
            </a:graphic>
          </wp:inline>
        </w:drawing>
      </w:r>
      <w:r w:rsidR="004B6D04">
        <w:drawing>
          <wp:inline distT="0" distB="0" distL="0" distR="0" wp14:anchorId="0734CCDD" wp14:editId="2B156982">
            <wp:extent cx="4032000" cy="414979"/>
            <wp:effectExtent l="0" t="0" r="0" b="444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8022"/>
                    <a:stretch/>
                  </pic:blipFill>
                  <pic:spPr bwMode="auto">
                    <a:xfrm>
                      <a:off x="0" y="0"/>
                      <a:ext cx="4032000" cy="414979"/>
                    </a:xfrm>
                    <a:prstGeom prst="rect">
                      <a:avLst/>
                    </a:prstGeom>
                    <a:ln>
                      <a:noFill/>
                    </a:ln>
                    <a:extLst>
                      <a:ext uri="{53640926-AAD7-44D8-BBD7-CCE9431645EC}">
                        <a14:shadowObscured xmlns:a14="http://schemas.microsoft.com/office/drawing/2010/main"/>
                      </a:ext>
                    </a:extLst>
                  </pic:spPr>
                </pic:pic>
              </a:graphicData>
            </a:graphic>
          </wp:inline>
        </w:drawing>
      </w:r>
    </w:p>
    <w:p w14:paraId="2480F6E9" w14:textId="77777777" w:rsidR="004B6D04" w:rsidRPr="004B6D04" w:rsidRDefault="004B6D04" w:rsidP="004B6D04">
      <w:pPr>
        <w:pStyle w:val="PiedeImagen"/>
      </w:pPr>
    </w:p>
    <w:p w14:paraId="5415EA2E" w14:textId="6F5C4D7B" w:rsidR="00091E89" w:rsidRDefault="00091E89" w:rsidP="004B6D04">
      <w:pPr>
        <w:pStyle w:val="Imagen"/>
      </w:pPr>
      <w:r>
        <w:lastRenderedPageBreak/>
        <w:drawing>
          <wp:inline distT="0" distB="0" distL="0" distR="0" wp14:anchorId="3CA205AF" wp14:editId="034EEE26">
            <wp:extent cx="4319597" cy="4221480"/>
            <wp:effectExtent l="0" t="0" r="5080" b="7620"/>
            <wp:docPr id="26" name="Imagen 2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Tabla&#10;&#10;Descripción generada automáticamente"/>
                    <pic:cNvPicPr/>
                  </pic:nvPicPr>
                  <pic:blipFill rotWithShape="1">
                    <a:blip r:embed="rId40"/>
                    <a:srcRect b="2134"/>
                    <a:stretch/>
                  </pic:blipFill>
                  <pic:spPr bwMode="auto">
                    <a:xfrm>
                      <a:off x="0" y="0"/>
                      <a:ext cx="4320000" cy="4221873"/>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24B46F97" wp14:editId="3DEF307F">
            <wp:extent cx="4247515" cy="401954"/>
            <wp:effectExtent l="0" t="0" r="63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a:stretch/>
                  </pic:blipFill>
                  <pic:spPr bwMode="auto">
                    <a:xfrm>
                      <a:off x="0" y="0"/>
                      <a:ext cx="4248000" cy="402000"/>
                    </a:xfrm>
                    <a:prstGeom prst="rect">
                      <a:avLst/>
                    </a:prstGeom>
                    <a:ln>
                      <a:noFill/>
                    </a:ln>
                    <a:extLst>
                      <a:ext uri="{53640926-AAD7-44D8-BBD7-CCE9431645EC}">
                        <a14:shadowObscured xmlns:a14="http://schemas.microsoft.com/office/drawing/2010/main"/>
                      </a:ext>
                    </a:extLst>
                  </pic:spPr>
                </pic:pic>
              </a:graphicData>
            </a:graphic>
          </wp:inline>
        </w:drawing>
      </w:r>
    </w:p>
    <w:p w14:paraId="43154E56" w14:textId="176D5BA1" w:rsidR="004B6D04" w:rsidRDefault="004B6D04" w:rsidP="004B6D04">
      <w:pPr>
        <w:pStyle w:val="PiedeImagen"/>
      </w:pPr>
      <w:r>
        <w:drawing>
          <wp:inline distT="0" distB="0" distL="0" distR="0" wp14:anchorId="5960F9F7" wp14:editId="22DFEE42">
            <wp:extent cx="4352388" cy="4046220"/>
            <wp:effectExtent l="0" t="0" r="0" b="0"/>
            <wp:docPr id="29" name="Imagen 2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Tabla&#10;&#10;Descripción generada automáticamente"/>
                    <pic:cNvPicPr/>
                  </pic:nvPicPr>
                  <pic:blipFill>
                    <a:blip r:embed="rId42"/>
                    <a:stretch>
                      <a:fillRect/>
                    </a:stretch>
                  </pic:blipFill>
                  <pic:spPr>
                    <a:xfrm>
                      <a:off x="0" y="0"/>
                      <a:ext cx="4359004" cy="4052371"/>
                    </a:xfrm>
                    <a:prstGeom prst="rect">
                      <a:avLst/>
                    </a:prstGeom>
                  </pic:spPr>
                </pic:pic>
              </a:graphicData>
            </a:graphic>
          </wp:inline>
        </w:drawing>
      </w:r>
    </w:p>
    <w:p w14:paraId="5CED6821" w14:textId="11DB1C4B" w:rsidR="004B6D04" w:rsidRPr="000A0E17" w:rsidRDefault="000A0E17" w:rsidP="00CC4CFC">
      <w:pPr>
        <w:pStyle w:val="Ttulo5"/>
      </w:pPr>
      <w:r w:rsidRPr="000A0E17">
        <w:lastRenderedPageBreak/>
        <w:t>Anexo</w:t>
      </w:r>
      <w:r w:rsidR="005E2D7D">
        <w:t> </w:t>
      </w:r>
      <w:r w:rsidRPr="000A0E17">
        <w:t>2</w:t>
      </w:r>
      <w:r w:rsidRPr="000A0E17">
        <w:rPr>
          <w:i w:val="0"/>
          <w:iCs w:val="0"/>
          <w:u w:val="none"/>
        </w:rPr>
        <w:t>:</w:t>
      </w:r>
      <w:r>
        <w:rPr>
          <w:i w:val="0"/>
          <w:iCs w:val="0"/>
          <w:u w:val="none"/>
        </w:rPr>
        <w:t xml:space="preserve"> El ciclo contable</w:t>
      </w:r>
    </w:p>
    <w:p w14:paraId="32600A1A" w14:textId="77777777" w:rsidR="000A0E17" w:rsidRPr="000A0E17" w:rsidRDefault="000A0E17" w:rsidP="000A0E17">
      <w:pPr>
        <w:keepNext/>
        <w:spacing w:after="0"/>
      </w:pPr>
      <w:r w:rsidRPr="000A0E17">
        <w:t>El ciclo contable, establecido en la Ley de Sociedades de Capital, y que determina las distintas fases del proceso por el cual las empresas recogen los datos es el siguiente:</w:t>
      </w:r>
    </w:p>
    <w:p w14:paraId="29704394" w14:textId="2E4C4A14" w:rsidR="000A0E17" w:rsidRPr="000A0E17" w:rsidRDefault="000A0E17">
      <w:pPr>
        <w:pStyle w:val="Prrafodelista"/>
        <w:numPr>
          <w:ilvl w:val="0"/>
          <w:numId w:val="11"/>
        </w:numPr>
        <w:ind w:left="851" w:hanging="284"/>
      </w:pPr>
      <w:r w:rsidRPr="000A0E17">
        <w:rPr>
          <w:i/>
          <w:iCs/>
          <w:u w:val="single"/>
        </w:rPr>
        <w:t>Elaboración</w:t>
      </w:r>
      <w:r w:rsidRPr="000A0E17">
        <w:t>: Se elaborarán con una periodicidad de 12</w:t>
      </w:r>
      <w:r w:rsidR="005E2D7D">
        <w:t> </w:t>
      </w:r>
      <w:r w:rsidRPr="000A0E17">
        <w:t>meses, salvo en los casos de constitución, modificación de la fecha de cierre del ejercicio social o disolución de la empresa.</w:t>
      </w:r>
    </w:p>
    <w:p w14:paraId="52DD4278" w14:textId="77777777" w:rsidR="000A0E17" w:rsidRPr="000A0E17" w:rsidRDefault="000A0E17" w:rsidP="000A0E17">
      <w:pPr>
        <w:pStyle w:val="Prrafodelista"/>
        <w:ind w:left="851"/>
      </w:pPr>
      <w:r w:rsidRPr="000A0E17">
        <w:t>Éstas deberán ser formuladas por el empresario o los administradores de la empresa en el plazo máximo de 3 meses, a contar desde el cierre del ejercicio y deberán ser firmadas por el empresario, por todos los socios ilimitadamente responsables por las deudas sociales, o por todos los administradores de la sociedad.</w:t>
      </w:r>
    </w:p>
    <w:p w14:paraId="0D4BD28C" w14:textId="77777777" w:rsidR="000A0E17" w:rsidRPr="000A0E17" w:rsidRDefault="000A0E17">
      <w:pPr>
        <w:pStyle w:val="Prrafodelista"/>
        <w:numPr>
          <w:ilvl w:val="0"/>
          <w:numId w:val="11"/>
        </w:numPr>
        <w:ind w:left="851" w:hanging="284"/>
      </w:pPr>
      <w:r w:rsidRPr="000A0E17">
        <w:rPr>
          <w:i/>
          <w:iCs/>
          <w:u w:val="single"/>
        </w:rPr>
        <w:t>Aprobación</w:t>
      </w:r>
      <w:r w:rsidRPr="000A0E17">
        <w:t>: Una vez formuladas las cuentas anuales, se aprobarán por la junta general. La junta general ordinaria, previamente convocada al efecto, se reunirá necesariamente dentro de los 6 primeros meses de cada ejercicio, para, en su caso, aprobar la gestión social, las cuentas del ejercicio anterior y resolver sobre la aplicación del resultado.</w:t>
      </w:r>
    </w:p>
    <w:p w14:paraId="30D8F1AB" w14:textId="77777777" w:rsidR="000A0E17" w:rsidRPr="000A0E17" w:rsidRDefault="000A0E17" w:rsidP="000A0E17">
      <w:pPr>
        <w:pStyle w:val="Prrafodelista"/>
        <w:ind w:left="851"/>
      </w:pPr>
      <w:r w:rsidRPr="000A0E17">
        <w:t>Las cuentas consolidadas habrán de someterse a la aprobación de la junta general ordinaria de la sociedad dominante simultáneamente con las cuentas anuales de esta sociedad.</w:t>
      </w:r>
    </w:p>
    <w:p w14:paraId="2043C135" w14:textId="70EF0EFB" w:rsidR="00CC4CFC" w:rsidRPr="000A0E17" w:rsidRDefault="000A0E17">
      <w:pPr>
        <w:pStyle w:val="Prrafodelista"/>
        <w:numPr>
          <w:ilvl w:val="0"/>
          <w:numId w:val="11"/>
        </w:numPr>
        <w:ind w:left="851" w:hanging="284"/>
      </w:pPr>
      <w:r w:rsidRPr="000A0E17">
        <w:rPr>
          <w:i/>
          <w:iCs/>
          <w:u w:val="single"/>
        </w:rPr>
        <w:t>Registro</w:t>
      </w:r>
      <w:r w:rsidRPr="000A0E17">
        <w:t>: Las cuentas anuales se presentarán en el Registro Mercantil del domicilio social en el plazo de un mes desde su aprobación.</w:t>
      </w:r>
    </w:p>
    <w:p w14:paraId="2AB33B2C" w14:textId="77777777" w:rsidR="00091E89" w:rsidRPr="00091E89" w:rsidRDefault="00091E89" w:rsidP="00091E89"/>
    <w:p w14:paraId="0B0FE72F" w14:textId="77777777" w:rsidR="00091E89" w:rsidRDefault="00091E89" w:rsidP="00091E89">
      <w:pPr>
        <w:sectPr w:rsidR="00091E89" w:rsidSect="00636FB6">
          <w:headerReference w:type="first" r:id="rId43"/>
          <w:pgSz w:w="11906" w:h="16838"/>
          <w:pgMar w:top="567" w:right="1134" w:bottom="567" w:left="1134" w:header="142" w:footer="164" w:gutter="0"/>
          <w:cols w:space="708"/>
          <w:titlePg/>
          <w:docGrid w:linePitch="360"/>
        </w:sectPr>
      </w:pPr>
    </w:p>
    <w:p w14:paraId="03C189B9" w14:textId="28D9574A" w:rsidR="00342648" w:rsidRDefault="00342648" w:rsidP="00091E89">
      <w:pPr>
        <w:pStyle w:val="Ttulo5"/>
      </w:pPr>
      <w:r w:rsidRPr="0002549F">
        <w:lastRenderedPageBreak/>
        <w:t>Anexo</w:t>
      </w:r>
      <w:r w:rsidR="005E2D7D">
        <w:t> </w:t>
      </w:r>
      <w:r w:rsidR="00CC4CFC">
        <w:t>3</w:t>
      </w:r>
      <w:r w:rsidR="00D564BC" w:rsidRPr="00091E89">
        <w:rPr>
          <w:i w:val="0"/>
          <w:iCs w:val="0"/>
          <w:u w:val="none"/>
        </w:rPr>
        <w:t xml:space="preserve">: </w:t>
      </w:r>
      <w:r w:rsidR="009B7B4A" w:rsidRPr="00091E89">
        <w:rPr>
          <w:i w:val="0"/>
          <w:iCs w:val="0"/>
          <w:u w:val="none"/>
        </w:rPr>
        <w:t>Empresas según su forma jurídica</w:t>
      </w:r>
    </w:p>
    <w:p w14:paraId="3CD4404B" w14:textId="7965EEC4" w:rsidR="00F90D39" w:rsidRPr="00502A72" w:rsidRDefault="009B7B4A" w:rsidP="00F90D39">
      <w:pPr>
        <w:jc w:val="center"/>
      </w:pPr>
      <w:r>
        <w:rPr>
          <w:noProof/>
        </w:rPr>
        <w:drawing>
          <wp:inline distT="0" distB="0" distL="0" distR="0" wp14:anchorId="52DCB053" wp14:editId="54729F0E">
            <wp:extent cx="8686800" cy="6151551"/>
            <wp:effectExtent l="0" t="0" r="0" b="1905"/>
            <wp:docPr id="12" name="Imagen 1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Tabla&#10;&#10;Descripción generada automáticamente"/>
                    <pic:cNvPicPr/>
                  </pic:nvPicPr>
                  <pic:blipFill>
                    <a:blip r:embed="rId44">
                      <a:extLst>
                        <a:ext uri="{28A0092B-C50C-407E-A947-70E740481C1C}">
                          <a14:useLocalDpi xmlns:a14="http://schemas.microsoft.com/office/drawing/2010/main" val="0"/>
                        </a:ext>
                      </a:extLst>
                    </a:blip>
                    <a:stretch>
                      <a:fillRect/>
                    </a:stretch>
                  </pic:blipFill>
                  <pic:spPr>
                    <a:xfrm>
                      <a:off x="0" y="0"/>
                      <a:ext cx="8693391" cy="6156218"/>
                    </a:xfrm>
                    <a:prstGeom prst="rect">
                      <a:avLst/>
                    </a:prstGeom>
                  </pic:spPr>
                </pic:pic>
              </a:graphicData>
            </a:graphic>
          </wp:inline>
        </w:drawing>
      </w:r>
    </w:p>
    <w:sectPr w:rsidR="00F90D39" w:rsidRPr="00502A72" w:rsidSect="009B7B4A">
      <w:headerReference w:type="even" r:id="rId45"/>
      <w:footerReference w:type="even" r:id="rId46"/>
      <w:headerReference w:type="first" r:id="rId47"/>
      <w:footerReference w:type="first" r:id="rId48"/>
      <w:pgSz w:w="16838" w:h="11906" w:orient="landscape"/>
      <w:pgMar w:top="426" w:right="709" w:bottom="0" w:left="993" w:header="142" w:footer="1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4779DE" w14:textId="77777777" w:rsidR="001A7BC6" w:rsidRDefault="001A7BC6" w:rsidP="00B77C0F">
      <w:r>
        <w:separator/>
      </w:r>
    </w:p>
  </w:endnote>
  <w:endnote w:type="continuationSeparator" w:id="0">
    <w:p w14:paraId="5BD09639" w14:textId="77777777" w:rsidR="001A7BC6" w:rsidRDefault="001A7BC6"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10A5D" w:rsidRPr="00636FB6" w14:paraId="7ADCED10" w14:textId="77777777" w:rsidTr="00405D38">
      <w:trPr>
        <w:trHeight w:val="138"/>
        <w:jc w:val="center"/>
      </w:trPr>
      <w:tc>
        <w:tcPr>
          <w:tcW w:w="1134" w:type="dxa"/>
        </w:tcPr>
        <w:p w14:paraId="2EA7B5BC" w14:textId="77777777" w:rsidR="00910A5D" w:rsidRPr="00636FB6" w:rsidRDefault="00910A5D" w:rsidP="00F90D39">
          <w:pPr>
            <w:pStyle w:val="Encabezado"/>
            <w:tabs>
              <w:tab w:val="clear" w:pos="4252"/>
              <w:tab w:val="clear" w:pos="8504"/>
              <w:tab w:val="right" w:pos="924"/>
              <w:tab w:val="center" w:pos="1310"/>
            </w:tabs>
            <w:spacing w:after="0"/>
            <w:contextualSpacing/>
            <w:jc w:val="left"/>
            <w:rPr>
              <w:i/>
              <w:iCs/>
              <w:color w:val="5F2987"/>
              <w:sz w:val="18"/>
              <w:szCs w:val="18"/>
            </w:rPr>
          </w:pPr>
          <w:r w:rsidRPr="00636FB6">
            <w:rPr>
              <w:b/>
              <w:bCs/>
              <w:i/>
              <w:iCs/>
              <w:color w:val="5F2987"/>
              <w:spacing w:val="-6"/>
              <w:sz w:val="18"/>
              <w:szCs w:val="18"/>
            </w:rPr>
            <w:fldChar w:fldCharType="begin"/>
          </w:r>
          <w:r w:rsidRPr="00636FB6">
            <w:rPr>
              <w:b/>
              <w:bCs/>
              <w:i/>
              <w:iCs/>
              <w:color w:val="5F2987"/>
              <w:spacing w:val="-6"/>
              <w:sz w:val="18"/>
              <w:szCs w:val="18"/>
            </w:rPr>
            <w:instrText>PAGE  \* Arabic  \* MERGEFORMAT</w:instrText>
          </w:r>
          <w:r w:rsidRPr="00636FB6">
            <w:rPr>
              <w:b/>
              <w:bCs/>
              <w:i/>
              <w:iCs/>
              <w:color w:val="5F2987"/>
              <w:spacing w:val="-6"/>
              <w:sz w:val="18"/>
              <w:szCs w:val="18"/>
            </w:rPr>
            <w:fldChar w:fldCharType="separate"/>
          </w:r>
          <w:r w:rsidRPr="00636FB6">
            <w:rPr>
              <w:b/>
              <w:bCs/>
              <w:i/>
              <w:iCs/>
              <w:color w:val="5F2987"/>
              <w:spacing w:val="-6"/>
              <w:sz w:val="18"/>
              <w:szCs w:val="18"/>
            </w:rPr>
            <w:t>2</w:t>
          </w:r>
          <w:r w:rsidRPr="00636FB6">
            <w:rPr>
              <w:b/>
              <w:bCs/>
              <w:i/>
              <w:iCs/>
              <w:color w:val="5F2987"/>
              <w:spacing w:val="-6"/>
              <w:sz w:val="18"/>
              <w:szCs w:val="18"/>
            </w:rPr>
            <w:fldChar w:fldCharType="end"/>
          </w:r>
          <w:r w:rsidRPr="00636FB6">
            <w:rPr>
              <w:b/>
              <w:bCs/>
              <w:i/>
              <w:iCs/>
              <w:color w:val="5F2987"/>
              <w:spacing w:val="-6"/>
              <w:sz w:val="18"/>
              <w:szCs w:val="18"/>
            </w:rPr>
            <w:t>/</w:t>
          </w:r>
          <w:r w:rsidRPr="00636FB6">
            <w:rPr>
              <w:b/>
              <w:bCs/>
              <w:i/>
              <w:iCs/>
              <w:color w:val="5F2987"/>
              <w:spacing w:val="-6"/>
              <w:sz w:val="18"/>
              <w:szCs w:val="18"/>
            </w:rPr>
            <w:fldChar w:fldCharType="begin"/>
          </w:r>
          <w:r w:rsidRPr="00636FB6">
            <w:rPr>
              <w:b/>
              <w:bCs/>
              <w:i/>
              <w:iCs/>
              <w:color w:val="5F2987"/>
              <w:spacing w:val="-6"/>
              <w:sz w:val="18"/>
              <w:szCs w:val="18"/>
            </w:rPr>
            <w:instrText>NUMPAGES  \* Arabic  \* MERGEFORMAT</w:instrText>
          </w:r>
          <w:r w:rsidRPr="00636FB6">
            <w:rPr>
              <w:b/>
              <w:bCs/>
              <w:i/>
              <w:iCs/>
              <w:color w:val="5F2987"/>
              <w:spacing w:val="-6"/>
              <w:sz w:val="18"/>
              <w:szCs w:val="18"/>
            </w:rPr>
            <w:fldChar w:fldCharType="separate"/>
          </w:r>
          <w:r w:rsidRPr="00636FB6">
            <w:rPr>
              <w:b/>
              <w:bCs/>
              <w:i/>
              <w:iCs/>
              <w:color w:val="5F2987"/>
              <w:spacing w:val="-6"/>
              <w:sz w:val="18"/>
              <w:szCs w:val="18"/>
            </w:rPr>
            <w:t>9</w:t>
          </w:r>
          <w:r w:rsidRPr="00636FB6">
            <w:rPr>
              <w:b/>
              <w:bCs/>
              <w:i/>
              <w:iCs/>
              <w:color w:val="5F2987"/>
              <w:spacing w:val="-6"/>
              <w:sz w:val="18"/>
              <w:szCs w:val="18"/>
            </w:rPr>
            <w:fldChar w:fldCharType="end"/>
          </w:r>
        </w:p>
      </w:tc>
      <w:tc>
        <w:tcPr>
          <w:tcW w:w="7088" w:type="dxa"/>
          <w:vAlign w:val="center"/>
        </w:tcPr>
        <w:p w14:paraId="72F3C2A3" w14:textId="77777777" w:rsidR="00910A5D" w:rsidRPr="00636FB6" w:rsidRDefault="00910A5D" w:rsidP="00F90D39">
          <w:pPr>
            <w:pStyle w:val="Encabezado"/>
            <w:spacing w:after="0"/>
            <w:ind w:right="-110"/>
            <w:contextualSpacing/>
            <w:jc w:val="center"/>
            <w:rPr>
              <w:i/>
              <w:iCs/>
              <w:color w:val="5F2987"/>
              <w:sz w:val="18"/>
              <w:szCs w:val="18"/>
            </w:rPr>
          </w:pPr>
        </w:p>
      </w:tc>
      <w:tc>
        <w:tcPr>
          <w:tcW w:w="2551" w:type="dxa"/>
          <w:vAlign w:val="center"/>
        </w:tcPr>
        <w:p w14:paraId="0C7EE326" w14:textId="77777777" w:rsidR="00910A5D" w:rsidRPr="00636FB6" w:rsidRDefault="00910A5D" w:rsidP="00F90D39">
          <w:pPr>
            <w:pStyle w:val="Encabezado"/>
            <w:spacing w:after="0"/>
            <w:contextualSpacing/>
            <w:jc w:val="right"/>
            <w:rPr>
              <w:b/>
              <w:bCs/>
              <w:i/>
              <w:iCs/>
              <w:color w:val="5F2987"/>
              <w:spacing w:val="-6"/>
              <w:sz w:val="18"/>
              <w:szCs w:val="18"/>
            </w:rPr>
          </w:pPr>
        </w:p>
      </w:tc>
    </w:tr>
  </w:tbl>
  <w:p w14:paraId="4E4D9A85" w14:textId="77777777" w:rsidR="00B70943" w:rsidRPr="00636FB6" w:rsidRDefault="00B70943" w:rsidP="00F90D39">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779845644"/>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10A5D" w:rsidRPr="00636FB6" w14:paraId="17420853" w14:textId="77777777" w:rsidTr="00405D38">
          <w:trPr>
            <w:trHeight w:val="138"/>
            <w:jc w:val="center"/>
          </w:trPr>
          <w:tc>
            <w:tcPr>
              <w:tcW w:w="1134" w:type="dxa"/>
              <w:vAlign w:val="center"/>
            </w:tcPr>
            <w:p w14:paraId="5DC111E7" w14:textId="77777777" w:rsidR="00910A5D" w:rsidRPr="00636FB6" w:rsidRDefault="00910A5D" w:rsidP="00F90D3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2D8C640" w14:textId="77777777" w:rsidR="00910A5D" w:rsidRPr="00636FB6" w:rsidRDefault="00910A5D" w:rsidP="00F90D39">
              <w:pPr>
                <w:pStyle w:val="Encabezado"/>
                <w:spacing w:after="0"/>
                <w:ind w:right="-110"/>
                <w:contextualSpacing/>
                <w:jc w:val="center"/>
                <w:rPr>
                  <w:i/>
                  <w:iCs/>
                  <w:color w:val="5F2987"/>
                  <w:sz w:val="18"/>
                  <w:szCs w:val="18"/>
                </w:rPr>
              </w:pPr>
            </w:p>
          </w:tc>
          <w:tc>
            <w:tcPr>
              <w:tcW w:w="2551" w:type="dxa"/>
              <w:vAlign w:val="center"/>
            </w:tcPr>
            <w:p w14:paraId="613A5E57" w14:textId="77777777" w:rsidR="00910A5D" w:rsidRPr="00636FB6" w:rsidRDefault="00910A5D" w:rsidP="00F90D39">
              <w:pPr>
                <w:pStyle w:val="Encabezado"/>
                <w:spacing w:after="0"/>
                <w:contextualSpacing/>
                <w:jc w:val="right"/>
                <w:rPr>
                  <w:b/>
                  <w:bCs/>
                  <w:i/>
                  <w:iCs/>
                  <w:color w:val="5F2987"/>
                  <w:spacing w:val="-6"/>
                  <w:sz w:val="18"/>
                  <w:szCs w:val="18"/>
                </w:rPr>
              </w:pPr>
              <w:r w:rsidRPr="00636FB6">
                <w:rPr>
                  <w:b/>
                  <w:bCs/>
                  <w:i/>
                  <w:iCs/>
                  <w:color w:val="5F2987"/>
                  <w:spacing w:val="-6"/>
                  <w:sz w:val="18"/>
                  <w:szCs w:val="18"/>
                </w:rPr>
                <w:fldChar w:fldCharType="begin"/>
              </w:r>
              <w:r w:rsidRPr="00636FB6">
                <w:rPr>
                  <w:b/>
                  <w:bCs/>
                  <w:i/>
                  <w:iCs/>
                  <w:color w:val="5F2987"/>
                  <w:spacing w:val="-6"/>
                  <w:sz w:val="18"/>
                  <w:szCs w:val="18"/>
                </w:rPr>
                <w:instrText>PAGE  \* Arabic  \* MERGEFORMAT</w:instrText>
              </w:r>
              <w:r w:rsidRPr="00636FB6">
                <w:rPr>
                  <w:b/>
                  <w:bCs/>
                  <w:i/>
                  <w:iCs/>
                  <w:color w:val="5F2987"/>
                  <w:spacing w:val="-6"/>
                  <w:sz w:val="18"/>
                  <w:szCs w:val="18"/>
                </w:rPr>
                <w:fldChar w:fldCharType="separate"/>
              </w:r>
              <w:r w:rsidRPr="00636FB6">
                <w:rPr>
                  <w:b/>
                  <w:bCs/>
                  <w:i/>
                  <w:iCs/>
                  <w:color w:val="5F2987"/>
                  <w:spacing w:val="-6"/>
                  <w:sz w:val="18"/>
                  <w:szCs w:val="18"/>
                </w:rPr>
                <w:t>1</w:t>
              </w:r>
              <w:r w:rsidRPr="00636FB6">
                <w:rPr>
                  <w:b/>
                  <w:bCs/>
                  <w:i/>
                  <w:iCs/>
                  <w:color w:val="5F2987"/>
                  <w:spacing w:val="-6"/>
                  <w:sz w:val="18"/>
                  <w:szCs w:val="18"/>
                </w:rPr>
                <w:fldChar w:fldCharType="end"/>
              </w:r>
              <w:r w:rsidRPr="00636FB6">
                <w:rPr>
                  <w:b/>
                  <w:bCs/>
                  <w:i/>
                  <w:iCs/>
                  <w:color w:val="5F2987"/>
                  <w:spacing w:val="-6"/>
                  <w:sz w:val="18"/>
                  <w:szCs w:val="18"/>
                </w:rPr>
                <w:t>/</w:t>
              </w:r>
              <w:r w:rsidRPr="00636FB6">
                <w:rPr>
                  <w:b/>
                  <w:bCs/>
                  <w:i/>
                  <w:iCs/>
                  <w:color w:val="5F2987"/>
                  <w:spacing w:val="-6"/>
                  <w:sz w:val="18"/>
                  <w:szCs w:val="18"/>
                </w:rPr>
                <w:fldChar w:fldCharType="begin"/>
              </w:r>
              <w:r w:rsidRPr="00636FB6">
                <w:rPr>
                  <w:b/>
                  <w:bCs/>
                  <w:i/>
                  <w:iCs/>
                  <w:color w:val="5F2987"/>
                  <w:spacing w:val="-6"/>
                  <w:sz w:val="18"/>
                  <w:szCs w:val="18"/>
                </w:rPr>
                <w:instrText>NUMPAGES  \* Arabic  \* MERGEFORMAT</w:instrText>
              </w:r>
              <w:r w:rsidRPr="00636FB6">
                <w:rPr>
                  <w:b/>
                  <w:bCs/>
                  <w:i/>
                  <w:iCs/>
                  <w:color w:val="5F2987"/>
                  <w:spacing w:val="-6"/>
                  <w:sz w:val="18"/>
                  <w:szCs w:val="18"/>
                </w:rPr>
                <w:fldChar w:fldCharType="separate"/>
              </w:r>
              <w:r w:rsidRPr="00636FB6">
                <w:rPr>
                  <w:b/>
                  <w:bCs/>
                  <w:i/>
                  <w:iCs/>
                  <w:color w:val="5F2987"/>
                  <w:spacing w:val="-6"/>
                  <w:sz w:val="18"/>
                  <w:szCs w:val="18"/>
                </w:rPr>
                <w:t>2</w:t>
              </w:r>
              <w:r w:rsidRPr="00636FB6">
                <w:rPr>
                  <w:b/>
                  <w:bCs/>
                  <w:i/>
                  <w:iCs/>
                  <w:color w:val="5F2987"/>
                  <w:spacing w:val="-6"/>
                  <w:sz w:val="18"/>
                  <w:szCs w:val="18"/>
                </w:rPr>
                <w:fldChar w:fldCharType="end"/>
              </w:r>
            </w:p>
          </w:tc>
        </w:tr>
      </w:tbl>
      <w:p w14:paraId="00B6162A" w14:textId="4E27DBFA" w:rsidR="00C81078" w:rsidRPr="00636FB6" w:rsidRDefault="00000000" w:rsidP="00F90D39">
        <w:pPr>
          <w:spacing w:after="0" w:line="240" w:lineRule="auto"/>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10A5D" w:rsidRPr="00636FB6" w14:paraId="49153B6B" w14:textId="77777777" w:rsidTr="00405D38">
          <w:trPr>
            <w:trHeight w:val="138"/>
            <w:jc w:val="center"/>
          </w:trPr>
          <w:tc>
            <w:tcPr>
              <w:tcW w:w="1134" w:type="dxa"/>
              <w:vAlign w:val="center"/>
            </w:tcPr>
            <w:p w14:paraId="6E1CD6E7" w14:textId="77777777" w:rsidR="00910A5D" w:rsidRPr="00636FB6" w:rsidRDefault="00910A5D" w:rsidP="00F90D3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36D4963" w14:textId="77777777" w:rsidR="00910A5D" w:rsidRPr="00636FB6" w:rsidRDefault="00910A5D" w:rsidP="00F90D39">
              <w:pPr>
                <w:pStyle w:val="Encabezado"/>
                <w:spacing w:after="0"/>
                <w:ind w:right="-110"/>
                <w:contextualSpacing/>
                <w:jc w:val="center"/>
                <w:rPr>
                  <w:i/>
                  <w:iCs/>
                  <w:color w:val="5F2987"/>
                  <w:sz w:val="18"/>
                  <w:szCs w:val="18"/>
                </w:rPr>
              </w:pPr>
            </w:p>
          </w:tc>
          <w:tc>
            <w:tcPr>
              <w:tcW w:w="2551" w:type="dxa"/>
              <w:vAlign w:val="center"/>
            </w:tcPr>
            <w:p w14:paraId="72A54356" w14:textId="77777777" w:rsidR="00910A5D" w:rsidRPr="00636FB6" w:rsidRDefault="00910A5D" w:rsidP="00F90D39">
              <w:pPr>
                <w:pStyle w:val="Encabezado"/>
                <w:spacing w:after="0"/>
                <w:contextualSpacing/>
                <w:jc w:val="right"/>
                <w:rPr>
                  <w:b/>
                  <w:bCs/>
                  <w:i/>
                  <w:iCs/>
                  <w:color w:val="5F2987"/>
                  <w:spacing w:val="-6"/>
                  <w:sz w:val="18"/>
                  <w:szCs w:val="18"/>
                </w:rPr>
              </w:pPr>
              <w:r w:rsidRPr="00636FB6">
                <w:rPr>
                  <w:b/>
                  <w:bCs/>
                  <w:i/>
                  <w:iCs/>
                  <w:color w:val="5F2987"/>
                  <w:spacing w:val="-6"/>
                  <w:sz w:val="18"/>
                  <w:szCs w:val="18"/>
                </w:rPr>
                <w:fldChar w:fldCharType="begin"/>
              </w:r>
              <w:r w:rsidRPr="00636FB6">
                <w:rPr>
                  <w:b/>
                  <w:bCs/>
                  <w:i/>
                  <w:iCs/>
                  <w:color w:val="5F2987"/>
                  <w:spacing w:val="-6"/>
                  <w:sz w:val="18"/>
                  <w:szCs w:val="18"/>
                </w:rPr>
                <w:instrText>PAGE  \* Arabic  \* MERGEFORMAT</w:instrText>
              </w:r>
              <w:r w:rsidRPr="00636FB6">
                <w:rPr>
                  <w:b/>
                  <w:bCs/>
                  <w:i/>
                  <w:iCs/>
                  <w:color w:val="5F2987"/>
                  <w:spacing w:val="-6"/>
                  <w:sz w:val="18"/>
                  <w:szCs w:val="18"/>
                </w:rPr>
                <w:fldChar w:fldCharType="separate"/>
              </w:r>
              <w:r w:rsidRPr="00636FB6">
                <w:rPr>
                  <w:b/>
                  <w:bCs/>
                  <w:i/>
                  <w:iCs/>
                  <w:color w:val="5F2987"/>
                  <w:spacing w:val="-6"/>
                  <w:sz w:val="18"/>
                  <w:szCs w:val="18"/>
                </w:rPr>
                <w:t>1</w:t>
              </w:r>
              <w:r w:rsidRPr="00636FB6">
                <w:rPr>
                  <w:b/>
                  <w:bCs/>
                  <w:i/>
                  <w:iCs/>
                  <w:color w:val="5F2987"/>
                  <w:spacing w:val="-6"/>
                  <w:sz w:val="18"/>
                  <w:szCs w:val="18"/>
                </w:rPr>
                <w:fldChar w:fldCharType="end"/>
              </w:r>
              <w:r w:rsidRPr="00636FB6">
                <w:rPr>
                  <w:b/>
                  <w:bCs/>
                  <w:i/>
                  <w:iCs/>
                  <w:color w:val="5F2987"/>
                  <w:spacing w:val="-6"/>
                  <w:sz w:val="18"/>
                  <w:szCs w:val="18"/>
                </w:rPr>
                <w:t>/</w:t>
              </w:r>
              <w:r w:rsidRPr="00636FB6">
                <w:rPr>
                  <w:b/>
                  <w:bCs/>
                  <w:i/>
                  <w:iCs/>
                  <w:color w:val="5F2987"/>
                  <w:spacing w:val="-6"/>
                  <w:sz w:val="18"/>
                  <w:szCs w:val="18"/>
                </w:rPr>
                <w:fldChar w:fldCharType="begin"/>
              </w:r>
              <w:r w:rsidRPr="00636FB6">
                <w:rPr>
                  <w:b/>
                  <w:bCs/>
                  <w:i/>
                  <w:iCs/>
                  <w:color w:val="5F2987"/>
                  <w:spacing w:val="-6"/>
                  <w:sz w:val="18"/>
                  <w:szCs w:val="18"/>
                </w:rPr>
                <w:instrText>NUMPAGES  \* Arabic  \* MERGEFORMAT</w:instrText>
              </w:r>
              <w:r w:rsidRPr="00636FB6">
                <w:rPr>
                  <w:b/>
                  <w:bCs/>
                  <w:i/>
                  <w:iCs/>
                  <w:color w:val="5F2987"/>
                  <w:spacing w:val="-6"/>
                  <w:sz w:val="18"/>
                  <w:szCs w:val="18"/>
                </w:rPr>
                <w:fldChar w:fldCharType="separate"/>
              </w:r>
              <w:r w:rsidRPr="00636FB6">
                <w:rPr>
                  <w:b/>
                  <w:bCs/>
                  <w:i/>
                  <w:iCs/>
                  <w:color w:val="5F2987"/>
                  <w:spacing w:val="-6"/>
                  <w:sz w:val="18"/>
                  <w:szCs w:val="18"/>
                </w:rPr>
                <w:t>2</w:t>
              </w:r>
              <w:r w:rsidRPr="00636FB6">
                <w:rPr>
                  <w:b/>
                  <w:bCs/>
                  <w:i/>
                  <w:iCs/>
                  <w:color w:val="5F2987"/>
                  <w:spacing w:val="-6"/>
                  <w:sz w:val="18"/>
                  <w:szCs w:val="18"/>
                </w:rPr>
                <w:fldChar w:fldCharType="end"/>
              </w:r>
            </w:p>
          </w:tc>
        </w:tr>
      </w:tbl>
      <w:p w14:paraId="2A266083" w14:textId="00B260BB" w:rsidR="002756C0" w:rsidRPr="00910A5D" w:rsidRDefault="00000000" w:rsidP="00F90D39">
        <w:pPr>
          <w:spacing w:after="0" w:line="240" w:lineRule="auto"/>
          <w:ind w:right="-449"/>
          <w:jc w:val="left"/>
          <w:rPr>
            <w:color w:val="5F2987"/>
            <w:sz w:val="2"/>
            <w:szCs w:val="2"/>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6018"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333"/>
      <w:gridCol w:w="2551"/>
    </w:tblGrid>
    <w:tr w:rsidR="00F90D39" w:rsidRPr="00636FB6" w14:paraId="25DCB868" w14:textId="77777777" w:rsidTr="00F90D39">
      <w:trPr>
        <w:trHeight w:val="138"/>
        <w:jc w:val="center"/>
      </w:trPr>
      <w:tc>
        <w:tcPr>
          <w:tcW w:w="1134" w:type="dxa"/>
        </w:tcPr>
        <w:p w14:paraId="589B9C1C" w14:textId="77777777" w:rsidR="00F90D39" w:rsidRPr="00636FB6" w:rsidRDefault="00F90D39" w:rsidP="00F90D39">
          <w:pPr>
            <w:pStyle w:val="Encabezado"/>
            <w:tabs>
              <w:tab w:val="clear" w:pos="4252"/>
              <w:tab w:val="clear" w:pos="8504"/>
              <w:tab w:val="right" w:pos="924"/>
              <w:tab w:val="center" w:pos="1310"/>
            </w:tabs>
            <w:spacing w:after="0"/>
            <w:contextualSpacing/>
            <w:jc w:val="left"/>
            <w:rPr>
              <w:i/>
              <w:iCs/>
              <w:color w:val="5F2987"/>
              <w:sz w:val="18"/>
              <w:szCs w:val="18"/>
            </w:rPr>
          </w:pPr>
          <w:r w:rsidRPr="00636FB6">
            <w:rPr>
              <w:b/>
              <w:bCs/>
              <w:i/>
              <w:iCs/>
              <w:color w:val="5F2987"/>
              <w:spacing w:val="-6"/>
              <w:sz w:val="18"/>
              <w:szCs w:val="18"/>
            </w:rPr>
            <w:fldChar w:fldCharType="begin"/>
          </w:r>
          <w:r w:rsidRPr="00636FB6">
            <w:rPr>
              <w:b/>
              <w:bCs/>
              <w:i/>
              <w:iCs/>
              <w:color w:val="5F2987"/>
              <w:spacing w:val="-6"/>
              <w:sz w:val="18"/>
              <w:szCs w:val="18"/>
            </w:rPr>
            <w:instrText>PAGE  \* Arabic  \* MERGEFORMAT</w:instrText>
          </w:r>
          <w:r w:rsidRPr="00636FB6">
            <w:rPr>
              <w:b/>
              <w:bCs/>
              <w:i/>
              <w:iCs/>
              <w:color w:val="5F2987"/>
              <w:spacing w:val="-6"/>
              <w:sz w:val="18"/>
              <w:szCs w:val="18"/>
            </w:rPr>
            <w:fldChar w:fldCharType="separate"/>
          </w:r>
          <w:r w:rsidRPr="00636FB6">
            <w:rPr>
              <w:b/>
              <w:bCs/>
              <w:i/>
              <w:iCs/>
              <w:color w:val="5F2987"/>
              <w:spacing w:val="-6"/>
              <w:sz w:val="18"/>
              <w:szCs w:val="18"/>
            </w:rPr>
            <w:t>2</w:t>
          </w:r>
          <w:r w:rsidRPr="00636FB6">
            <w:rPr>
              <w:b/>
              <w:bCs/>
              <w:i/>
              <w:iCs/>
              <w:color w:val="5F2987"/>
              <w:spacing w:val="-6"/>
              <w:sz w:val="18"/>
              <w:szCs w:val="18"/>
            </w:rPr>
            <w:fldChar w:fldCharType="end"/>
          </w:r>
          <w:r w:rsidRPr="00636FB6">
            <w:rPr>
              <w:b/>
              <w:bCs/>
              <w:i/>
              <w:iCs/>
              <w:color w:val="5F2987"/>
              <w:spacing w:val="-6"/>
              <w:sz w:val="18"/>
              <w:szCs w:val="18"/>
            </w:rPr>
            <w:t>/</w:t>
          </w:r>
          <w:r w:rsidRPr="00636FB6">
            <w:rPr>
              <w:b/>
              <w:bCs/>
              <w:i/>
              <w:iCs/>
              <w:color w:val="5F2987"/>
              <w:spacing w:val="-6"/>
              <w:sz w:val="18"/>
              <w:szCs w:val="18"/>
            </w:rPr>
            <w:fldChar w:fldCharType="begin"/>
          </w:r>
          <w:r w:rsidRPr="00636FB6">
            <w:rPr>
              <w:b/>
              <w:bCs/>
              <w:i/>
              <w:iCs/>
              <w:color w:val="5F2987"/>
              <w:spacing w:val="-6"/>
              <w:sz w:val="18"/>
              <w:szCs w:val="18"/>
            </w:rPr>
            <w:instrText>NUMPAGES  \* Arabic  \* MERGEFORMAT</w:instrText>
          </w:r>
          <w:r w:rsidRPr="00636FB6">
            <w:rPr>
              <w:b/>
              <w:bCs/>
              <w:i/>
              <w:iCs/>
              <w:color w:val="5F2987"/>
              <w:spacing w:val="-6"/>
              <w:sz w:val="18"/>
              <w:szCs w:val="18"/>
            </w:rPr>
            <w:fldChar w:fldCharType="separate"/>
          </w:r>
          <w:r w:rsidRPr="00636FB6">
            <w:rPr>
              <w:b/>
              <w:bCs/>
              <w:i/>
              <w:iCs/>
              <w:color w:val="5F2987"/>
              <w:spacing w:val="-6"/>
              <w:sz w:val="18"/>
              <w:szCs w:val="18"/>
            </w:rPr>
            <w:t>9</w:t>
          </w:r>
          <w:r w:rsidRPr="00636FB6">
            <w:rPr>
              <w:b/>
              <w:bCs/>
              <w:i/>
              <w:iCs/>
              <w:color w:val="5F2987"/>
              <w:spacing w:val="-6"/>
              <w:sz w:val="18"/>
              <w:szCs w:val="18"/>
            </w:rPr>
            <w:fldChar w:fldCharType="end"/>
          </w:r>
        </w:p>
      </w:tc>
      <w:tc>
        <w:tcPr>
          <w:tcW w:w="12333" w:type="dxa"/>
          <w:vAlign w:val="center"/>
        </w:tcPr>
        <w:p w14:paraId="64C0BAA2" w14:textId="77777777" w:rsidR="00F90D39" w:rsidRPr="00636FB6" w:rsidRDefault="00F90D39" w:rsidP="00F90D39">
          <w:pPr>
            <w:pStyle w:val="Encabezado"/>
            <w:spacing w:after="0"/>
            <w:ind w:right="-110"/>
            <w:contextualSpacing/>
            <w:jc w:val="center"/>
            <w:rPr>
              <w:i/>
              <w:iCs/>
              <w:color w:val="5F2987"/>
              <w:sz w:val="18"/>
              <w:szCs w:val="18"/>
            </w:rPr>
          </w:pPr>
        </w:p>
      </w:tc>
      <w:tc>
        <w:tcPr>
          <w:tcW w:w="2551" w:type="dxa"/>
          <w:vAlign w:val="center"/>
        </w:tcPr>
        <w:p w14:paraId="50C4B83C" w14:textId="77777777" w:rsidR="00F90D39" w:rsidRPr="00636FB6" w:rsidRDefault="00F90D39" w:rsidP="00F90D39">
          <w:pPr>
            <w:pStyle w:val="Encabezado"/>
            <w:spacing w:after="0"/>
            <w:contextualSpacing/>
            <w:jc w:val="right"/>
            <w:rPr>
              <w:b/>
              <w:bCs/>
              <w:i/>
              <w:iCs/>
              <w:color w:val="5F2987"/>
              <w:spacing w:val="-6"/>
              <w:sz w:val="18"/>
              <w:szCs w:val="18"/>
            </w:rPr>
          </w:pPr>
        </w:p>
      </w:tc>
    </w:tr>
  </w:tbl>
  <w:p w14:paraId="1F9B22C2" w14:textId="77777777" w:rsidR="00F90D39" w:rsidRPr="00636FB6" w:rsidRDefault="00F90D39" w:rsidP="00F90D39">
    <w:pPr>
      <w:spacing w:after="0" w:line="240" w:lineRule="auto"/>
      <w:ind w:right="-449"/>
      <w:rPr>
        <w:color w:val="5F2987"/>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524282997"/>
      <w:docPartObj>
        <w:docPartGallery w:val="Page Numbers (Bottom of Page)"/>
        <w:docPartUnique/>
      </w:docPartObj>
    </w:sdtPr>
    <w:sdtEndPr>
      <w:rPr>
        <w:noProof/>
        <w:sz w:val="2"/>
        <w:szCs w:val="2"/>
      </w:rPr>
    </w:sdtEndPr>
    <w:sdtContent>
      <w:tbl>
        <w:tblPr>
          <w:tblStyle w:val="Tablaconcuadrcula"/>
          <w:tblW w:w="16018"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333"/>
          <w:gridCol w:w="2551"/>
        </w:tblGrid>
        <w:tr w:rsidR="000A0E17" w:rsidRPr="00636FB6" w14:paraId="7B00E9A6" w14:textId="77777777" w:rsidTr="00636FB6">
          <w:trPr>
            <w:trHeight w:val="138"/>
            <w:jc w:val="center"/>
          </w:trPr>
          <w:tc>
            <w:tcPr>
              <w:tcW w:w="1134" w:type="dxa"/>
              <w:vAlign w:val="center"/>
            </w:tcPr>
            <w:p w14:paraId="0737666E" w14:textId="77777777" w:rsidR="000A0E17" w:rsidRPr="00636FB6" w:rsidRDefault="000A0E17" w:rsidP="00F90D39">
              <w:pPr>
                <w:pStyle w:val="Encabezado"/>
                <w:tabs>
                  <w:tab w:val="clear" w:pos="4252"/>
                  <w:tab w:val="clear" w:pos="8504"/>
                  <w:tab w:val="right" w:pos="924"/>
                  <w:tab w:val="center" w:pos="1310"/>
                </w:tabs>
                <w:spacing w:after="0"/>
                <w:contextualSpacing/>
                <w:rPr>
                  <w:i/>
                  <w:iCs/>
                  <w:color w:val="5F2987"/>
                  <w:sz w:val="18"/>
                  <w:szCs w:val="18"/>
                </w:rPr>
              </w:pPr>
            </w:p>
          </w:tc>
          <w:tc>
            <w:tcPr>
              <w:tcW w:w="12333" w:type="dxa"/>
              <w:vAlign w:val="center"/>
            </w:tcPr>
            <w:p w14:paraId="73614321" w14:textId="77777777" w:rsidR="000A0E17" w:rsidRPr="00636FB6" w:rsidRDefault="000A0E17" w:rsidP="00F90D39">
              <w:pPr>
                <w:pStyle w:val="Encabezado"/>
                <w:spacing w:after="0"/>
                <w:ind w:right="-110"/>
                <w:contextualSpacing/>
                <w:jc w:val="center"/>
                <w:rPr>
                  <w:i/>
                  <w:iCs/>
                  <w:color w:val="5F2987"/>
                  <w:sz w:val="18"/>
                  <w:szCs w:val="18"/>
                </w:rPr>
              </w:pPr>
            </w:p>
          </w:tc>
          <w:tc>
            <w:tcPr>
              <w:tcW w:w="2551" w:type="dxa"/>
              <w:vAlign w:val="center"/>
            </w:tcPr>
            <w:p w14:paraId="75593987" w14:textId="77777777" w:rsidR="000A0E17" w:rsidRPr="00636FB6" w:rsidRDefault="000A0E17" w:rsidP="00F90D39">
              <w:pPr>
                <w:pStyle w:val="Encabezado"/>
                <w:spacing w:after="0"/>
                <w:contextualSpacing/>
                <w:jc w:val="right"/>
                <w:rPr>
                  <w:b/>
                  <w:bCs/>
                  <w:i/>
                  <w:iCs/>
                  <w:color w:val="5F2987"/>
                  <w:spacing w:val="-6"/>
                  <w:sz w:val="18"/>
                  <w:szCs w:val="18"/>
                </w:rPr>
              </w:pPr>
              <w:r w:rsidRPr="00636FB6">
                <w:rPr>
                  <w:b/>
                  <w:bCs/>
                  <w:i/>
                  <w:iCs/>
                  <w:color w:val="5F2987"/>
                  <w:spacing w:val="-6"/>
                  <w:sz w:val="18"/>
                  <w:szCs w:val="18"/>
                </w:rPr>
                <w:fldChar w:fldCharType="begin"/>
              </w:r>
              <w:r w:rsidRPr="00636FB6">
                <w:rPr>
                  <w:b/>
                  <w:bCs/>
                  <w:i/>
                  <w:iCs/>
                  <w:color w:val="5F2987"/>
                  <w:spacing w:val="-6"/>
                  <w:sz w:val="18"/>
                  <w:szCs w:val="18"/>
                </w:rPr>
                <w:instrText>PAGE  \* Arabic  \* MERGEFORMAT</w:instrText>
              </w:r>
              <w:r w:rsidRPr="00636FB6">
                <w:rPr>
                  <w:b/>
                  <w:bCs/>
                  <w:i/>
                  <w:iCs/>
                  <w:color w:val="5F2987"/>
                  <w:spacing w:val="-6"/>
                  <w:sz w:val="18"/>
                  <w:szCs w:val="18"/>
                </w:rPr>
                <w:fldChar w:fldCharType="separate"/>
              </w:r>
              <w:r w:rsidRPr="00636FB6">
                <w:rPr>
                  <w:b/>
                  <w:bCs/>
                  <w:i/>
                  <w:iCs/>
                  <w:color w:val="5F2987"/>
                  <w:spacing w:val="-6"/>
                  <w:sz w:val="18"/>
                  <w:szCs w:val="18"/>
                </w:rPr>
                <w:t>1</w:t>
              </w:r>
              <w:r w:rsidRPr="00636FB6">
                <w:rPr>
                  <w:b/>
                  <w:bCs/>
                  <w:i/>
                  <w:iCs/>
                  <w:color w:val="5F2987"/>
                  <w:spacing w:val="-6"/>
                  <w:sz w:val="18"/>
                  <w:szCs w:val="18"/>
                </w:rPr>
                <w:fldChar w:fldCharType="end"/>
              </w:r>
              <w:r w:rsidRPr="00636FB6">
                <w:rPr>
                  <w:b/>
                  <w:bCs/>
                  <w:i/>
                  <w:iCs/>
                  <w:color w:val="5F2987"/>
                  <w:spacing w:val="-6"/>
                  <w:sz w:val="18"/>
                  <w:szCs w:val="18"/>
                </w:rPr>
                <w:t>/</w:t>
              </w:r>
              <w:r w:rsidRPr="00636FB6">
                <w:rPr>
                  <w:b/>
                  <w:bCs/>
                  <w:i/>
                  <w:iCs/>
                  <w:color w:val="5F2987"/>
                  <w:spacing w:val="-6"/>
                  <w:sz w:val="18"/>
                  <w:szCs w:val="18"/>
                </w:rPr>
                <w:fldChar w:fldCharType="begin"/>
              </w:r>
              <w:r w:rsidRPr="00636FB6">
                <w:rPr>
                  <w:b/>
                  <w:bCs/>
                  <w:i/>
                  <w:iCs/>
                  <w:color w:val="5F2987"/>
                  <w:spacing w:val="-6"/>
                  <w:sz w:val="18"/>
                  <w:szCs w:val="18"/>
                </w:rPr>
                <w:instrText>NUMPAGES  \* Arabic  \* MERGEFORMAT</w:instrText>
              </w:r>
              <w:r w:rsidRPr="00636FB6">
                <w:rPr>
                  <w:b/>
                  <w:bCs/>
                  <w:i/>
                  <w:iCs/>
                  <w:color w:val="5F2987"/>
                  <w:spacing w:val="-6"/>
                  <w:sz w:val="18"/>
                  <w:szCs w:val="18"/>
                </w:rPr>
                <w:fldChar w:fldCharType="separate"/>
              </w:r>
              <w:r w:rsidRPr="00636FB6">
                <w:rPr>
                  <w:b/>
                  <w:bCs/>
                  <w:i/>
                  <w:iCs/>
                  <w:color w:val="5F2987"/>
                  <w:spacing w:val="-6"/>
                  <w:sz w:val="18"/>
                  <w:szCs w:val="18"/>
                </w:rPr>
                <w:t>2</w:t>
              </w:r>
              <w:r w:rsidRPr="00636FB6">
                <w:rPr>
                  <w:b/>
                  <w:bCs/>
                  <w:i/>
                  <w:iCs/>
                  <w:color w:val="5F2987"/>
                  <w:spacing w:val="-6"/>
                  <w:sz w:val="18"/>
                  <w:szCs w:val="18"/>
                </w:rPr>
                <w:fldChar w:fldCharType="end"/>
              </w:r>
            </w:p>
          </w:tc>
        </w:tr>
      </w:tbl>
      <w:p w14:paraId="6D107E03" w14:textId="3EB258D5" w:rsidR="000A0E17" w:rsidRPr="00910A5D" w:rsidRDefault="00000000" w:rsidP="00F90D39">
        <w:pPr>
          <w:spacing w:after="0" w:line="240" w:lineRule="auto"/>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05B15" w14:textId="77777777" w:rsidR="001A7BC6" w:rsidRPr="00417327" w:rsidRDefault="001A7BC6" w:rsidP="00B91F0D">
      <w:pPr>
        <w:spacing w:after="0" w:line="240" w:lineRule="auto"/>
        <w:rPr>
          <w:sz w:val="16"/>
          <w:szCs w:val="16"/>
        </w:rPr>
      </w:pPr>
      <w:r w:rsidRPr="00417327">
        <w:rPr>
          <w:sz w:val="16"/>
          <w:szCs w:val="16"/>
        </w:rPr>
        <w:separator/>
      </w:r>
    </w:p>
  </w:footnote>
  <w:footnote w:type="continuationSeparator" w:id="0">
    <w:p w14:paraId="2E0BD7E3" w14:textId="77777777" w:rsidR="001A7BC6" w:rsidRPr="005C7656" w:rsidRDefault="001A7BC6" w:rsidP="005C7656">
      <w:pPr>
        <w:spacing w:after="0" w:line="240" w:lineRule="auto"/>
        <w:rPr>
          <w:sz w:val="16"/>
          <w:szCs w:val="16"/>
        </w:rPr>
      </w:pPr>
      <w:r w:rsidRPr="005C7656">
        <w:rPr>
          <w:sz w:val="16"/>
          <w:szCs w:val="16"/>
        </w:rPr>
        <w:continuationSeparator/>
      </w:r>
    </w:p>
  </w:footnote>
  <w:footnote w:type="continuationNotice" w:id="1">
    <w:p w14:paraId="3B6DD5CA" w14:textId="77777777" w:rsidR="001A7BC6" w:rsidRPr="005C7656" w:rsidRDefault="001A7BC6" w:rsidP="005C7656">
      <w:pPr>
        <w:spacing w:line="192" w:lineRule="auto"/>
        <w:jc w:val="right"/>
        <w:rPr>
          <w:sz w:val="16"/>
          <w:szCs w:val="16"/>
        </w:rPr>
      </w:pPr>
      <w:r w:rsidRPr="005C7656">
        <w:rPr>
          <w:rFonts w:ascii="Cambria Math" w:hAnsi="Cambria Math" w:cs="Cambria Math"/>
          <w:color w:val="202122"/>
          <w:sz w:val="16"/>
          <w:szCs w:val="16"/>
          <w:shd w:val="clear" w:color="auto" w:fill="FFFFFF"/>
        </w:rPr>
        <w:t>↪</w:t>
      </w:r>
    </w:p>
  </w:footnote>
  <w:footnote w:id="2">
    <w:p w14:paraId="6036BE55" w14:textId="77777777" w:rsidR="0029551C" w:rsidRPr="009F10F0" w:rsidRDefault="0029551C" w:rsidP="0029551C">
      <w:pPr>
        <w:pStyle w:val="Textonotapie"/>
        <w:keepNext/>
        <w:spacing w:after="0"/>
        <w:rPr>
          <w:szCs w:val="16"/>
        </w:rPr>
      </w:pPr>
      <w:r>
        <w:rPr>
          <w:rStyle w:val="Refdenotaalpie"/>
        </w:rPr>
        <w:footnoteRef/>
      </w:r>
      <w:r>
        <w:t xml:space="preserve"> </w:t>
      </w:r>
      <w:r w:rsidRPr="009F10F0">
        <w:rPr>
          <w:szCs w:val="16"/>
        </w:rPr>
        <w:t>Para ello es necesario cumplir con:</w:t>
      </w:r>
    </w:p>
    <w:p w14:paraId="2F30B3B9" w14:textId="77777777" w:rsidR="0029551C" w:rsidRPr="009F10F0" w:rsidRDefault="0029551C">
      <w:pPr>
        <w:pStyle w:val="Textonotapie"/>
        <w:numPr>
          <w:ilvl w:val="0"/>
          <w:numId w:val="18"/>
        </w:numPr>
        <w:spacing w:after="0"/>
        <w:ind w:left="397" w:hanging="113"/>
        <w:rPr>
          <w:rStyle w:val="Hipervnculo"/>
          <w:color w:val="auto"/>
          <w:szCs w:val="16"/>
          <w:u w:val="none"/>
        </w:rPr>
      </w:pPr>
      <w:r w:rsidRPr="009F10F0">
        <w:rPr>
          <w:rStyle w:val="Hipervnculo"/>
          <w:i/>
          <w:iCs/>
          <w:color w:val="auto"/>
          <w:szCs w:val="16"/>
          <w:u w:val="none"/>
        </w:rPr>
        <w:t>Objetivo de rentabilidad</w:t>
      </w:r>
      <w:r w:rsidRPr="009F10F0">
        <w:rPr>
          <w:rStyle w:val="Hipervnculo"/>
          <w:color w:val="auto"/>
          <w:szCs w:val="16"/>
          <w:u w:val="none"/>
        </w:rPr>
        <w:t>: Crear valor a partir de decisiones de expansión de la empresa.</w:t>
      </w:r>
    </w:p>
    <w:p w14:paraId="7A6B88CF" w14:textId="77777777" w:rsidR="0029551C" w:rsidRPr="009F10F0" w:rsidRDefault="0029551C">
      <w:pPr>
        <w:pStyle w:val="Textonotapie"/>
        <w:numPr>
          <w:ilvl w:val="0"/>
          <w:numId w:val="18"/>
        </w:numPr>
        <w:spacing w:after="0"/>
        <w:ind w:left="397" w:hanging="113"/>
        <w:rPr>
          <w:rStyle w:val="Hipervnculo"/>
          <w:color w:val="auto"/>
          <w:szCs w:val="16"/>
          <w:u w:val="none"/>
        </w:rPr>
      </w:pPr>
      <w:r w:rsidRPr="009F10F0">
        <w:rPr>
          <w:rStyle w:val="Hipervnculo"/>
          <w:i/>
          <w:iCs/>
          <w:color w:val="auto"/>
          <w:szCs w:val="16"/>
          <w:u w:val="none"/>
        </w:rPr>
        <w:t>Objetivo de solvencia</w:t>
      </w:r>
      <w:r w:rsidRPr="009F10F0">
        <w:rPr>
          <w:rStyle w:val="Hipervnculo"/>
          <w:color w:val="auto"/>
          <w:szCs w:val="16"/>
          <w:u w:val="none"/>
        </w:rPr>
        <w:t>: Poder hacer frente a sus obligaciones.</w:t>
      </w:r>
    </w:p>
    <w:p w14:paraId="0A6C6DC8" w14:textId="77777777" w:rsidR="0029551C" w:rsidRPr="009F10F0" w:rsidRDefault="0029551C">
      <w:pPr>
        <w:pStyle w:val="Textonotapie"/>
        <w:numPr>
          <w:ilvl w:val="0"/>
          <w:numId w:val="18"/>
        </w:numPr>
        <w:ind w:left="397" w:hanging="113"/>
        <w:rPr>
          <w:sz w:val="19"/>
          <w:szCs w:val="19"/>
        </w:rPr>
      </w:pPr>
      <w:r w:rsidRPr="009F10F0">
        <w:rPr>
          <w:rStyle w:val="Hipervnculo"/>
          <w:i/>
          <w:iCs/>
          <w:color w:val="auto"/>
          <w:szCs w:val="16"/>
          <w:u w:val="none"/>
        </w:rPr>
        <w:t>Objetivo de liquidez</w:t>
      </w:r>
      <w:r w:rsidRPr="009F10F0">
        <w:rPr>
          <w:rStyle w:val="Hipervnculo"/>
          <w:color w:val="auto"/>
          <w:szCs w:val="16"/>
          <w:u w:val="none"/>
        </w:rPr>
        <w:t>: Capacidad de que sus activos generen efectivo.</w:t>
      </w:r>
    </w:p>
  </w:footnote>
  <w:footnote w:id="3">
    <w:p w14:paraId="5389B86B" w14:textId="7441928C" w:rsidR="00ED76AA" w:rsidRDefault="00ED76AA" w:rsidP="00ED76AA">
      <w:pPr>
        <w:pStyle w:val="Textonotapie"/>
        <w:tabs>
          <w:tab w:val="left" w:pos="7167"/>
        </w:tabs>
      </w:pPr>
      <w:r>
        <w:rPr>
          <w:rStyle w:val="Refdenotaalpie"/>
        </w:rPr>
        <w:footnoteRef/>
      </w:r>
      <w:r>
        <w:t xml:space="preserve"> Las entidades de crédito estarían regulados por la circular 4/2017 del </w:t>
      </w:r>
      <w:proofErr w:type="spellStart"/>
      <w:r>
        <w:t>BdE</w:t>
      </w:r>
      <w:proofErr w:type="spellEnd"/>
      <w:r>
        <w:t>. Y los fondos de inversión por una circular de la CNMV.</w:t>
      </w:r>
    </w:p>
  </w:footnote>
  <w:footnote w:id="4">
    <w:p w14:paraId="574D9B8F" w14:textId="77777777" w:rsidR="0071618E" w:rsidRDefault="0071618E" w:rsidP="0071618E">
      <w:pPr>
        <w:pStyle w:val="Textonotapie"/>
        <w:keepNext/>
        <w:spacing w:after="0"/>
      </w:pPr>
      <w:r>
        <w:rPr>
          <w:rStyle w:val="Refdenotaalpie"/>
        </w:rPr>
        <w:footnoteRef/>
      </w:r>
      <w:r>
        <w:t xml:space="preserve"> Se pueden establecer dos grandes grupos de usuarios que utilizan el análisis de estados contables como herramienta para la toma de decisiones:</w:t>
      </w:r>
    </w:p>
    <w:p w14:paraId="57559AE9" w14:textId="77777777" w:rsidR="0071618E" w:rsidRDefault="0071618E">
      <w:pPr>
        <w:pStyle w:val="Textonotapie"/>
        <w:numPr>
          <w:ilvl w:val="0"/>
          <w:numId w:val="15"/>
        </w:numPr>
        <w:spacing w:after="0"/>
        <w:ind w:left="284" w:hanging="142"/>
      </w:pPr>
      <w:r w:rsidRPr="001F3902">
        <w:rPr>
          <w:i/>
          <w:iCs/>
        </w:rPr>
        <w:t>Usuarios internos</w:t>
      </w:r>
      <w:r>
        <w:t>: Aquellos que están vinculados directa y permanentemente con la empresa que elabora la información, y pertenecen a la misma, ya sea porque realizan la gestión, porque prestan sus servicios en ella o porque son accionistas de esta.</w:t>
      </w:r>
    </w:p>
    <w:p w14:paraId="0A24C4F3" w14:textId="77777777" w:rsidR="0071618E" w:rsidRDefault="0071618E">
      <w:pPr>
        <w:pStyle w:val="Textonotapie"/>
        <w:numPr>
          <w:ilvl w:val="0"/>
          <w:numId w:val="15"/>
        </w:numPr>
        <w:spacing w:after="0"/>
        <w:ind w:left="284" w:hanging="142"/>
      </w:pPr>
      <w:r w:rsidRPr="001F3902">
        <w:rPr>
          <w:i/>
          <w:iCs/>
        </w:rPr>
        <w:t>Usuarios externos</w:t>
      </w:r>
      <w:r>
        <w:t>: Usuarios que, sin pertenecer a la empresa, están vinculados directamente a la empresa de manera permanente o esporádica, o simplemente tienen una vinculación indirecta</w:t>
      </w:r>
    </w:p>
  </w:footnote>
  <w:footnote w:id="5">
    <w:p w14:paraId="09CF0BF5" w14:textId="1B28ACF0" w:rsidR="00A45561" w:rsidRDefault="00A45561">
      <w:pPr>
        <w:pStyle w:val="Textonotapie"/>
      </w:pPr>
      <w:r>
        <w:rPr>
          <w:rStyle w:val="Refdenotaalpie"/>
        </w:rPr>
        <w:footnoteRef/>
      </w:r>
      <w:r>
        <w:t xml:space="preserve"> La contabilidad no deja de ser derecho mercantil. El derecho mercantil es la rama del ordenamiento jurídico que cabe definir como el sector del derecho patrimonial privado que regula el estatuto de los empresarios mercantiles, los mercados en que se negocian bienes y servicios fruto de las actividades empresariales.</w:t>
      </w:r>
    </w:p>
  </w:footnote>
  <w:footnote w:id="6">
    <w:p w14:paraId="45E08443" w14:textId="67CCDCA9" w:rsidR="00A45561" w:rsidRDefault="00A45561">
      <w:pPr>
        <w:pStyle w:val="Textonotapie"/>
      </w:pPr>
      <w:r>
        <w:rPr>
          <w:rStyle w:val="Refdenotaalpie"/>
        </w:rPr>
        <w:footnoteRef/>
      </w:r>
      <w:r>
        <w:t xml:space="preserve"> No toda la contabilidad se justifica de esta manera. La </w:t>
      </w:r>
      <w:r w:rsidRPr="00A45561">
        <w:rPr>
          <w:i/>
          <w:iCs/>
        </w:rPr>
        <w:t>contabilidad de gestión</w:t>
      </w:r>
      <w:r>
        <w:t xml:space="preserve"> es contabilidad interna –para el manager– no tiene sentido fiscalizar la contabilidad interna en un estado “liberal”.</w:t>
      </w:r>
    </w:p>
  </w:footnote>
  <w:footnote w:id="7">
    <w:p w14:paraId="5994325B" w14:textId="190F6EE5" w:rsidR="00124302" w:rsidRPr="00124302" w:rsidRDefault="00124302">
      <w:pPr>
        <w:pStyle w:val="Textonotapie"/>
        <w:rPr>
          <w:spacing w:val="-2"/>
        </w:rPr>
      </w:pPr>
      <w:r w:rsidRPr="00124302">
        <w:rPr>
          <w:rStyle w:val="Refdenotaalpie"/>
          <w:spacing w:val="-2"/>
        </w:rPr>
        <w:footnoteRef/>
      </w:r>
      <w:r w:rsidRPr="00124302">
        <w:rPr>
          <w:spacing w:val="-2"/>
        </w:rPr>
        <w:t xml:space="preserve"> La </w:t>
      </w:r>
      <w:r w:rsidRPr="00124302">
        <w:rPr>
          <w:i/>
          <w:iCs/>
          <w:spacing w:val="-2"/>
        </w:rPr>
        <w:t xml:space="preserve">International </w:t>
      </w:r>
      <w:proofErr w:type="spellStart"/>
      <w:r w:rsidRPr="00124302">
        <w:rPr>
          <w:i/>
          <w:iCs/>
          <w:spacing w:val="-2"/>
        </w:rPr>
        <w:t>Financial</w:t>
      </w:r>
      <w:proofErr w:type="spellEnd"/>
      <w:r w:rsidRPr="00124302">
        <w:rPr>
          <w:i/>
          <w:iCs/>
          <w:spacing w:val="-2"/>
        </w:rPr>
        <w:t xml:space="preserve"> </w:t>
      </w:r>
      <w:proofErr w:type="spellStart"/>
      <w:r w:rsidRPr="00124302">
        <w:rPr>
          <w:i/>
          <w:iCs/>
          <w:spacing w:val="-2"/>
        </w:rPr>
        <w:t>Reporting</w:t>
      </w:r>
      <w:proofErr w:type="spellEnd"/>
      <w:r w:rsidRPr="00124302">
        <w:rPr>
          <w:i/>
          <w:iCs/>
          <w:spacing w:val="-2"/>
        </w:rPr>
        <w:t xml:space="preserve"> </w:t>
      </w:r>
      <w:proofErr w:type="spellStart"/>
      <w:r w:rsidRPr="00124302">
        <w:rPr>
          <w:i/>
          <w:iCs/>
          <w:spacing w:val="-2"/>
        </w:rPr>
        <w:t>Standards</w:t>
      </w:r>
      <w:proofErr w:type="spellEnd"/>
      <w:r w:rsidRPr="00124302">
        <w:rPr>
          <w:spacing w:val="-2"/>
        </w:rPr>
        <w:t xml:space="preserve"> (o simplemente IFRS </w:t>
      </w:r>
      <w:proofErr w:type="spellStart"/>
      <w:r w:rsidRPr="00124302">
        <w:rPr>
          <w:spacing w:val="-2"/>
        </w:rPr>
        <w:t>Foundation</w:t>
      </w:r>
      <w:proofErr w:type="spellEnd"/>
      <w:r w:rsidRPr="00124302">
        <w:rPr>
          <w:spacing w:val="-2"/>
        </w:rPr>
        <w:t>) es una organización privada en el área de contabilidad basada en información financiera. Sus objetivos principales incluyen desarrollar y promover el uso y la aplicación de Estándares Internacionales de Información Financiera IFRS-NIIF a través de la Junta de Estándares Internacionales de Contabilidad IASB, la cual supervisa.</w:t>
      </w:r>
    </w:p>
  </w:footnote>
  <w:footnote w:id="8">
    <w:p w14:paraId="62D52985" w14:textId="1932D45E" w:rsidR="00BB47FF" w:rsidRDefault="00BB47FF">
      <w:pPr>
        <w:pStyle w:val="Textonotapie"/>
      </w:pPr>
      <w:r>
        <w:rPr>
          <w:rStyle w:val="Refdenotaalpie"/>
        </w:rPr>
        <w:footnoteRef/>
      </w:r>
      <w:r>
        <w:t xml:space="preserve"> Al igual que en el caso de otras fuentes estadísticas (contabilidad nacional</w:t>
      </w:r>
      <w:r w:rsidRPr="00BB47FF">
        <w:rPr>
          <w:color w:val="767171" w:themeColor="background2" w:themeShade="80"/>
          <w:sz w:val="14"/>
          <w:szCs w:val="18"/>
        </w:rPr>
        <w:t xml:space="preserve"> [ver tema 3.A.</w:t>
      </w:r>
      <w:r w:rsidR="00194892">
        <w:rPr>
          <w:color w:val="767171" w:themeColor="background2" w:themeShade="80"/>
          <w:sz w:val="14"/>
          <w:szCs w:val="18"/>
        </w:rPr>
        <w:t>30</w:t>
      </w:r>
      <w:r w:rsidRPr="00BB47FF">
        <w:rPr>
          <w:color w:val="767171" w:themeColor="background2" w:themeShade="80"/>
          <w:sz w:val="14"/>
          <w:szCs w:val="18"/>
        </w:rPr>
        <w:t>]</w:t>
      </w:r>
      <w:r>
        <w:t xml:space="preserve"> y contabilidad internacional</w:t>
      </w:r>
      <w:r w:rsidRPr="00BB47FF">
        <w:rPr>
          <w:color w:val="767171" w:themeColor="background2" w:themeShade="80"/>
          <w:sz w:val="14"/>
          <w:szCs w:val="18"/>
        </w:rPr>
        <w:t xml:space="preserve"> [ver tema 3.</w:t>
      </w:r>
      <w:r>
        <w:rPr>
          <w:color w:val="767171" w:themeColor="background2" w:themeShade="80"/>
          <w:sz w:val="14"/>
          <w:szCs w:val="18"/>
        </w:rPr>
        <w:t>B</w:t>
      </w:r>
      <w:r w:rsidRPr="00BB47FF">
        <w:rPr>
          <w:color w:val="767171" w:themeColor="background2" w:themeShade="80"/>
          <w:sz w:val="14"/>
          <w:szCs w:val="18"/>
        </w:rPr>
        <w:t>.</w:t>
      </w:r>
      <w:r>
        <w:rPr>
          <w:color w:val="767171" w:themeColor="background2" w:themeShade="80"/>
          <w:sz w:val="14"/>
          <w:szCs w:val="18"/>
        </w:rPr>
        <w:t>1</w:t>
      </w:r>
      <w:r w:rsidR="00194892">
        <w:rPr>
          <w:color w:val="767171" w:themeColor="background2" w:themeShade="80"/>
          <w:sz w:val="14"/>
          <w:szCs w:val="18"/>
        </w:rPr>
        <w:t>1</w:t>
      </w:r>
      <w:r w:rsidRPr="00BB47FF">
        <w:rPr>
          <w:color w:val="767171" w:themeColor="background2" w:themeShade="80"/>
          <w:sz w:val="14"/>
          <w:szCs w:val="18"/>
        </w:rPr>
        <w:t>]</w:t>
      </w:r>
      <w:r>
        <w:t>), existen una serie de normas tanto a nivel internacional como nacional que persiguen alcanzar la homogeneidad de la información financiera de las empresas.</w:t>
      </w:r>
    </w:p>
  </w:footnote>
  <w:footnote w:id="9">
    <w:p w14:paraId="2CF51577" w14:textId="5DA64B36" w:rsidR="00F34F57" w:rsidRDefault="00F34F57">
      <w:pPr>
        <w:pStyle w:val="Textonotapie"/>
      </w:pPr>
      <w:r>
        <w:rPr>
          <w:rStyle w:val="Refdenotaalpie"/>
        </w:rPr>
        <w:footnoteRef/>
      </w:r>
      <w:r>
        <w:t xml:space="preserve"> </w:t>
      </w:r>
      <w:hyperlink r:id="rId1" w:history="1">
        <w:r w:rsidRPr="00B02004">
          <w:rPr>
            <w:rStyle w:val="Hipervnculo"/>
          </w:rPr>
          <w:t>https://eur-lex.europa.eu/legal-content/ES/TXT/PDF/?uri=CELEX:32002R1606&amp;from=ES</w:t>
        </w:r>
      </w:hyperlink>
    </w:p>
  </w:footnote>
  <w:footnote w:id="10">
    <w:p w14:paraId="38F4B26D" w14:textId="1CAFC28D" w:rsidR="005B4901" w:rsidRDefault="005B4901" w:rsidP="005B4901">
      <w:pPr>
        <w:pStyle w:val="Textonotapie"/>
      </w:pPr>
      <w:r>
        <w:rPr>
          <w:rStyle w:val="Refdenotaalpie"/>
        </w:rPr>
        <w:footnoteRef/>
      </w:r>
      <w:r>
        <w:t xml:space="preserve"> En EEUU se aplican los </w:t>
      </w:r>
      <w:proofErr w:type="spellStart"/>
      <w:r w:rsidRPr="003770AA">
        <w:rPr>
          <w:i/>
          <w:iCs/>
        </w:rPr>
        <w:t>Generally</w:t>
      </w:r>
      <w:proofErr w:type="spellEnd"/>
      <w:r w:rsidRPr="003770AA">
        <w:rPr>
          <w:i/>
          <w:iCs/>
        </w:rPr>
        <w:t xml:space="preserve"> </w:t>
      </w:r>
      <w:proofErr w:type="spellStart"/>
      <w:r w:rsidRPr="003770AA">
        <w:rPr>
          <w:i/>
          <w:iCs/>
        </w:rPr>
        <w:t>Accepted</w:t>
      </w:r>
      <w:proofErr w:type="spellEnd"/>
      <w:r w:rsidRPr="003770AA">
        <w:rPr>
          <w:i/>
          <w:iCs/>
        </w:rPr>
        <w:t xml:space="preserve"> </w:t>
      </w:r>
      <w:proofErr w:type="spellStart"/>
      <w:r w:rsidRPr="003770AA">
        <w:rPr>
          <w:i/>
          <w:iCs/>
        </w:rPr>
        <w:t>Accounting</w:t>
      </w:r>
      <w:proofErr w:type="spellEnd"/>
      <w:r w:rsidRPr="003770AA">
        <w:rPr>
          <w:i/>
          <w:iCs/>
        </w:rPr>
        <w:t xml:space="preserve"> </w:t>
      </w:r>
      <w:proofErr w:type="spellStart"/>
      <w:r w:rsidRPr="003770AA">
        <w:rPr>
          <w:i/>
          <w:iCs/>
        </w:rPr>
        <w:t>Principles</w:t>
      </w:r>
      <w:proofErr w:type="spellEnd"/>
      <w:r>
        <w:t xml:space="preserve"> (GAAP), equiparable a nuestro PGC, pero con claras diferencias debido a que </w:t>
      </w:r>
      <w:r w:rsidR="00E05A5D">
        <w:t xml:space="preserve">el </w:t>
      </w:r>
      <w:r>
        <w:t>derecho anglosajón que no es tan positivista y da más peso a la jurisprudencia.</w:t>
      </w:r>
    </w:p>
    <w:p w14:paraId="1E6DC3C9" w14:textId="77777777" w:rsidR="005B4901" w:rsidRDefault="005B4901" w:rsidP="005B4901">
      <w:pPr>
        <w:pStyle w:val="Textonotapie"/>
      </w:pPr>
      <w:r>
        <w:t>En contraposición, la tradición alemana, francesa e italiana es un derecho basado en la norma.</w:t>
      </w:r>
    </w:p>
    <w:p w14:paraId="73FCB4BB" w14:textId="77777777" w:rsidR="005B4901" w:rsidRDefault="005B4901" w:rsidP="005B4901">
      <w:pPr>
        <w:pStyle w:val="Textonotapie"/>
      </w:pPr>
      <w:r>
        <w:t>Esto causa que en Europa se tienda más al valor histórico y en EEUU al valor razonable.</w:t>
      </w:r>
    </w:p>
  </w:footnote>
  <w:footnote w:id="11">
    <w:p w14:paraId="74EE3E66" w14:textId="2453D9BE" w:rsidR="0060765E" w:rsidRPr="00671E94" w:rsidRDefault="00D1647A" w:rsidP="00671E94">
      <w:pPr>
        <w:pStyle w:val="Textonotapie"/>
        <w:keepNext/>
        <w:spacing w:after="0"/>
      </w:pPr>
      <w:r>
        <w:rPr>
          <w:rStyle w:val="Refdenotaalpie"/>
        </w:rPr>
        <w:footnoteRef/>
      </w:r>
      <w:r w:rsidR="00671E94">
        <w:t xml:space="preserve"> La evolución histórica de la información financiera de las empresas se puede resumir de la siguiente manera:</w:t>
      </w:r>
    </w:p>
    <w:p w14:paraId="1E63A76B" w14:textId="678F0636" w:rsidR="00D1647A" w:rsidRDefault="00D1647A">
      <w:pPr>
        <w:pStyle w:val="Textonotapie"/>
        <w:numPr>
          <w:ilvl w:val="0"/>
          <w:numId w:val="9"/>
        </w:numPr>
        <w:spacing w:after="0"/>
        <w:ind w:left="284" w:hanging="113"/>
      </w:pPr>
      <w:r>
        <w:t xml:space="preserve">El primer Plan General de Contabilidad se aprobó en </w:t>
      </w:r>
      <w:r w:rsidRPr="0060765E">
        <w:rPr>
          <w:u w:val="single"/>
        </w:rPr>
        <w:t>1973</w:t>
      </w:r>
      <w:r>
        <w:t xml:space="preserve">, pero su aplicación era de carácter </w:t>
      </w:r>
      <w:r>
        <w:rPr>
          <w:i/>
          <w:iCs/>
        </w:rPr>
        <w:t>voluntario</w:t>
      </w:r>
      <w:r>
        <w:t>.</w:t>
      </w:r>
    </w:p>
    <w:p w14:paraId="465FF0F7" w14:textId="4BB4612D" w:rsidR="00D1647A" w:rsidRDefault="00D1647A">
      <w:pPr>
        <w:pStyle w:val="Textonotapie"/>
        <w:keepNext/>
        <w:numPr>
          <w:ilvl w:val="0"/>
          <w:numId w:val="9"/>
        </w:numPr>
        <w:spacing w:after="0"/>
        <w:ind w:left="284" w:hanging="113"/>
      </w:pPr>
      <w:r>
        <w:t>A partir de 1988 tienen lugar una serie de reformas:</w:t>
      </w:r>
    </w:p>
    <w:p w14:paraId="6200E42C" w14:textId="2D9B4FDB" w:rsidR="0060765E" w:rsidRDefault="0060765E">
      <w:pPr>
        <w:pStyle w:val="Textonotapie"/>
        <w:numPr>
          <w:ilvl w:val="0"/>
          <w:numId w:val="8"/>
        </w:numPr>
        <w:spacing w:after="0"/>
        <w:ind w:left="567" w:hanging="141"/>
      </w:pPr>
      <w:r>
        <w:t>Ley de Auditoría de Cuentas;</w:t>
      </w:r>
    </w:p>
    <w:p w14:paraId="398FACBD" w14:textId="6DFBFB67" w:rsidR="0060765E" w:rsidRDefault="0060765E">
      <w:pPr>
        <w:pStyle w:val="Textonotapie"/>
        <w:numPr>
          <w:ilvl w:val="0"/>
          <w:numId w:val="8"/>
        </w:numPr>
        <w:spacing w:after="0"/>
        <w:ind w:left="567" w:hanging="141"/>
      </w:pPr>
      <w:r>
        <w:t>Adaptación de la legislación mercantil a las directivas europeas (ley de sociedades anónimas, código de comercio, etc.);</w:t>
      </w:r>
    </w:p>
    <w:p w14:paraId="6B07705C" w14:textId="52A1A7F6" w:rsidR="0060765E" w:rsidRDefault="0060765E">
      <w:pPr>
        <w:pStyle w:val="Textonotapie"/>
        <w:numPr>
          <w:ilvl w:val="0"/>
          <w:numId w:val="8"/>
        </w:numPr>
        <w:spacing w:after="0"/>
        <w:ind w:left="567" w:hanging="141"/>
      </w:pPr>
      <w:r>
        <w:t xml:space="preserve">Plan General de Contabilidad de </w:t>
      </w:r>
      <w:r w:rsidRPr="0060765E">
        <w:rPr>
          <w:u w:val="single"/>
        </w:rPr>
        <w:t>1990</w:t>
      </w:r>
      <w:r>
        <w:t xml:space="preserve">, ahora sí </w:t>
      </w:r>
      <w:r>
        <w:rPr>
          <w:i/>
          <w:iCs/>
        </w:rPr>
        <w:t>obligatorio</w:t>
      </w:r>
      <w:r>
        <w:t>;</w:t>
      </w:r>
    </w:p>
    <w:p w14:paraId="540FCEF4" w14:textId="14357365" w:rsidR="0060765E" w:rsidRDefault="0060765E">
      <w:pPr>
        <w:pStyle w:val="Textonotapie"/>
        <w:numPr>
          <w:ilvl w:val="0"/>
          <w:numId w:val="8"/>
        </w:numPr>
        <w:spacing w:after="0"/>
        <w:ind w:left="567" w:hanging="141"/>
      </w:pPr>
      <w:r>
        <w:t>Normas para la formulación de cuentas anuales consolidadas.</w:t>
      </w:r>
    </w:p>
    <w:p w14:paraId="31CF1BAF" w14:textId="16E3ECDB" w:rsidR="000F0829" w:rsidRDefault="00D1647A">
      <w:pPr>
        <w:pStyle w:val="Textonotapie"/>
        <w:numPr>
          <w:ilvl w:val="0"/>
          <w:numId w:val="9"/>
        </w:numPr>
        <w:spacing w:after="0"/>
        <w:ind w:left="283" w:hanging="113"/>
      </w:pPr>
      <w:r>
        <w:t xml:space="preserve">No obstante, apenas concluido este proceso de reforma, comienzan a surgir una serie de acontecimientos (e.g. rápido proceso de privatización de grandes empresas públicas) que acaban dando lugar a la aprobación de un </w:t>
      </w:r>
      <w:r>
        <w:rPr>
          <w:i/>
          <w:iCs/>
        </w:rPr>
        <w:t>Plan General de Contabilidad</w:t>
      </w:r>
      <w:r>
        <w:t xml:space="preserve"> (PGC) en </w:t>
      </w:r>
      <w:r w:rsidRPr="0060765E">
        <w:rPr>
          <w:u w:val="single"/>
        </w:rPr>
        <w:t>2007</w:t>
      </w:r>
      <w:r>
        <w:t>, que entraría en vigor el 1 de enero de 2008 y es en el que nos centraremos en la exposición</w:t>
      </w:r>
      <w:r w:rsidR="006C0347">
        <w:t xml:space="preserve"> (</w:t>
      </w:r>
      <w:r w:rsidR="006C0347" w:rsidRPr="006C0347">
        <w:t>Real Decreto 1514/2007, de 16 de noviembre, por el que se aprueba el Plan General de Contabilidad</w:t>
      </w:r>
      <w:r w:rsidR="006C0347">
        <w:t xml:space="preserve"> – </w:t>
      </w:r>
      <w:hyperlink r:id="rId2" w:history="1">
        <w:r w:rsidR="00662BCE" w:rsidRPr="00B02004">
          <w:rPr>
            <w:rStyle w:val="Hipervnculo"/>
          </w:rPr>
          <w:t>https://www.boe.es/eli/es/rd/2007/11/16/1514/con</w:t>
        </w:r>
      </w:hyperlink>
      <w:r w:rsidR="006C0347">
        <w:t>)</w:t>
      </w:r>
      <w:r>
        <w:t>.</w:t>
      </w:r>
    </w:p>
    <w:p w14:paraId="6D1EE36E" w14:textId="1A00F54C" w:rsidR="00671E94" w:rsidRDefault="00671E94" w:rsidP="000F0829">
      <w:pPr>
        <w:pStyle w:val="Imagen"/>
      </w:pPr>
      <w:r>
        <w:drawing>
          <wp:inline distT="0" distB="0" distL="0" distR="0" wp14:anchorId="2911B1BC" wp14:editId="12915402">
            <wp:extent cx="1861973" cy="1302698"/>
            <wp:effectExtent l="0" t="0" r="5080" b="0"/>
            <wp:docPr id="9" name="Imagen 9"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Escala de tiempo&#10;&#10;Descripción generada automáticamente"/>
                    <pic:cNvPicPr/>
                  </pic:nvPicPr>
                  <pic:blipFill rotWithShape="1">
                    <a:blip r:embed="rId3"/>
                    <a:srcRect r="2656" b="2051"/>
                    <a:stretch/>
                  </pic:blipFill>
                  <pic:spPr bwMode="auto">
                    <a:xfrm>
                      <a:off x="0" y="0"/>
                      <a:ext cx="1906275" cy="1333693"/>
                    </a:xfrm>
                    <a:prstGeom prst="rect">
                      <a:avLst/>
                    </a:prstGeom>
                    <a:ln>
                      <a:noFill/>
                    </a:ln>
                    <a:extLst>
                      <a:ext uri="{53640926-AAD7-44D8-BBD7-CCE9431645EC}">
                        <a14:shadowObscured xmlns:a14="http://schemas.microsoft.com/office/drawing/2010/main"/>
                      </a:ext>
                    </a:extLst>
                  </pic:spPr>
                </pic:pic>
              </a:graphicData>
            </a:graphic>
          </wp:inline>
        </w:drawing>
      </w:r>
    </w:p>
    <w:p w14:paraId="5029C2B1" w14:textId="4FF1D51C" w:rsidR="00671E94" w:rsidRPr="00671E94" w:rsidRDefault="00671E94" w:rsidP="00671E94">
      <w:pPr>
        <w:pStyle w:val="PiedeImagen"/>
        <w:rPr>
          <w:sz w:val="11"/>
          <w:szCs w:val="11"/>
        </w:rPr>
      </w:pPr>
      <w:r w:rsidRPr="00671E94">
        <w:rPr>
          <w:sz w:val="11"/>
          <w:szCs w:val="11"/>
        </w:rPr>
        <w:t>Fuente</w:t>
      </w:r>
      <w:r w:rsidRPr="00671E94">
        <w:rPr>
          <w:i w:val="0"/>
          <w:iCs/>
          <w:sz w:val="11"/>
          <w:szCs w:val="11"/>
        </w:rPr>
        <w:t>: Besteiro, M. A. &amp; Mazarracín, M. R. (2016). Contabilidad financiera superior I (2a. Ed.). Difusora Larousse - Ediciones Pirámide.</w:t>
      </w:r>
      <w:r>
        <w:rPr>
          <w:i w:val="0"/>
          <w:iCs/>
          <w:sz w:val="11"/>
          <w:szCs w:val="11"/>
        </w:rPr>
        <w:t xml:space="preserve"> </w:t>
      </w:r>
    </w:p>
  </w:footnote>
  <w:footnote w:id="12">
    <w:p w14:paraId="427E4D8F" w14:textId="0390DCA5" w:rsidR="00671E94" w:rsidRDefault="00671E94" w:rsidP="00671E94">
      <w:pPr>
        <w:pStyle w:val="Textonotapie"/>
        <w:spacing w:after="0"/>
      </w:pPr>
      <w:r>
        <w:rPr>
          <w:rStyle w:val="Refdenotaalpie"/>
        </w:rPr>
        <w:footnoteRef/>
      </w:r>
      <w:r>
        <w:t xml:space="preserve"> </w:t>
      </w:r>
      <w:r w:rsidRPr="00671E94">
        <w:t>Todas las partes son de aplicación obligatoria, salvo las partes cuarta y quinta (en la parte quinta sólo son obligatorios aquellos aspectos relativos a criterios de registro o valoración).</w:t>
      </w:r>
    </w:p>
  </w:footnote>
  <w:footnote w:id="13">
    <w:p w14:paraId="17134445" w14:textId="4F5057B9" w:rsidR="00072A47" w:rsidRPr="00072A47" w:rsidRDefault="00072A47">
      <w:pPr>
        <w:pStyle w:val="Textonotapie"/>
      </w:pPr>
      <w:r>
        <w:rPr>
          <w:rStyle w:val="Refdenotaalpie"/>
        </w:rPr>
        <w:footnoteRef/>
      </w:r>
      <w:r>
        <w:t xml:space="preserve"> Esto coincide con la contabilidad nacional y también con la contabilidad pública en algunos casos (excepción: impuestos). Una excepción sería la generación de efectivo, para lo cual se utilizaría el </w:t>
      </w:r>
      <w:r>
        <w:rPr>
          <w:i/>
          <w:iCs/>
        </w:rPr>
        <w:t>principio de caja</w:t>
      </w:r>
      <w:r>
        <w:t>.</w:t>
      </w:r>
    </w:p>
  </w:footnote>
  <w:footnote w:id="14">
    <w:p w14:paraId="17E58145" w14:textId="65805E47" w:rsidR="00615821" w:rsidRDefault="00615821">
      <w:pPr>
        <w:pStyle w:val="Textonotapie"/>
      </w:pPr>
      <w:r>
        <w:rPr>
          <w:rStyle w:val="Refdenotaalpie"/>
        </w:rPr>
        <w:footnoteRef/>
      </w:r>
      <w:r>
        <w:t xml:space="preserve"> Respecto a las existencias, el PGC establece que se adoptará con carácter general el método delo coste medio ponderado. Es decir, se valora un artículo de las existencias por el coste total de compra dividido por las cantidades adquiridas. Sin embargo, también acepta el método FIFO (</w:t>
      </w:r>
      <w:r>
        <w:rPr>
          <w:i/>
          <w:iCs/>
        </w:rPr>
        <w:t>first in, first out</w:t>
      </w:r>
      <w:r>
        <w:t>) que valora las existencias de forma que</w:t>
      </w:r>
      <w:r w:rsidRPr="00615821">
        <w:t xml:space="preserve"> aquello que primero ha entrado en nuestro almacén debe ser aquello a lo que primero se le dé salida. Es uno de los métodos de gestión logística más utilizados cuando se manipulan productos perecederos, ya que busca evitar que los productos alcancen su fecha de caducidad en nuestras instalaciones y de esta manera se reduzcan nuestras pérdidas por este motivo.</w:t>
      </w:r>
      <w:r>
        <w:t xml:space="preserve"> </w:t>
      </w:r>
      <w:hyperlink r:id="rId4" w:history="1">
        <w:r w:rsidRPr="00B02004">
          <w:rPr>
            <w:rStyle w:val="Hipervnculo"/>
          </w:rPr>
          <w:t>https://www.stocklogistic.com/metodo-fifo-valoracion-stock-almacen/</w:t>
        </w:r>
      </w:hyperlink>
    </w:p>
  </w:footnote>
  <w:footnote w:id="15">
    <w:p w14:paraId="7E8AF890" w14:textId="759D535C" w:rsidR="00AC6A05" w:rsidRDefault="00AC6A05" w:rsidP="002054C6">
      <w:pPr>
        <w:pStyle w:val="Textonotapie"/>
        <w:keepNext/>
        <w:spacing w:after="0"/>
      </w:pPr>
      <w:r>
        <w:rPr>
          <w:rStyle w:val="Refdenotaalpie"/>
        </w:rPr>
        <w:footnoteRef/>
      </w:r>
      <w:r>
        <w:t xml:space="preserve"> Podrán formular el </w:t>
      </w:r>
      <w:r>
        <w:rPr>
          <w:b/>
          <w:bCs/>
        </w:rPr>
        <w:t>balance</w:t>
      </w:r>
      <w:r>
        <w:t xml:space="preserve">, la </w:t>
      </w:r>
      <w:r>
        <w:rPr>
          <w:b/>
          <w:bCs/>
        </w:rPr>
        <w:t>memoria</w:t>
      </w:r>
      <w:r>
        <w:t xml:space="preserve"> y el </w:t>
      </w:r>
      <w:r>
        <w:rPr>
          <w:b/>
          <w:bCs/>
        </w:rPr>
        <w:t xml:space="preserve">estado de cambios en el patrimonio neto </w:t>
      </w:r>
      <w:r w:rsidRPr="0060383C">
        <w:rPr>
          <w:i/>
          <w:iCs/>
          <w:u w:val="single"/>
        </w:rPr>
        <w:t>abreviados</w:t>
      </w:r>
      <w:r w:rsidR="00575662">
        <w:t xml:space="preserve"> las sociedades que durante dos ejercicios consecutivos reúnan, a la fecha de cierre de cada uno de ellos al menos dos de las siguientes circunstancias:</w:t>
      </w:r>
    </w:p>
    <w:p w14:paraId="2F93EF80" w14:textId="06C21FD3" w:rsidR="00575662" w:rsidRDefault="00575662">
      <w:pPr>
        <w:pStyle w:val="Textonotapie"/>
        <w:keepNext/>
        <w:numPr>
          <w:ilvl w:val="0"/>
          <w:numId w:val="13"/>
        </w:numPr>
        <w:spacing w:after="0"/>
        <w:ind w:left="567" w:hanging="170"/>
      </w:pPr>
      <w:r>
        <w:t>Que el total de las partidas del activo no supere los 4</w:t>
      </w:r>
      <w:r w:rsidR="00C63905">
        <w:t> </w:t>
      </w:r>
      <w:r>
        <w:t>millones de euros.</w:t>
      </w:r>
    </w:p>
    <w:p w14:paraId="41182DED" w14:textId="15F1FEEC" w:rsidR="00575662" w:rsidRDefault="00575662">
      <w:pPr>
        <w:pStyle w:val="Textonotapie"/>
        <w:keepNext/>
        <w:numPr>
          <w:ilvl w:val="0"/>
          <w:numId w:val="13"/>
        </w:numPr>
        <w:spacing w:after="0"/>
        <w:ind w:left="567" w:hanging="170"/>
      </w:pPr>
      <w:r>
        <w:t>Que el importe neto de su cifra anual de negocios no supere los 8</w:t>
      </w:r>
      <w:r w:rsidR="00C63905">
        <w:t> </w:t>
      </w:r>
      <w:r>
        <w:t>millones de euros.</w:t>
      </w:r>
    </w:p>
    <w:p w14:paraId="58AA334B" w14:textId="0B9F773F" w:rsidR="00575662" w:rsidRDefault="00575662">
      <w:pPr>
        <w:pStyle w:val="Textonotapie"/>
        <w:keepNext/>
        <w:numPr>
          <w:ilvl w:val="0"/>
          <w:numId w:val="13"/>
        </w:numPr>
        <w:spacing w:after="0"/>
        <w:ind w:left="567" w:hanging="170"/>
      </w:pPr>
      <w:r>
        <w:t>Que el número medio de trabajadores empleados durante el ejercicio no sea superior a 50.</w:t>
      </w:r>
    </w:p>
    <w:p w14:paraId="7FAE6607" w14:textId="35300FDE" w:rsidR="00575662" w:rsidRDefault="00575662" w:rsidP="0060383C">
      <w:pPr>
        <w:pStyle w:val="Textonotapie"/>
        <w:keepNext/>
        <w:spacing w:after="0"/>
      </w:pPr>
      <w:r>
        <w:t xml:space="preserve">Además, las empresas que presenten el </w:t>
      </w:r>
      <w:r w:rsidRPr="0060383C">
        <w:t>balance, la memoria y el estado de cambios en el patrimonio neto abreviados</w:t>
      </w:r>
      <w:r w:rsidR="0060383C">
        <w:t xml:space="preserve"> están </w:t>
      </w:r>
      <w:r w:rsidR="0060383C" w:rsidRPr="0060383C">
        <w:rPr>
          <w:i/>
          <w:iCs/>
          <w:u w:val="single"/>
        </w:rPr>
        <w:t>eximidos</w:t>
      </w:r>
      <w:r w:rsidR="0060383C">
        <w:t xml:space="preserve"> de presentar el </w:t>
      </w:r>
      <w:r w:rsidR="0060383C" w:rsidRPr="0060383C">
        <w:rPr>
          <w:b/>
          <w:bCs/>
        </w:rPr>
        <w:t>estado de flujos de efectivo</w:t>
      </w:r>
      <w:r w:rsidR="0060383C">
        <w:t xml:space="preserve"> (no existe un modelo abreviado de este documento).</w:t>
      </w:r>
    </w:p>
    <w:p w14:paraId="0FDD87E6" w14:textId="40B34AA3" w:rsidR="0060383C" w:rsidRPr="0060383C" w:rsidRDefault="0060383C" w:rsidP="00575662">
      <w:pPr>
        <w:pStyle w:val="Textonotapie"/>
      </w:pPr>
      <w:r>
        <w:t xml:space="preserve">En cuanto a la </w:t>
      </w:r>
      <w:r w:rsidRPr="0060383C">
        <w:rPr>
          <w:i/>
          <w:iCs/>
        </w:rPr>
        <w:t>obligación de auditar las cuentas anuales</w:t>
      </w:r>
      <w:r>
        <w:t>, como regla general, las sociedades que puedan formular el balance en el modelo abreviado no estarán obligadas a someterse a auditoría contable.</w:t>
      </w:r>
    </w:p>
    <w:p w14:paraId="3DF1F700" w14:textId="3CCA76EB" w:rsidR="00575662" w:rsidRDefault="00575662" w:rsidP="002054C6">
      <w:pPr>
        <w:pStyle w:val="Textonotapie"/>
        <w:keepNext/>
        <w:spacing w:after="0"/>
      </w:pPr>
      <w:r>
        <w:t xml:space="preserve">En cuanto a la </w:t>
      </w:r>
      <w:r>
        <w:rPr>
          <w:b/>
          <w:bCs/>
        </w:rPr>
        <w:t>cuenta de pérdidas y ganancias</w:t>
      </w:r>
      <w:r>
        <w:t xml:space="preserve">, las sociedades podrán presentarla en su formato </w:t>
      </w:r>
      <w:r w:rsidRPr="0060383C">
        <w:rPr>
          <w:i/>
          <w:iCs/>
          <w:u w:val="single"/>
        </w:rPr>
        <w:t>abreviado</w:t>
      </w:r>
      <w:r>
        <w:t xml:space="preserve"> cuando, durante dos ejercicios consecutivos, reúnan a la fecha de cierre cada uno de ellos, al menos dos de las siguientes circunstancias:</w:t>
      </w:r>
    </w:p>
    <w:p w14:paraId="3E40E685" w14:textId="371B8608" w:rsidR="00575662" w:rsidRDefault="00575662">
      <w:pPr>
        <w:pStyle w:val="Textonotapie"/>
        <w:keepNext/>
        <w:numPr>
          <w:ilvl w:val="0"/>
          <w:numId w:val="14"/>
        </w:numPr>
        <w:spacing w:after="0"/>
        <w:ind w:left="567" w:hanging="170"/>
      </w:pPr>
      <w:r>
        <w:t>Que el total de las partidas de activo no supere los 11,4</w:t>
      </w:r>
      <w:r w:rsidR="00C63905">
        <w:t> </w:t>
      </w:r>
      <w:r>
        <w:t>millones de euros.</w:t>
      </w:r>
    </w:p>
    <w:p w14:paraId="045A16E0" w14:textId="4CE478D6" w:rsidR="00575662" w:rsidRDefault="00575662">
      <w:pPr>
        <w:pStyle w:val="Textonotapie"/>
        <w:keepNext/>
        <w:numPr>
          <w:ilvl w:val="0"/>
          <w:numId w:val="14"/>
        </w:numPr>
        <w:spacing w:after="0"/>
        <w:ind w:left="567" w:hanging="170"/>
      </w:pPr>
      <w:r>
        <w:t>Que el importe neto de su cifra anual de negocios no supere los 22,8</w:t>
      </w:r>
      <w:r w:rsidR="00C63905">
        <w:t> </w:t>
      </w:r>
      <w:r>
        <w:t>millones de euros.</w:t>
      </w:r>
    </w:p>
    <w:p w14:paraId="17C7B438" w14:textId="0E24E9DD" w:rsidR="00575662" w:rsidRPr="00575662" w:rsidRDefault="00575662">
      <w:pPr>
        <w:pStyle w:val="Textonotapie"/>
        <w:numPr>
          <w:ilvl w:val="0"/>
          <w:numId w:val="14"/>
        </w:numPr>
        <w:spacing w:after="0"/>
        <w:ind w:left="567" w:hanging="170"/>
      </w:pPr>
      <w:r>
        <w:t>Que el número medio de trabajadores empleados durante el ejercicio no sea superior a 250.</w:t>
      </w:r>
    </w:p>
  </w:footnote>
  <w:footnote w:id="16">
    <w:p w14:paraId="33CE23CD" w14:textId="562703B6" w:rsidR="00150A26" w:rsidRPr="00150A26" w:rsidRDefault="00150A26">
      <w:pPr>
        <w:pStyle w:val="Textonotapie"/>
        <w:rPr>
          <w:spacing w:val="-2"/>
        </w:rPr>
      </w:pPr>
      <w:r>
        <w:rPr>
          <w:rStyle w:val="Refdenotaalpie"/>
        </w:rPr>
        <w:footnoteRef/>
      </w:r>
      <w:r>
        <w:t xml:space="preserve"> </w:t>
      </w:r>
      <w:r w:rsidRPr="00150A26">
        <w:rPr>
          <w:i/>
          <w:iCs/>
          <w:spacing w:val="-2"/>
        </w:rPr>
        <w:t>Patente</w:t>
      </w:r>
      <w:r w:rsidRPr="00150A26">
        <w:rPr>
          <w:spacing w:val="-2"/>
        </w:rPr>
        <w:t>: Una patente es un conjunto de derechos exclusivos concedidos por un Estado al inventor de un nuevo producto o tecnología, susceptibles de ser explotados comercialmente por un período limitado de tiempo a cambio de la divulgación de la invención.</w:t>
      </w:r>
    </w:p>
    <w:p w14:paraId="4E87F331" w14:textId="77777777" w:rsidR="00150A26" w:rsidRDefault="00150A26" w:rsidP="00756B68">
      <w:pPr>
        <w:pStyle w:val="Textonotapie"/>
        <w:keepNext/>
        <w:spacing w:after="0"/>
      </w:pPr>
      <w:r>
        <w:rPr>
          <w:i/>
          <w:iCs/>
        </w:rPr>
        <w:t>Marca</w:t>
      </w:r>
      <w:r>
        <w:t>: Una marca es una identificación comercial primordial y/o conjunto de varios identificadores con los que se relaciona y ofrece un producto o servicio en el mercado.</w:t>
      </w:r>
    </w:p>
    <w:p w14:paraId="2D71E323" w14:textId="45B02A59" w:rsidR="00150A26" w:rsidRDefault="00150A26" w:rsidP="00756B68">
      <w:pPr>
        <w:pStyle w:val="Textonotapie"/>
      </w:pPr>
      <w:r>
        <w:t>Es un error común confundir el concepto de logo como un sinónimo de marca, siendo la principal diferencia que esta debe ser construida más allá de la representación visual que identifica a una empresa u organización.</w:t>
      </w:r>
    </w:p>
    <w:p w14:paraId="2456959D" w14:textId="62813061" w:rsidR="00150A26" w:rsidRDefault="00150A26" w:rsidP="00756B68">
      <w:pPr>
        <w:pStyle w:val="Textonotapie"/>
        <w:keepNext/>
        <w:spacing w:after="0"/>
      </w:pPr>
      <w:r>
        <w:rPr>
          <w:i/>
          <w:iCs/>
        </w:rPr>
        <w:t>Fondo de comercio</w:t>
      </w:r>
      <w:r>
        <w:t xml:space="preserve">: Corresponde al valor inmaterial de esta derivado de los factor como la clientela, la eficiencia, la organización, el crédito, el prestigio, la </w:t>
      </w:r>
      <w:r w:rsidR="00756B68">
        <w:t>experiencia… que le permiten obtener rentabilidades superiores a las expresadas por la simple suma de sus activos contables.</w:t>
      </w:r>
    </w:p>
    <w:p w14:paraId="1129EAE8" w14:textId="3C02A596" w:rsidR="00756B68" w:rsidRPr="00756B68" w:rsidRDefault="00756B68">
      <w:pPr>
        <w:pStyle w:val="Textonotapie"/>
      </w:pPr>
      <w:r w:rsidRPr="00756B68">
        <w:t>Una empresa puede va</w:t>
      </w:r>
      <w:r>
        <w:t>ler más que la suma algebraica de todos los elementos que componen su patrimonio. El fondo de comercio recoge este valor adicional</w:t>
      </w:r>
      <w:r w:rsidR="009F5AC1">
        <w:t xml:space="preserve"> por encima de los elementos que la forman y que, en caso de venta, hace que se pague por ella más de lo que vale</w:t>
      </w:r>
      <w:r w:rsidR="00510D25">
        <w:t>n sus elementos en sí. El fondo de comercio cuantifica la capacidad de las empresas para obtener beneficios extraordinarios entendiendo estos como aquellos beneficios superiores a la rentabilidad normal del mercado.</w:t>
      </w:r>
    </w:p>
  </w:footnote>
  <w:footnote w:id="17">
    <w:p w14:paraId="0683C778" w14:textId="4B9A279D" w:rsidR="00E84AF1" w:rsidRDefault="00E84AF1">
      <w:pPr>
        <w:pStyle w:val="Textonotapie"/>
      </w:pPr>
      <w:r>
        <w:rPr>
          <w:rStyle w:val="Refdenotaalpie"/>
        </w:rPr>
        <w:footnoteRef/>
      </w:r>
      <w:r>
        <w:t xml:space="preserve"> Por el contrario, si un fuego destruye tu casa y no estaba asegurada, tu riqueza neta ha disminuido pero tus tenencias de efectivo pertenecen inalteradas (no has gastado dinero y tampoco has recibido nada del seguro).</w:t>
      </w:r>
    </w:p>
  </w:footnote>
  <w:footnote w:id="18">
    <w:p w14:paraId="394C89FA" w14:textId="663C1325" w:rsidR="00E724F2" w:rsidRDefault="00E724F2">
      <w:pPr>
        <w:pStyle w:val="Textonotapie"/>
      </w:pPr>
      <w:r>
        <w:rPr>
          <w:rStyle w:val="Refdenotaalpie"/>
        </w:rPr>
        <w:footnoteRef/>
      </w:r>
      <w:r>
        <w:t xml:space="preserve"> ¡</w:t>
      </w:r>
      <w:r w:rsidR="00946226">
        <w:t>Ojo</w:t>
      </w:r>
      <w:r>
        <w:t>! El IVA sí que sería un coste de explotación, pero no el impuesto de sociedades, que se considerará impuesto sobre los beneficios.</w:t>
      </w:r>
    </w:p>
  </w:footnote>
  <w:footnote w:id="19">
    <w:p w14:paraId="58285670" w14:textId="04B0D882" w:rsidR="004A3FFE" w:rsidRDefault="004A3FFE" w:rsidP="004A3FFE">
      <w:pPr>
        <w:pStyle w:val="Textonotapie"/>
        <w:keepNext/>
        <w:spacing w:after="0"/>
      </w:pPr>
      <w:r>
        <w:rPr>
          <w:rStyle w:val="Refdenotaalpie"/>
        </w:rPr>
        <w:footnoteRef/>
      </w:r>
      <w:r>
        <w:t xml:space="preserve"> La principal diferencia entre </w:t>
      </w:r>
      <w:r w:rsidR="0002313A">
        <w:t>“depreciación” y “amortización”</w:t>
      </w:r>
      <w:r>
        <w:t xml:space="preserve"> que puede establecerse es la siguiente:</w:t>
      </w:r>
    </w:p>
    <w:p w14:paraId="1E88E061" w14:textId="77777777" w:rsidR="004A3FFE" w:rsidRDefault="004A3FFE">
      <w:pPr>
        <w:pStyle w:val="Textonotapie"/>
        <w:numPr>
          <w:ilvl w:val="0"/>
          <w:numId w:val="31"/>
        </w:numPr>
        <w:spacing w:after="0"/>
        <w:ind w:left="283" w:hanging="113"/>
      </w:pPr>
      <w:r>
        <w:t xml:space="preserve">La </w:t>
      </w:r>
      <w:r w:rsidRPr="004A3FFE">
        <w:rPr>
          <w:i/>
          <w:iCs/>
        </w:rPr>
        <w:t>depreciación</w:t>
      </w:r>
      <w:r>
        <w:t xml:space="preserve"> se centra exclusivamente en los activos fijos.</w:t>
      </w:r>
    </w:p>
    <w:p w14:paraId="47E1533F" w14:textId="6CDD114D" w:rsidR="004A3FFE" w:rsidRDefault="004A3FFE">
      <w:pPr>
        <w:pStyle w:val="Textonotapie"/>
        <w:numPr>
          <w:ilvl w:val="0"/>
          <w:numId w:val="31"/>
        </w:numPr>
        <w:spacing w:after="0"/>
        <w:ind w:left="283" w:hanging="113"/>
      </w:pPr>
      <w:r>
        <w:t xml:space="preserve">La </w:t>
      </w:r>
      <w:r w:rsidRPr="004A3FFE">
        <w:rPr>
          <w:i/>
          <w:iCs/>
        </w:rPr>
        <w:t>amortización</w:t>
      </w:r>
      <w:r>
        <w:t xml:space="preserve"> se enfoca a los bienes intangibles y diferidos.</w:t>
      </w:r>
    </w:p>
    <w:p w14:paraId="77EDA9E9" w14:textId="7912202A" w:rsidR="008E0999" w:rsidRPr="008E0999" w:rsidRDefault="008E0999" w:rsidP="008E0999">
      <w:pPr>
        <w:pStyle w:val="Textonotapie"/>
      </w:pPr>
      <w:r w:rsidRPr="008E0999">
        <w:t>Dicho esto, es conveniente señalar que las distintas metodologías para el cálculo de ambos términos son similares</w:t>
      </w:r>
      <w:r>
        <w:t>.</w:t>
      </w:r>
    </w:p>
  </w:footnote>
  <w:footnote w:id="20">
    <w:p w14:paraId="5579BFB2" w14:textId="77777777" w:rsidR="006116E1" w:rsidRDefault="006116E1" w:rsidP="00856B1C">
      <w:pPr>
        <w:pStyle w:val="Textonotapie"/>
        <w:keepNext/>
        <w:spacing w:after="0"/>
      </w:pPr>
      <w:r>
        <w:rPr>
          <w:rStyle w:val="Refdenotaalpie"/>
        </w:rPr>
        <w:footnoteRef/>
      </w:r>
      <w:r>
        <w:t xml:space="preserve"> Se considera “actividad interrumpida” todo componente de una empresa que ha sido enajenado o se ha dispuesto de él por otra vía, o bien ha sido clasificado como mantenido para la venta y:</w:t>
      </w:r>
    </w:p>
    <w:p w14:paraId="3F112601" w14:textId="32D453DE" w:rsidR="006116E1" w:rsidRPr="00856B1C" w:rsidRDefault="006116E1">
      <w:pPr>
        <w:pStyle w:val="Textonotapie"/>
        <w:numPr>
          <w:ilvl w:val="0"/>
          <w:numId w:val="7"/>
        </w:numPr>
        <w:spacing w:after="0"/>
        <w:ind w:left="284" w:hanging="142"/>
        <w:rPr>
          <w:spacing w:val="-2"/>
        </w:rPr>
      </w:pPr>
      <w:r w:rsidRPr="00856B1C">
        <w:rPr>
          <w:spacing w:val="-2"/>
        </w:rPr>
        <w:t>Represente una línea de negocio o un área geográfica de explotación que sea significativa y pueda considerarse separada del resto.</w:t>
      </w:r>
    </w:p>
    <w:p w14:paraId="5AA36C79" w14:textId="07AECE4B" w:rsidR="006116E1" w:rsidRDefault="006116E1">
      <w:pPr>
        <w:pStyle w:val="Textonotapie"/>
        <w:numPr>
          <w:ilvl w:val="0"/>
          <w:numId w:val="7"/>
        </w:numPr>
        <w:spacing w:after="0"/>
        <w:ind w:left="284" w:hanging="142"/>
      </w:pPr>
      <w:r>
        <w:t>Forme parte de una plan individual y coordinado para enajenar o disponer por otra vía de una línea de negocio o de un área geográfica de la explotación que sea significativa y pueda considerarse separada del resto.</w:t>
      </w:r>
    </w:p>
    <w:p w14:paraId="582CDABA" w14:textId="1FF4A580" w:rsidR="00FD0355" w:rsidRPr="00FD0355" w:rsidRDefault="00FD0355">
      <w:pPr>
        <w:pStyle w:val="Prrafodelista"/>
        <w:numPr>
          <w:ilvl w:val="0"/>
          <w:numId w:val="7"/>
        </w:numPr>
        <w:ind w:left="284" w:hanging="142"/>
        <w:rPr>
          <w:sz w:val="16"/>
          <w:szCs w:val="20"/>
        </w:rPr>
      </w:pPr>
      <w:r w:rsidRPr="00FD0355">
        <w:rPr>
          <w:sz w:val="16"/>
          <w:szCs w:val="20"/>
        </w:rPr>
        <w:t>Sea una empresa dependiente adquirida exclusivamente para venderla.</w:t>
      </w:r>
    </w:p>
  </w:footnote>
  <w:footnote w:id="21">
    <w:p w14:paraId="1DA4187F" w14:textId="2B7415E8" w:rsidR="00824D3D" w:rsidRPr="00E50835" w:rsidRDefault="00824D3D" w:rsidP="00E50835">
      <w:pPr>
        <w:pStyle w:val="Textonotapie"/>
      </w:pPr>
      <w:r>
        <w:rPr>
          <w:rStyle w:val="Refdenotaalpie"/>
        </w:rPr>
        <w:footnoteRef/>
      </w:r>
      <w:r w:rsidR="00E50835">
        <w:t xml:space="preserve"> </w:t>
      </w:r>
      <w:r>
        <w:t>Es independiente de políticas contables como los métodos de depreciación del capital o los métodos de valoración de existencias.</w:t>
      </w:r>
    </w:p>
  </w:footnote>
  <w:footnote w:id="22">
    <w:p w14:paraId="307BE811" w14:textId="1DBA2FFC" w:rsidR="00E969DF" w:rsidRDefault="00E969DF" w:rsidP="00E969DF">
      <w:pPr>
        <w:pStyle w:val="Textonotapie"/>
      </w:pPr>
      <w:r>
        <w:rPr>
          <w:rStyle w:val="Refdenotaalpie"/>
        </w:rPr>
        <w:footnoteRef/>
      </w:r>
      <w:r>
        <w:t xml:space="preserve"> El </w:t>
      </w:r>
      <w:r w:rsidRPr="00C52FEE">
        <w:rPr>
          <w:i/>
          <w:iCs/>
        </w:rPr>
        <w:t>informe de auditoría</w:t>
      </w:r>
      <w:r>
        <w:t xml:space="preserve"> no es una cuenta anual. Sin embargo, exceptuando a las </w:t>
      </w:r>
      <w:r w:rsidRPr="00C52FEE">
        <w:t>empresas que realizan el balance de situación en el modelo abreviado</w:t>
      </w:r>
      <w:r w:rsidR="004969AA">
        <w:t>, el resto de empresas</w:t>
      </w:r>
      <w:r w:rsidRPr="00C52FEE">
        <w:t xml:space="preserve"> estarán obligadas a someterse a auditoría contable (obligación de auditar las cuentas anuales). El resultado puede</w:t>
      </w:r>
      <w:r>
        <w:t xml:space="preserve"> ser: favorable, desfavorable o denegada.</w:t>
      </w:r>
    </w:p>
  </w:footnote>
  <w:footnote w:id="23">
    <w:p w14:paraId="43E2C6B6" w14:textId="0B82C926" w:rsidR="009161FE" w:rsidRDefault="009161FE">
      <w:pPr>
        <w:pStyle w:val="Textonotapie"/>
      </w:pPr>
      <w:r>
        <w:rPr>
          <w:rStyle w:val="Refdenotaalpie"/>
        </w:rPr>
        <w:footnoteRef/>
      </w:r>
      <w:r>
        <w:t xml:space="preserve"> Se reguló para introducir la imposibilidad de que la misma empresa que realiza consultoría de una empresa no puede hacer también su auditoría (captura del cliente). No puedes hacer negocio con alguien y después que te audite.</w:t>
      </w:r>
    </w:p>
  </w:footnote>
  <w:footnote w:id="24">
    <w:p w14:paraId="0FA026DD" w14:textId="49547628" w:rsidR="00E969DF" w:rsidRDefault="00E969DF" w:rsidP="00E969DF">
      <w:pPr>
        <w:pStyle w:val="Textonotapie"/>
      </w:pPr>
      <w:r>
        <w:rPr>
          <w:rStyle w:val="Refdenotaalpie"/>
        </w:rPr>
        <w:footnoteRef/>
      </w:r>
      <w:r>
        <w:t xml:space="preserve"> El </w:t>
      </w:r>
      <w:r w:rsidRPr="00C52FEE">
        <w:rPr>
          <w:i/>
          <w:iCs/>
        </w:rPr>
        <w:t>informe de gestión</w:t>
      </w:r>
      <w:r>
        <w:t xml:space="preserve"> no es una cuenta anual pero acompaña a estas, ofreciendo información adicional que exprese el punto de vista de los directivos. No es obligatorio para empresas que presenten las cuentas </w:t>
      </w:r>
      <w:r w:rsidR="000A2865">
        <w:t xml:space="preserve">en el modelo </w:t>
      </w:r>
      <w:r>
        <w:t>abreviad</w:t>
      </w:r>
      <w:r w:rsidR="000A2865">
        <w:t>o.</w:t>
      </w:r>
    </w:p>
  </w:footnote>
  <w:footnote w:id="25">
    <w:p w14:paraId="360FECBF" w14:textId="19A3307A" w:rsidR="002B5FCD" w:rsidRDefault="002B5FCD">
      <w:pPr>
        <w:pStyle w:val="Textonotapie"/>
      </w:pPr>
      <w:r>
        <w:rPr>
          <w:rStyle w:val="Refdenotaalpie"/>
        </w:rPr>
        <w:footnoteRef/>
      </w:r>
      <w:r>
        <w:t xml:space="preserve"> </w:t>
      </w:r>
      <w:hyperlink r:id="rId5" w:history="1">
        <w:r w:rsidRPr="00B02004">
          <w:rPr>
            <w:rStyle w:val="Hipervnculo"/>
          </w:rPr>
          <w:t>https://youtu.be/1lgrALWCkMs</w:t>
        </w:r>
      </w:hyperlink>
    </w:p>
  </w:footnote>
  <w:footnote w:id="26">
    <w:p w14:paraId="7227EED5" w14:textId="226864C2" w:rsidR="00907428" w:rsidRDefault="00907428">
      <w:pPr>
        <w:pStyle w:val="Textonotapie"/>
      </w:pPr>
      <w:r>
        <w:rPr>
          <w:rStyle w:val="Refdenotaalpie"/>
        </w:rPr>
        <w:footnoteRef/>
      </w:r>
      <w:r>
        <w:t xml:space="preserve"> Las necesidades operativas de fondos también se denominan inversión neta en circulante, capital circulante operativo, fondo de maniobra operativo o </w:t>
      </w:r>
      <w:proofErr w:type="spellStart"/>
      <w:r>
        <w:rPr>
          <w:i/>
          <w:iCs/>
        </w:rPr>
        <w:t>working</w:t>
      </w:r>
      <w:proofErr w:type="spellEnd"/>
      <w:r>
        <w:rPr>
          <w:i/>
          <w:iCs/>
        </w:rPr>
        <w:t xml:space="preserve"> capital </w:t>
      </w:r>
      <w:proofErr w:type="spellStart"/>
      <w:r>
        <w:rPr>
          <w:i/>
          <w:iCs/>
        </w:rPr>
        <w:t>requirements</w:t>
      </w:r>
      <w:proofErr w:type="spellEnd"/>
      <w:r>
        <w:t>.</w:t>
      </w:r>
    </w:p>
  </w:footnote>
  <w:footnote w:id="27">
    <w:p w14:paraId="762DF4DA" w14:textId="714450B2" w:rsidR="00882DD5" w:rsidRDefault="00882DD5">
      <w:pPr>
        <w:pStyle w:val="Textonotapie"/>
      </w:pPr>
      <w:r>
        <w:rPr>
          <w:rStyle w:val="Refdenotaalpie"/>
        </w:rPr>
        <w:footnoteRef/>
      </w:r>
      <w:r>
        <w:t xml:space="preserve"> </w:t>
      </w:r>
      <w:r w:rsidRPr="00882DD5">
        <w:t>Unas NOF negativas implican que la empresa podrá obtener un excedente de fondos.</w:t>
      </w:r>
    </w:p>
  </w:footnote>
  <w:footnote w:id="28">
    <w:p w14:paraId="7881C1BD" w14:textId="77777777" w:rsidR="00994918" w:rsidRDefault="00994918" w:rsidP="00994918">
      <w:pPr>
        <w:pStyle w:val="Textonotapie"/>
      </w:pPr>
      <w:r>
        <w:rPr>
          <w:rStyle w:val="Refdenotaalpie"/>
        </w:rPr>
        <w:footnoteRef/>
      </w:r>
      <w:r>
        <w:t xml:space="preserve"> Una variante para calcular las NOF sería controlar los días que dura el ciclo de explotación. Para ello se usa el promedio de días que se tarda en cobrar y pagar y el tiempo de permanencia de las existencias.</w:t>
      </w:r>
    </w:p>
    <w:p w14:paraId="24F279C1" w14:textId="77777777" w:rsidR="00994918" w:rsidRDefault="00994918" w:rsidP="00994918">
      <w:pPr>
        <w:pStyle w:val="Textonotapie"/>
        <w:keepNext/>
        <w:spacing w:after="0"/>
      </w:pPr>
      <w:r>
        <w:t>Las necesidades operativas de financiación pueden ser valoradas de la siguiente forma:</w:t>
      </w:r>
    </w:p>
    <w:p w14:paraId="0535B1F7" w14:textId="77777777" w:rsidR="00994918" w:rsidRPr="00994918" w:rsidRDefault="00994918" w:rsidP="00994918">
      <w:pPr>
        <w:pStyle w:val="Textonotapie"/>
        <w:rPr>
          <w:rFonts w:eastAsiaTheme="minorEastAsia"/>
          <w:iCs/>
        </w:rPr>
      </w:pPr>
      <m:oMathPara>
        <m:oMath>
          <m:r>
            <w:rPr>
              <w:rFonts w:ascii="Cambria Math" w:eastAsiaTheme="minorEastAsia" w:hAnsi="Cambria Math"/>
            </w:rPr>
            <m:t xml:space="preserve"> </m:t>
          </m:r>
          <m:r>
            <m:rPr>
              <m:nor/>
            </m:rPr>
            <w:rPr>
              <w:i/>
              <w:iCs/>
            </w:rPr>
            <m:t>NOF</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rPr>
                      </m:ctrlPr>
                    </m:fPr>
                    <m:num>
                      <m:r>
                        <m:rPr>
                          <m:nor/>
                        </m:rPr>
                        <w:rPr>
                          <w:i/>
                          <w:iCs/>
                        </w:rPr>
                        <m:t>Existencias</m:t>
                      </m:r>
                    </m:num>
                    <m:den>
                      <m:r>
                        <m:rPr>
                          <m:nor/>
                        </m:rPr>
                        <w:rPr>
                          <w:i/>
                          <w:iCs/>
                        </w:rPr>
                        <m:t>Ventas</m:t>
                      </m:r>
                      <m:r>
                        <w:rPr>
                          <w:rFonts w:ascii="Cambria Math" w:hAnsi="Cambria Math"/>
                        </w:rPr>
                        <m:t>×</m:t>
                      </m:r>
                      <m:r>
                        <m:rPr>
                          <m:nor/>
                        </m:rPr>
                        <w:rPr>
                          <w:i/>
                          <w:iCs/>
                        </w:rPr>
                        <m:t>365</m:t>
                      </m:r>
                    </m:den>
                  </m:f>
                </m:e>
              </m:groupChr>
            </m:e>
            <m:lim>
              <m:r>
                <m:rPr>
                  <m:nor/>
                </m:rPr>
                <w:rPr>
                  <w:i/>
                  <w:iCs/>
                </w:rPr>
                <m:t>Período medio de rotación de stocks</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rPr>
                      </m:ctrlPr>
                    </m:fPr>
                    <m:num>
                      <m:r>
                        <m:rPr>
                          <m:nor/>
                        </m:rPr>
                        <w:rPr>
                          <w:i/>
                          <w:iCs/>
                        </w:rPr>
                        <m:t>Cobros</m:t>
                      </m:r>
                    </m:num>
                    <m:den>
                      <m:r>
                        <m:rPr>
                          <m:nor/>
                        </m:rPr>
                        <w:rPr>
                          <w:i/>
                          <w:iCs/>
                        </w:rPr>
                        <m:t>Ventas</m:t>
                      </m:r>
                      <m:r>
                        <w:rPr>
                          <w:rFonts w:ascii="Cambria Math" w:hAnsi="Cambria Math"/>
                        </w:rPr>
                        <m:t>×</m:t>
                      </m:r>
                      <m:r>
                        <m:rPr>
                          <m:nor/>
                        </m:rPr>
                        <w:rPr>
                          <w:i/>
                          <w:iCs/>
                        </w:rPr>
                        <m:t>365</m:t>
                      </m:r>
                    </m:den>
                  </m:f>
                </m:e>
              </m:groupChr>
            </m:e>
            <m:lim>
              <m:r>
                <m:rPr>
                  <m:nor/>
                </m:rPr>
                <w:rPr>
                  <w:i/>
                  <w:iCs/>
                </w:rPr>
                <m:t>Período medio de cobro a clientes</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rPr>
                      </m:ctrlPr>
                    </m:fPr>
                    <m:num>
                      <m:r>
                        <m:rPr>
                          <m:nor/>
                        </m:rPr>
                        <w:rPr>
                          <w:i/>
                          <w:iCs/>
                        </w:rPr>
                        <m:t>Pagos</m:t>
                      </m:r>
                    </m:num>
                    <m:den>
                      <m:r>
                        <m:rPr>
                          <m:nor/>
                        </m:rPr>
                        <w:rPr>
                          <w:i/>
                          <w:iCs/>
                        </w:rPr>
                        <m:t>Compras</m:t>
                      </m:r>
                      <m:r>
                        <w:rPr>
                          <w:rFonts w:ascii="Cambria Math" w:hAnsi="Cambria Math"/>
                        </w:rPr>
                        <m:t>×</m:t>
                      </m:r>
                      <m:r>
                        <m:rPr>
                          <m:nor/>
                        </m:rPr>
                        <w:rPr>
                          <w:i/>
                          <w:iCs/>
                        </w:rPr>
                        <m:t>365</m:t>
                      </m:r>
                    </m:den>
                  </m:f>
                </m:e>
              </m:groupChr>
            </m:e>
            <m:lim>
              <m:r>
                <m:rPr>
                  <m:nor/>
                </m:rPr>
                <w:rPr>
                  <w:i/>
                  <w:iCs/>
                </w:rPr>
                <m:t>Período medio de pago a proveedores</m:t>
              </m:r>
            </m:lim>
          </m:limLow>
        </m:oMath>
      </m:oMathPara>
    </w:p>
    <w:p w14:paraId="77F903D4" w14:textId="77777777" w:rsidR="00994918" w:rsidRDefault="00994918" w:rsidP="00994918">
      <w:pPr>
        <w:pStyle w:val="Textonotapie"/>
      </w:pPr>
      <w:r>
        <w:t>Por tanto, la empresa querrá reducir al máximo el período medio de rotación de stock y el período medio de cobro de clientes y aumentar al máximo el período medio de pago a proveedores siempre que no perjudique al correcto funcionamiento de sus actividades productivas.</w:t>
      </w:r>
    </w:p>
  </w:footnote>
  <w:footnote w:id="29">
    <w:p w14:paraId="40D0D330" w14:textId="3805A16E" w:rsidR="00907E3C" w:rsidRPr="00907E3C" w:rsidRDefault="00907E3C">
      <w:pPr>
        <w:pStyle w:val="Textonotapie"/>
      </w:pPr>
      <w:r>
        <w:rPr>
          <w:rStyle w:val="Refdenotaalpie"/>
        </w:rPr>
        <w:footnoteRef/>
      </w:r>
      <w:r>
        <w:t xml:space="preserve"> En algunos manuales, la ratio de liquidez recibe otros nombres: </w:t>
      </w:r>
      <w:r>
        <w:rPr>
          <w:i/>
          <w:iCs/>
        </w:rPr>
        <w:t>ratio de liquidez corriente</w:t>
      </w:r>
      <w:r>
        <w:t xml:space="preserve">, </w:t>
      </w:r>
      <w:r>
        <w:rPr>
          <w:i/>
          <w:iCs/>
        </w:rPr>
        <w:t>ratio de circulante</w:t>
      </w:r>
      <w:r>
        <w:t xml:space="preserve"> o </w:t>
      </w:r>
      <w:r>
        <w:rPr>
          <w:i/>
          <w:iCs/>
        </w:rPr>
        <w:t>ratio de solvencia a corto</w:t>
      </w:r>
      <w:r>
        <w:t xml:space="preserve"> o incluso </w:t>
      </w:r>
      <w:r w:rsidRPr="00907E3C">
        <w:rPr>
          <w:i/>
          <w:iCs/>
        </w:rPr>
        <w:t>ratio de distancia a la suspensión de pagos</w:t>
      </w:r>
      <w:r>
        <w:t>.</w:t>
      </w:r>
    </w:p>
  </w:footnote>
  <w:footnote w:id="30">
    <w:p w14:paraId="40079C3C" w14:textId="28C77BFE" w:rsidR="009C7250" w:rsidRDefault="009C7250">
      <w:pPr>
        <w:pStyle w:val="Textonotapie"/>
      </w:pPr>
      <w:r>
        <w:rPr>
          <w:rStyle w:val="Refdenotaalpie"/>
        </w:rPr>
        <w:footnoteRef/>
      </w:r>
      <w:r>
        <w:t xml:space="preserve"> La diferencia clave reside en que mientras en la ratio de capital el denominador consiste en los APR, en la ratio de apalancamiento el denominador está constituido por los activos sin ponderación. En 2017, en la reforma, se introduce un colchón de apalancamiento adicional para los bancos más grandes (entidades de carácter sistémico).</w:t>
      </w:r>
    </w:p>
  </w:footnote>
  <w:footnote w:id="31">
    <w:p w14:paraId="1651CE53" w14:textId="0CFF29A7" w:rsidR="0084464E" w:rsidRDefault="0084464E" w:rsidP="0084464E">
      <w:pPr>
        <w:pStyle w:val="Textonotapie"/>
        <w:keepNext/>
        <w:spacing w:after="0"/>
      </w:pPr>
      <w:r>
        <w:rPr>
          <w:rStyle w:val="Refdenotaalpie"/>
        </w:rPr>
        <w:footnoteRef/>
      </w:r>
      <w:r>
        <w:t xml:space="preserve"> Realmente existen otros márgenes como el margen variable:</w:t>
      </w:r>
    </w:p>
    <w:p w14:paraId="33EDA3F1" w14:textId="736FB85F" w:rsidR="0084464E" w:rsidRPr="0084464E" w:rsidRDefault="0084464E" w:rsidP="0084464E">
      <w:pPr>
        <w:rPr>
          <w:rFonts w:eastAsiaTheme="minorEastAsia"/>
          <w:sz w:val="16"/>
          <w:szCs w:val="16"/>
        </w:rPr>
      </w:pPr>
      <m:oMathPara>
        <m:oMath>
          <m:r>
            <m:rPr>
              <m:nor/>
            </m:rPr>
            <w:rPr>
              <w:i/>
              <w:iCs/>
              <w:sz w:val="16"/>
              <w:szCs w:val="16"/>
            </w:rPr>
            <m:t>Margen variable</m:t>
          </m:r>
          <m:r>
            <w:rPr>
              <w:rFonts w:ascii="Cambria Math" w:hAnsi="Cambria Math"/>
              <w:sz w:val="16"/>
              <w:szCs w:val="16"/>
            </w:rPr>
            <m:t>≡</m:t>
          </m:r>
          <m:f>
            <m:fPr>
              <m:ctrlPr>
                <w:rPr>
                  <w:rFonts w:ascii="Cambria Math" w:hAnsi="Cambria Math"/>
                  <w:i/>
                  <w:sz w:val="16"/>
                  <w:szCs w:val="16"/>
                </w:rPr>
              </m:ctrlPr>
            </m:fPr>
            <m:num>
              <m:r>
                <m:rPr>
                  <m:nor/>
                </m:rPr>
                <w:rPr>
                  <w:i/>
                  <w:iCs/>
                  <w:sz w:val="16"/>
                  <w:szCs w:val="16"/>
                </w:rPr>
                <m:t>Ingresos por ventas</m:t>
              </m:r>
              <m:r>
                <w:rPr>
                  <w:rFonts w:ascii="Cambria Math" w:hAnsi="Cambria Math"/>
                  <w:sz w:val="16"/>
                  <w:szCs w:val="16"/>
                </w:rPr>
                <m:t>-</m:t>
              </m:r>
              <m:r>
                <m:rPr>
                  <m:nor/>
                </m:rPr>
                <w:rPr>
                  <w:i/>
                  <w:iCs/>
                  <w:sz w:val="16"/>
                  <w:szCs w:val="16"/>
                </w:rPr>
                <m:t>Costes variables</m:t>
              </m:r>
              <m:r>
                <m:rPr>
                  <m:nor/>
                </m:rPr>
                <w:rPr>
                  <w:rFonts w:ascii="Cambria Math"/>
                  <w:i/>
                  <w:iCs/>
                  <w:sz w:val="16"/>
                  <w:szCs w:val="16"/>
                </w:rPr>
                <m:t xml:space="preserve"> </m:t>
              </m:r>
              <m:r>
                <m:rPr>
                  <m:nor/>
                </m:rPr>
                <w:rPr>
                  <w:i/>
                  <w:iCs/>
                  <w:sz w:val="16"/>
                  <w:szCs w:val="16"/>
                </w:rPr>
                <m:t>por ventas</m:t>
              </m:r>
            </m:num>
            <m:den>
              <m:r>
                <m:rPr>
                  <m:nor/>
                </m:rPr>
                <w:rPr>
                  <w:i/>
                  <w:iCs/>
                  <w:sz w:val="16"/>
                  <w:szCs w:val="16"/>
                </w:rPr>
                <m:t>Ingresos por ventas</m:t>
              </m:r>
            </m:den>
          </m:f>
        </m:oMath>
      </m:oMathPara>
    </w:p>
  </w:footnote>
  <w:footnote w:id="32">
    <w:p w14:paraId="0C7FEBA0" w14:textId="4BBF8E19" w:rsidR="00F45B1F" w:rsidRDefault="00F45B1F">
      <w:pPr>
        <w:pStyle w:val="Textonotapie"/>
      </w:pPr>
      <w:r>
        <w:rPr>
          <w:rStyle w:val="Refdenotaalpie"/>
        </w:rPr>
        <w:footnoteRef/>
      </w:r>
      <w:r>
        <w:t xml:space="preserve"> No podríamos partir del beneficio neto ya que sólo sería atribuible a los accionistas de la empresa.</w:t>
      </w:r>
    </w:p>
  </w:footnote>
  <w:footnote w:id="33">
    <w:p w14:paraId="775E52C0" w14:textId="77777777" w:rsidR="00E74483" w:rsidRDefault="00E74483" w:rsidP="00E74483">
      <w:pPr>
        <w:pStyle w:val="Textonotapie"/>
        <w:keepNext/>
        <w:spacing w:after="0"/>
      </w:pPr>
      <w:r>
        <w:rPr>
          <w:rStyle w:val="Refdenotaalpie"/>
        </w:rPr>
        <w:footnoteRef/>
      </w:r>
      <w:r>
        <w:t xml:space="preserve"> Otra medida sería el </w:t>
      </w:r>
      <w:proofErr w:type="spellStart"/>
      <w:r>
        <w:rPr>
          <w:i/>
          <w:iCs/>
        </w:rPr>
        <w:t>Return</w:t>
      </w:r>
      <w:proofErr w:type="spellEnd"/>
      <w:r>
        <w:rPr>
          <w:i/>
          <w:iCs/>
        </w:rPr>
        <w:t>-</w:t>
      </w:r>
      <w:proofErr w:type="spellStart"/>
      <w:r>
        <w:rPr>
          <w:i/>
          <w:iCs/>
        </w:rPr>
        <w:t>on</w:t>
      </w:r>
      <w:proofErr w:type="spellEnd"/>
      <w:r>
        <w:rPr>
          <w:i/>
          <w:iCs/>
        </w:rPr>
        <w:t>-Capital-</w:t>
      </w:r>
      <w:proofErr w:type="spellStart"/>
      <w:r>
        <w:rPr>
          <w:i/>
          <w:iCs/>
        </w:rPr>
        <w:t>Employed</w:t>
      </w:r>
      <w:proofErr w:type="spellEnd"/>
      <w:r>
        <w:t xml:space="preserve"> (ROCE):</w:t>
      </w:r>
    </w:p>
    <w:p w14:paraId="0600D76F" w14:textId="01C683CA" w:rsidR="00E74483" w:rsidRDefault="00E74483" w:rsidP="00E74483">
      <w:pPr>
        <w:pStyle w:val="Textonotapie"/>
      </w:pPr>
      <m:oMathPara>
        <m:oMath>
          <m:r>
            <w:rPr>
              <w:rFonts w:ascii="Cambria Math" w:eastAsiaTheme="minorEastAsia" w:hAnsi="Cambria Math"/>
            </w:rPr>
            <m:t xml:space="preserve"> </m:t>
          </m:r>
          <m:r>
            <m:rPr>
              <m:nor/>
            </m:rPr>
            <w:rPr>
              <w:i/>
              <w:iCs/>
            </w:rPr>
            <m:t>ROCE</m:t>
          </m:r>
          <m:r>
            <w:rPr>
              <w:rFonts w:ascii="Cambria Math" w:hAnsi="Cambria Math"/>
            </w:rPr>
            <m:t>≡</m:t>
          </m:r>
          <m:f>
            <m:fPr>
              <m:ctrlPr>
                <w:rPr>
                  <w:rFonts w:ascii="Cambria Math" w:hAnsi="Cambria Math"/>
                  <w:i/>
                  <w:sz w:val="22"/>
                  <w:szCs w:val="22"/>
                </w:rPr>
              </m:ctrlPr>
            </m:fPr>
            <m:num>
              <m:r>
                <m:rPr>
                  <m:nor/>
                </m:rPr>
                <w:rPr>
                  <w:i/>
                  <w:iCs/>
                </w:rPr>
                <m:t>EBIAT</m:t>
              </m:r>
            </m:num>
            <m:den>
              <m:limLow>
                <m:limLowPr>
                  <m:ctrlPr>
                    <w:rPr>
                      <w:rFonts w:ascii="Cambria Math" w:hAnsi="Cambria Math"/>
                      <w:i/>
                      <w:iCs/>
                    </w:rPr>
                  </m:ctrlPr>
                </m:limLowPr>
                <m:e>
                  <m:groupChr>
                    <m:groupChrPr>
                      <m:ctrlPr>
                        <w:rPr>
                          <w:rFonts w:ascii="Cambria Math" w:hAnsi="Cambria Math"/>
                          <w:i/>
                          <w:iCs/>
                        </w:rPr>
                      </m:ctrlPr>
                    </m:groupChrPr>
                    <m:e>
                      <m:r>
                        <m:rPr>
                          <m:nor/>
                        </m:rPr>
                        <w:rPr>
                          <w:i/>
                          <w:iCs/>
                        </w:rPr>
                        <m:t>Activos totales</m:t>
                      </m:r>
                      <m:r>
                        <w:rPr>
                          <w:rFonts w:ascii="Cambria Math" w:hAnsi="Cambria Math"/>
                        </w:rPr>
                        <m:t>-</m:t>
                      </m:r>
                      <m:r>
                        <m:rPr>
                          <m:nor/>
                        </m:rPr>
                        <w:rPr>
                          <w:i/>
                          <w:iCs/>
                        </w:rPr>
                        <m:t>Pasivo corriente</m:t>
                      </m:r>
                    </m:e>
                  </m:groupChr>
                </m:e>
                <m:lim>
                  <m:r>
                    <m:rPr>
                      <m:nor/>
                    </m:rPr>
                    <w:rPr>
                      <w:i/>
                      <w:iCs/>
                    </w:rPr>
                    <m:t>Capital empleado</m:t>
                  </m:r>
                </m:lim>
              </m:limLow>
            </m:den>
          </m:f>
          <m:r>
            <w:rPr>
              <w:rFonts w:ascii="Cambria Math" w:hAnsi="Cambria Math"/>
            </w:rPr>
            <m:t>≡</m:t>
          </m:r>
          <m:f>
            <m:fPr>
              <m:ctrlPr>
                <w:rPr>
                  <w:rFonts w:ascii="Cambria Math" w:hAnsi="Cambria Math"/>
                  <w:i/>
                  <w:sz w:val="22"/>
                  <w:szCs w:val="22"/>
                </w:rPr>
              </m:ctrlPr>
            </m:fPr>
            <m:num>
              <m:r>
                <m:rPr>
                  <m:nor/>
                </m:rPr>
                <w:rPr>
                  <w:i/>
                  <w:iCs/>
                </w:rPr>
                <m:t>EBIAT</m:t>
              </m:r>
            </m:num>
            <m:den>
              <m:r>
                <m:rPr>
                  <m:nor/>
                </m:rPr>
                <w:rPr>
                  <w:i/>
                  <w:iCs/>
                </w:rPr>
                <m:t>Patrimonio neto</m:t>
              </m:r>
              <m:r>
                <w:rPr>
                  <w:rFonts w:ascii="Cambria Math" w:hAnsi="Cambria Math"/>
                </w:rPr>
                <m:t>+</m:t>
              </m:r>
              <m:r>
                <m:rPr>
                  <m:nor/>
                </m:rPr>
                <w:rPr>
                  <w:i/>
                  <w:iCs/>
                </w:rPr>
                <m:t>Pasivo no corriente</m:t>
              </m:r>
            </m:den>
          </m:f>
        </m:oMath>
      </m:oMathPara>
    </w:p>
  </w:footnote>
  <w:footnote w:id="34">
    <w:p w14:paraId="39B56AAD" w14:textId="2613CC89" w:rsidR="00073657" w:rsidRDefault="00073657">
      <w:pPr>
        <w:pStyle w:val="Textonotapie"/>
      </w:pPr>
      <w:r>
        <w:rPr>
          <w:rStyle w:val="Refdenotaalpie"/>
        </w:rPr>
        <w:footnoteRef/>
      </w:r>
      <w:r>
        <w:t xml:space="preserve"> Esta es la estrategia seguida por las grandes superficies de distribución alimentaria.</w:t>
      </w:r>
    </w:p>
  </w:footnote>
  <w:footnote w:id="35">
    <w:p w14:paraId="48708669" w14:textId="77777777" w:rsidR="004C05C9" w:rsidRDefault="004C05C9" w:rsidP="004C05C9">
      <w:pPr>
        <w:pStyle w:val="Textonotapie"/>
      </w:pPr>
      <w:r>
        <w:rPr>
          <w:rStyle w:val="Refdenotaalpie"/>
        </w:rPr>
        <w:footnoteRef/>
      </w:r>
      <w:r>
        <w:t xml:space="preserve"> Aunque </w:t>
      </w:r>
      <m:oMath>
        <m:r>
          <m:rPr>
            <m:nor/>
          </m:rPr>
          <w:rPr>
            <w:i/>
            <w:iCs/>
          </w:rPr>
          <m:t>ROA</m:t>
        </m:r>
        <m:r>
          <w:rPr>
            <w:rFonts w:ascii="Cambria Math" w:hAnsi="Cambria Math"/>
          </w:rPr>
          <m:t>&gt;</m:t>
        </m:r>
        <m:r>
          <m:rPr>
            <m:nor/>
          </m:rPr>
          <w:rPr>
            <w:i/>
            <w:iCs/>
          </w:rPr>
          <m:t>costes financieros</m:t>
        </m:r>
      </m:oMath>
      <w:r>
        <w:rPr>
          <w:rFonts w:eastAsiaTheme="minorEastAsia"/>
          <w:iCs/>
        </w:rPr>
        <w:t xml:space="preserve"> los accionistas exigirán que la rentabilidad financiera (ROE) sea lo suficientemente alta en comparación a otras alternativas de riesgo similar.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10A5D" w:rsidRPr="00C44422" w14:paraId="2EECDAD4" w14:textId="77777777" w:rsidTr="00405D38">
      <w:trPr>
        <w:trHeight w:val="136"/>
        <w:jc w:val="center"/>
      </w:trPr>
      <w:sdt>
        <w:sdtPr>
          <w:rPr>
            <w:b/>
            <w:bCs/>
            <w:i/>
            <w:iCs/>
            <w:caps/>
            <w:color w:val="5F2987"/>
            <w:sz w:val="18"/>
            <w:szCs w:val="18"/>
          </w:rPr>
          <w:alias w:val="Title"/>
          <w:tag w:val=""/>
          <w:id w:val="27121876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8DD4875" w14:textId="319A60E0" w:rsidR="00910A5D" w:rsidRPr="00C44422" w:rsidRDefault="00910A5D" w:rsidP="00405D38">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w:t>
              </w:r>
            </w:p>
          </w:tc>
        </w:sdtContent>
      </w:sdt>
      <w:tc>
        <w:tcPr>
          <w:tcW w:w="7088" w:type="dxa"/>
          <w:vAlign w:val="center"/>
        </w:tcPr>
        <w:sdt>
          <w:sdtPr>
            <w:rPr>
              <w:i/>
              <w:iCs/>
              <w:color w:val="5F2987"/>
              <w:sz w:val="18"/>
              <w:szCs w:val="18"/>
            </w:rPr>
            <w:alias w:val="Subject"/>
            <w:tag w:val=""/>
            <w:id w:val="-733393234"/>
            <w:dataBinding w:prefixMappings="xmlns:ns0='http://purl.org/dc/elements/1.1/' xmlns:ns1='http://schemas.openxmlformats.org/package/2006/metadata/core-properties' " w:xpath="/ns1:coreProperties[1]/ns0:subject[1]" w:storeItemID="{6C3C8BC8-F283-45AE-878A-BAB7291924A1}"/>
            <w:text/>
          </w:sdtPr>
          <w:sdtContent>
            <w:p w14:paraId="7C316E64" w14:textId="6A60ACF7" w:rsidR="00910A5D" w:rsidRPr="00C44422" w:rsidRDefault="00E27C2C" w:rsidP="00405D38">
              <w:pPr>
                <w:pStyle w:val="Encabezado"/>
                <w:spacing w:after="0"/>
                <w:ind w:right="-110"/>
                <w:contextualSpacing/>
                <w:jc w:val="center"/>
                <w:rPr>
                  <w:i/>
                  <w:iCs/>
                  <w:color w:val="5F2987"/>
                  <w:sz w:val="18"/>
                  <w:szCs w:val="18"/>
                </w:rPr>
              </w:pPr>
              <w:r>
                <w:rPr>
                  <w:i/>
                  <w:iCs/>
                  <w:color w:val="5F2987"/>
                  <w:sz w:val="18"/>
                  <w:szCs w:val="18"/>
                </w:rPr>
                <w:t>La información financiera de las empresas: estados de situación y de circulación. Métodos de análisis económico y financiero de la empresa.</w:t>
              </w:r>
            </w:p>
          </w:sdtContent>
        </w:sdt>
      </w:tc>
      <w:sdt>
        <w:sdtPr>
          <w:rPr>
            <w:b/>
            <w:bCs/>
            <w:i/>
            <w:iCs/>
            <w:color w:val="5F2987"/>
            <w:spacing w:val="-6"/>
            <w:sz w:val="18"/>
            <w:szCs w:val="18"/>
          </w:rPr>
          <w:alias w:val="Author"/>
          <w:tag w:val=""/>
          <w:id w:val="-1361965269"/>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F64F3E2" w14:textId="77777777" w:rsidR="00910A5D" w:rsidRPr="00C44422" w:rsidRDefault="00910A5D" w:rsidP="00405D38">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23F6CA8"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36FB6" w:rsidRPr="00C44422" w14:paraId="040F4B77" w14:textId="77777777" w:rsidTr="00405D38">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ACAD926" w14:textId="7D208D52" w:rsidR="00636FB6" w:rsidRPr="00C44422" w:rsidRDefault="00636FB6" w:rsidP="00F90D3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02F970FB" w14:textId="2018AEDE" w:rsidR="00636FB6" w:rsidRPr="00C44422" w:rsidRDefault="00E27C2C" w:rsidP="00F90D39">
              <w:pPr>
                <w:pStyle w:val="Encabezado"/>
                <w:spacing w:after="0"/>
                <w:ind w:right="-110"/>
                <w:contextualSpacing/>
                <w:jc w:val="center"/>
                <w:rPr>
                  <w:i/>
                  <w:iCs/>
                  <w:color w:val="5F2987"/>
                  <w:sz w:val="18"/>
                  <w:szCs w:val="18"/>
                </w:rPr>
              </w:pPr>
              <w:r>
                <w:rPr>
                  <w:i/>
                  <w:iCs/>
                  <w:color w:val="5F2987"/>
                  <w:sz w:val="18"/>
                  <w:szCs w:val="18"/>
                </w:rPr>
                <w:t>La información financiera de las empresas: estados de situación y de circulación. Métodos de análisis económico y financiero de la empresa.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6700F7F" w14:textId="77777777" w:rsidR="00636FB6" w:rsidRPr="00C44422" w:rsidRDefault="00636FB6" w:rsidP="00F90D3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38BBCC7" w14:textId="77777777" w:rsidR="008274D7" w:rsidRPr="004C465C" w:rsidRDefault="008274D7" w:rsidP="00F90D39">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910A5D" w:rsidRPr="00BE1B62" w14:paraId="5D29B867" w14:textId="77777777" w:rsidTr="003055D5">
      <w:tc>
        <w:tcPr>
          <w:tcW w:w="3261" w:type="dxa"/>
          <w:tcBorders>
            <w:bottom w:val="thickThinSmallGap" w:sz="12" w:space="0" w:color="5F2987"/>
          </w:tcBorders>
        </w:tcPr>
        <w:p w14:paraId="3A864C31" w14:textId="2C6E46E3" w:rsidR="00910A5D" w:rsidRPr="00BE1B62" w:rsidRDefault="00910A5D" w:rsidP="00F90D39">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971219">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D25C852" w14:textId="77777777" w:rsidR="00910A5D" w:rsidRPr="00BE1B62" w:rsidRDefault="00910A5D" w:rsidP="00F90D39">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2789331A316740DFAF5512C6AD37E8FF"/>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D82C76F" w14:textId="71A4D475" w:rsidR="00910A5D" w:rsidRPr="00BE1B62" w:rsidRDefault="00910A5D" w:rsidP="00F90D39">
              <w:pPr>
                <w:pStyle w:val="Encabezado"/>
                <w:spacing w:after="0"/>
                <w:jc w:val="right"/>
                <w:rPr>
                  <w:i/>
                  <w:iCs/>
                  <w:color w:val="5F2987"/>
                  <w:spacing w:val="-6"/>
                  <w:sz w:val="18"/>
                  <w:szCs w:val="18"/>
                </w:rPr>
              </w:pPr>
              <w:r>
                <w:rPr>
                  <w:i/>
                  <w:iCs/>
                  <w:color w:val="5F2987"/>
                  <w:spacing w:val="-6"/>
                  <w:sz w:val="20"/>
                  <w:szCs w:val="20"/>
                </w:rPr>
                <w:t>3.B.1</w:t>
              </w:r>
            </w:p>
          </w:tc>
        </w:sdtContent>
      </w:sdt>
    </w:tr>
  </w:tbl>
  <w:p w14:paraId="63F03CBD" w14:textId="77777777" w:rsidR="002756C0" w:rsidRPr="00BE1B62" w:rsidRDefault="002756C0" w:rsidP="00F90D39">
    <w:pPr>
      <w:pStyle w:val="Encabezado"/>
      <w:spacing w:after="0" w:line="240"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36FB6" w:rsidRPr="00C44422" w14:paraId="2590B0B6" w14:textId="77777777" w:rsidTr="00405D38">
      <w:trPr>
        <w:trHeight w:val="136"/>
        <w:jc w:val="center"/>
      </w:trPr>
      <w:bookmarkStart w:id="70" w:name="_Hlk72149218" w:displacedByCustomXml="next"/>
      <w:sdt>
        <w:sdtPr>
          <w:rPr>
            <w:b/>
            <w:bCs/>
            <w:i/>
            <w:iCs/>
            <w:caps/>
            <w:color w:val="5F2987"/>
            <w:sz w:val="18"/>
            <w:szCs w:val="18"/>
          </w:rPr>
          <w:alias w:val="Title"/>
          <w:tag w:val=""/>
          <w:id w:val="86634159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107A4F0" w14:textId="773ADDD2" w:rsidR="00636FB6" w:rsidRPr="00C44422" w:rsidRDefault="00636FB6" w:rsidP="00405D38">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w:t>
              </w:r>
            </w:p>
          </w:tc>
        </w:sdtContent>
      </w:sdt>
      <w:tc>
        <w:tcPr>
          <w:tcW w:w="7088" w:type="dxa"/>
          <w:vAlign w:val="center"/>
        </w:tcPr>
        <w:sdt>
          <w:sdtPr>
            <w:rPr>
              <w:i/>
              <w:iCs/>
              <w:color w:val="5F2987"/>
              <w:sz w:val="18"/>
              <w:szCs w:val="18"/>
            </w:rPr>
            <w:alias w:val="Subject"/>
            <w:tag w:val=""/>
            <w:id w:val="23369487"/>
            <w:dataBinding w:prefixMappings="xmlns:ns0='http://purl.org/dc/elements/1.1/' xmlns:ns1='http://schemas.openxmlformats.org/package/2006/metadata/core-properties' " w:xpath="/ns1:coreProperties[1]/ns0:subject[1]" w:storeItemID="{6C3C8BC8-F283-45AE-878A-BAB7291924A1}"/>
            <w:text/>
          </w:sdtPr>
          <w:sdtContent>
            <w:p w14:paraId="4D4F77FC" w14:textId="0B73F2EA" w:rsidR="00636FB6" w:rsidRPr="00C44422" w:rsidRDefault="00E27C2C" w:rsidP="00405D38">
              <w:pPr>
                <w:pStyle w:val="Encabezado"/>
                <w:spacing w:after="0"/>
                <w:ind w:right="-110"/>
                <w:contextualSpacing/>
                <w:jc w:val="center"/>
                <w:rPr>
                  <w:i/>
                  <w:iCs/>
                  <w:color w:val="5F2987"/>
                  <w:sz w:val="18"/>
                  <w:szCs w:val="18"/>
                </w:rPr>
              </w:pPr>
              <w:r>
                <w:rPr>
                  <w:i/>
                  <w:iCs/>
                  <w:color w:val="5F2987"/>
                  <w:sz w:val="18"/>
                  <w:szCs w:val="18"/>
                </w:rPr>
                <w:t>La información financiera de las empresas: estados de situación y de circulación. Métodos de análisis económico y financiero de la empresa.</w:t>
              </w:r>
            </w:p>
          </w:sdtContent>
        </w:sdt>
      </w:tc>
      <w:sdt>
        <w:sdtPr>
          <w:rPr>
            <w:b/>
            <w:bCs/>
            <w:i/>
            <w:iCs/>
            <w:color w:val="5F2987"/>
            <w:spacing w:val="-6"/>
            <w:sz w:val="18"/>
            <w:szCs w:val="18"/>
          </w:rPr>
          <w:alias w:val="Author"/>
          <w:tag w:val=""/>
          <w:id w:val="1799110465"/>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CBACE7E" w14:textId="77777777" w:rsidR="00636FB6" w:rsidRPr="00C44422" w:rsidRDefault="00636FB6" w:rsidP="00405D38">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70"/>
  </w:tbl>
  <w:p w14:paraId="30DAB3A8" w14:textId="77777777" w:rsidR="00636FB6" w:rsidRPr="00BE1B62" w:rsidRDefault="00636FB6" w:rsidP="003055D5">
    <w:pPr>
      <w:pStyle w:val="Encabezado"/>
      <w:spacing w:after="0"/>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A0E17" w:rsidRPr="00C44422" w14:paraId="449245FA" w14:textId="77777777" w:rsidTr="00405D38">
      <w:trPr>
        <w:trHeight w:val="136"/>
        <w:jc w:val="center"/>
      </w:trPr>
      <w:sdt>
        <w:sdtPr>
          <w:rPr>
            <w:b/>
            <w:bCs/>
            <w:i/>
            <w:iCs/>
            <w:caps/>
            <w:color w:val="5F2987"/>
            <w:sz w:val="18"/>
            <w:szCs w:val="18"/>
          </w:rPr>
          <w:alias w:val="Title"/>
          <w:tag w:val=""/>
          <w:id w:val="-1189442630"/>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5F3CC62" w14:textId="62C6A8CB" w:rsidR="000A0E17" w:rsidRPr="00C44422" w:rsidRDefault="000A0E17" w:rsidP="00F90D3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w:t>
              </w:r>
            </w:p>
          </w:tc>
        </w:sdtContent>
      </w:sdt>
      <w:tc>
        <w:tcPr>
          <w:tcW w:w="7088" w:type="dxa"/>
          <w:vAlign w:val="center"/>
        </w:tcPr>
        <w:sdt>
          <w:sdtPr>
            <w:rPr>
              <w:i/>
              <w:iCs/>
              <w:color w:val="5F2987"/>
              <w:sz w:val="18"/>
              <w:szCs w:val="18"/>
            </w:rPr>
            <w:alias w:val="Subject"/>
            <w:tag w:val=""/>
            <w:id w:val="-1107428760"/>
            <w:dataBinding w:prefixMappings="xmlns:ns0='http://purl.org/dc/elements/1.1/' xmlns:ns1='http://schemas.openxmlformats.org/package/2006/metadata/core-properties' " w:xpath="/ns1:coreProperties[1]/ns0:subject[1]" w:storeItemID="{6C3C8BC8-F283-45AE-878A-BAB7291924A1}"/>
            <w:text/>
          </w:sdtPr>
          <w:sdtContent>
            <w:p w14:paraId="64F4AC08" w14:textId="365BF2B4" w:rsidR="000A0E17" w:rsidRPr="00C44422" w:rsidRDefault="00E27C2C" w:rsidP="00F90D39">
              <w:pPr>
                <w:pStyle w:val="Encabezado"/>
                <w:spacing w:after="0"/>
                <w:ind w:right="-110"/>
                <w:contextualSpacing/>
                <w:jc w:val="center"/>
                <w:rPr>
                  <w:i/>
                  <w:iCs/>
                  <w:color w:val="5F2987"/>
                  <w:sz w:val="18"/>
                  <w:szCs w:val="18"/>
                </w:rPr>
              </w:pPr>
              <w:r>
                <w:rPr>
                  <w:i/>
                  <w:iCs/>
                  <w:color w:val="5F2987"/>
                  <w:sz w:val="18"/>
                  <w:szCs w:val="18"/>
                </w:rPr>
                <w:t>La información financiera de las empresas: estados de situación y de circulación. Métodos de análisis económico y financiero de la empresa.</w:t>
              </w:r>
            </w:p>
          </w:sdtContent>
        </w:sdt>
      </w:tc>
      <w:sdt>
        <w:sdtPr>
          <w:rPr>
            <w:b/>
            <w:bCs/>
            <w:i/>
            <w:iCs/>
            <w:color w:val="5F2987"/>
            <w:spacing w:val="-6"/>
            <w:sz w:val="18"/>
            <w:szCs w:val="18"/>
          </w:rPr>
          <w:alias w:val="Author"/>
          <w:tag w:val=""/>
          <w:id w:val="-905456206"/>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978A658" w14:textId="77777777" w:rsidR="000A0E17" w:rsidRPr="00C44422" w:rsidRDefault="000A0E17" w:rsidP="00F90D3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9A52416" w14:textId="77777777" w:rsidR="009B7B4A" w:rsidRPr="00BE1B62" w:rsidRDefault="009B7B4A" w:rsidP="00F90D39">
    <w:pPr>
      <w:pStyle w:val="Encabezado"/>
      <w:spacing w:after="0" w:line="240" w:lineRule="auto"/>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5876"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191"/>
      <w:gridCol w:w="2551"/>
    </w:tblGrid>
    <w:tr w:rsidR="00F90D39" w:rsidRPr="00C44422" w14:paraId="1D3DE10F" w14:textId="77777777" w:rsidTr="00F90D39">
      <w:trPr>
        <w:trHeight w:val="136"/>
        <w:jc w:val="center"/>
      </w:trPr>
      <w:sdt>
        <w:sdtPr>
          <w:rPr>
            <w:b/>
            <w:bCs/>
            <w:i/>
            <w:iCs/>
            <w:caps/>
            <w:color w:val="5F2987"/>
            <w:sz w:val="18"/>
            <w:szCs w:val="18"/>
          </w:rPr>
          <w:alias w:val="Title"/>
          <w:tag w:val=""/>
          <w:id w:val="60909303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49063E8" w14:textId="77777777" w:rsidR="00F90D39" w:rsidRPr="00C44422" w:rsidRDefault="00F90D39" w:rsidP="00F90D3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w:t>
              </w:r>
            </w:p>
          </w:tc>
        </w:sdtContent>
      </w:sdt>
      <w:tc>
        <w:tcPr>
          <w:tcW w:w="12191" w:type="dxa"/>
          <w:vAlign w:val="center"/>
        </w:tcPr>
        <w:sdt>
          <w:sdtPr>
            <w:rPr>
              <w:i/>
              <w:iCs/>
              <w:color w:val="5F2987"/>
              <w:sz w:val="18"/>
              <w:szCs w:val="18"/>
            </w:rPr>
            <w:alias w:val="Subject"/>
            <w:tag w:val=""/>
            <w:id w:val="1596897575"/>
            <w:dataBinding w:prefixMappings="xmlns:ns0='http://purl.org/dc/elements/1.1/' xmlns:ns1='http://schemas.openxmlformats.org/package/2006/metadata/core-properties' " w:xpath="/ns1:coreProperties[1]/ns0:subject[1]" w:storeItemID="{6C3C8BC8-F283-45AE-878A-BAB7291924A1}"/>
            <w:text/>
          </w:sdtPr>
          <w:sdtContent>
            <w:p w14:paraId="1255AF46" w14:textId="012A418E" w:rsidR="00F90D39" w:rsidRPr="00C44422" w:rsidRDefault="00E27C2C" w:rsidP="00F90D39">
              <w:pPr>
                <w:pStyle w:val="Encabezado"/>
                <w:spacing w:after="0"/>
                <w:ind w:right="-110"/>
                <w:contextualSpacing/>
                <w:jc w:val="center"/>
                <w:rPr>
                  <w:i/>
                  <w:iCs/>
                  <w:color w:val="5F2987"/>
                  <w:sz w:val="18"/>
                  <w:szCs w:val="18"/>
                </w:rPr>
              </w:pPr>
              <w:r>
                <w:rPr>
                  <w:i/>
                  <w:iCs/>
                  <w:color w:val="5F2987"/>
                  <w:sz w:val="18"/>
                  <w:szCs w:val="18"/>
                </w:rPr>
                <w:t>La información financiera de las empresas: estados de situación y de circulación. Métodos de análisis económico y financiero de la empresa.</w:t>
              </w:r>
            </w:p>
          </w:sdtContent>
        </w:sdt>
      </w:tc>
      <w:sdt>
        <w:sdtPr>
          <w:rPr>
            <w:b/>
            <w:bCs/>
            <w:i/>
            <w:iCs/>
            <w:color w:val="5F2987"/>
            <w:spacing w:val="-6"/>
            <w:sz w:val="18"/>
            <w:szCs w:val="18"/>
          </w:rPr>
          <w:alias w:val="Author"/>
          <w:tag w:val=""/>
          <w:id w:val="1738824731"/>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C31CACC" w14:textId="77777777" w:rsidR="00F90D39" w:rsidRPr="00C44422" w:rsidRDefault="00F90D39" w:rsidP="00F90D3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9EFB41E" w14:textId="77777777" w:rsidR="00F90D39" w:rsidRPr="00B70943" w:rsidRDefault="00F90D39" w:rsidP="00F90D39">
    <w:pPr>
      <w:pStyle w:val="Encabezado"/>
      <w:spacing w:after="0" w:line="240" w:lineRule="auto"/>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6018"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333"/>
      <w:gridCol w:w="2551"/>
    </w:tblGrid>
    <w:tr w:rsidR="00636FB6" w:rsidRPr="00C44422" w14:paraId="49EA0187" w14:textId="77777777" w:rsidTr="00636FB6">
      <w:trPr>
        <w:trHeight w:val="136"/>
        <w:jc w:val="center"/>
      </w:trPr>
      <w:sdt>
        <w:sdtPr>
          <w:rPr>
            <w:b/>
            <w:bCs/>
            <w:i/>
            <w:iCs/>
            <w:caps/>
            <w:color w:val="5F2987"/>
            <w:sz w:val="18"/>
            <w:szCs w:val="18"/>
          </w:rPr>
          <w:alias w:val="Title"/>
          <w:tag w:val=""/>
          <w:id w:val="-79607223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AF63C6C" w14:textId="1D20BC13" w:rsidR="00636FB6" w:rsidRPr="00C44422" w:rsidRDefault="00636FB6" w:rsidP="00F90D3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3.B.1</w:t>
              </w:r>
            </w:p>
          </w:tc>
        </w:sdtContent>
      </w:sdt>
      <w:tc>
        <w:tcPr>
          <w:tcW w:w="12333" w:type="dxa"/>
          <w:vAlign w:val="center"/>
        </w:tcPr>
        <w:sdt>
          <w:sdtPr>
            <w:rPr>
              <w:i/>
              <w:iCs/>
              <w:color w:val="5F2987"/>
              <w:sz w:val="18"/>
              <w:szCs w:val="18"/>
            </w:rPr>
            <w:alias w:val="Subject"/>
            <w:tag w:val=""/>
            <w:id w:val="-1501494439"/>
            <w:dataBinding w:prefixMappings="xmlns:ns0='http://purl.org/dc/elements/1.1/' xmlns:ns1='http://schemas.openxmlformats.org/package/2006/metadata/core-properties' " w:xpath="/ns1:coreProperties[1]/ns0:subject[1]" w:storeItemID="{6C3C8BC8-F283-45AE-878A-BAB7291924A1}"/>
            <w:text/>
          </w:sdtPr>
          <w:sdtContent>
            <w:p w14:paraId="6378D7FE" w14:textId="1E322B35" w:rsidR="00636FB6" w:rsidRPr="00C44422" w:rsidRDefault="00E27C2C" w:rsidP="00F90D39">
              <w:pPr>
                <w:pStyle w:val="Encabezado"/>
                <w:spacing w:after="0"/>
                <w:ind w:right="-110"/>
                <w:contextualSpacing/>
                <w:jc w:val="center"/>
                <w:rPr>
                  <w:i/>
                  <w:iCs/>
                  <w:color w:val="5F2987"/>
                  <w:sz w:val="18"/>
                  <w:szCs w:val="18"/>
                </w:rPr>
              </w:pPr>
              <w:r>
                <w:rPr>
                  <w:i/>
                  <w:iCs/>
                  <w:color w:val="5F2987"/>
                  <w:sz w:val="18"/>
                  <w:szCs w:val="18"/>
                </w:rPr>
                <w:t>La información financiera de las empresas: estados de situación y de circulación. Métodos de análisis económico y financiero de la empresa.</w:t>
              </w:r>
            </w:p>
          </w:sdtContent>
        </w:sdt>
      </w:tc>
      <w:sdt>
        <w:sdtPr>
          <w:rPr>
            <w:b/>
            <w:bCs/>
            <w:i/>
            <w:iCs/>
            <w:color w:val="5F2987"/>
            <w:spacing w:val="-6"/>
            <w:sz w:val="18"/>
            <w:szCs w:val="18"/>
          </w:rPr>
          <w:alias w:val="Author"/>
          <w:tag w:val=""/>
          <w:id w:val="-969197228"/>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E032688" w14:textId="77777777" w:rsidR="00636FB6" w:rsidRPr="00C44422" w:rsidRDefault="00636FB6" w:rsidP="00F90D3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7F9187FE" w14:textId="77777777" w:rsidR="000A0E17" w:rsidRPr="00BE1B62" w:rsidRDefault="000A0E17" w:rsidP="00F90D39">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A2889"/>
    <w:multiLevelType w:val="hybridMultilevel"/>
    <w:tmpl w:val="ED184A1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0B5C4E"/>
    <w:multiLevelType w:val="hybridMultilevel"/>
    <w:tmpl w:val="8B42DD7A"/>
    <w:lvl w:ilvl="0" w:tplc="EC10A2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0AAC1D5B"/>
    <w:multiLevelType w:val="hybridMultilevel"/>
    <w:tmpl w:val="9E9A1B58"/>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27B2664"/>
    <w:multiLevelType w:val="hybridMultilevel"/>
    <w:tmpl w:val="F47AB7AE"/>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6A26B24"/>
    <w:multiLevelType w:val="hybridMultilevel"/>
    <w:tmpl w:val="FECA519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DE34BF4"/>
    <w:multiLevelType w:val="hybridMultilevel"/>
    <w:tmpl w:val="2D64A686"/>
    <w:lvl w:ilvl="0" w:tplc="B8CE5E8E">
      <w:numFmt w:val="bullet"/>
      <w:lvlText w:val="-"/>
      <w:lvlJc w:val="left"/>
      <w:pPr>
        <w:ind w:left="502" w:hanging="360"/>
      </w:pPr>
      <w:rPr>
        <w:rFonts w:ascii="Times New Roman" w:eastAsia="Calibri" w:hAnsi="Times New Roman" w:cs="Times New Roman" w:hint="default"/>
      </w:rPr>
    </w:lvl>
    <w:lvl w:ilvl="1" w:tplc="9DE862A6">
      <w:numFmt w:val="bullet"/>
      <w:lvlText w:val="o"/>
      <w:lvlJc w:val="left"/>
      <w:pPr>
        <w:ind w:left="1920" w:hanging="360"/>
      </w:pPr>
      <w:rPr>
        <w:rFonts w:ascii="Courier New" w:hAnsi="Courier New"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FD42700">
      <w:start w:val="1"/>
      <w:numFmt w:val="decimal"/>
      <w:lvlText w:val="%3."/>
      <w:lvlJc w:val="left"/>
      <w:pPr>
        <w:ind w:left="5606" w:hanging="360"/>
      </w:pPr>
      <w:rPr>
        <w:rFonts w:ascii="Times New Roman" w:eastAsia="Calibri" w:hAnsi="Times New Roman" w:cs="Times New Roman" w:hint="default"/>
        <w:b w:val="0"/>
        <w:sz w:val="14"/>
        <w:szCs w:val="14"/>
      </w:rPr>
    </w:lvl>
    <w:lvl w:ilvl="3" w:tplc="0C0A0001">
      <w:start w:val="1"/>
      <w:numFmt w:val="bullet"/>
      <w:lvlText w:val=""/>
      <w:lvlJc w:val="left"/>
      <w:pPr>
        <w:ind w:left="2662" w:hanging="360"/>
      </w:pPr>
      <w:rPr>
        <w:rFonts w:ascii="Symbol" w:hAnsi="Symbol" w:hint="default"/>
      </w:rPr>
    </w:lvl>
    <w:lvl w:ilvl="4" w:tplc="98265502">
      <w:start w:val="1"/>
      <w:numFmt w:val="decimal"/>
      <w:lvlText w:val="%5."/>
      <w:lvlJc w:val="left"/>
      <w:pPr>
        <w:ind w:left="928" w:hanging="360"/>
      </w:pPr>
      <w:rPr>
        <w:rFonts w:hint="default"/>
        <w:b w:val="0"/>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pStyle w:val="Letras"/>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8" w15:restartNumberingAfterBreak="0">
    <w:nsid w:val="1E501C65"/>
    <w:multiLevelType w:val="hybridMultilevel"/>
    <w:tmpl w:val="07047BE8"/>
    <w:lvl w:ilvl="0" w:tplc="966A04F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6485064"/>
    <w:multiLevelType w:val="hybridMultilevel"/>
    <w:tmpl w:val="D5769EE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2" w15:restartNumberingAfterBreak="0">
    <w:nsid w:val="2D820C2F"/>
    <w:multiLevelType w:val="hybridMultilevel"/>
    <w:tmpl w:val="3D6A5F0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30914EB"/>
    <w:multiLevelType w:val="hybridMultilevel"/>
    <w:tmpl w:val="7FE01E14"/>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37D040A"/>
    <w:multiLevelType w:val="hybridMultilevel"/>
    <w:tmpl w:val="E3608416"/>
    <w:lvl w:ilvl="0" w:tplc="B32C47E8">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57D30BA"/>
    <w:multiLevelType w:val="hybridMultilevel"/>
    <w:tmpl w:val="280CA3B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40515B"/>
    <w:multiLevelType w:val="hybridMultilevel"/>
    <w:tmpl w:val="CF94E90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2F14743"/>
    <w:multiLevelType w:val="hybridMultilevel"/>
    <w:tmpl w:val="280CA3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1E0D8D"/>
    <w:multiLevelType w:val="hybridMultilevel"/>
    <w:tmpl w:val="82CEAC3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9E51AC6"/>
    <w:multiLevelType w:val="hybridMultilevel"/>
    <w:tmpl w:val="45C622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0BF7BEB"/>
    <w:multiLevelType w:val="hybridMultilevel"/>
    <w:tmpl w:val="7E4EDCA0"/>
    <w:lvl w:ilvl="0" w:tplc="5EC42284">
      <w:start w:val="1"/>
      <w:numFmt w:val="lowerRoman"/>
      <w:lvlText w:val="%1)"/>
      <w:lvlJc w:val="lef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4" w15:restartNumberingAfterBreak="0">
    <w:nsid w:val="701A6BBD"/>
    <w:multiLevelType w:val="hybridMultilevel"/>
    <w:tmpl w:val="454A76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9A0191"/>
    <w:multiLevelType w:val="hybridMultilevel"/>
    <w:tmpl w:val="31FC18F2"/>
    <w:lvl w:ilvl="0" w:tplc="67A0F33A">
      <w:start w:val="1"/>
      <w:numFmt w:val="lowerRoman"/>
      <w:lvlText w:val="%1)"/>
      <w:lvlJc w:val="lef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0FD624F"/>
    <w:multiLevelType w:val="hybridMultilevel"/>
    <w:tmpl w:val="4CE09B0E"/>
    <w:lvl w:ilvl="0" w:tplc="DAE05114">
      <w:start w:val="1"/>
      <w:numFmt w:val="lowerRoman"/>
      <w:lvlText w:val="%1)"/>
      <w:lvlJc w:val="lef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24B6B04"/>
    <w:multiLevelType w:val="hybridMultilevel"/>
    <w:tmpl w:val="8C0080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40F24FD"/>
    <w:multiLevelType w:val="hybridMultilevel"/>
    <w:tmpl w:val="16B2E8F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B886490"/>
    <w:multiLevelType w:val="hybridMultilevel"/>
    <w:tmpl w:val="49B07D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CC851AF"/>
    <w:multiLevelType w:val="hybridMultilevel"/>
    <w:tmpl w:val="0D9695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03530964">
    <w:abstractNumId w:val="2"/>
  </w:num>
  <w:num w:numId="2" w16cid:durableId="935408042">
    <w:abstractNumId w:val="29"/>
  </w:num>
  <w:num w:numId="3" w16cid:durableId="1244413301">
    <w:abstractNumId w:val="10"/>
  </w:num>
  <w:num w:numId="4" w16cid:durableId="109975120">
    <w:abstractNumId w:val="23"/>
  </w:num>
  <w:num w:numId="5" w16cid:durableId="385837043">
    <w:abstractNumId w:val="11"/>
  </w:num>
  <w:num w:numId="6" w16cid:durableId="413085589">
    <w:abstractNumId w:val="19"/>
  </w:num>
  <w:num w:numId="7" w16cid:durableId="1709452500">
    <w:abstractNumId w:val="5"/>
  </w:num>
  <w:num w:numId="8" w16cid:durableId="1706953173">
    <w:abstractNumId w:val="13"/>
  </w:num>
  <w:num w:numId="9" w16cid:durableId="122040830">
    <w:abstractNumId w:val="3"/>
  </w:num>
  <w:num w:numId="10" w16cid:durableId="1214342355">
    <w:abstractNumId w:val="9"/>
  </w:num>
  <w:num w:numId="11" w16cid:durableId="868224789">
    <w:abstractNumId w:val="26"/>
  </w:num>
  <w:num w:numId="12" w16cid:durableId="545534323">
    <w:abstractNumId w:val="16"/>
  </w:num>
  <w:num w:numId="13" w16cid:durableId="1126703219">
    <w:abstractNumId w:val="31"/>
  </w:num>
  <w:num w:numId="14" w16cid:durableId="943927622">
    <w:abstractNumId w:val="12"/>
  </w:num>
  <w:num w:numId="15" w16cid:durableId="1631353817">
    <w:abstractNumId w:val="4"/>
  </w:num>
  <w:num w:numId="16" w16cid:durableId="2063284281">
    <w:abstractNumId w:val="27"/>
  </w:num>
  <w:num w:numId="17" w16cid:durableId="1389497420">
    <w:abstractNumId w:val="6"/>
  </w:num>
  <w:num w:numId="18" w16cid:durableId="1424953775">
    <w:abstractNumId w:val="14"/>
  </w:num>
  <w:num w:numId="19" w16cid:durableId="1084497529">
    <w:abstractNumId w:val="8"/>
  </w:num>
  <w:num w:numId="20" w16cid:durableId="1890678002">
    <w:abstractNumId w:val="21"/>
  </w:num>
  <w:num w:numId="21" w16cid:durableId="1440224684">
    <w:abstractNumId w:val="15"/>
  </w:num>
  <w:num w:numId="22" w16cid:durableId="714545651">
    <w:abstractNumId w:val="24"/>
  </w:num>
  <w:num w:numId="23" w16cid:durableId="23791321">
    <w:abstractNumId w:val="1"/>
  </w:num>
  <w:num w:numId="24" w16cid:durableId="489098851">
    <w:abstractNumId w:val="7"/>
  </w:num>
  <w:num w:numId="25" w16cid:durableId="583224601">
    <w:abstractNumId w:val="28"/>
  </w:num>
  <w:num w:numId="26" w16cid:durableId="293558325">
    <w:abstractNumId w:val="17"/>
  </w:num>
  <w:num w:numId="27" w16cid:durableId="246229854">
    <w:abstractNumId w:val="0"/>
  </w:num>
  <w:num w:numId="28" w16cid:durableId="914052886">
    <w:abstractNumId w:val="20"/>
  </w:num>
  <w:num w:numId="29" w16cid:durableId="1204290534">
    <w:abstractNumId w:val="18"/>
  </w:num>
  <w:num w:numId="30" w16cid:durableId="1821925345">
    <w:abstractNumId w:val="25"/>
  </w:num>
  <w:num w:numId="31" w16cid:durableId="1177033912">
    <w:abstractNumId w:val="30"/>
  </w:num>
  <w:num w:numId="32" w16cid:durableId="307520786">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8D5"/>
    <w:rsid w:val="000002B3"/>
    <w:rsid w:val="00002579"/>
    <w:rsid w:val="0000263B"/>
    <w:rsid w:val="00010BB0"/>
    <w:rsid w:val="0001776B"/>
    <w:rsid w:val="0002313A"/>
    <w:rsid w:val="0002549F"/>
    <w:rsid w:val="00026AD7"/>
    <w:rsid w:val="00031D43"/>
    <w:rsid w:val="00032336"/>
    <w:rsid w:val="00044055"/>
    <w:rsid w:val="0004475E"/>
    <w:rsid w:val="0006593D"/>
    <w:rsid w:val="00072A47"/>
    <w:rsid w:val="00073657"/>
    <w:rsid w:val="00082073"/>
    <w:rsid w:val="00091E89"/>
    <w:rsid w:val="00097DA8"/>
    <w:rsid w:val="000A07DB"/>
    <w:rsid w:val="000A0C66"/>
    <w:rsid w:val="000A0E17"/>
    <w:rsid w:val="000A2865"/>
    <w:rsid w:val="000A3137"/>
    <w:rsid w:val="000B4DE4"/>
    <w:rsid w:val="000C1A4D"/>
    <w:rsid w:val="000C1D10"/>
    <w:rsid w:val="000C4602"/>
    <w:rsid w:val="000D3531"/>
    <w:rsid w:val="000D3AF2"/>
    <w:rsid w:val="000D5CC1"/>
    <w:rsid w:val="000E3517"/>
    <w:rsid w:val="000F0829"/>
    <w:rsid w:val="000F6B65"/>
    <w:rsid w:val="001016B8"/>
    <w:rsid w:val="00101835"/>
    <w:rsid w:val="001029D5"/>
    <w:rsid w:val="00103B5E"/>
    <w:rsid w:val="00106342"/>
    <w:rsid w:val="00107A10"/>
    <w:rsid w:val="00124302"/>
    <w:rsid w:val="001255B3"/>
    <w:rsid w:val="00147600"/>
    <w:rsid w:val="0015013E"/>
    <w:rsid w:val="00150A26"/>
    <w:rsid w:val="00152D28"/>
    <w:rsid w:val="00154963"/>
    <w:rsid w:val="00160C77"/>
    <w:rsid w:val="00161E21"/>
    <w:rsid w:val="0016795D"/>
    <w:rsid w:val="0018689A"/>
    <w:rsid w:val="001869B6"/>
    <w:rsid w:val="00193116"/>
    <w:rsid w:val="00194892"/>
    <w:rsid w:val="001957CC"/>
    <w:rsid w:val="001A1EB3"/>
    <w:rsid w:val="001A3312"/>
    <w:rsid w:val="001A7BC6"/>
    <w:rsid w:val="001C2D6D"/>
    <w:rsid w:val="001C6B0E"/>
    <w:rsid w:val="001C6D00"/>
    <w:rsid w:val="001E1089"/>
    <w:rsid w:val="001E3608"/>
    <w:rsid w:val="001F18FF"/>
    <w:rsid w:val="001F3902"/>
    <w:rsid w:val="002054C6"/>
    <w:rsid w:val="002151F3"/>
    <w:rsid w:val="002174C9"/>
    <w:rsid w:val="0021754E"/>
    <w:rsid w:val="0021774E"/>
    <w:rsid w:val="00223581"/>
    <w:rsid w:val="00226F84"/>
    <w:rsid w:val="00231C33"/>
    <w:rsid w:val="002325B0"/>
    <w:rsid w:val="002416BA"/>
    <w:rsid w:val="00250D5C"/>
    <w:rsid w:val="00254714"/>
    <w:rsid w:val="00260B9C"/>
    <w:rsid w:val="00263CFF"/>
    <w:rsid w:val="00265A1B"/>
    <w:rsid w:val="00266F3F"/>
    <w:rsid w:val="002756C0"/>
    <w:rsid w:val="00283986"/>
    <w:rsid w:val="00284584"/>
    <w:rsid w:val="002857AD"/>
    <w:rsid w:val="00285F4B"/>
    <w:rsid w:val="0029255D"/>
    <w:rsid w:val="00294AD7"/>
    <w:rsid w:val="002951EE"/>
    <w:rsid w:val="0029551C"/>
    <w:rsid w:val="00295F46"/>
    <w:rsid w:val="002A1386"/>
    <w:rsid w:val="002A17D0"/>
    <w:rsid w:val="002A3679"/>
    <w:rsid w:val="002A7603"/>
    <w:rsid w:val="002B1412"/>
    <w:rsid w:val="002B3EE1"/>
    <w:rsid w:val="002B4325"/>
    <w:rsid w:val="002B5FCD"/>
    <w:rsid w:val="002C6439"/>
    <w:rsid w:val="002E0C48"/>
    <w:rsid w:val="002E5F5F"/>
    <w:rsid w:val="002F2740"/>
    <w:rsid w:val="002F5A81"/>
    <w:rsid w:val="002F7FA3"/>
    <w:rsid w:val="00302A0E"/>
    <w:rsid w:val="003055D5"/>
    <w:rsid w:val="00307C23"/>
    <w:rsid w:val="0031762E"/>
    <w:rsid w:val="00342648"/>
    <w:rsid w:val="00344C2F"/>
    <w:rsid w:val="00347FC3"/>
    <w:rsid w:val="003554B9"/>
    <w:rsid w:val="00357B8F"/>
    <w:rsid w:val="00363CA2"/>
    <w:rsid w:val="003739F7"/>
    <w:rsid w:val="00373DF1"/>
    <w:rsid w:val="003744DA"/>
    <w:rsid w:val="00376522"/>
    <w:rsid w:val="003770AA"/>
    <w:rsid w:val="0038048E"/>
    <w:rsid w:val="003834F0"/>
    <w:rsid w:val="003847B1"/>
    <w:rsid w:val="003A3A0D"/>
    <w:rsid w:val="003B04F7"/>
    <w:rsid w:val="003B3819"/>
    <w:rsid w:val="003D28EC"/>
    <w:rsid w:val="003E1A28"/>
    <w:rsid w:val="003E77BB"/>
    <w:rsid w:val="003F529B"/>
    <w:rsid w:val="004005AD"/>
    <w:rsid w:val="004048D5"/>
    <w:rsid w:val="00405D38"/>
    <w:rsid w:val="00417327"/>
    <w:rsid w:val="0042079B"/>
    <w:rsid w:val="004253B3"/>
    <w:rsid w:val="004263AB"/>
    <w:rsid w:val="00431AE3"/>
    <w:rsid w:val="00431DFE"/>
    <w:rsid w:val="00432275"/>
    <w:rsid w:val="00435CCB"/>
    <w:rsid w:val="004433DB"/>
    <w:rsid w:val="004439D0"/>
    <w:rsid w:val="004445E7"/>
    <w:rsid w:val="004464AC"/>
    <w:rsid w:val="00447376"/>
    <w:rsid w:val="00447C0F"/>
    <w:rsid w:val="00454784"/>
    <w:rsid w:val="004567F5"/>
    <w:rsid w:val="004669EE"/>
    <w:rsid w:val="00481CE8"/>
    <w:rsid w:val="00481E21"/>
    <w:rsid w:val="004854D2"/>
    <w:rsid w:val="00490EB0"/>
    <w:rsid w:val="00493251"/>
    <w:rsid w:val="004969AA"/>
    <w:rsid w:val="004A1261"/>
    <w:rsid w:val="004A1DAE"/>
    <w:rsid w:val="004A3FFE"/>
    <w:rsid w:val="004A4F1A"/>
    <w:rsid w:val="004A519F"/>
    <w:rsid w:val="004A6BE1"/>
    <w:rsid w:val="004B58C2"/>
    <w:rsid w:val="004B6D04"/>
    <w:rsid w:val="004C05C9"/>
    <w:rsid w:val="004C0C34"/>
    <w:rsid w:val="004C0D84"/>
    <w:rsid w:val="004C433A"/>
    <w:rsid w:val="004C465C"/>
    <w:rsid w:val="004C4F81"/>
    <w:rsid w:val="004C5DE5"/>
    <w:rsid w:val="004D4D67"/>
    <w:rsid w:val="004D54A8"/>
    <w:rsid w:val="004E5E13"/>
    <w:rsid w:val="004E62AB"/>
    <w:rsid w:val="004F18BA"/>
    <w:rsid w:val="004F4D2A"/>
    <w:rsid w:val="00502A72"/>
    <w:rsid w:val="00510D25"/>
    <w:rsid w:val="00510FB5"/>
    <w:rsid w:val="005120E6"/>
    <w:rsid w:val="005172B5"/>
    <w:rsid w:val="0052273D"/>
    <w:rsid w:val="005231B2"/>
    <w:rsid w:val="00526B45"/>
    <w:rsid w:val="00533457"/>
    <w:rsid w:val="0053514A"/>
    <w:rsid w:val="00536EFA"/>
    <w:rsid w:val="00540561"/>
    <w:rsid w:val="00542076"/>
    <w:rsid w:val="00550E4F"/>
    <w:rsid w:val="00554E7A"/>
    <w:rsid w:val="00555190"/>
    <w:rsid w:val="00556F6E"/>
    <w:rsid w:val="00557562"/>
    <w:rsid w:val="0057307F"/>
    <w:rsid w:val="00575662"/>
    <w:rsid w:val="00580F59"/>
    <w:rsid w:val="005816CD"/>
    <w:rsid w:val="00594683"/>
    <w:rsid w:val="005A0192"/>
    <w:rsid w:val="005A01A0"/>
    <w:rsid w:val="005A58AD"/>
    <w:rsid w:val="005B4901"/>
    <w:rsid w:val="005B4FE2"/>
    <w:rsid w:val="005C131B"/>
    <w:rsid w:val="005C614E"/>
    <w:rsid w:val="005C6B98"/>
    <w:rsid w:val="005C7656"/>
    <w:rsid w:val="005D7E1C"/>
    <w:rsid w:val="005E2D7D"/>
    <w:rsid w:val="005E38F4"/>
    <w:rsid w:val="005E53B9"/>
    <w:rsid w:val="005E7105"/>
    <w:rsid w:val="005F0C11"/>
    <w:rsid w:val="00602888"/>
    <w:rsid w:val="0060383C"/>
    <w:rsid w:val="0060664A"/>
    <w:rsid w:val="00606E13"/>
    <w:rsid w:val="0060765E"/>
    <w:rsid w:val="006116E1"/>
    <w:rsid w:val="00615821"/>
    <w:rsid w:val="006225DE"/>
    <w:rsid w:val="00626495"/>
    <w:rsid w:val="00630D0B"/>
    <w:rsid w:val="006355A5"/>
    <w:rsid w:val="00636938"/>
    <w:rsid w:val="00636FB6"/>
    <w:rsid w:val="00637136"/>
    <w:rsid w:val="006478C6"/>
    <w:rsid w:val="00651CB4"/>
    <w:rsid w:val="0065657E"/>
    <w:rsid w:val="006574C9"/>
    <w:rsid w:val="00662315"/>
    <w:rsid w:val="00662BCE"/>
    <w:rsid w:val="00663C2C"/>
    <w:rsid w:val="00664D5D"/>
    <w:rsid w:val="00671E94"/>
    <w:rsid w:val="00680464"/>
    <w:rsid w:val="00680642"/>
    <w:rsid w:val="00681226"/>
    <w:rsid w:val="006841AA"/>
    <w:rsid w:val="00684229"/>
    <w:rsid w:val="0068426C"/>
    <w:rsid w:val="00685668"/>
    <w:rsid w:val="006864DD"/>
    <w:rsid w:val="006915A4"/>
    <w:rsid w:val="006926D9"/>
    <w:rsid w:val="00692D39"/>
    <w:rsid w:val="00693B21"/>
    <w:rsid w:val="00693E74"/>
    <w:rsid w:val="006A4DAE"/>
    <w:rsid w:val="006B0E71"/>
    <w:rsid w:val="006C0347"/>
    <w:rsid w:val="006C3932"/>
    <w:rsid w:val="006C5B35"/>
    <w:rsid w:val="006C69B3"/>
    <w:rsid w:val="006C6E0B"/>
    <w:rsid w:val="006D6935"/>
    <w:rsid w:val="006E1CC7"/>
    <w:rsid w:val="006E3C27"/>
    <w:rsid w:val="007036EB"/>
    <w:rsid w:val="00706C98"/>
    <w:rsid w:val="007077B2"/>
    <w:rsid w:val="0071618E"/>
    <w:rsid w:val="00720EFD"/>
    <w:rsid w:val="00723B76"/>
    <w:rsid w:val="00726807"/>
    <w:rsid w:val="00734349"/>
    <w:rsid w:val="00741B8A"/>
    <w:rsid w:val="00744278"/>
    <w:rsid w:val="00755A7D"/>
    <w:rsid w:val="00756B68"/>
    <w:rsid w:val="00764940"/>
    <w:rsid w:val="007703F7"/>
    <w:rsid w:val="00773B0F"/>
    <w:rsid w:val="007770BC"/>
    <w:rsid w:val="007827F3"/>
    <w:rsid w:val="007868A8"/>
    <w:rsid w:val="007869E0"/>
    <w:rsid w:val="00787DDC"/>
    <w:rsid w:val="00793943"/>
    <w:rsid w:val="007968D4"/>
    <w:rsid w:val="007A52E1"/>
    <w:rsid w:val="007B78B8"/>
    <w:rsid w:val="007D4E06"/>
    <w:rsid w:val="007D7B56"/>
    <w:rsid w:val="007E4A7C"/>
    <w:rsid w:val="007E4C88"/>
    <w:rsid w:val="007F5283"/>
    <w:rsid w:val="00805E5F"/>
    <w:rsid w:val="00811097"/>
    <w:rsid w:val="00812700"/>
    <w:rsid w:val="008142B0"/>
    <w:rsid w:val="0081544B"/>
    <w:rsid w:val="008233F9"/>
    <w:rsid w:val="00823710"/>
    <w:rsid w:val="00824D3D"/>
    <w:rsid w:val="008274D7"/>
    <w:rsid w:val="00827955"/>
    <w:rsid w:val="00827B1C"/>
    <w:rsid w:val="00832BC1"/>
    <w:rsid w:val="00837B5A"/>
    <w:rsid w:val="0084464E"/>
    <w:rsid w:val="00850BF6"/>
    <w:rsid w:val="008533E3"/>
    <w:rsid w:val="00856B1C"/>
    <w:rsid w:val="00856C38"/>
    <w:rsid w:val="008653F0"/>
    <w:rsid w:val="00873523"/>
    <w:rsid w:val="008762F1"/>
    <w:rsid w:val="008764F9"/>
    <w:rsid w:val="00880683"/>
    <w:rsid w:val="00882DD5"/>
    <w:rsid w:val="00887B29"/>
    <w:rsid w:val="008937DA"/>
    <w:rsid w:val="00895734"/>
    <w:rsid w:val="008A0FF1"/>
    <w:rsid w:val="008A75A3"/>
    <w:rsid w:val="008C0195"/>
    <w:rsid w:val="008C0743"/>
    <w:rsid w:val="008C4CF7"/>
    <w:rsid w:val="008D388E"/>
    <w:rsid w:val="008D435E"/>
    <w:rsid w:val="008E0999"/>
    <w:rsid w:val="008E2DA4"/>
    <w:rsid w:val="008E5500"/>
    <w:rsid w:val="008F13F0"/>
    <w:rsid w:val="008F2749"/>
    <w:rsid w:val="008F3C2B"/>
    <w:rsid w:val="008F4CB6"/>
    <w:rsid w:val="008F677F"/>
    <w:rsid w:val="009008C8"/>
    <w:rsid w:val="00900D26"/>
    <w:rsid w:val="00901B06"/>
    <w:rsid w:val="00903D4C"/>
    <w:rsid w:val="00907428"/>
    <w:rsid w:val="00907E3C"/>
    <w:rsid w:val="00910A5D"/>
    <w:rsid w:val="00913ACB"/>
    <w:rsid w:val="00915913"/>
    <w:rsid w:val="009161FE"/>
    <w:rsid w:val="00917EFB"/>
    <w:rsid w:val="00923D6A"/>
    <w:rsid w:val="00946226"/>
    <w:rsid w:val="009510FA"/>
    <w:rsid w:val="00960A1D"/>
    <w:rsid w:val="0096481D"/>
    <w:rsid w:val="00971031"/>
    <w:rsid w:val="00971219"/>
    <w:rsid w:val="009735B6"/>
    <w:rsid w:val="009808E2"/>
    <w:rsid w:val="00981A85"/>
    <w:rsid w:val="00981F11"/>
    <w:rsid w:val="00982BFC"/>
    <w:rsid w:val="00982D1A"/>
    <w:rsid w:val="00986F34"/>
    <w:rsid w:val="00994918"/>
    <w:rsid w:val="00996045"/>
    <w:rsid w:val="009A699D"/>
    <w:rsid w:val="009A75F3"/>
    <w:rsid w:val="009B1DF1"/>
    <w:rsid w:val="009B3EAA"/>
    <w:rsid w:val="009B7B4A"/>
    <w:rsid w:val="009B7CCA"/>
    <w:rsid w:val="009C5C63"/>
    <w:rsid w:val="009C61AF"/>
    <w:rsid w:val="009C69E8"/>
    <w:rsid w:val="009C7250"/>
    <w:rsid w:val="009C73C2"/>
    <w:rsid w:val="009D051D"/>
    <w:rsid w:val="009D5344"/>
    <w:rsid w:val="009E25C7"/>
    <w:rsid w:val="009E489B"/>
    <w:rsid w:val="009E4BAE"/>
    <w:rsid w:val="009E5E15"/>
    <w:rsid w:val="009E71EC"/>
    <w:rsid w:val="009F4E7B"/>
    <w:rsid w:val="009F5AC1"/>
    <w:rsid w:val="00A04349"/>
    <w:rsid w:val="00A116B6"/>
    <w:rsid w:val="00A15401"/>
    <w:rsid w:val="00A20BF3"/>
    <w:rsid w:val="00A234D9"/>
    <w:rsid w:val="00A31844"/>
    <w:rsid w:val="00A42628"/>
    <w:rsid w:val="00A42B58"/>
    <w:rsid w:val="00A443E0"/>
    <w:rsid w:val="00A449A9"/>
    <w:rsid w:val="00A45561"/>
    <w:rsid w:val="00A50542"/>
    <w:rsid w:val="00A51B24"/>
    <w:rsid w:val="00A54398"/>
    <w:rsid w:val="00A6505E"/>
    <w:rsid w:val="00A73A52"/>
    <w:rsid w:val="00A75E09"/>
    <w:rsid w:val="00A83F52"/>
    <w:rsid w:val="00AA1ED2"/>
    <w:rsid w:val="00AA35B4"/>
    <w:rsid w:val="00AA5863"/>
    <w:rsid w:val="00AC09F9"/>
    <w:rsid w:val="00AC16AC"/>
    <w:rsid w:val="00AC6A05"/>
    <w:rsid w:val="00AC6BA6"/>
    <w:rsid w:val="00AC7D7C"/>
    <w:rsid w:val="00AD3472"/>
    <w:rsid w:val="00AD472E"/>
    <w:rsid w:val="00AD4844"/>
    <w:rsid w:val="00AD576D"/>
    <w:rsid w:val="00AD5A8C"/>
    <w:rsid w:val="00AD60B0"/>
    <w:rsid w:val="00AF2B6D"/>
    <w:rsid w:val="00AF4F1E"/>
    <w:rsid w:val="00B0080A"/>
    <w:rsid w:val="00B0113F"/>
    <w:rsid w:val="00B04020"/>
    <w:rsid w:val="00B206CA"/>
    <w:rsid w:val="00B248BB"/>
    <w:rsid w:val="00B50D06"/>
    <w:rsid w:val="00B51A2F"/>
    <w:rsid w:val="00B52052"/>
    <w:rsid w:val="00B5570F"/>
    <w:rsid w:val="00B658D5"/>
    <w:rsid w:val="00B70943"/>
    <w:rsid w:val="00B70D49"/>
    <w:rsid w:val="00B74679"/>
    <w:rsid w:val="00B74E5D"/>
    <w:rsid w:val="00B75046"/>
    <w:rsid w:val="00B77C0F"/>
    <w:rsid w:val="00B9022F"/>
    <w:rsid w:val="00B91F0D"/>
    <w:rsid w:val="00B939A3"/>
    <w:rsid w:val="00B949A4"/>
    <w:rsid w:val="00B95C9E"/>
    <w:rsid w:val="00BA3A83"/>
    <w:rsid w:val="00BA659B"/>
    <w:rsid w:val="00BA7EB5"/>
    <w:rsid w:val="00BB47FF"/>
    <w:rsid w:val="00BC3C2A"/>
    <w:rsid w:val="00BD7839"/>
    <w:rsid w:val="00BE1B62"/>
    <w:rsid w:val="00BE3A8F"/>
    <w:rsid w:val="00BF0F0A"/>
    <w:rsid w:val="00BF2191"/>
    <w:rsid w:val="00BF50C7"/>
    <w:rsid w:val="00C07F39"/>
    <w:rsid w:val="00C11454"/>
    <w:rsid w:val="00C12941"/>
    <w:rsid w:val="00C148F8"/>
    <w:rsid w:val="00C14FB1"/>
    <w:rsid w:val="00C22D0F"/>
    <w:rsid w:val="00C27F0B"/>
    <w:rsid w:val="00C30654"/>
    <w:rsid w:val="00C30810"/>
    <w:rsid w:val="00C30B9E"/>
    <w:rsid w:val="00C30FC5"/>
    <w:rsid w:val="00C3253B"/>
    <w:rsid w:val="00C325BE"/>
    <w:rsid w:val="00C4210F"/>
    <w:rsid w:val="00C471BA"/>
    <w:rsid w:val="00C52FEE"/>
    <w:rsid w:val="00C55FD9"/>
    <w:rsid w:val="00C63905"/>
    <w:rsid w:val="00C66727"/>
    <w:rsid w:val="00C73466"/>
    <w:rsid w:val="00C77D54"/>
    <w:rsid w:val="00C804F7"/>
    <w:rsid w:val="00C81078"/>
    <w:rsid w:val="00C82425"/>
    <w:rsid w:val="00C83379"/>
    <w:rsid w:val="00C851DA"/>
    <w:rsid w:val="00C864D5"/>
    <w:rsid w:val="00CA1A7C"/>
    <w:rsid w:val="00CA6A8D"/>
    <w:rsid w:val="00CA6BEA"/>
    <w:rsid w:val="00CA7430"/>
    <w:rsid w:val="00CC0594"/>
    <w:rsid w:val="00CC11B8"/>
    <w:rsid w:val="00CC4CFC"/>
    <w:rsid w:val="00CC53F9"/>
    <w:rsid w:val="00CC605F"/>
    <w:rsid w:val="00CC69EE"/>
    <w:rsid w:val="00CC6BA6"/>
    <w:rsid w:val="00CD475F"/>
    <w:rsid w:val="00CD6EDF"/>
    <w:rsid w:val="00CD75B6"/>
    <w:rsid w:val="00CE01DE"/>
    <w:rsid w:val="00CE0351"/>
    <w:rsid w:val="00CE0A9F"/>
    <w:rsid w:val="00CE3923"/>
    <w:rsid w:val="00CE7571"/>
    <w:rsid w:val="00CF6BBD"/>
    <w:rsid w:val="00CF6FE1"/>
    <w:rsid w:val="00D00720"/>
    <w:rsid w:val="00D029FD"/>
    <w:rsid w:val="00D05D2C"/>
    <w:rsid w:val="00D1280F"/>
    <w:rsid w:val="00D149E0"/>
    <w:rsid w:val="00D1647A"/>
    <w:rsid w:val="00D17ACC"/>
    <w:rsid w:val="00D276F6"/>
    <w:rsid w:val="00D336DA"/>
    <w:rsid w:val="00D34916"/>
    <w:rsid w:val="00D40F17"/>
    <w:rsid w:val="00D43958"/>
    <w:rsid w:val="00D46D9A"/>
    <w:rsid w:val="00D479DC"/>
    <w:rsid w:val="00D53570"/>
    <w:rsid w:val="00D564BC"/>
    <w:rsid w:val="00D735C7"/>
    <w:rsid w:val="00D7609C"/>
    <w:rsid w:val="00D833A6"/>
    <w:rsid w:val="00D8366E"/>
    <w:rsid w:val="00D852AF"/>
    <w:rsid w:val="00D8567A"/>
    <w:rsid w:val="00D85F81"/>
    <w:rsid w:val="00D877E8"/>
    <w:rsid w:val="00DA0122"/>
    <w:rsid w:val="00DA5E29"/>
    <w:rsid w:val="00DA69E5"/>
    <w:rsid w:val="00DA723A"/>
    <w:rsid w:val="00DB3942"/>
    <w:rsid w:val="00DB4466"/>
    <w:rsid w:val="00DC117D"/>
    <w:rsid w:val="00DC6F40"/>
    <w:rsid w:val="00DE2A3C"/>
    <w:rsid w:val="00DE3A06"/>
    <w:rsid w:val="00DE43BA"/>
    <w:rsid w:val="00DE664B"/>
    <w:rsid w:val="00DF0C7F"/>
    <w:rsid w:val="00E0281D"/>
    <w:rsid w:val="00E05A5D"/>
    <w:rsid w:val="00E12674"/>
    <w:rsid w:val="00E14EF3"/>
    <w:rsid w:val="00E27C2C"/>
    <w:rsid w:val="00E27E0F"/>
    <w:rsid w:val="00E34762"/>
    <w:rsid w:val="00E43556"/>
    <w:rsid w:val="00E44FBB"/>
    <w:rsid w:val="00E5034D"/>
    <w:rsid w:val="00E50835"/>
    <w:rsid w:val="00E5587B"/>
    <w:rsid w:val="00E55897"/>
    <w:rsid w:val="00E6544F"/>
    <w:rsid w:val="00E66462"/>
    <w:rsid w:val="00E724F2"/>
    <w:rsid w:val="00E7253F"/>
    <w:rsid w:val="00E74483"/>
    <w:rsid w:val="00E7487F"/>
    <w:rsid w:val="00E76AB6"/>
    <w:rsid w:val="00E805E2"/>
    <w:rsid w:val="00E82CDF"/>
    <w:rsid w:val="00E83434"/>
    <w:rsid w:val="00E84AF1"/>
    <w:rsid w:val="00E84F28"/>
    <w:rsid w:val="00E87A44"/>
    <w:rsid w:val="00E91078"/>
    <w:rsid w:val="00E91E17"/>
    <w:rsid w:val="00E940DC"/>
    <w:rsid w:val="00E969DF"/>
    <w:rsid w:val="00EA1F37"/>
    <w:rsid w:val="00EB35D3"/>
    <w:rsid w:val="00EB6F50"/>
    <w:rsid w:val="00EB707E"/>
    <w:rsid w:val="00ED646B"/>
    <w:rsid w:val="00ED6486"/>
    <w:rsid w:val="00ED76AA"/>
    <w:rsid w:val="00ED7809"/>
    <w:rsid w:val="00EE5253"/>
    <w:rsid w:val="00EF6D90"/>
    <w:rsid w:val="00F018F3"/>
    <w:rsid w:val="00F0529E"/>
    <w:rsid w:val="00F0537E"/>
    <w:rsid w:val="00F14C38"/>
    <w:rsid w:val="00F17F8F"/>
    <w:rsid w:val="00F2467B"/>
    <w:rsid w:val="00F31E37"/>
    <w:rsid w:val="00F328E2"/>
    <w:rsid w:val="00F335FB"/>
    <w:rsid w:val="00F34F57"/>
    <w:rsid w:val="00F42FCF"/>
    <w:rsid w:val="00F45B1F"/>
    <w:rsid w:val="00F5179C"/>
    <w:rsid w:val="00F61382"/>
    <w:rsid w:val="00F67B68"/>
    <w:rsid w:val="00F70A32"/>
    <w:rsid w:val="00F71B3E"/>
    <w:rsid w:val="00F73F80"/>
    <w:rsid w:val="00F80933"/>
    <w:rsid w:val="00F810B2"/>
    <w:rsid w:val="00F81B3F"/>
    <w:rsid w:val="00F83386"/>
    <w:rsid w:val="00F86ACE"/>
    <w:rsid w:val="00F87AD1"/>
    <w:rsid w:val="00F901BE"/>
    <w:rsid w:val="00F90D39"/>
    <w:rsid w:val="00F919B8"/>
    <w:rsid w:val="00FA2F31"/>
    <w:rsid w:val="00FB305C"/>
    <w:rsid w:val="00FB379F"/>
    <w:rsid w:val="00FC3918"/>
    <w:rsid w:val="00FD0355"/>
    <w:rsid w:val="00FD095D"/>
    <w:rsid w:val="00FD30D0"/>
    <w:rsid w:val="00FD540F"/>
    <w:rsid w:val="00FD67E8"/>
    <w:rsid w:val="00FD7152"/>
    <w:rsid w:val="00FE0280"/>
    <w:rsid w:val="00FE0542"/>
    <w:rsid w:val="00FE6B60"/>
    <w:rsid w:val="00FE6F1A"/>
    <w:rsid w:val="00FF0353"/>
    <w:rsid w:val="00FF14C7"/>
    <w:rsid w:val="00FF2BEA"/>
    <w:rsid w:val="00FF525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E30E09"/>
  <w15:docId w15:val="{7E9B247C-6C97-488A-8CD1-FB12C3BE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ED2"/>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AA1ED2"/>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AA1ED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AA1ED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AA1ED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AA1ED2"/>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AA1ED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AA1ED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AA1ED2"/>
    <w:pPr>
      <w:ind w:left="993"/>
      <w:outlineLvl w:val="7"/>
    </w:pPr>
    <w:rPr>
      <w:color w:val="321547"/>
      <w:szCs w:val="22"/>
      <w:u w:val="dotDotDash"/>
    </w:rPr>
  </w:style>
  <w:style w:type="paragraph" w:styleId="Ttulo9">
    <w:name w:val="heading 9"/>
    <w:basedOn w:val="Ttulo8"/>
    <w:next w:val="Normal"/>
    <w:link w:val="Ttulo9Car"/>
    <w:uiPriority w:val="9"/>
    <w:unhideWhenUsed/>
    <w:qFormat/>
    <w:rsid w:val="00AA1ED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AA1ED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AA1ED2"/>
  </w:style>
  <w:style w:type="paragraph" w:styleId="Encabezado">
    <w:name w:val="header"/>
    <w:basedOn w:val="Normal"/>
    <w:link w:val="EncabezadoCar"/>
    <w:uiPriority w:val="99"/>
    <w:unhideWhenUsed/>
    <w:rsid w:val="00AA1ED2"/>
    <w:pPr>
      <w:tabs>
        <w:tab w:val="center" w:pos="4252"/>
        <w:tab w:val="right" w:pos="8504"/>
      </w:tabs>
    </w:pPr>
  </w:style>
  <w:style w:type="character" w:customStyle="1" w:styleId="HeaderChar">
    <w:name w:val="Header Char"/>
    <w:basedOn w:val="Fuentedeprrafopredeter"/>
    <w:uiPriority w:val="99"/>
    <w:rsid w:val="00AA1ED2"/>
    <w:rPr>
      <w:rFonts w:ascii="Garamond" w:hAnsi="Garamond"/>
      <w:lang w:val="es-ES"/>
    </w:rPr>
  </w:style>
  <w:style w:type="paragraph" w:styleId="Piedepgina">
    <w:name w:val="footer"/>
    <w:basedOn w:val="Normal"/>
    <w:link w:val="PiedepginaCar"/>
    <w:uiPriority w:val="99"/>
    <w:unhideWhenUsed/>
    <w:qFormat/>
    <w:rsid w:val="00F61382"/>
    <w:pPr>
      <w:tabs>
        <w:tab w:val="center" w:pos="4252"/>
        <w:tab w:val="right" w:pos="8504"/>
      </w:tabs>
      <w:spacing w:after="0" w:line="240" w:lineRule="auto"/>
    </w:pPr>
  </w:style>
  <w:style w:type="character" w:customStyle="1" w:styleId="FooterChar">
    <w:name w:val="Footer Char"/>
    <w:basedOn w:val="Fuentedeprrafopredeter"/>
    <w:uiPriority w:val="99"/>
    <w:rsid w:val="00AA1ED2"/>
    <w:rPr>
      <w:rFonts w:ascii="Garamond" w:hAnsi="Garamond"/>
      <w:lang w:val="es-ES"/>
    </w:rPr>
  </w:style>
  <w:style w:type="table" w:styleId="Tablaconcuadrcula">
    <w:name w:val="Table Grid"/>
    <w:basedOn w:val="Tablanormal"/>
    <w:uiPriority w:val="39"/>
    <w:rsid w:val="00AA1E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AA1ED2"/>
    <w:rPr>
      <w:color w:val="808080"/>
    </w:rPr>
  </w:style>
  <w:style w:type="paragraph" w:styleId="Ttulo">
    <w:name w:val="Title"/>
    <w:basedOn w:val="Normal"/>
    <w:next w:val="Normal"/>
    <w:link w:val="TtuloCar"/>
    <w:uiPriority w:val="10"/>
    <w:qFormat/>
    <w:rsid w:val="00AA1ED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AA1ED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AA1ED2"/>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AA1ED2"/>
    <w:pPr>
      <w:numPr>
        <w:ilvl w:val="1"/>
        <w:numId w:val="1"/>
      </w:numPr>
      <w:spacing w:after="100"/>
      <w:ind w:left="1049" w:hanging="198"/>
      <w:contextualSpacing/>
    </w:pPr>
  </w:style>
  <w:style w:type="character" w:customStyle="1" w:styleId="Heading2Char">
    <w:name w:val="Heading 2 Char"/>
    <w:basedOn w:val="Fuentedeprrafopredeter"/>
    <w:uiPriority w:val="9"/>
    <w:rsid w:val="00AA1ED2"/>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AA1ED2"/>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AA1ED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AA1ED2"/>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AA1ED2"/>
    <w:rPr>
      <w:color w:val="0563C1" w:themeColor="hyperlink"/>
      <w:u w:val="single"/>
    </w:rPr>
  </w:style>
  <w:style w:type="character" w:customStyle="1" w:styleId="Heading3Char">
    <w:name w:val="Heading 3 Char"/>
    <w:basedOn w:val="Fuentedeprrafopredeter"/>
    <w:uiPriority w:val="9"/>
    <w:rsid w:val="00AA1ED2"/>
    <w:rPr>
      <w:rFonts w:ascii="Garamond" w:hAnsi="Garamond"/>
      <w:i/>
      <w:iCs/>
      <w:color w:val="5F2987"/>
      <w:u w:val="single"/>
      <w:lang w:val="es-ES"/>
    </w:rPr>
  </w:style>
  <w:style w:type="paragraph" w:styleId="TDC3">
    <w:name w:val="toc 3"/>
    <w:basedOn w:val="Normal"/>
    <w:next w:val="FinTDC"/>
    <w:autoRedefine/>
    <w:uiPriority w:val="39"/>
    <w:unhideWhenUsed/>
    <w:rsid w:val="00AA1ED2"/>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AA1ED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AA1ED2"/>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AA1ED2"/>
    <w:rPr>
      <w:color w:val="FFFFFF" w:themeColor="text1" w:themeTint="80"/>
      <w:sz w:val="16"/>
    </w:rPr>
  </w:style>
  <w:style w:type="character" w:customStyle="1" w:styleId="NocantarChar">
    <w:name w:val="No cantar Char"/>
    <w:basedOn w:val="Fuentedeprrafopredeter"/>
    <w:link w:val="Nocantar"/>
    <w:rsid w:val="00AA1ED2"/>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AA1ED2"/>
    <w:pPr>
      <w:numPr>
        <w:numId w:val="0"/>
      </w:numPr>
      <w:ind w:firstLine="142"/>
    </w:pPr>
  </w:style>
  <w:style w:type="character" w:customStyle="1" w:styleId="IntroduccinyconclusinChar">
    <w:name w:val="Introducción y conclusión Char"/>
    <w:basedOn w:val="Ttulo1Car"/>
    <w:link w:val="Introduccinyconclusin"/>
    <w:rsid w:val="00AA1ED2"/>
    <w:rPr>
      <w:rFonts w:ascii="Palatino Linotype" w:hAnsi="Palatino Linotype"/>
      <w:b/>
      <w:bCs/>
      <w:caps/>
      <w:color w:val="E2EFD9" w:themeColor="accent6" w:themeTint="33"/>
      <w:shd w:val="clear" w:color="auto" w:fill="5F2987"/>
      <w:lang w:val="es-ES"/>
    </w:rPr>
  </w:style>
  <w:style w:type="character" w:customStyle="1" w:styleId="PiedepginaCar">
    <w:name w:val="Pie de página Car"/>
    <w:basedOn w:val="Fuentedeprrafopredeter"/>
    <w:link w:val="Piedepgina"/>
    <w:uiPriority w:val="99"/>
    <w:rsid w:val="00F61382"/>
    <w:rPr>
      <w:rFonts w:ascii="Palatino Linotype" w:hAnsi="Palatino Linotype"/>
      <w:lang w:val="es-ES"/>
    </w:rPr>
  </w:style>
  <w:style w:type="numbering" w:customStyle="1" w:styleId="Lista1">
    <w:name w:val="Lista1"/>
    <w:basedOn w:val="Sinlista"/>
    <w:uiPriority w:val="99"/>
    <w:rsid w:val="00AA1ED2"/>
    <w:pPr>
      <w:numPr>
        <w:numId w:val="3"/>
      </w:numPr>
    </w:pPr>
  </w:style>
  <w:style w:type="paragraph" w:customStyle="1" w:styleId="Nivel1">
    <w:name w:val="Nivel 1"/>
    <w:basedOn w:val="Normal"/>
    <w:qFormat/>
    <w:rsid w:val="00AA1ED2"/>
    <w:pPr>
      <w:numPr>
        <w:numId w:val="1"/>
      </w:numPr>
      <w:spacing w:before="100" w:after="100"/>
      <w:ind w:left="623" w:hanging="198"/>
    </w:pPr>
  </w:style>
  <w:style w:type="paragraph" w:customStyle="1" w:styleId="Nivel3">
    <w:name w:val="Nivel 3"/>
    <w:basedOn w:val="Nivel2"/>
    <w:link w:val="Nivel3Car"/>
    <w:qFormat/>
    <w:rsid w:val="00AA1ED2"/>
    <w:pPr>
      <w:numPr>
        <w:ilvl w:val="2"/>
      </w:numPr>
      <w:spacing w:after="0"/>
      <w:ind w:left="1474" w:hanging="198"/>
    </w:pPr>
  </w:style>
  <w:style w:type="paragraph" w:customStyle="1" w:styleId="Letra">
    <w:name w:val="Letra"/>
    <w:basedOn w:val="Nivel1"/>
    <w:qFormat/>
    <w:rsid w:val="00AA1ED2"/>
    <w:pPr>
      <w:numPr>
        <w:numId w:val="4"/>
      </w:numPr>
      <w:spacing w:before="0" w:after="40"/>
      <w:ind w:left="936" w:hanging="227"/>
    </w:pPr>
  </w:style>
  <w:style w:type="paragraph" w:customStyle="1" w:styleId="Nmero">
    <w:name w:val="Número"/>
    <w:basedOn w:val="Normal"/>
    <w:qFormat/>
    <w:rsid w:val="00AA1ED2"/>
    <w:pPr>
      <w:numPr>
        <w:numId w:val="5"/>
      </w:numPr>
      <w:spacing w:after="40"/>
      <w:ind w:left="936" w:hanging="227"/>
    </w:pPr>
  </w:style>
  <w:style w:type="paragraph" w:styleId="Textodeglobo">
    <w:name w:val="Balloon Text"/>
    <w:basedOn w:val="Normal"/>
    <w:link w:val="TextodegloboCar"/>
    <w:uiPriority w:val="99"/>
    <w:semiHidden/>
    <w:unhideWhenUsed/>
    <w:rsid w:val="00AA1ED2"/>
    <w:rPr>
      <w:rFonts w:ascii="Segoe UI" w:hAnsi="Segoe UI" w:cs="Segoe UI"/>
      <w:sz w:val="18"/>
      <w:szCs w:val="18"/>
    </w:rPr>
  </w:style>
  <w:style w:type="character" w:customStyle="1" w:styleId="BalloonTextChar">
    <w:name w:val="Balloon Text Char"/>
    <w:basedOn w:val="Fuentedeprrafopredeter"/>
    <w:uiPriority w:val="99"/>
    <w:semiHidden/>
    <w:rsid w:val="00AA1ED2"/>
    <w:rPr>
      <w:rFonts w:ascii="Segoe UI" w:hAnsi="Segoe UI" w:cs="Segoe UI"/>
      <w:sz w:val="18"/>
      <w:szCs w:val="18"/>
      <w:lang w:val="es-ES"/>
    </w:rPr>
  </w:style>
  <w:style w:type="paragraph" w:customStyle="1" w:styleId="Notaalopositor">
    <w:name w:val="Nota al opositor"/>
    <w:basedOn w:val="Normal"/>
    <w:link w:val="NotaalopositorChar"/>
    <w:qFormat/>
    <w:rsid w:val="00AA1ED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AA1ED2"/>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AA1ED2"/>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AA1ED2"/>
    <w:rPr>
      <w:rFonts w:ascii="Garamond" w:hAnsi="Garamond"/>
      <w:sz w:val="16"/>
      <w:szCs w:val="20"/>
      <w:lang w:val="es-ES"/>
    </w:rPr>
  </w:style>
  <w:style w:type="character" w:styleId="Refdenotaalpie">
    <w:name w:val="footnote reference"/>
    <w:basedOn w:val="Fuentedeprrafopredeter"/>
    <w:uiPriority w:val="99"/>
    <w:semiHidden/>
    <w:unhideWhenUsed/>
    <w:rsid w:val="00AA1ED2"/>
    <w:rPr>
      <w:vertAlign w:val="superscript"/>
    </w:rPr>
  </w:style>
  <w:style w:type="character" w:customStyle="1" w:styleId="Heading6Char">
    <w:name w:val="Heading 6 Char"/>
    <w:basedOn w:val="Fuentedeprrafopredeter"/>
    <w:uiPriority w:val="9"/>
    <w:semiHidden/>
    <w:rsid w:val="00AA1ED2"/>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AA1ED2"/>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AA1ED2"/>
    <w:rPr>
      <w:rFonts w:ascii="Garamond" w:eastAsiaTheme="minorEastAsia" w:hAnsi="Garamond"/>
      <w:smallCaps/>
      <w:color w:val="FFFFFF" w:themeColor="text1" w:themeTint="A5"/>
      <w:lang w:val="es-ES"/>
    </w:rPr>
  </w:style>
  <w:style w:type="paragraph" w:customStyle="1" w:styleId="Nivel1SM">
    <w:name w:val="Nivel 1 SM"/>
    <w:basedOn w:val="Nivel1"/>
    <w:qFormat/>
    <w:rsid w:val="00AA1ED2"/>
    <w:pPr>
      <w:ind w:left="0"/>
    </w:pPr>
  </w:style>
  <w:style w:type="paragraph" w:customStyle="1" w:styleId="Nivel2SM">
    <w:name w:val="Nivel 2 SM"/>
    <w:basedOn w:val="Nivel2"/>
    <w:qFormat/>
    <w:rsid w:val="00AA1ED2"/>
    <w:pPr>
      <w:ind w:left="567"/>
    </w:pPr>
  </w:style>
  <w:style w:type="paragraph" w:customStyle="1" w:styleId="Nivel3SM">
    <w:name w:val="Nivel 3 SM"/>
    <w:basedOn w:val="Nivel3"/>
    <w:qFormat/>
    <w:rsid w:val="00AA1ED2"/>
    <w:pPr>
      <w:ind w:left="963"/>
    </w:pPr>
  </w:style>
  <w:style w:type="paragraph" w:styleId="Encabezadodelista">
    <w:name w:val="toa heading"/>
    <w:basedOn w:val="Normal"/>
    <w:next w:val="Normal"/>
    <w:uiPriority w:val="99"/>
    <w:semiHidden/>
    <w:unhideWhenUsed/>
    <w:rsid w:val="00AA1ED2"/>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AA1ED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AA1ED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AA1ED2"/>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AA1ED2"/>
    <w:rPr>
      <w:rFonts w:ascii="Palatino Linotype" w:hAnsi="Palatino Linotype"/>
      <w:lang w:val="es-ES"/>
    </w:rPr>
  </w:style>
  <w:style w:type="character" w:customStyle="1" w:styleId="TtuloCar">
    <w:name w:val="Título Car"/>
    <w:basedOn w:val="Fuentedeprrafopredeter"/>
    <w:link w:val="Ttulo"/>
    <w:uiPriority w:val="10"/>
    <w:rsid w:val="00AA1ED2"/>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AA1ED2"/>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AA1ED2"/>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AA1ED2"/>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AA1ED2"/>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AA1ED2"/>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AA1ED2"/>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AA1ED2"/>
    <w:rPr>
      <w:rFonts w:ascii="Palatino Linotype" w:hAnsi="Palatino Linotype"/>
      <w:sz w:val="16"/>
      <w:szCs w:val="20"/>
      <w:lang w:val="es-ES"/>
    </w:rPr>
  </w:style>
  <w:style w:type="character" w:customStyle="1" w:styleId="Ttulo6Car">
    <w:name w:val="Título 6 Car"/>
    <w:basedOn w:val="Fuentedeprrafopredeter"/>
    <w:link w:val="Ttulo6"/>
    <w:uiPriority w:val="9"/>
    <w:rsid w:val="00AA1ED2"/>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AA1ED2"/>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AA1ED2"/>
    <w:rPr>
      <w:color w:val="605E5C"/>
      <w:shd w:val="clear" w:color="auto" w:fill="E1DFDD"/>
    </w:rPr>
  </w:style>
  <w:style w:type="character" w:customStyle="1" w:styleId="Ttulo7Car">
    <w:name w:val="Título 7 Car"/>
    <w:basedOn w:val="Fuentedeprrafopredeter"/>
    <w:link w:val="Ttulo7"/>
    <w:uiPriority w:val="9"/>
    <w:rsid w:val="00AA1ED2"/>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AA1ED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AA1ED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AA1ED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AA1ED2"/>
    <w:rPr>
      <w:rFonts w:ascii="Palatino Linotype" w:hAnsi="Palatino Linotype"/>
      <w:iCs/>
      <w:noProof/>
      <w:color w:val="171717" w:themeColor="background2" w:themeShade="1A"/>
      <w:sz w:val="20"/>
      <w:szCs w:val="20"/>
      <w:lang w:val="es-ES"/>
    </w:rPr>
  </w:style>
  <w:style w:type="character" w:styleId="Hipervnculovisitado">
    <w:name w:val="FollowedHyperlink"/>
    <w:basedOn w:val="Fuentedeprrafopredeter"/>
    <w:uiPriority w:val="99"/>
    <w:semiHidden/>
    <w:unhideWhenUsed/>
    <w:rsid w:val="00996045"/>
    <w:rPr>
      <w:color w:val="954F72" w:themeColor="followedHyperlink"/>
      <w:u w:val="single"/>
    </w:rPr>
  </w:style>
  <w:style w:type="paragraph" w:styleId="Prrafodelista">
    <w:name w:val="List Paragraph"/>
    <w:basedOn w:val="Normal"/>
    <w:uiPriority w:val="34"/>
    <w:rsid w:val="00AA1ED2"/>
    <w:pPr>
      <w:ind w:left="720"/>
      <w:contextualSpacing/>
    </w:pPr>
  </w:style>
  <w:style w:type="paragraph" w:styleId="Citadestacada">
    <w:name w:val="Intense Quote"/>
    <w:basedOn w:val="Normal"/>
    <w:next w:val="Normal"/>
    <w:link w:val="CitadestacadaCar"/>
    <w:uiPriority w:val="30"/>
    <w:qFormat/>
    <w:rsid w:val="002B1412"/>
    <w:pPr>
      <w:pBdr>
        <w:top w:val="single" w:sz="4" w:space="10" w:color="5F2987" w:themeColor="accent1"/>
        <w:bottom w:val="single" w:sz="4" w:space="10" w:color="5F2987" w:themeColor="accent1"/>
      </w:pBdr>
      <w:spacing w:before="360" w:after="360"/>
      <w:ind w:left="864" w:right="864"/>
      <w:jc w:val="center"/>
    </w:pPr>
    <w:rPr>
      <w:i/>
      <w:iCs/>
      <w:color w:val="5F2987" w:themeColor="accent1"/>
    </w:rPr>
  </w:style>
  <w:style w:type="character" w:customStyle="1" w:styleId="CitadestacadaCar">
    <w:name w:val="Cita destacada Car"/>
    <w:basedOn w:val="Fuentedeprrafopredeter"/>
    <w:link w:val="Citadestacada"/>
    <w:uiPriority w:val="30"/>
    <w:rsid w:val="002B1412"/>
    <w:rPr>
      <w:rFonts w:ascii="PalatinoLinotype-Roman" w:hAnsi="PalatinoLinotype-Roman"/>
      <w:i/>
      <w:iCs/>
      <w:color w:val="5F2987" w:themeColor="accent1"/>
      <w:lang w:val="es-ES"/>
    </w:rPr>
  </w:style>
  <w:style w:type="character" w:customStyle="1" w:styleId="Ttulo8Car">
    <w:name w:val="Título 8 Car"/>
    <w:basedOn w:val="Fuentedeprrafopredeter"/>
    <w:link w:val="Ttulo8"/>
    <w:uiPriority w:val="9"/>
    <w:rsid w:val="00AA1ED2"/>
    <w:rPr>
      <w:rFonts w:ascii="Palatino Linotype" w:eastAsiaTheme="majorEastAsia" w:hAnsi="Palatino Linotype" w:cstheme="majorBidi"/>
      <w:i/>
      <w:iCs/>
      <w:color w:val="321547"/>
      <w:spacing w:val="-4"/>
      <w:u w:val="dotDotDash"/>
      <w:lang w:val="es-ES"/>
    </w:rPr>
  </w:style>
  <w:style w:type="paragraph" w:styleId="Bibliografa">
    <w:name w:val="Bibliography"/>
    <w:basedOn w:val="Normal"/>
    <w:next w:val="Normal"/>
    <w:uiPriority w:val="37"/>
    <w:unhideWhenUsed/>
    <w:rsid w:val="00AA1ED2"/>
    <w:pPr>
      <w:spacing w:line="240" w:lineRule="auto"/>
      <w:ind w:left="567" w:hanging="567"/>
    </w:pPr>
  </w:style>
  <w:style w:type="paragraph" w:customStyle="1" w:styleId="Ttuloimagen">
    <w:name w:val="Título imagen"/>
    <w:basedOn w:val="PiedeImagen"/>
    <w:next w:val="Imagen"/>
    <w:link w:val="TtuloimagenCar"/>
    <w:qFormat/>
    <w:rsid w:val="00AA1ED2"/>
    <w:pPr>
      <w:keepNext/>
      <w:spacing w:after="0"/>
    </w:pPr>
    <w:rPr>
      <w:i w:val="0"/>
      <w:smallCaps/>
      <w:sz w:val="20"/>
    </w:rPr>
  </w:style>
  <w:style w:type="character" w:customStyle="1" w:styleId="TtuloimagenCar">
    <w:name w:val="Título imagen Car"/>
    <w:basedOn w:val="ImagenCar"/>
    <w:link w:val="Ttuloimagen"/>
    <w:rsid w:val="00AA1ED2"/>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AA1ED2"/>
    <w:pPr>
      <w:ind w:left="1100"/>
    </w:pPr>
  </w:style>
  <w:style w:type="paragraph" w:styleId="Sinespaciado">
    <w:name w:val="No Spacing"/>
    <w:link w:val="SinespaciadoCar"/>
    <w:uiPriority w:val="1"/>
    <w:qFormat/>
    <w:rsid w:val="00AA1ED2"/>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AA1ED2"/>
    <w:rPr>
      <w:rFonts w:eastAsiaTheme="minorEastAsia"/>
      <w:lang w:val="es-ES" w:eastAsia="es-ES"/>
    </w:rPr>
  </w:style>
  <w:style w:type="paragraph" w:customStyle="1" w:styleId="Nmeroromano">
    <w:name w:val="Número romano"/>
    <w:basedOn w:val="Prrafodelista"/>
    <w:qFormat/>
    <w:rsid w:val="00AA1ED2"/>
    <w:pPr>
      <w:numPr>
        <w:numId w:val="32"/>
      </w:numPr>
      <w:spacing w:after="100"/>
      <w:ind w:left="567" w:hanging="113"/>
    </w:pPr>
  </w:style>
  <w:style w:type="paragraph" w:customStyle="1" w:styleId="Saltodettulos">
    <w:name w:val="Salto de títulos"/>
    <w:basedOn w:val="Normal"/>
    <w:rsid w:val="00AA1ED2"/>
    <w:pPr>
      <w:spacing w:after="0" w:line="240" w:lineRule="auto"/>
    </w:pPr>
    <w:rPr>
      <w:color w:val="FFFFFF"/>
      <w:sz w:val="2"/>
    </w:rPr>
  </w:style>
  <w:style w:type="paragraph" w:styleId="TDC7">
    <w:name w:val="toc 7"/>
    <w:basedOn w:val="Normal"/>
    <w:next w:val="FinTDC"/>
    <w:autoRedefine/>
    <w:uiPriority w:val="39"/>
    <w:unhideWhenUsed/>
    <w:rsid w:val="00AA1ED2"/>
    <w:pPr>
      <w:spacing w:after="0" w:line="20" w:lineRule="atLeast"/>
      <w:ind w:left="1418"/>
      <w:jc w:val="left"/>
    </w:pPr>
    <w:rPr>
      <w:i/>
      <w:color w:val="5F2987"/>
      <w:sz w:val="12"/>
    </w:rPr>
  </w:style>
  <w:style w:type="paragraph" w:customStyle="1" w:styleId="Apartado0">
    <w:name w:val="Apartado 0"/>
    <w:basedOn w:val="Ttulo1"/>
    <w:next w:val="Normal"/>
    <w:link w:val="Apartado0Car"/>
    <w:qFormat/>
    <w:rsid w:val="00AA1ED2"/>
    <w:pPr>
      <w:numPr>
        <w:numId w:val="17"/>
      </w:numPr>
      <w:ind w:left="357" w:hanging="357"/>
    </w:pPr>
  </w:style>
  <w:style w:type="character" w:customStyle="1" w:styleId="Ttulo9Car">
    <w:name w:val="Título 9 Car"/>
    <w:basedOn w:val="Fuentedeprrafopredeter"/>
    <w:link w:val="Ttulo9"/>
    <w:uiPriority w:val="9"/>
    <w:rsid w:val="00AA1ED2"/>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AA1ED2"/>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AA1ED2"/>
    <w:pPr>
      <w:spacing w:after="0" w:line="240" w:lineRule="auto"/>
      <w:jc w:val="left"/>
    </w:pPr>
    <w:rPr>
      <w:sz w:val="15"/>
    </w:rPr>
  </w:style>
  <w:style w:type="paragraph" w:styleId="TDC9">
    <w:name w:val="toc 9"/>
    <w:basedOn w:val="TDC8"/>
    <w:next w:val="FinTDC"/>
    <w:autoRedefine/>
    <w:uiPriority w:val="39"/>
    <w:semiHidden/>
    <w:unhideWhenUsed/>
    <w:rsid w:val="00AA1ED2"/>
    <w:pPr>
      <w:ind w:left="1760"/>
    </w:pPr>
  </w:style>
  <w:style w:type="character" w:customStyle="1" w:styleId="Apartado0Car">
    <w:name w:val="Apartado 0 Car"/>
    <w:basedOn w:val="Ttulo1Car"/>
    <w:link w:val="Apartado0"/>
    <w:rsid w:val="00AA1ED2"/>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AA1ED2"/>
    <w:pPr>
      <w:numPr>
        <w:ilvl w:val="3"/>
      </w:numPr>
      <w:ind w:left="1899" w:hanging="198"/>
    </w:pPr>
  </w:style>
  <w:style w:type="paragraph" w:customStyle="1" w:styleId="Nivel5">
    <w:name w:val="Nivel 5"/>
    <w:basedOn w:val="Nivel4"/>
    <w:link w:val="Nivel5Car"/>
    <w:qFormat/>
    <w:rsid w:val="00AA1ED2"/>
    <w:pPr>
      <w:numPr>
        <w:ilvl w:val="4"/>
      </w:numPr>
      <w:ind w:left="2155" w:hanging="170"/>
    </w:pPr>
  </w:style>
  <w:style w:type="character" w:customStyle="1" w:styleId="Nivel2Car">
    <w:name w:val="Nivel 2 Car"/>
    <w:basedOn w:val="Fuentedeprrafopredeter"/>
    <w:link w:val="Nivel2"/>
    <w:rsid w:val="00AA1ED2"/>
    <w:rPr>
      <w:rFonts w:ascii="Palatino Linotype" w:hAnsi="Palatino Linotype"/>
      <w:lang w:val="es-ES"/>
    </w:rPr>
  </w:style>
  <w:style w:type="character" w:customStyle="1" w:styleId="Nivel3Car">
    <w:name w:val="Nivel 3 Car"/>
    <w:basedOn w:val="Nivel2Car"/>
    <w:link w:val="Nivel3"/>
    <w:rsid w:val="00AA1ED2"/>
    <w:rPr>
      <w:rFonts w:ascii="Palatino Linotype" w:hAnsi="Palatino Linotype"/>
      <w:lang w:val="es-ES"/>
    </w:rPr>
  </w:style>
  <w:style w:type="character" w:customStyle="1" w:styleId="Nivel4Car">
    <w:name w:val="Nivel 4 Car"/>
    <w:basedOn w:val="Nivel3Car"/>
    <w:link w:val="Nivel4"/>
    <w:rsid w:val="00AA1ED2"/>
    <w:rPr>
      <w:rFonts w:ascii="Palatino Linotype" w:hAnsi="Palatino Linotype"/>
      <w:lang w:val="es-ES"/>
    </w:rPr>
  </w:style>
  <w:style w:type="paragraph" w:customStyle="1" w:styleId="Nivel6">
    <w:name w:val="Nivel 6"/>
    <w:basedOn w:val="Nivel5"/>
    <w:link w:val="Nivel6Car"/>
    <w:qFormat/>
    <w:rsid w:val="00AA1ED2"/>
    <w:pPr>
      <w:numPr>
        <w:ilvl w:val="5"/>
      </w:numPr>
      <w:ind w:left="2438" w:hanging="227"/>
    </w:pPr>
  </w:style>
  <w:style w:type="character" w:customStyle="1" w:styleId="Nivel5Car">
    <w:name w:val="Nivel 5 Car"/>
    <w:basedOn w:val="Nivel4Car"/>
    <w:link w:val="Nivel5"/>
    <w:rsid w:val="00AA1ED2"/>
    <w:rPr>
      <w:rFonts w:ascii="Palatino Linotype" w:hAnsi="Palatino Linotype"/>
      <w:lang w:val="es-ES"/>
    </w:rPr>
  </w:style>
  <w:style w:type="paragraph" w:customStyle="1" w:styleId="Nivel7">
    <w:name w:val="Nivel 7"/>
    <w:basedOn w:val="Nivel5"/>
    <w:link w:val="Nivel7Car"/>
    <w:qFormat/>
    <w:rsid w:val="00AA1ED2"/>
    <w:pPr>
      <w:numPr>
        <w:ilvl w:val="6"/>
      </w:numPr>
      <w:ind w:left="2722" w:hanging="170"/>
    </w:pPr>
  </w:style>
  <w:style w:type="character" w:customStyle="1" w:styleId="Nivel6Car">
    <w:name w:val="Nivel 6 Car"/>
    <w:basedOn w:val="Nivel5Car"/>
    <w:link w:val="Nivel6"/>
    <w:rsid w:val="00AA1ED2"/>
    <w:rPr>
      <w:rFonts w:ascii="Palatino Linotype" w:hAnsi="Palatino Linotype"/>
      <w:lang w:val="es-ES"/>
    </w:rPr>
  </w:style>
  <w:style w:type="character" w:customStyle="1" w:styleId="Nivel7Car">
    <w:name w:val="Nivel 7 Car"/>
    <w:basedOn w:val="Nivel5Car"/>
    <w:link w:val="Nivel7"/>
    <w:rsid w:val="00AA1ED2"/>
    <w:rPr>
      <w:rFonts w:ascii="Palatino Linotype" w:hAnsi="Palatino Linotype"/>
      <w:lang w:val="es-ES"/>
    </w:rPr>
  </w:style>
  <w:style w:type="paragraph" w:styleId="Descripcin">
    <w:name w:val="caption"/>
    <w:basedOn w:val="Normal"/>
    <w:next w:val="Normal"/>
    <w:uiPriority w:val="35"/>
    <w:unhideWhenUsed/>
    <w:qFormat/>
    <w:rsid w:val="00AA1ED2"/>
    <w:pPr>
      <w:spacing w:after="200" w:line="240" w:lineRule="auto"/>
    </w:pPr>
    <w:rPr>
      <w:i/>
      <w:iCs/>
      <w:color w:val="44546A" w:themeColor="text2"/>
      <w:sz w:val="18"/>
      <w:szCs w:val="18"/>
    </w:rPr>
  </w:style>
  <w:style w:type="paragraph" w:customStyle="1" w:styleId="Ttulo10">
    <w:name w:val="Título 10"/>
    <w:basedOn w:val="Ttulo9"/>
    <w:link w:val="Ttulo10Car"/>
    <w:qFormat/>
    <w:rsid w:val="00AA1ED2"/>
    <w:pPr>
      <w:ind w:left="1276"/>
    </w:pPr>
    <w:rPr>
      <w:w w:val="97"/>
      <w:sz w:val="20"/>
    </w:rPr>
  </w:style>
  <w:style w:type="character" w:customStyle="1" w:styleId="Ttulo10Car">
    <w:name w:val="Título 10 Car"/>
    <w:basedOn w:val="Ttulo9Car"/>
    <w:link w:val="Ttulo10"/>
    <w:rsid w:val="00AA1ED2"/>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AA1ED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AA1ED2"/>
    <w:pPr>
      <w:numPr>
        <w:ilvl w:val="7"/>
      </w:numPr>
      <w:ind w:left="3005" w:hanging="170"/>
    </w:pPr>
  </w:style>
  <w:style w:type="character" w:customStyle="1" w:styleId="Nivel8Car">
    <w:name w:val="Nivel 8 Car"/>
    <w:basedOn w:val="Nivel7Car"/>
    <w:link w:val="Nivel8"/>
    <w:rsid w:val="00AA1ED2"/>
    <w:rPr>
      <w:rFonts w:ascii="Palatino Linotype" w:hAnsi="Palatino Linotype"/>
      <w:lang w:val="es-ES"/>
    </w:rPr>
  </w:style>
  <w:style w:type="paragraph" w:customStyle="1" w:styleId="Advertencia">
    <w:name w:val="Advertencia"/>
    <w:basedOn w:val="Normal"/>
    <w:next w:val="Normal"/>
    <w:link w:val="AdvertenciaCar"/>
    <w:qFormat/>
    <w:rsid w:val="00AA1ED2"/>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AA1ED2"/>
    <w:rPr>
      <w:rFonts w:ascii="Palatino Linotype" w:hAnsi="Palatino Linotype"/>
      <w:color w:val="C00000"/>
      <w:shd w:val="clear" w:color="auto" w:fill="FBE4D5" w:themeFill="accent2" w:themeFillTint="33"/>
      <w:lang w:val="es-ES"/>
    </w:rPr>
  </w:style>
  <w:style w:type="paragraph" w:customStyle="1" w:styleId="Letras">
    <w:name w:val="Letras"/>
    <w:basedOn w:val="Normal"/>
    <w:qFormat/>
    <w:rsid w:val="00533457"/>
    <w:pPr>
      <w:numPr>
        <w:ilvl w:val="6"/>
        <w:numId w:val="24"/>
      </w:numPr>
      <w:tabs>
        <w:tab w:val="num" w:pos="360"/>
      </w:tabs>
      <w:spacing w:after="20" w:line="240" w:lineRule="auto"/>
      <w:ind w:left="284" w:right="-129" w:hanging="142"/>
    </w:pPr>
    <w:rPr>
      <w:rFonts w:ascii="Times New Roman" w:eastAsia="Calibri" w:hAnsi="Times New Roman" w:cs="Times New Roman"/>
      <w:sz w:val="14"/>
      <w:szCs w:val="14"/>
    </w:rPr>
  </w:style>
  <w:style w:type="paragraph" w:styleId="Textonotaalfinal">
    <w:name w:val="endnote text"/>
    <w:basedOn w:val="Normal"/>
    <w:link w:val="TextonotaalfinalCar"/>
    <w:uiPriority w:val="99"/>
    <w:semiHidden/>
    <w:unhideWhenUsed/>
    <w:rsid w:val="00AA1ED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A1ED2"/>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AA1E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174028">
      <w:bodyDiv w:val="1"/>
      <w:marLeft w:val="0"/>
      <w:marRight w:val="0"/>
      <w:marTop w:val="0"/>
      <w:marBottom w:val="0"/>
      <w:divBdr>
        <w:top w:val="none" w:sz="0" w:space="0" w:color="auto"/>
        <w:left w:val="none" w:sz="0" w:space="0" w:color="auto"/>
        <w:bottom w:val="none" w:sz="0" w:space="0" w:color="auto"/>
        <w:right w:val="none" w:sz="0" w:space="0" w:color="auto"/>
      </w:divBdr>
    </w:div>
    <w:div w:id="142816589">
      <w:bodyDiv w:val="1"/>
      <w:marLeft w:val="0"/>
      <w:marRight w:val="0"/>
      <w:marTop w:val="0"/>
      <w:marBottom w:val="0"/>
      <w:divBdr>
        <w:top w:val="none" w:sz="0" w:space="0" w:color="auto"/>
        <w:left w:val="none" w:sz="0" w:space="0" w:color="auto"/>
        <w:bottom w:val="none" w:sz="0" w:space="0" w:color="auto"/>
        <w:right w:val="none" w:sz="0" w:space="0" w:color="auto"/>
      </w:divBdr>
    </w:div>
    <w:div w:id="239679192">
      <w:bodyDiv w:val="1"/>
      <w:marLeft w:val="0"/>
      <w:marRight w:val="0"/>
      <w:marTop w:val="0"/>
      <w:marBottom w:val="0"/>
      <w:divBdr>
        <w:top w:val="none" w:sz="0" w:space="0" w:color="auto"/>
        <w:left w:val="none" w:sz="0" w:space="0" w:color="auto"/>
        <w:bottom w:val="none" w:sz="0" w:space="0" w:color="auto"/>
        <w:right w:val="none" w:sz="0" w:space="0" w:color="auto"/>
      </w:divBdr>
      <w:divsChild>
        <w:div w:id="122694916">
          <w:marLeft w:val="480"/>
          <w:marRight w:val="0"/>
          <w:marTop w:val="0"/>
          <w:marBottom w:val="0"/>
          <w:divBdr>
            <w:top w:val="none" w:sz="0" w:space="0" w:color="auto"/>
            <w:left w:val="none" w:sz="0" w:space="0" w:color="auto"/>
            <w:bottom w:val="none" w:sz="0" w:space="0" w:color="auto"/>
            <w:right w:val="none" w:sz="0" w:space="0" w:color="auto"/>
          </w:divBdr>
          <w:divsChild>
            <w:div w:id="11111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69097">
      <w:bodyDiv w:val="1"/>
      <w:marLeft w:val="0"/>
      <w:marRight w:val="0"/>
      <w:marTop w:val="0"/>
      <w:marBottom w:val="0"/>
      <w:divBdr>
        <w:top w:val="none" w:sz="0" w:space="0" w:color="auto"/>
        <w:left w:val="none" w:sz="0" w:space="0" w:color="auto"/>
        <w:bottom w:val="none" w:sz="0" w:space="0" w:color="auto"/>
        <w:right w:val="none" w:sz="0" w:space="0" w:color="auto"/>
      </w:divBdr>
    </w:div>
    <w:div w:id="461196666">
      <w:bodyDiv w:val="1"/>
      <w:marLeft w:val="0"/>
      <w:marRight w:val="0"/>
      <w:marTop w:val="0"/>
      <w:marBottom w:val="0"/>
      <w:divBdr>
        <w:top w:val="none" w:sz="0" w:space="0" w:color="auto"/>
        <w:left w:val="none" w:sz="0" w:space="0" w:color="auto"/>
        <w:bottom w:val="none" w:sz="0" w:space="0" w:color="auto"/>
        <w:right w:val="none" w:sz="0" w:space="0" w:color="auto"/>
      </w:divBdr>
      <w:divsChild>
        <w:div w:id="588580775">
          <w:marLeft w:val="480"/>
          <w:marRight w:val="0"/>
          <w:marTop w:val="0"/>
          <w:marBottom w:val="0"/>
          <w:divBdr>
            <w:top w:val="none" w:sz="0" w:space="0" w:color="auto"/>
            <w:left w:val="none" w:sz="0" w:space="0" w:color="auto"/>
            <w:bottom w:val="none" w:sz="0" w:space="0" w:color="auto"/>
            <w:right w:val="none" w:sz="0" w:space="0" w:color="auto"/>
          </w:divBdr>
          <w:divsChild>
            <w:div w:id="171936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84523">
      <w:bodyDiv w:val="1"/>
      <w:marLeft w:val="0"/>
      <w:marRight w:val="0"/>
      <w:marTop w:val="0"/>
      <w:marBottom w:val="0"/>
      <w:divBdr>
        <w:top w:val="none" w:sz="0" w:space="0" w:color="auto"/>
        <w:left w:val="none" w:sz="0" w:space="0" w:color="auto"/>
        <w:bottom w:val="none" w:sz="0" w:space="0" w:color="auto"/>
        <w:right w:val="none" w:sz="0" w:space="0" w:color="auto"/>
      </w:divBdr>
      <w:divsChild>
        <w:div w:id="1826631444">
          <w:marLeft w:val="480"/>
          <w:marRight w:val="0"/>
          <w:marTop w:val="0"/>
          <w:marBottom w:val="0"/>
          <w:divBdr>
            <w:top w:val="none" w:sz="0" w:space="0" w:color="auto"/>
            <w:left w:val="none" w:sz="0" w:space="0" w:color="auto"/>
            <w:bottom w:val="none" w:sz="0" w:space="0" w:color="auto"/>
            <w:right w:val="none" w:sz="0" w:space="0" w:color="auto"/>
          </w:divBdr>
          <w:divsChild>
            <w:div w:id="18356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08258">
      <w:bodyDiv w:val="1"/>
      <w:marLeft w:val="0"/>
      <w:marRight w:val="0"/>
      <w:marTop w:val="0"/>
      <w:marBottom w:val="0"/>
      <w:divBdr>
        <w:top w:val="none" w:sz="0" w:space="0" w:color="auto"/>
        <w:left w:val="none" w:sz="0" w:space="0" w:color="auto"/>
        <w:bottom w:val="none" w:sz="0" w:space="0" w:color="auto"/>
        <w:right w:val="none" w:sz="0" w:space="0" w:color="auto"/>
      </w:divBdr>
      <w:divsChild>
        <w:div w:id="196816014">
          <w:marLeft w:val="0"/>
          <w:marRight w:val="0"/>
          <w:marTop w:val="0"/>
          <w:marBottom w:val="0"/>
          <w:divBdr>
            <w:top w:val="none" w:sz="0" w:space="0" w:color="auto"/>
            <w:left w:val="none" w:sz="0" w:space="0" w:color="auto"/>
            <w:bottom w:val="none" w:sz="0" w:space="0" w:color="auto"/>
            <w:right w:val="none" w:sz="0" w:space="0" w:color="auto"/>
          </w:divBdr>
          <w:divsChild>
            <w:div w:id="1084571276">
              <w:marLeft w:val="0"/>
              <w:marRight w:val="0"/>
              <w:marTop w:val="0"/>
              <w:marBottom w:val="0"/>
              <w:divBdr>
                <w:top w:val="none" w:sz="0" w:space="0" w:color="auto"/>
                <w:left w:val="none" w:sz="0" w:space="0" w:color="auto"/>
                <w:bottom w:val="none" w:sz="0" w:space="0" w:color="auto"/>
                <w:right w:val="none" w:sz="0" w:space="0" w:color="auto"/>
              </w:divBdr>
              <w:divsChild>
                <w:div w:id="534972411">
                  <w:marLeft w:val="0"/>
                  <w:marRight w:val="0"/>
                  <w:marTop w:val="0"/>
                  <w:marBottom w:val="0"/>
                  <w:divBdr>
                    <w:top w:val="none" w:sz="0" w:space="0" w:color="auto"/>
                    <w:left w:val="none" w:sz="0" w:space="0" w:color="auto"/>
                    <w:bottom w:val="none" w:sz="0" w:space="0" w:color="auto"/>
                    <w:right w:val="none" w:sz="0" w:space="0" w:color="auto"/>
                  </w:divBdr>
                  <w:divsChild>
                    <w:div w:id="112134616">
                      <w:marLeft w:val="0"/>
                      <w:marRight w:val="0"/>
                      <w:marTop w:val="0"/>
                      <w:marBottom w:val="0"/>
                      <w:divBdr>
                        <w:top w:val="none" w:sz="0" w:space="0" w:color="auto"/>
                        <w:left w:val="none" w:sz="0" w:space="0" w:color="auto"/>
                        <w:bottom w:val="none" w:sz="0" w:space="0" w:color="auto"/>
                        <w:right w:val="none" w:sz="0" w:space="0" w:color="auto"/>
                      </w:divBdr>
                      <w:divsChild>
                        <w:div w:id="1888564108">
                          <w:marLeft w:val="0"/>
                          <w:marRight w:val="0"/>
                          <w:marTop w:val="0"/>
                          <w:marBottom w:val="0"/>
                          <w:divBdr>
                            <w:top w:val="none" w:sz="0" w:space="0" w:color="auto"/>
                            <w:left w:val="none" w:sz="0" w:space="0" w:color="auto"/>
                            <w:bottom w:val="none" w:sz="0" w:space="0" w:color="auto"/>
                            <w:right w:val="none" w:sz="0" w:space="0" w:color="auto"/>
                          </w:divBdr>
                          <w:divsChild>
                            <w:div w:id="1570337796">
                              <w:marLeft w:val="0"/>
                              <w:marRight w:val="0"/>
                              <w:marTop w:val="0"/>
                              <w:marBottom w:val="0"/>
                              <w:divBdr>
                                <w:top w:val="none" w:sz="0" w:space="0" w:color="auto"/>
                                <w:left w:val="none" w:sz="0" w:space="0" w:color="auto"/>
                                <w:bottom w:val="none" w:sz="0" w:space="0" w:color="auto"/>
                                <w:right w:val="none" w:sz="0" w:space="0" w:color="auto"/>
                              </w:divBdr>
                              <w:divsChild>
                                <w:div w:id="221064381">
                                  <w:marLeft w:val="0"/>
                                  <w:marRight w:val="0"/>
                                  <w:marTop w:val="0"/>
                                  <w:marBottom w:val="0"/>
                                  <w:divBdr>
                                    <w:top w:val="none" w:sz="0" w:space="0" w:color="auto"/>
                                    <w:left w:val="none" w:sz="0" w:space="0" w:color="auto"/>
                                    <w:bottom w:val="none" w:sz="0" w:space="0" w:color="auto"/>
                                    <w:right w:val="none" w:sz="0" w:space="0" w:color="auto"/>
                                  </w:divBdr>
                                  <w:divsChild>
                                    <w:div w:id="1823278384">
                                      <w:marLeft w:val="0"/>
                                      <w:marRight w:val="0"/>
                                      <w:marTop w:val="0"/>
                                      <w:marBottom w:val="0"/>
                                      <w:divBdr>
                                        <w:top w:val="none" w:sz="0" w:space="0" w:color="auto"/>
                                        <w:left w:val="none" w:sz="0" w:space="0" w:color="auto"/>
                                        <w:bottom w:val="none" w:sz="0" w:space="0" w:color="auto"/>
                                        <w:right w:val="none" w:sz="0" w:space="0" w:color="auto"/>
                                      </w:divBdr>
                                      <w:divsChild>
                                        <w:div w:id="1710645745">
                                          <w:marLeft w:val="0"/>
                                          <w:marRight w:val="0"/>
                                          <w:marTop w:val="0"/>
                                          <w:marBottom w:val="0"/>
                                          <w:divBdr>
                                            <w:top w:val="none" w:sz="0" w:space="0" w:color="auto"/>
                                            <w:left w:val="none" w:sz="0" w:space="0" w:color="auto"/>
                                            <w:bottom w:val="none" w:sz="0" w:space="0" w:color="auto"/>
                                            <w:right w:val="none" w:sz="0" w:space="0" w:color="auto"/>
                                          </w:divBdr>
                                          <w:divsChild>
                                            <w:div w:id="1080951410">
                                              <w:marLeft w:val="0"/>
                                              <w:marRight w:val="0"/>
                                              <w:marTop w:val="0"/>
                                              <w:marBottom w:val="0"/>
                                              <w:divBdr>
                                                <w:top w:val="none" w:sz="0" w:space="0" w:color="auto"/>
                                                <w:left w:val="none" w:sz="0" w:space="0" w:color="auto"/>
                                                <w:bottom w:val="none" w:sz="0" w:space="0" w:color="auto"/>
                                                <w:right w:val="none" w:sz="0" w:space="0" w:color="auto"/>
                                              </w:divBdr>
                                              <w:divsChild>
                                                <w:div w:id="560756165">
                                                  <w:marLeft w:val="0"/>
                                                  <w:marRight w:val="0"/>
                                                  <w:marTop w:val="0"/>
                                                  <w:marBottom w:val="0"/>
                                                  <w:divBdr>
                                                    <w:top w:val="none" w:sz="0" w:space="0" w:color="auto"/>
                                                    <w:left w:val="none" w:sz="0" w:space="0" w:color="auto"/>
                                                    <w:bottom w:val="none" w:sz="0" w:space="0" w:color="auto"/>
                                                    <w:right w:val="none" w:sz="0" w:space="0" w:color="auto"/>
                                                  </w:divBdr>
                                                  <w:divsChild>
                                                    <w:div w:id="54817494">
                                                      <w:marLeft w:val="0"/>
                                                      <w:marRight w:val="0"/>
                                                      <w:marTop w:val="0"/>
                                                      <w:marBottom w:val="0"/>
                                                      <w:divBdr>
                                                        <w:top w:val="none" w:sz="0" w:space="0" w:color="auto"/>
                                                        <w:left w:val="none" w:sz="0" w:space="0" w:color="auto"/>
                                                        <w:bottom w:val="none" w:sz="0" w:space="0" w:color="auto"/>
                                                        <w:right w:val="none" w:sz="0" w:space="0" w:color="auto"/>
                                                      </w:divBdr>
                                                      <w:divsChild>
                                                        <w:div w:id="1185704914">
                                                          <w:marLeft w:val="0"/>
                                                          <w:marRight w:val="0"/>
                                                          <w:marTop w:val="0"/>
                                                          <w:marBottom w:val="0"/>
                                                          <w:divBdr>
                                                            <w:top w:val="none" w:sz="0" w:space="0" w:color="auto"/>
                                                            <w:left w:val="none" w:sz="0" w:space="0" w:color="auto"/>
                                                            <w:bottom w:val="none" w:sz="0" w:space="0" w:color="auto"/>
                                                            <w:right w:val="none" w:sz="0" w:space="0" w:color="auto"/>
                                                          </w:divBdr>
                                                          <w:divsChild>
                                                            <w:div w:id="46087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07851881">
      <w:bodyDiv w:val="1"/>
      <w:marLeft w:val="0"/>
      <w:marRight w:val="0"/>
      <w:marTop w:val="0"/>
      <w:marBottom w:val="0"/>
      <w:divBdr>
        <w:top w:val="none" w:sz="0" w:space="0" w:color="auto"/>
        <w:left w:val="none" w:sz="0" w:space="0" w:color="auto"/>
        <w:bottom w:val="none" w:sz="0" w:space="0" w:color="auto"/>
        <w:right w:val="none" w:sz="0" w:space="0" w:color="auto"/>
      </w:divBdr>
      <w:divsChild>
        <w:div w:id="93941973">
          <w:marLeft w:val="0"/>
          <w:marRight w:val="0"/>
          <w:marTop w:val="0"/>
          <w:marBottom w:val="0"/>
          <w:divBdr>
            <w:top w:val="none" w:sz="0" w:space="0" w:color="auto"/>
            <w:left w:val="none" w:sz="0" w:space="0" w:color="auto"/>
            <w:bottom w:val="none" w:sz="0" w:space="0" w:color="auto"/>
            <w:right w:val="none" w:sz="0" w:space="0" w:color="auto"/>
          </w:divBdr>
          <w:divsChild>
            <w:div w:id="118381074">
              <w:marLeft w:val="0"/>
              <w:marRight w:val="0"/>
              <w:marTop w:val="0"/>
              <w:marBottom w:val="0"/>
              <w:divBdr>
                <w:top w:val="none" w:sz="0" w:space="0" w:color="auto"/>
                <w:left w:val="none" w:sz="0" w:space="0" w:color="auto"/>
                <w:bottom w:val="none" w:sz="0" w:space="0" w:color="auto"/>
                <w:right w:val="none" w:sz="0" w:space="0" w:color="auto"/>
              </w:divBdr>
              <w:divsChild>
                <w:div w:id="1726686204">
                  <w:marLeft w:val="0"/>
                  <w:marRight w:val="0"/>
                  <w:marTop w:val="0"/>
                  <w:marBottom w:val="0"/>
                  <w:divBdr>
                    <w:top w:val="none" w:sz="0" w:space="0" w:color="auto"/>
                    <w:left w:val="none" w:sz="0" w:space="0" w:color="auto"/>
                    <w:bottom w:val="none" w:sz="0" w:space="0" w:color="auto"/>
                    <w:right w:val="none" w:sz="0" w:space="0" w:color="auto"/>
                  </w:divBdr>
                  <w:divsChild>
                    <w:div w:id="1089498045">
                      <w:marLeft w:val="0"/>
                      <w:marRight w:val="0"/>
                      <w:marTop w:val="0"/>
                      <w:marBottom w:val="0"/>
                      <w:divBdr>
                        <w:top w:val="none" w:sz="0" w:space="0" w:color="auto"/>
                        <w:left w:val="none" w:sz="0" w:space="0" w:color="auto"/>
                        <w:bottom w:val="none" w:sz="0" w:space="0" w:color="auto"/>
                        <w:right w:val="none" w:sz="0" w:space="0" w:color="auto"/>
                      </w:divBdr>
                      <w:divsChild>
                        <w:div w:id="1681276574">
                          <w:marLeft w:val="0"/>
                          <w:marRight w:val="0"/>
                          <w:marTop w:val="0"/>
                          <w:marBottom w:val="0"/>
                          <w:divBdr>
                            <w:top w:val="none" w:sz="0" w:space="0" w:color="auto"/>
                            <w:left w:val="none" w:sz="0" w:space="0" w:color="auto"/>
                            <w:bottom w:val="none" w:sz="0" w:space="0" w:color="auto"/>
                            <w:right w:val="none" w:sz="0" w:space="0" w:color="auto"/>
                          </w:divBdr>
                          <w:divsChild>
                            <w:div w:id="132602982">
                              <w:marLeft w:val="0"/>
                              <w:marRight w:val="0"/>
                              <w:marTop w:val="0"/>
                              <w:marBottom w:val="0"/>
                              <w:divBdr>
                                <w:top w:val="none" w:sz="0" w:space="0" w:color="auto"/>
                                <w:left w:val="none" w:sz="0" w:space="0" w:color="auto"/>
                                <w:bottom w:val="none" w:sz="0" w:space="0" w:color="auto"/>
                                <w:right w:val="none" w:sz="0" w:space="0" w:color="auto"/>
                              </w:divBdr>
                              <w:divsChild>
                                <w:div w:id="1622610769">
                                  <w:marLeft w:val="0"/>
                                  <w:marRight w:val="0"/>
                                  <w:marTop w:val="0"/>
                                  <w:marBottom w:val="0"/>
                                  <w:divBdr>
                                    <w:top w:val="none" w:sz="0" w:space="0" w:color="auto"/>
                                    <w:left w:val="none" w:sz="0" w:space="0" w:color="auto"/>
                                    <w:bottom w:val="none" w:sz="0" w:space="0" w:color="auto"/>
                                    <w:right w:val="none" w:sz="0" w:space="0" w:color="auto"/>
                                  </w:divBdr>
                                  <w:divsChild>
                                    <w:div w:id="486482775">
                                      <w:marLeft w:val="0"/>
                                      <w:marRight w:val="0"/>
                                      <w:marTop w:val="0"/>
                                      <w:marBottom w:val="0"/>
                                      <w:divBdr>
                                        <w:top w:val="none" w:sz="0" w:space="0" w:color="auto"/>
                                        <w:left w:val="none" w:sz="0" w:space="0" w:color="auto"/>
                                        <w:bottom w:val="none" w:sz="0" w:space="0" w:color="auto"/>
                                        <w:right w:val="none" w:sz="0" w:space="0" w:color="auto"/>
                                      </w:divBdr>
                                      <w:divsChild>
                                        <w:div w:id="812869443">
                                          <w:marLeft w:val="0"/>
                                          <w:marRight w:val="0"/>
                                          <w:marTop w:val="0"/>
                                          <w:marBottom w:val="0"/>
                                          <w:divBdr>
                                            <w:top w:val="none" w:sz="0" w:space="0" w:color="auto"/>
                                            <w:left w:val="none" w:sz="0" w:space="0" w:color="auto"/>
                                            <w:bottom w:val="none" w:sz="0" w:space="0" w:color="auto"/>
                                            <w:right w:val="none" w:sz="0" w:space="0" w:color="auto"/>
                                          </w:divBdr>
                                          <w:divsChild>
                                            <w:div w:id="1390763693">
                                              <w:marLeft w:val="0"/>
                                              <w:marRight w:val="0"/>
                                              <w:marTop w:val="0"/>
                                              <w:marBottom w:val="0"/>
                                              <w:divBdr>
                                                <w:top w:val="none" w:sz="0" w:space="0" w:color="auto"/>
                                                <w:left w:val="none" w:sz="0" w:space="0" w:color="auto"/>
                                                <w:bottom w:val="none" w:sz="0" w:space="0" w:color="auto"/>
                                                <w:right w:val="none" w:sz="0" w:space="0" w:color="auto"/>
                                              </w:divBdr>
                                              <w:divsChild>
                                                <w:div w:id="2070108198">
                                                  <w:marLeft w:val="0"/>
                                                  <w:marRight w:val="0"/>
                                                  <w:marTop w:val="0"/>
                                                  <w:marBottom w:val="0"/>
                                                  <w:divBdr>
                                                    <w:top w:val="none" w:sz="0" w:space="0" w:color="auto"/>
                                                    <w:left w:val="none" w:sz="0" w:space="0" w:color="auto"/>
                                                    <w:bottom w:val="none" w:sz="0" w:space="0" w:color="auto"/>
                                                    <w:right w:val="none" w:sz="0" w:space="0" w:color="auto"/>
                                                  </w:divBdr>
                                                  <w:divsChild>
                                                    <w:div w:id="1832519617">
                                                      <w:marLeft w:val="0"/>
                                                      <w:marRight w:val="0"/>
                                                      <w:marTop w:val="0"/>
                                                      <w:marBottom w:val="0"/>
                                                      <w:divBdr>
                                                        <w:top w:val="none" w:sz="0" w:space="0" w:color="auto"/>
                                                        <w:left w:val="none" w:sz="0" w:space="0" w:color="auto"/>
                                                        <w:bottom w:val="none" w:sz="0" w:space="0" w:color="auto"/>
                                                        <w:right w:val="none" w:sz="0" w:space="0" w:color="auto"/>
                                                      </w:divBdr>
                                                      <w:divsChild>
                                                        <w:div w:id="921916528">
                                                          <w:marLeft w:val="0"/>
                                                          <w:marRight w:val="0"/>
                                                          <w:marTop w:val="0"/>
                                                          <w:marBottom w:val="0"/>
                                                          <w:divBdr>
                                                            <w:top w:val="none" w:sz="0" w:space="0" w:color="auto"/>
                                                            <w:left w:val="none" w:sz="0" w:space="0" w:color="auto"/>
                                                            <w:bottom w:val="none" w:sz="0" w:space="0" w:color="auto"/>
                                                            <w:right w:val="none" w:sz="0" w:space="0" w:color="auto"/>
                                                          </w:divBdr>
                                                          <w:divsChild>
                                                            <w:div w:id="60125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2125046">
      <w:bodyDiv w:val="1"/>
      <w:marLeft w:val="0"/>
      <w:marRight w:val="0"/>
      <w:marTop w:val="0"/>
      <w:marBottom w:val="0"/>
      <w:divBdr>
        <w:top w:val="none" w:sz="0" w:space="0" w:color="auto"/>
        <w:left w:val="none" w:sz="0" w:space="0" w:color="auto"/>
        <w:bottom w:val="none" w:sz="0" w:space="0" w:color="auto"/>
        <w:right w:val="none" w:sz="0" w:space="0" w:color="auto"/>
      </w:divBdr>
      <w:divsChild>
        <w:div w:id="1390768351">
          <w:marLeft w:val="0"/>
          <w:marRight w:val="0"/>
          <w:marTop w:val="0"/>
          <w:marBottom w:val="0"/>
          <w:divBdr>
            <w:top w:val="none" w:sz="0" w:space="0" w:color="auto"/>
            <w:left w:val="none" w:sz="0" w:space="0" w:color="auto"/>
            <w:bottom w:val="none" w:sz="0" w:space="0" w:color="auto"/>
            <w:right w:val="none" w:sz="0" w:space="0" w:color="auto"/>
          </w:divBdr>
          <w:divsChild>
            <w:div w:id="944078118">
              <w:marLeft w:val="0"/>
              <w:marRight w:val="0"/>
              <w:marTop w:val="0"/>
              <w:marBottom w:val="0"/>
              <w:divBdr>
                <w:top w:val="none" w:sz="0" w:space="0" w:color="auto"/>
                <w:left w:val="none" w:sz="0" w:space="0" w:color="auto"/>
                <w:bottom w:val="none" w:sz="0" w:space="0" w:color="auto"/>
                <w:right w:val="none" w:sz="0" w:space="0" w:color="auto"/>
              </w:divBdr>
              <w:divsChild>
                <w:div w:id="1429229245">
                  <w:marLeft w:val="0"/>
                  <w:marRight w:val="0"/>
                  <w:marTop w:val="0"/>
                  <w:marBottom w:val="0"/>
                  <w:divBdr>
                    <w:top w:val="none" w:sz="0" w:space="0" w:color="auto"/>
                    <w:left w:val="none" w:sz="0" w:space="0" w:color="auto"/>
                    <w:bottom w:val="none" w:sz="0" w:space="0" w:color="auto"/>
                    <w:right w:val="none" w:sz="0" w:space="0" w:color="auto"/>
                  </w:divBdr>
                  <w:divsChild>
                    <w:div w:id="551237011">
                      <w:marLeft w:val="0"/>
                      <w:marRight w:val="0"/>
                      <w:marTop w:val="0"/>
                      <w:marBottom w:val="0"/>
                      <w:divBdr>
                        <w:top w:val="none" w:sz="0" w:space="0" w:color="auto"/>
                        <w:left w:val="none" w:sz="0" w:space="0" w:color="auto"/>
                        <w:bottom w:val="none" w:sz="0" w:space="0" w:color="auto"/>
                        <w:right w:val="none" w:sz="0" w:space="0" w:color="auto"/>
                      </w:divBdr>
                      <w:divsChild>
                        <w:div w:id="862282570">
                          <w:marLeft w:val="0"/>
                          <w:marRight w:val="0"/>
                          <w:marTop w:val="0"/>
                          <w:marBottom w:val="0"/>
                          <w:divBdr>
                            <w:top w:val="none" w:sz="0" w:space="0" w:color="auto"/>
                            <w:left w:val="none" w:sz="0" w:space="0" w:color="auto"/>
                            <w:bottom w:val="none" w:sz="0" w:space="0" w:color="auto"/>
                            <w:right w:val="none" w:sz="0" w:space="0" w:color="auto"/>
                          </w:divBdr>
                          <w:divsChild>
                            <w:div w:id="2072002813">
                              <w:marLeft w:val="0"/>
                              <w:marRight w:val="0"/>
                              <w:marTop w:val="0"/>
                              <w:marBottom w:val="0"/>
                              <w:divBdr>
                                <w:top w:val="none" w:sz="0" w:space="0" w:color="auto"/>
                                <w:left w:val="none" w:sz="0" w:space="0" w:color="auto"/>
                                <w:bottom w:val="none" w:sz="0" w:space="0" w:color="auto"/>
                                <w:right w:val="none" w:sz="0" w:space="0" w:color="auto"/>
                              </w:divBdr>
                              <w:divsChild>
                                <w:div w:id="188447716">
                                  <w:marLeft w:val="0"/>
                                  <w:marRight w:val="0"/>
                                  <w:marTop w:val="0"/>
                                  <w:marBottom w:val="0"/>
                                  <w:divBdr>
                                    <w:top w:val="none" w:sz="0" w:space="0" w:color="auto"/>
                                    <w:left w:val="none" w:sz="0" w:space="0" w:color="auto"/>
                                    <w:bottom w:val="none" w:sz="0" w:space="0" w:color="auto"/>
                                    <w:right w:val="none" w:sz="0" w:space="0" w:color="auto"/>
                                  </w:divBdr>
                                  <w:divsChild>
                                    <w:div w:id="1561550228">
                                      <w:marLeft w:val="0"/>
                                      <w:marRight w:val="0"/>
                                      <w:marTop w:val="0"/>
                                      <w:marBottom w:val="0"/>
                                      <w:divBdr>
                                        <w:top w:val="none" w:sz="0" w:space="0" w:color="auto"/>
                                        <w:left w:val="none" w:sz="0" w:space="0" w:color="auto"/>
                                        <w:bottom w:val="none" w:sz="0" w:space="0" w:color="auto"/>
                                        <w:right w:val="none" w:sz="0" w:space="0" w:color="auto"/>
                                      </w:divBdr>
                                      <w:divsChild>
                                        <w:div w:id="1628051333">
                                          <w:marLeft w:val="0"/>
                                          <w:marRight w:val="0"/>
                                          <w:marTop w:val="0"/>
                                          <w:marBottom w:val="0"/>
                                          <w:divBdr>
                                            <w:top w:val="none" w:sz="0" w:space="0" w:color="auto"/>
                                            <w:left w:val="none" w:sz="0" w:space="0" w:color="auto"/>
                                            <w:bottom w:val="none" w:sz="0" w:space="0" w:color="auto"/>
                                            <w:right w:val="none" w:sz="0" w:space="0" w:color="auto"/>
                                          </w:divBdr>
                                          <w:divsChild>
                                            <w:div w:id="942494812">
                                              <w:marLeft w:val="0"/>
                                              <w:marRight w:val="0"/>
                                              <w:marTop w:val="0"/>
                                              <w:marBottom w:val="0"/>
                                              <w:divBdr>
                                                <w:top w:val="none" w:sz="0" w:space="0" w:color="auto"/>
                                                <w:left w:val="none" w:sz="0" w:space="0" w:color="auto"/>
                                                <w:bottom w:val="none" w:sz="0" w:space="0" w:color="auto"/>
                                                <w:right w:val="none" w:sz="0" w:space="0" w:color="auto"/>
                                              </w:divBdr>
                                              <w:divsChild>
                                                <w:div w:id="148519918">
                                                  <w:marLeft w:val="0"/>
                                                  <w:marRight w:val="0"/>
                                                  <w:marTop w:val="0"/>
                                                  <w:marBottom w:val="0"/>
                                                  <w:divBdr>
                                                    <w:top w:val="none" w:sz="0" w:space="0" w:color="auto"/>
                                                    <w:left w:val="none" w:sz="0" w:space="0" w:color="auto"/>
                                                    <w:bottom w:val="none" w:sz="0" w:space="0" w:color="auto"/>
                                                    <w:right w:val="none" w:sz="0" w:space="0" w:color="auto"/>
                                                  </w:divBdr>
                                                  <w:divsChild>
                                                    <w:div w:id="1862743357">
                                                      <w:marLeft w:val="0"/>
                                                      <w:marRight w:val="0"/>
                                                      <w:marTop w:val="0"/>
                                                      <w:marBottom w:val="0"/>
                                                      <w:divBdr>
                                                        <w:top w:val="none" w:sz="0" w:space="0" w:color="auto"/>
                                                        <w:left w:val="none" w:sz="0" w:space="0" w:color="auto"/>
                                                        <w:bottom w:val="none" w:sz="0" w:space="0" w:color="auto"/>
                                                        <w:right w:val="none" w:sz="0" w:space="0" w:color="auto"/>
                                                      </w:divBdr>
                                                      <w:divsChild>
                                                        <w:div w:id="809632638">
                                                          <w:marLeft w:val="0"/>
                                                          <w:marRight w:val="0"/>
                                                          <w:marTop w:val="0"/>
                                                          <w:marBottom w:val="0"/>
                                                          <w:divBdr>
                                                            <w:top w:val="none" w:sz="0" w:space="0" w:color="auto"/>
                                                            <w:left w:val="none" w:sz="0" w:space="0" w:color="auto"/>
                                                            <w:bottom w:val="none" w:sz="0" w:space="0" w:color="auto"/>
                                                            <w:right w:val="none" w:sz="0" w:space="0" w:color="auto"/>
                                                          </w:divBdr>
                                                          <w:divsChild>
                                                            <w:div w:id="142922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51224202">
      <w:bodyDiv w:val="1"/>
      <w:marLeft w:val="0"/>
      <w:marRight w:val="0"/>
      <w:marTop w:val="0"/>
      <w:marBottom w:val="0"/>
      <w:divBdr>
        <w:top w:val="none" w:sz="0" w:space="0" w:color="auto"/>
        <w:left w:val="none" w:sz="0" w:space="0" w:color="auto"/>
        <w:bottom w:val="none" w:sz="0" w:space="0" w:color="auto"/>
        <w:right w:val="none" w:sz="0" w:space="0" w:color="auto"/>
      </w:divBdr>
      <w:divsChild>
        <w:div w:id="1714844846">
          <w:marLeft w:val="480"/>
          <w:marRight w:val="0"/>
          <w:marTop w:val="0"/>
          <w:marBottom w:val="0"/>
          <w:divBdr>
            <w:top w:val="none" w:sz="0" w:space="0" w:color="auto"/>
            <w:left w:val="none" w:sz="0" w:space="0" w:color="auto"/>
            <w:bottom w:val="none" w:sz="0" w:space="0" w:color="auto"/>
            <w:right w:val="none" w:sz="0" w:space="0" w:color="auto"/>
          </w:divBdr>
          <w:divsChild>
            <w:div w:id="118956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42474">
      <w:bodyDiv w:val="1"/>
      <w:marLeft w:val="0"/>
      <w:marRight w:val="0"/>
      <w:marTop w:val="0"/>
      <w:marBottom w:val="0"/>
      <w:divBdr>
        <w:top w:val="none" w:sz="0" w:space="0" w:color="auto"/>
        <w:left w:val="none" w:sz="0" w:space="0" w:color="auto"/>
        <w:bottom w:val="none" w:sz="0" w:space="0" w:color="auto"/>
        <w:right w:val="none" w:sz="0" w:space="0" w:color="auto"/>
      </w:divBdr>
    </w:div>
    <w:div w:id="1403944557">
      <w:bodyDiv w:val="1"/>
      <w:marLeft w:val="0"/>
      <w:marRight w:val="0"/>
      <w:marTop w:val="0"/>
      <w:marBottom w:val="0"/>
      <w:divBdr>
        <w:top w:val="none" w:sz="0" w:space="0" w:color="auto"/>
        <w:left w:val="none" w:sz="0" w:space="0" w:color="auto"/>
        <w:bottom w:val="none" w:sz="0" w:space="0" w:color="auto"/>
        <w:right w:val="none" w:sz="0" w:space="0" w:color="auto"/>
      </w:divBdr>
      <w:divsChild>
        <w:div w:id="1281768391">
          <w:marLeft w:val="480"/>
          <w:marRight w:val="0"/>
          <w:marTop w:val="0"/>
          <w:marBottom w:val="0"/>
          <w:divBdr>
            <w:top w:val="none" w:sz="0" w:space="0" w:color="auto"/>
            <w:left w:val="none" w:sz="0" w:space="0" w:color="auto"/>
            <w:bottom w:val="none" w:sz="0" w:space="0" w:color="auto"/>
            <w:right w:val="none" w:sz="0" w:space="0" w:color="auto"/>
          </w:divBdr>
          <w:divsChild>
            <w:div w:id="207435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881">
      <w:bodyDiv w:val="1"/>
      <w:marLeft w:val="0"/>
      <w:marRight w:val="0"/>
      <w:marTop w:val="0"/>
      <w:marBottom w:val="0"/>
      <w:divBdr>
        <w:top w:val="none" w:sz="0" w:space="0" w:color="auto"/>
        <w:left w:val="none" w:sz="0" w:space="0" w:color="auto"/>
        <w:bottom w:val="none" w:sz="0" w:space="0" w:color="auto"/>
        <w:right w:val="none" w:sz="0" w:space="0" w:color="auto"/>
      </w:divBdr>
      <w:divsChild>
        <w:div w:id="1156798810">
          <w:marLeft w:val="480"/>
          <w:marRight w:val="0"/>
          <w:marTop w:val="0"/>
          <w:marBottom w:val="0"/>
          <w:divBdr>
            <w:top w:val="none" w:sz="0" w:space="0" w:color="auto"/>
            <w:left w:val="none" w:sz="0" w:space="0" w:color="auto"/>
            <w:bottom w:val="none" w:sz="0" w:space="0" w:color="auto"/>
            <w:right w:val="none" w:sz="0" w:space="0" w:color="auto"/>
          </w:divBdr>
          <w:divsChild>
            <w:div w:id="137850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1.png"/><Relationship Id="rId21" Type="http://schemas.openxmlformats.org/officeDocument/2006/relationships/image" Target="media/image13.png"/><Relationship Id="rId34" Type="http://schemas.openxmlformats.org/officeDocument/2006/relationships/hyperlink" Target="https://public.ebookcentral.proquest.com/choice/publicfullrecord.aspx?p=5102473" TargetMode="External"/><Relationship Id="rId42" Type="http://schemas.openxmlformats.org/officeDocument/2006/relationships/image" Target="media/image24.png"/><Relationship Id="rId47" Type="http://schemas.openxmlformats.org/officeDocument/2006/relationships/header" Target="header7.xm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footer" Target="footer1.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oter" Target="footer3.xm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2.xml"/><Relationship Id="rId36" Type="http://schemas.openxmlformats.org/officeDocument/2006/relationships/header" Target="header4.xml"/><Relationship Id="rId49" Type="http://schemas.openxmlformats.org/officeDocument/2006/relationships/fontTable" Target="fontTable.xml"/><Relationship Id="rId10" Type="http://schemas.openxmlformats.org/officeDocument/2006/relationships/hyperlink" Target="https://public.ebookcentral.proquest.com/choice/publicfullrecord.aspx?p=5102473" TargetMode="External"/><Relationship Id="rId19" Type="http://schemas.openxmlformats.org/officeDocument/2006/relationships/image" Target="media/image11.png"/><Relationship Id="rId31" Type="http://schemas.openxmlformats.org/officeDocument/2006/relationships/header" Target="header3.xml"/><Relationship Id="rId44" Type="http://schemas.openxmlformats.org/officeDocument/2006/relationships/image" Target="media/image25.jp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www.quia.com/quiz/6562937.html" TargetMode="External"/><Relationship Id="rId43" Type="http://schemas.openxmlformats.org/officeDocument/2006/relationships/header" Target="header5.xml"/><Relationship Id="rId48"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public.ebookcentral.proquest.com/choice/publicfullrecord.aspx?p=5102473" TargetMode="Externa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public.ebookcentral.proquest.com/choice/publicfullrecord.aspx?p=5757003" TargetMode="External"/><Relationship Id="rId38" Type="http://schemas.openxmlformats.org/officeDocument/2006/relationships/image" Target="media/image20.png"/><Relationship Id="rId46" Type="http://schemas.openxmlformats.org/officeDocument/2006/relationships/footer" Target="footer4.xml"/><Relationship Id="rId20" Type="http://schemas.openxmlformats.org/officeDocument/2006/relationships/image" Target="media/image12.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www.boe.es/eli/es/rd/2007/11/16/1514/con" TargetMode="External"/><Relationship Id="rId1" Type="http://schemas.openxmlformats.org/officeDocument/2006/relationships/hyperlink" Target="https://eur-lex.europa.eu/legal-content/ES/TXT/PDF/?uri=CELEX:32002R1606&amp;from=ES" TargetMode="External"/><Relationship Id="rId5" Type="http://schemas.openxmlformats.org/officeDocument/2006/relationships/hyperlink" Target="https://youtu.be/1lgrALWCkMs" TargetMode="External"/><Relationship Id="rId4" Type="http://schemas.openxmlformats.org/officeDocument/2006/relationships/hyperlink" Target="https://www.stocklogistic.com/metodo-fifo-valoracion-stock-almac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2B92473D0FC43C38638FA8380C79D92"/>
        <w:category>
          <w:name w:val="General"/>
          <w:gallery w:val="placeholder"/>
        </w:category>
        <w:types>
          <w:type w:val="bbPlcHdr"/>
        </w:types>
        <w:behaviors>
          <w:behavior w:val="content"/>
        </w:behaviors>
        <w:guid w:val="{DC1FB9A1-E5FF-43C6-A62A-7EE6EAEC2722}"/>
      </w:docPartPr>
      <w:docPartBody>
        <w:p w:rsidR="00846382" w:rsidRDefault="002D02F7">
          <w:pPr>
            <w:pStyle w:val="A2B92473D0FC43C38638FA8380C79D92"/>
          </w:pPr>
          <w:r w:rsidRPr="001B5103">
            <w:rPr>
              <w:rStyle w:val="Textodelmarcadordeposicin"/>
            </w:rPr>
            <w:t>[Title]</w:t>
          </w:r>
        </w:p>
      </w:docPartBody>
    </w:docPart>
    <w:docPart>
      <w:docPartPr>
        <w:name w:val="A736CA76B7DF4F54B18023A3626291B8"/>
        <w:category>
          <w:name w:val="General"/>
          <w:gallery w:val="placeholder"/>
        </w:category>
        <w:types>
          <w:type w:val="bbPlcHdr"/>
        </w:types>
        <w:behaviors>
          <w:behavior w:val="content"/>
        </w:behaviors>
        <w:guid w:val="{85274DFF-7819-4061-BAFF-1401B38F81CE}"/>
      </w:docPartPr>
      <w:docPartBody>
        <w:p w:rsidR="00846382" w:rsidRDefault="002D02F7">
          <w:pPr>
            <w:pStyle w:val="A736CA76B7DF4F54B18023A3626291B8"/>
          </w:pPr>
          <w:r w:rsidRPr="001B5103">
            <w:rPr>
              <w:rStyle w:val="Textodelmarcadordeposicin"/>
            </w:rPr>
            <w:t>[Subject]</w:t>
          </w:r>
        </w:p>
      </w:docPartBody>
    </w:docPart>
    <w:docPart>
      <w:docPartPr>
        <w:name w:val="2789331A316740DFAF5512C6AD37E8FF"/>
        <w:category>
          <w:name w:val="General"/>
          <w:gallery w:val="placeholder"/>
        </w:category>
        <w:types>
          <w:type w:val="bbPlcHdr"/>
        </w:types>
        <w:behaviors>
          <w:behavior w:val="content"/>
        </w:behaviors>
        <w:guid w:val="{B5A88949-836B-4EC5-9A32-B12660CC42A9}"/>
      </w:docPartPr>
      <w:docPartBody>
        <w:p w:rsidR="002732BB" w:rsidRDefault="00976C39" w:rsidP="00976C39">
          <w:pPr>
            <w:pStyle w:val="2789331A316740DFAF5512C6AD37E8FF"/>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2F7"/>
    <w:rsid w:val="00061037"/>
    <w:rsid w:val="001E505C"/>
    <w:rsid w:val="002732BB"/>
    <w:rsid w:val="00283986"/>
    <w:rsid w:val="002B23D1"/>
    <w:rsid w:val="002D02F7"/>
    <w:rsid w:val="002F2740"/>
    <w:rsid w:val="003636DC"/>
    <w:rsid w:val="00390393"/>
    <w:rsid w:val="00441749"/>
    <w:rsid w:val="00465EA5"/>
    <w:rsid w:val="004E0D6C"/>
    <w:rsid w:val="004E185B"/>
    <w:rsid w:val="004F4B92"/>
    <w:rsid w:val="005848D0"/>
    <w:rsid w:val="00597525"/>
    <w:rsid w:val="005D1AAC"/>
    <w:rsid w:val="0060478A"/>
    <w:rsid w:val="00614A3C"/>
    <w:rsid w:val="0062576B"/>
    <w:rsid w:val="00657B6B"/>
    <w:rsid w:val="00736144"/>
    <w:rsid w:val="007F2A1B"/>
    <w:rsid w:val="00846382"/>
    <w:rsid w:val="0088703C"/>
    <w:rsid w:val="00897DC1"/>
    <w:rsid w:val="008B59F3"/>
    <w:rsid w:val="00976C39"/>
    <w:rsid w:val="009B1DF1"/>
    <w:rsid w:val="009D0B96"/>
    <w:rsid w:val="009F25CB"/>
    <w:rsid w:val="00AC5381"/>
    <w:rsid w:val="00B912FF"/>
    <w:rsid w:val="00CB477F"/>
    <w:rsid w:val="00CE3B8B"/>
    <w:rsid w:val="00D11DA5"/>
    <w:rsid w:val="00D32826"/>
    <w:rsid w:val="00D55C32"/>
    <w:rsid w:val="00D56817"/>
    <w:rsid w:val="00D9402B"/>
    <w:rsid w:val="00E43E61"/>
    <w:rsid w:val="00E86045"/>
    <w:rsid w:val="00EC154B"/>
    <w:rsid w:val="00ED3B62"/>
    <w:rsid w:val="00F04C9B"/>
    <w:rsid w:val="00F13049"/>
    <w:rsid w:val="00F70A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57B6B"/>
    <w:rPr>
      <w:color w:val="808080"/>
    </w:rPr>
  </w:style>
  <w:style w:type="paragraph" w:customStyle="1" w:styleId="A2B92473D0FC43C38638FA8380C79D92">
    <w:name w:val="A2B92473D0FC43C38638FA8380C79D92"/>
  </w:style>
  <w:style w:type="paragraph" w:customStyle="1" w:styleId="A736CA76B7DF4F54B18023A3626291B8">
    <w:name w:val="A736CA76B7DF4F54B18023A3626291B8"/>
  </w:style>
  <w:style w:type="paragraph" w:customStyle="1" w:styleId="2789331A316740DFAF5512C6AD37E8FF">
    <w:name w:val="2789331A316740DFAF5512C6AD37E8FF"/>
    <w:rsid w:val="00976C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104</TotalTime>
  <Pages>1</Pages>
  <Words>10592</Words>
  <Characters>58261</Characters>
  <Application>Microsoft Office Word</Application>
  <DocSecurity>0</DocSecurity>
  <Lines>485</Lines>
  <Paragraphs>137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3.B.1</vt:lpstr>
      <vt:lpstr>TEMA E.P.NN</vt:lpstr>
    </vt:vector>
  </TitlesOfParts>
  <Company/>
  <LinksUpToDate>false</LinksUpToDate>
  <CharactersWithSpaces>68716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3.B.1</dc:title>
  <dc:subject>La información financiera de las empresas: estados de situación y de circulación. Métodos de análisis económico y financiero de la empresa.</dc:subject>
  <dc:creator>Víctor Gutiérrez Marcos</dc:creator>
  <cp:keywords/>
  <dc:description/>
  <cp:lastModifiedBy>Víctor Gutiérrez Marcos</cp:lastModifiedBy>
  <dcterms:created xsi:type="dcterms:W3CDTF">2024-07-18T21:01:00Z</dcterms:created>
  <dcterms:modified xsi:type="dcterms:W3CDTF">2024-08-10T17:00:00Z</dcterms:modified>
</cp:coreProperties>
</file>