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CE20D" w14:textId="05DCFEE2" w:rsidR="00307C23" w:rsidRDefault="00000000" w:rsidP="00F877BD">
      <w:pPr>
        <w:pStyle w:val="Ttulo"/>
        <w:ind w:left="-709" w:right="-908"/>
        <w:rPr>
          <w:spacing w:val="-8"/>
        </w:rPr>
      </w:pPr>
      <w:sdt>
        <w:sdtPr>
          <w:rPr>
            <w:i/>
            <w:iCs w:val="0"/>
            <w:spacing w:val="-8"/>
            <w:u w:val="single"/>
          </w:rPr>
          <w:alias w:val="Title"/>
          <w:tag w:val=""/>
          <w:id w:val="-780801520"/>
          <w:placeholder>
            <w:docPart w:val="040D971359C3434F93360253D7CF9C5D"/>
          </w:placeholder>
          <w:dataBinding w:prefixMappings="xmlns:ns0='http://purl.org/dc/elements/1.1/' xmlns:ns1='http://schemas.openxmlformats.org/package/2006/metadata/core-properties' " w:xpath="/ns1:coreProperties[1]/ns0:title[1]" w:storeItemID="{6C3C8BC8-F283-45AE-878A-BAB7291924A1}"/>
          <w:text/>
        </w:sdtPr>
        <w:sdtContent>
          <w:r w:rsidR="000716E7">
            <w:rPr>
              <w:i/>
              <w:iCs w:val="0"/>
              <w:spacing w:val="-8"/>
              <w:u w:val="single"/>
            </w:rPr>
            <w:t>3.A.4</w:t>
          </w:r>
          <w:r w:rsidR="00567B9B">
            <w:rPr>
              <w:i/>
              <w:iCs w:val="0"/>
              <w:spacing w:val="-8"/>
              <w:u w:val="single"/>
            </w:rPr>
            <w:t>5</w:t>
          </w:r>
        </w:sdtContent>
      </w:sdt>
      <w:r w:rsidR="00C851DA" w:rsidRPr="006E1B87">
        <w:rPr>
          <w:spacing w:val="-8"/>
        </w:rPr>
        <w:t xml:space="preserve"> :</w:t>
      </w:r>
      <w:r w:rsidR="00C81078" w:rsidRPr="006E1B87">
        <w:rPr>
          <w:spacing w:val="-8"/>
        </w:rPr>
        <w:t xml:space="preserve"> </w:t>
      </w:r>
      <w:sdt>
        <w:sdtPr>
          <w:rPr>
            <w:spacing w:val="-8"/>
          </w:rPr>
          <w:alias w:val="Subject"/>
          <w:tag w:val=""/>
          <w:id w:val="-1903059896"/>
          <w:placeholder>
            <w:docPart w:val="35DB1947304E4F17ACD237C797452A14"/>
          </w:placeholder>
          <w:dataBinding w:prefixMappings="xmlns:ns0='http://purl.org/dc/elements/1.1/' xmlns:ns1='http://schemas.openxmlformats.org/package/2006/metadata/core-properties' " w:xpath="/ns1:coreProperties[1]/ns0:subject[1]" w:storeItemID="{6C3C8BC8-F283-45AE-878A-BAB7291924A1}"/>
          <w:text/>
        </w:sdtPr>
        <w:sdtContent>
          <w:r w:rsidR="000716E7">
            <w:rPr>
              <w:spacing w:val="-8"/>
            </w:rPr>
            <w:t>Evidencia empírica sobre el crecimiento económico</w:t>
          </w:r>
          <w:r w:rsidR="00567B9B">
            <w:rPr>
              <w:spacing w:val="-8"/>
            </w:rPr>
            <w:t xml:space="preserve"> y la distribución de la renta entre los factores de producción.</w:t>
          </w:r>
          <w:r w:rsidR="000716E7">
            <w:rPr>
              <w:spacing w:val="-8"/>
            </w:rPr>
            <w:t xml:space="preserve"> </w:t>
          </w:r>
          <w:r w:rsidR="00567B9B">
            <w:rPr>
              <w:spacing w:val="-8"/>
            </w:rPr>
            <w:t>C</w:t>
          </w:r>
          <w:r w:rsidR="000716E7">
            <w:rPr>
              <w:spacing w:val="-8"/>
            </w:rPr>
            <w:t>ontabilidad del crecimiento,</w:t>
          </w:r>
          <w:r w:rsidR="00567B9B">
            <w:rPr>
              <w:spacing w:val="-8"/>
            </w:rPr>
            <w:t xml:space="preserve"> con especial referencia a la productividad total de los factores.</w:t>
          </w:r>
          <w:r w:rsidR="000716E7">
            <w:rPr>
              <w:spacing w:val="-8"/>
            </w:rPr>
            <w:t xml:space="preserve"> </w:t>
          </w:r>
          <w:r w:rsidR="00567B9B">
            <w:rPr>
              <w:spacing w:val="-8"/>
            </w:rPr>
            <w:t>C</w:t>
          </w:r>
          <w:r w:rsidR="000716E7">
            <w:rPr>
              <w:spacing w:val="-8"/>
            </w:rPr>
            <w:t>onvergencia</w:t>
          </w:r>
          <w:r w:rsidR="00567B9B">
            <w:rPr>
              <w:spacing w:val="-8"/>
            </w:rPr>
            <w:t xml:space="preserve"> económica internacional</w:t>
          </w:r>
          <w:r w:rsidR="00582A93">
            <w:rPr>
              <w:spacing w:val="-8"/>
            </w:rPr>
            <w:t>.</w:t>
          </w:r>
        </w:sdtContent>
      </w:sdt>
    </w:p>
    <w:p w14:paraId="2D69C90A" w14:textId="77777777" w:rsidR="00567B9B" w:rsidRDefault="00567B9B" w:rsidP="00567B9B">
      <w:pPr>
        <w:pStyle w:val="Notaalopositor"/>
        <w:spacing w:after="0"/>
      </w:pPr>
      <w:bookmarkStart w:id="0" w:name="_Hlk116573156"/>
      <w:bookmarkStart w:id="1" w:name="_Hlk110242872"/>
      <w:r>
        <w:t>Con el cambio de temario, a partir de la convocatoria de 2023 este tema pasará a ser:</w:t>
      </w:r>
    </w:p>
    <w:p w14:paraId="4E5250FC" w14:textId="7CDCE620" w:rsidR="00567B9B" w:rsidRDefault="00567B9B" w:rsidP="00567B9B">
      <w:pPr>
        <w:pStyle w:val="Notaalopositor"/>
      </w:pPr>
      <w:r>
        <w:t>3.A.45: Evidencia empírica sobre el crecimiento económico y la distribución de la renta entre los factores de producción. Contabilidad del crecimiento, con especial referencia a la productividad total de los factores. Convergencia económica internacional.</w:t>
      </w:r>
    </w:p>
    <w:p w14:paraId="46F9B0E8" w14:textId="1CB34421" w:rsidR="00567B9B" w:rsidRPr="00AC1400" w:rsidRDefault="00567B9B" w:rsidP="00567B9B">
      <w:pPr>
        <w:pStyle w:val="Notaalopositor"/>
        <w:rPr>
          <w:b/>
          <w:bCs/>
        </w:rPr>
      </w:pPr>
      <w:r>
        <w:t>De este modo, con lo escrito en este documento este tema estaría</w:t>
      </w:r>
      <w:r w:rsidR="002E2B8D">
        <w:t xml:space="preserve"> </w:t>
      </w:r>
      <w:r w:rsidR="00AC1400" w:rsidRPr="00AC1400">
        <w:rPr>
          <w:b/>
          <w:bCs/>
        </w:rPr>
        <w:t>actualizado</w:t>
      </w:r>
      <w:r w:rsidR="00AC1400" w:rsidRPr="00AC1400">
        <w:t xml:space="preserve">, pero sería necesario </w:t>
      </w:r>
      <w:r w:rsidR="00AC1400">
        <w:t>indagar más en los efectos sobre la distribución funcional de la renta y los estudios empíricos acerca de esta cuestión.</w:t>
      </w:r>
    </w:p>
    <w:bookmarkEnd w:id="0"/>
    <w:bookmarkEnd w:id="1"/>
    <w:p w14:paraId="74049A8E" w14:textId="15B54152" w:rsidR="00567B9B" w:rsidRDefault="00567B9B" w:rsidP="00567B9B">
      <w:pPr>
        <w:pStyle w:val="Notaalopositor"/>
        <w:jc w:val="center"/>
      </w:pPr>
      <w:r w:rsidRPr="00567B9B">
        <w:rPr>
          <w:noProof/>
        </w:rPr>
        <w:drawing>
          <wp:inline distT="0" distB="0" distL="0" distR="0" wp14:anchorId="32F630C7" wp14:editId="4B5CE1DF">
            <wp:extent cx="2880000" cy="3243407"/>
            <wp:effectExtent l="0" t="0" r="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Texto&#10;&#10;Descripción generada automáticamente"/>
                    <pic:cNvPicPr/>
                  </pic:nvPicPr>
                  <pic:blipFill>
                    <a:blip r:embed="rId8"/>
                    <a:stretch>
                      <a:fillRect/>
                    </a:stretch>
                  </pic:blipFill>
                  <pic:spPr>
                    <a:xfrm>
                      <a:off x="0" y="0"/>
                      <a:ext cx="2880000" cy="3243407"/>
                    </a:xfrm>
                    <a:prstGeom prst="rect">
                      <a:avLst/>
                    </a:prstGeom>
                  </pic:spPr>
                </pic:pic>
              </a:graphicData>
            </a:graphic>
          </wp:inline>
        </w:drawing>
      </w:r>
    </w:p>
    <w:p w14:paraId="7810B35C" w14:textId="7A32E615" w:rsidR="00567B9B" w:rsidRPr="00BD7BA6" w:rsidRDefault="0021774E" w:rsidP="00567B9B">
      <w:pPr>
        <w:pStyle w:val="Introduccinyconclusin"/>
      </w:pPr>
      <w:r w:rsidRPr="00B9022F">
        <w:t>I</w:t>
      </w:r>
      <w:r w:rsidRPr="00B9022F">
        <w:rPr>
          <w:rStyle w:val="IntroduccinyconclusinChar"/>
          <w:b/>
          <w:bCs/>
          <w:caps/>
          <w:shd w:val="clear" w:color="auto" w:fill="auto"/>
        </w:rPr>
        <w:t>NTRODUCCIÓN</w:t>
      </w:r>
      <w:bookmarkEnd w:id="2"/>
      <w:bookmarkEnd w:id="3"/>
      <w:bookmarkEnd w:id="4"/>
      <w:bookmarkEnd w:id="5"/>
    </w:p>
    <w:p w14:paraId="03DA9E01" w14:textId="55ED0686" w:rsidR="00B77C0F" w:rsidRDefault="00B77C0F" w:rsidP="00981B56">
      <w:pPr>
        <w:pStyle w:val="Nivel1"/>
        <w:keepNext/>
        <w:spacing w:before="0" w:after="0"/>
      </w:pPr>
      <w:r w:rsidRPr="00FD2AC8">
        <w:rPr>
          <w:b/>
          <w:bCs/>
          <w:i/>
          <w:iCs/>
        </w:rPr>
        <w:t>Enganche</w:t>
      </w:r>
      <w:r>
        <w:t>:</w:t>
      </w:r>
    </w:p>
    <w:p w14:paraId="78EF0835" w14:textId="77777777" w:rsidR="005E2195" w:rsidRDefault="005E2195">
      <w:pPr>
        <w:pStyle w:val="Nivel2"/>
        <w:keepNext/>
        <w:spacing w:after="0"/>
      </w:pPr>
      <w:bookmarkStart w:id="6" w:name="_Hlk119080305"/>
      <w:r>
        <w:t>La ciudad de Nogales está dividida en dos mitades por una valla.</w:t>
      </w:r>
    </w:p>
    <w:p w14:paraId="051ACB86" w14:textId="41F42A36" w:rsidR="005E2195" w:rsidRPr="0006431E" w:rsidRDefault="005E2195">
      <w:pPr>
        <w:pStyle w:val="Nivel3"/>
        <w:rPr>
          <w:spacing w:val="-2"/>
        </w:rPr>
      </w:pPr>
      <w:r w:rsidRPr="0006431E">
        <w:rPr>
          <w:spacing w:val="-2"/>
        </w:rPr>
        <w:t xml:space="preserve">En el norte se </w:t>
      </w:r>
      <w:r>
        <w:rPr>
          <w:spacing w:val="-2"/>
        </w:rPr>
        <w:t>encuentra</w:t>
      </w:r>
      <w:r w:rsidRPr="0006431E">
        <w:rPr>
          <w:spacing w:val="-2"/>
        </w:rPr>
        <w:t xml:space="preserve"> Nogales, Arizona. La renta media es de 30.000</w:t>
      </w:r>
      <w:r w:rsidR="00981B56">
        <w:rPr>
          <w:spacing w:val="-2"/>
        </w:rPr>
        <w:t> </w:t>
      </w:r>
      <w:r w:rsidRPr="0006431E">
        <w:rPr>
          <w:spacing w:val="-2"/>
        </w:rPr>
        <w:t>dólares al año. La población está relativamente sana y la esperanza de vida es relativamente alta.</w:t>
      </w:r>
    </w:p>
    <w:p w14:paraId="6FFE874D" w14:textId="77777777" w:rsidR="005E2195" w:rsidRPr="005C19E8" w:rsidRDefault="005E2195">
      <w:pPr>
        <w:pStyle w:val="Nivel3"/>
        <w:keepNext/>
        <w:rPr>
          <w:rStyle w:val="den"/>
        </w:rPr>
      </w:pPr>
      <w:r>
        <w:rPr>
          <w:noProof/>
        </w:rPr>
        <w:lastRenderedPageBreak/>
        <w:drawing>
          <wp:anchor distT="0" distB="0" distL="114300" distR="114300" simplePos="0" relativeHeight="251661312" behindDoc="1" locked="0" layoutInCell="1" allowOverlap="1" wp14:anchorId="77703B75" wp14:editId="27A5F589">
            <wp:simplePos x="0" y="0"/>
            <wp:positionH relativeFrom="column">
              <wp:posOffset>4890770</wp:posOffset>
            </wp:positionH>
            <wp:positionV relativeFrom="paragraph">
              <wp:posOffset>64770</wp:posOffset>
            </wp:positionV>
            <wp:extent cx="1297940" cy="843915"/>
            <wp:effectExtent l="0" t="0" r="0" b="0"/>
            <wp:wrapTight wrapText="bothSides">
              <wp:wrapPolygon edited="0">
                <wp:start x="0" y="0"/>
                <wp:lineTo x="0" y="20966"/>
                <wp:lineTo x="21241" y="20966"/>
                <wp:lineTo x="21241" y="0"/>
                <wp:lineTo x="0" y="0"/>
              </wp:wrapPolygon>
            </wp:wrapTight>
            <wp:docPr id="19" name="Imagen 19" descr="Imagen que contiene edificio, exterior, camión,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magen que contiene edificio, exterior, camión, calle&#10;&#10;Descripción generada automáticamente"/>
                    <pic:cNvPicPr/>
                  </pic:nvPicPr>
                  <pic:blipFill>
                    <a:blip r:embed="rId9"/>
                    <a:stretch>
                      <a:fillRect/>
                    </a:stretch>
                  </pic:blipFill>
                  <pic:spPr>
                    <a:xfrm>
                      <a:off x="0" y="0"/>
                      <a:ext cx="1297940" cy="843915"/>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r>
        <w:t>La vida en el sur de la valla es diferente. En Nogales (Sonora) la renta media es</w:t>
      </w:r>
      <w:r w:rsidRPr="005C19E8">
        <w:t xml:space="preserve"> </w:t>
      </w:r>
      <w:r w:rsidRPr="005C19E8">
        <w:rPr>
          <w:rStyle w:val="num"/>
          <w:rFonts w:cs="Arial"/>
          <w:color w:val="202122"/>
          <w:shd w:val="clear" w:color="auto" w:fill="FFFFFF"/>
          <w:vertAlign w:val="superscript"/>
        </w:rPr>
        <w:t>1</w:t>
      </w:r>
      <w:r w:rsidRPr="005C19E8">
        <w:rPr>
          <w:rStyle w:val="frac"/>
          <w:rFonts w:cs="Arial"/>
          <w:color w:val="202122"/>
          <w:shd w:val="clear" w:color="auto" w:fill="FFFFFF"/>
        </w:rPr>
        <w:t>⁄</w:t>
      </w:r>
      <w:r w:rsidRPr="005C19E8">
        <w:rPr>
          <w:rStyle w:val="den"/>
          <w:rFonts w:cs="Arial"/>
          <w:color w:val="202122"/>
          <w:shd w:val="clear" w:color="auto" w:fill="FFFFFF"/>
          <w:vertAlign w:val="subscript"/>
        </w:rPr>
        <w:t>3</w:t>
      </w:r>
      <w:r w:rsidRPr="005C19E8">
        <w:rPr>
          <w:rStyle w:val="den"/>
          <w:rFonts w:cs="Arial"/>
          <w:color w:val="202122"/>
          <w:shd w:val="clear" w:color="auto" w:fill="FFFFFF"/>
        </w:rPr>
        <w:t xml:space="preserve"> a</w:t>
      </w:r>
      <w:r>
        <w:rPr>
          <w:rStyle w:val="den"/>
          <w:rFonts w:cs="Arial"/>
          <w:color w:val="202122"/>
          <w:shd w:val="clear" w:color="auto" w:fill="FFFFFF"/>
        </w:rPr>
        <w:t xml:space="preserve"> la de Nogales (Arizona). La mayoría de la población adulta no tiene un diploma escolar y muchos adolescentes no están en las escuelas. Las condiciones sanitarias son deficientes y existen todavía elevadas tasas de mortalidad infantil.</w:t>
      </w:r>
    </w:p>
    <w:p w14:paraId="12999AF3" w14:textId="77777777" w:rsidR="005E2195" w:rsidRDefault="005E2195">
      <w:pPr>
        <w:pStyle w:val="Nivel4"/>
        <w:keepNext/>
      </w:pPr>
      <w:r w:rsidRPr="006C03F4">
        <w:rPr>
          <w:i/>
          <w:iCs/>
        </w:rPr>
        <w:t>¿Qué explica la diferencia entre las dos Nogales?</w:t>
      </w:r>
    </w:p>
    <w:p w14:paraId="29DA0710" w14:textId="4B73C8F3" w:rsidR="005E2195" w:rsidRDefault="005E2195" w:rsidP="005E2195">
      <w:pPr>
        <w:pStyle w:val="Nivel4"/>
        <w:numPr>
          <w:ilvl w:val="0"/>
          <w:numId w:val="0"/>
        </w:numPr>
        <w:ind w:left="1899"/>
      </w:pPr>
      <w:r>
        <w:t xml:space="preserve">La diferencia entre las dos partes de Nogales es que una se encuentra bajo la jurisdicción de los </w:t>
      </w:r>
      <w:r w:rsidR="0036576D">
        <w:t>Estados Unidos</w:t>
      </w:r>
      <w:r>
        <w:t xml:space="preserve"> y la otra pertenece a México.</w:t>
      </w:r>
    </w:p>
    <w:bookmarkEnd w:id="6"/>
    <w:p w14:paraId="2C4DBFCA" w14:textId="77777777" w:rsidR="005E2195" w:rsidRDefault="005E2195">
      <w:pPr>
        <w:pStyle w:val="Nivel2"/>
        <w:keepNext/>
        <w:spacing w:after="0"/>
      </w:pPr>
      <w:r>
        <w:t>¿Por qué unos países son más ricos que otros? ¿Por qué crecen las economías?</w:t>
      </w:r>
    </w:p>
    <w:p w14:paraId="3DC36D18" w14:textId="77777777" w:rsidR="005E2195" w:rsidRDefault="005E2195">
      <w:pPr>
        <w:pStyle w:val="Nivel3"/>
      </w:pPr>
      <w:r>
        <w:t>Existen enormes diferencias en la riqueza per cápita y la producción por trabajador entre los países en la actualidad. Por ejemplo, la producción por trabajador de España no es igual que la de Nigeria, y el consumo medio por persona tampoco.</w:t>
      </w:r>
    </w:p>
    <w:p w14:paraId="0D3CFADA" w14:textId="77777777" w:rsidR="005E2195" w:rsidRDefault="005E2195">
      <w:pPr>
        <w:pStyle w:val="Nivel2"/>
      </w:pPr>
      <w:r>
        <w:t xml:space="preserve">Estas y otras cuestiones son estudiadas por la </w:t>
      </w:r>
      <w:r w:rsidRPr="00461D24">
        <w:rPr>
          <w:i/>
          <w:iCs/>
        </w:rPr>
        <w:t>teoría del crecimiento económico</w:t>
      </w:r>
      <w:r>
        <w:t>, que es la rama de la macroeconomía que estudia la evolución en el largo plazo de las variables macroeconómicas.</w:t>
      </w:r>
    </w:p>
    <w:p w14:paraId="04402DCA" w14:textId="77777777" w:rsidR="00397ADC" w:rsidRPr="000A3137" w:rsidRDefault="00397ADC">
      <w:pPr>
        <w:pStyle w:val="Nivel1"/>
        <w:keepNext/>
        <w:spacing w:after="0"/>
      </w:pPr>
      <w:r w:rsidRPr="00FD2AC8">
        <w:rPr>
          <w:b/>
          <w:bCs/>
          <w:i/>
          <w:iCs/>
        </w:rPr>
        <w:t>Relevancia</w:t>
      </w:r>
      <w:r w:rsidRPr="000A3137">
        <w:t>:</w:t>
      </w:r>
    </w:p>
    <w:p w14:paraId="687AFA92" w14:textId="77777777" w:rsidR="005E2195" w:rsidRDefault="005E2195">
      <w:pPr>
        <w:pStyle w:val="Nivel2"/>
        <w:keepNext/>
        <w:spacing w:after="0"/>
      </w:pPr>
      <w:bookmarkStart w:id="7" w:name="_Hlk119568765"/>
      <w:r w:rsidRPr="001E1FE4">
        <w:rPr>
          <w:smallCaps/>
        </w:rPr>
        <w:t>Robert Lucas</w:t>
      </w:r>
      <w:r w:rsidRPr="005171AF">
        <w:rPr>
          <w:rStyle w:val="Refdenotaalpie"/>
        </w:rPr>
        <w:footnoteReference w:id="2"/>
      </w:r>
      <w:r>
        <w:t xml:space="preserve"> afirmó que </w:t>
      </w:r>
      <w:r w:rsidRPr="001E1FE4">
        <w:rPr>
          <w:i/>
          <w:iCs/>
        </w:rPr>
        <w:t>“una vez que uno comienza a pensar en el crecimiento económico, es difícil pensar en otra cosa”</w:t>
      </w:r>
      <w:r>
        <w:rPr>
          <w:rStyle w:val="Refdenotaalpie"/>
        </w:rPr>
        <w:footnoteReference w:id="3"/>
      </w:r>
      <w:r>
        <w:t>.</w:t>
      </w:r>
    </w:p>
    <w:bookmarkEnd w:id="7"/>
    <w:p w14:paraId="50EBA83A" w14:textId="77777777" w:rsidR="005E2195" w:rsidRPr="005C4469" w:rsidRDefault="005E2195">
      <w:pPr>
        <w:pStyle w:val="Nivel3"/>
        <w:spacing w:after="100"/>
        <w:rPr>
          <w:spacing w:val="-2"/>
        </w:rPr>
      </w:pPr>
      <w:r w:rsidRPr="005C4469">
        <w:rPr>
          <w:spacing w:val="-2"/>
        </w:rPr>
        <w:t xml:space="preserve">Y es que la </w:t>
      </w:r>
      <w:r w:rsidRPr="005C4469">
        <w:rPr>
          <w:b/>
          <w:bCs/>
          <w:spacing w:val="-2"/>
        </w:rPr>
        <w:t>teoría del crecimiento económico</w:t>
      </w:r>
      <w:r w:rsidRPr="005C4469">
        <w:rPr>
          <w:spacing w:val="-2"/>
        </w:rPr>
        <w:t xml:space="preserve"> posiblemente sea la rama de la economía de mayor relevancia, ya que pequeños cambios en la tasa de crecimiento mantenidos durante largos per</w:t>
      </w:r>
      <w:r>
        <w:rPr>
          <w:spacing w:val="-2"/>
        </w:rPr>
        <w:t>í</w:t>
      </w:r>
      <w:r w:rsidRPr="005C4469">
        <w:rPr>
          <w:spacing w:val="-2"/>
        </w:rPr>
        <w:t>odos de tiempo generan grandes diferencias en los niveles de renta per cápita entre países, y en última instancia sobre la calidad de vida de sus habitantes.</w:t>
      </w:r>
    </w:p>
    <w:p w14:paraId="74EC3559" w14:textId="258BE8B5" w:rsidR="00A51B24" w:rsidRDefault="00FD2AC8">
      <w:pPr>
        <w:pStyle w:val="Nivel1"/>
        <w:keepNext/>
        <w:spacing w:after="0"/>
      </w:pPr>
      <w:r w:rsidRPr="00FD2AC8">
        <w:rPr>
          <w:b/>
          <w:bCs/>
          <w:i/>
          <w:iCs/>
        </w:rPr>
        <w:t>Contextualización</w:t>
      </w:r>
      <w:r w:rsidR="00A51B24">
        <w:t>:</w:t>
      </w:r>
    </w:p>
    <w:p w14:paraId="206BA065" w14:textId="77777777" w:rsidR="005E2195" w:rsidRDefault="005E2195">
      <w:pPr>
        <w:pStyle w:val="Nivel2"/>
      </w:pPr>
      <w:r w:rsidRPr="005E2195">
        <w:t>En</w:t>
      </w:r>
      <w:r>
        <w:t xml:space="preserve"> esta exposición en particular adoptaremos una aproximación empírica.</w:t>
      </w:r>
    </w:p>
    <w:p w14:paraId="1B00AB70" w14:textId="77777777" w:rsidR="005E2195" w:rsidRDefault="005E2195">
      <w:pPr>
        <w:pStyle w:val="Nivel2"/>
        <w:keepNext/>
        <w:spacing w:after="0"/>
      </w:pPr>
      <w:r>
        <w:t xml:space="preserve">En general, </w:t>
      </w:r>
      <w:r w:rsidRPr="005E2195">
        <w:rPr>
          <w:i/>
          <w:iCs/>
          <w:u w:val="single"/>
        </w:rPr>
        <w:t>desde un punto de vista empírico</w:t>
      </w:r>
      <w:r>
        <w:t>,</w:t>
      </w:r>
    </w:p>
    <w:p w14:paraId="24C77EE3" w14:textId="09A55AE7" w:rsidR="000A3137" w:rsidRPr="003545D8" w:rsidRDefault="005E2195">
      <w:pPr>
        <w:pStyle w:val="Nivel3"/>
        <w:rPr>
          <w:spacing w:val="-1"/>
        </w:rPr>
      </w:pPr>
      <w:r w:rsidRPr="003545D8">
        <w:rPr>
          <w:spacing w:val="-1"/>
        </w:rPr>
        <w:t>Se observa como en los últimos 200</w:t>
      </w:r>
      <w:r w:rsidR="00D74FC8" w:rsidRPr="003545D8">
        <w:rPr>
          <w:spacing w:val="-1"/>
        </w:rPr>
        <w:t> </w:t>
      </w:r>
      <w:r w:rsidRPr="003545D8">
        <w:rPr>
          <w:spacing w:val="-1"/>
        </w:rPr>
        <w:t>años algunos países han visto su producto per cápita crecer a lo largo de los años y que su tasa de crecimiento económico no presenta signos de agotamiento, lo que ha generado amplias mejoras del nivel de vida</w:t>
      </w:r>
      <w:r w:rsidRPr="003545D8">
        <w:rPr>
          <w:rStyle w:val="Refdenotaalpie"/>
          <w:spacing w:val="-1"/>
        </w:rPr>
        <w:footnoteReference w:id="4"/>
      </w:r>
      <w:r w:rsidRPr="003545D8">
        <w:rPr>
          <w:spacing w:val="-1"/>
        </w:rPr>
        <w:t>.</w:t>
      </w:r>
    </w:p>
    <w:p w14:paraId="7DB3AD62" w14:textId="6FED0A45" w:rsidR="005E2195" w:rsidRPr="007C6E41" w:rsidRDefault="005E2195">
      <w:pPr>
        <w:pStyle w:val="Nivel3"/>
        <w:rPr>
          <w:spacing w:val="-2"/>
        </w:rPr>
      </w:pPr>
      <w:r w:rsidRPr="007C6E41">
        <w:rPr>
          <w:spacing w:val="-2"/>
        </w:rPr>
        <w:t>No obstante, al mismo tiempo las experiencias de crecimiento de los distintos países y, por tanto, sus actuales niveles de renta per cápita, han sido notablemente diferentes</w:t>
      </w:r>
      <w:r w:rsidR="00903C48" w:rsidRPr="007C6E41">
        <w:rPr>
          <w:rStyle w:val="Refdenotaalpie"/>
          <w:spacing w:val="-2"/>
        </w:rPr>
        <w:footnoteReference w:id="5"/>
      </w:r>
      <w:r w:rsidRPr="007C6E41">
        <w:rPr>
          <w:spacing w:val="-2"/>
        </w:rPr>
        <w:t>. Al igual que milagros del crecimiento económico, existe la otra cara de la moneda: los desastres del crecimiento económico, es decir, países que siguen en niveles de vida deplorables.</w:t>
      </w:r>
    </w:p>
    <w:p w14:paraId="0ED3BBB2" w14:textId="77777777" w:rsidR="005E2195" w:rsidRPr="00C94823" w:rsidRDefault="005E2195">
      <w:pPr>
        <w:pStyle w:val="Nivel2"/>
        <w:keepNext/>
        <w:spacing w:after="0"/>
        <w:rPr>
          <w:smallCaps/>
        </w:rPr>
      </w:pPr>
      <w:r>
        <w:rPr>
          <w:i/>
          <w:iCs/>
          <w:u w:val="single"/>
        </w:rPr>
        <w:t>Desde un punto de vista histórico</w:t>
      </w:r>
      <w:r w:rsidRPr="00C66987">
        <w:t>,</w:t>
      </w:r>
      <w:r>
        <w:t xml:space="preserve"> la </w:t>
      </w:r>
      <w:r w:rsidRPr="00C66987">
        <w:rPr>
          <w:i/>
          <w:iCs/>
        </w:rPr>
        <w:t>historia de la teoría del crecimiento</w:t>
      </w:r>
      <w:r>
        <w:t xml:space="preserve"> es tan larga como la historia del pensamiento económico.</w:t>
      </w:r>
    </w:p>
    <w:p w14:paraId="65B32FFB" w14:textId="7B293527" w:rsidR="005E2195" w:rsidRPr="00193277" w:rsidRDefault="005E2195">
      <w:pPr>
        <w:pStyle w:val="Nivel3"/>
        <w:rPr>
          <w:smallCaps/>
        </w:rPr>
      </w:pPr>
      <w:r>
        <w:t xml:space="preserve">Ya los </w:t>
      </w:r>
      <w:r>
        <w:rPr>
          <w:b/>
          <w:bCs/>
          <w:i/>
          <w:iCs/>
        </w:rPr>
        <w:t xml:space="preserve">economistas </w:t>
      </w:r>
      <w:r w:rsidRPr="00C94823">
        <w:rPr>
          <w:b/>
          <w:bCs/>
          <w:i/>
          <w:iCs/>
        </w:rPr>
        <w:t>clásicos</w:t>
      </w:r>
      <w:r>
        <w:t xml:space="preserve"> como </w:t>
      </w:r>
      <w:r>
        <w:rPr>
          <w:smallCaps/>
        </w:rPr>
        <w:t>Adam Smith</w:t>
      </w:r>
      <w:r>
        <w:t xml:space="preserve">, </w:t>
      </w:r>
      <w:r>
        <w:rPr>
          <w:smallCaps/>
        </w:rPr>
        <w:t>David Ricardo</w:t>
      </w:r>
      <w:r>
        <w:t xml:space="preserve"> o </w:t>
      </w:r>
      <w:r>
        <w:rPr>
          <w:smallCaps/>
        </w:rPr>
        <w:t>Thomas Malthus</w:t>
      </w:r>
      <w:r>
        <w:t xml:space="preserve"> estudiaron el tema e introdujeron conceptos fundamentales como el de rendimientos decrecientes y su relación con la acumulación de capital, la relación </w:t>
      </w:r>
      <w:r>
        <w:lastRenderedPageBreak/>
        <w:t>entre el progreso técnico y la especialización del trabajo, o el enfoque competitivo como instrumento del análisis del equilibrio dinámico</w:t>
      </w:r>
      <w:r w:rsidR="00193277">
        <w:rPr>
          <w:rStyle w:val="Refdenotaalpie"/>
        </w:rPr>
        <w:footnoteReference w:id="6"/>
      </w:r>
      <w:r>
        <w:t>.</w:t>
      </w:r>
    </w:p>
    <w:p w14:paraId="1EF21C2E" w14:textId="574DCDEE" w:rsidR="00193277" w:rsidRPr="00C94823" w:rsidRDefault="00193277">
      <w:pPr>
        <w:pStyle w:val="Nivel3"/>
        <w:rPr>
          <w:smallCaps/>
        </w:rPr>
      </w:pPr>
      <w:r>
        <w:t xml:space="preserve">Asimismo, los </w:t>
      </w:r>
      <w:r w:rsidRPr="003D2584">
        <w:rPr>
          <w:b/>
          <w:bCs/>
          <w:i/>
          <w:iCs/>
        </w:rPr>
        <w:t>economistas neo</w:t>
      </w:r>
      <w:r w:rsidRPr="00C94823">
        <w:rPr>
          <w:b/>
          <w:bCs/>
          <w:i/>
          <w:iCs/>
        </w:rPr>
        <w:t>clásicos de principios del siglo</w:t>
      </w:r>
      <w:r w:rsidR="00221ED0">
        <w:rPr>
          <w:b/>
          <w:bCs/>
          <w:i/>
          <w:iCs/>
        </w:rPr>
        <w:t> </w:t>
      </w:r>
      <w:r w:rsidRPr="00C94823">
        <w:rPr>
          <w:b/>
          <w:bCs/>
          <w:i/>
          <w:iCs/>
        </w:rPr>
        <w:t>XX</w:t>
      </w:r>
      <w:r>
        <w:t xml:space="preserve"> como </w:t>
      </w:r>
      <w:r>
        <w:rPr>
          <w:smallCaps/>
        </w:rPr>
        <w:t>Frank Ramsey</w:t>
      </w:r>
      <w:r>
        <w:t xml:space="preserve">, </w:t>
      </w:r>
      <w:r>
        <w:rPr>
          <w:smallCaps/>
        </w:rPr>
        <w:t>Allyn Young</w:t>
      </w:r>
      <w:r>
        <w:t xml:space="preserve">, </w:t>
      </w:r>
      <w:r>
        <w:rPr>
          <w:smallCaps/>
        </w:rPr>
        <w:t>Frank Knight</w:t>
      </w:r>
      <w:r>
        <w:t xml:space="preserve"> o </w:t>
      </w:r>
      <w:r>
        <w:rPr>
          <w:smallCaps/>
        </w:rPr>
        <w:t>Joseph Schumpeter</w:t>
      </w:r>
      <w:r>
        <w:t>, contribuyeron de manera fundamental a nuestro conocimiento de los determinantes de la tasa de crecimiento y del progreso técnico.</w:t>
      </w:r>
    </w:p>
    <w:p w14:paraId="7FE4365A" w14:textId="1F9C9AB0" w:rsidR="005E2195" w:rsidRPr="007A3B49" w:rsidRDefault="005E2195">
      <w:pPr>
        <w:pStyle w:val="Nivel3"/>
        <w:keepNext/>
        <w:rPr>
          <w:smallCaps/>
        </w:rPr>
      </w:pPr>
      <w:r w:rsidRPr="007A3B49">
        <w:t xml:space="preserve">Pero </w:t>
      </w:r>
      <w:r>
        <w:t>serían</w:t>
      </w:r>
      <w:r w:rsidRPr="007A3B49">
        <w:t xml:space="preserve"> los </w:t>
      </w:r>
      <w:r w:rsidRPr="007A3B49">
        <w:rPr>
          <w:b/>
          <w:bCs/>
          <w:i/>
          <w:iCs/>
        </w:rPr>
        <w:t>economistas neoclásicos de la segunda mitad del siglo</w:t>
      </w:r>
      <w:r w:rsidR="00221ED0">
        <w:rPr>
          <w:b/>
          <w:bCs/>
          <w:i/>
          <w:iCs/>
        </w:rPr>
        <w:t> </w:t>
      </w:r>
      <w:r w:rsidRPr="007A3B49">
        <w:rPr>
          <w:b/>
          <w:bCs/>
          <w:i/>
          <w:iCs/>
        </w:rPr>
        <w:t>XX</w:t>
      </w:r>
      <w:r>
        <w:t xml:space="preserve"> los que dieran un vuelco a la literatura existente en esta rama de la economía.</w:t>
      </w:r>
    </w:p>
    <w:p w14:paraId="71061B7F" w14:textId="7AFD6BC6" w:rsidR="005E2195" w:rsidRPr="00D06B7D" w:rsidRDefault="005E2195">
      <w:pPr>
        <w:pStyle w:val="Nivel4"/>
        <w:keepNext/>
        <w:rPr>
          <w:smallCaps/>
        </w:rPr>
      </w:pPr>
      <w:r w:rsidRPr="007A3B49">
        <w:t xml:space="preserve">A partir del trabajo de </w:t>
      </w:r>
      <w:r w:rsidRPr="007A3B49">
        <w:rPr>
          <w:smallCaps/>
        </w:rPr>
        <w:t>Solow</w:t>
      </w:r>
      <w:r w:rsidR="00193277">
        <w:rPr>
          <w:rStyle w:val="Refdenotaalpie"/>
        </w:rPr>
        <w:footnoteReference w:id="7"/>
      </w:r>
      <w:r w:rsidRPr="007A3B49">
        <w:t xml:space="preserve"> (1956) y </w:t>
      </w:r>
      <w:r w:rsidRPr="007A3B49">
        <w:rPr>
          <w:smallCaps/>
        </w:rPr>
        <w:t>Swan</w:t>
      </w:r>
      <w:r w:rsidRPr="007A3B49">
        <w:t xml:space="preserve"> (1956), las décadas de 1950 y 1960 vieron cómo la revolución neoclásica llegaba a la teoría del crecimiento económico y ésta disfrutaba de un renacimiento que sentó las bases metodológicas utilizadas no s</w:t>
      </w:r>
      <w:r>
        <w:t>ó</w:t>
      </w:r>
      <w:r w:rsidRPr="007A3B49">
        <w:t>lo por los teóricos del crecimiento, sino también por todos los macroeconomistas modernos.</w:t>
      </w:r>
    </w:p>
    <w:p w14:paraId="02C45031" w14:textId="30718823" w:rsidR="005E2195" w:rsidRDefault="00193277">
      <w:pPr>
        <w:pStyle w:val="Nivel5"/>
      </w:pPr>
      <w:r>
        <w:t xml:space="preserve">Un año más tarde, en 1957, el propio </w:t>
      </w:r>
      <w:r>
        <w:rPr>
          <w:smallCaps/>
        </w:rPr>
        <w:t>Solow</w:t>
      </w:r>
      <w:r>
        <w:t xml:space="preserve"> realiza un trabajo empírico, donde persigue comprobar si su modelo es consistente con la evidencia. Este trabajo empírico seminal de </w:t>
      </w:r>
      <w:r w:rsidRPr="00DD620B">
        <w:rPr>
          <w:smallCaps/>
        </w:rPr>
        <w:t>Solow</w:t>
      </w:r>
      <w:r>
        <w:t xml:space="preserve"> da lugar a una línea de investigación empírica para intentar concretar los determinantes del crecimiento económico mediante la </w:t>
      </w:r>
      <w:r w:rsidRPr="00193277">
        <w:rPr>
          <w:i/>
          <w:iCs/>
          <w:u w:val="single"/>
        </w:rPr>
        <w:t>contabilidad del crecimiento</w:t>
      </w:r>
      <w:r>
        <w:t>.</w:t>
      </w:r>
    </w:p>
    <w:p w14:paraId="0E808461" w14:textId="1EE675B8" w:rsidR="00193277" w:rsidRDefault="00193277">
      <w:pPr>
        <w:pStyle w:val="Nivel5"/>
      </w:pPr>
      <w:r>
        <w:t>Otra rama surgida en los años</w:t>
      </w:r>
      <w:r w:rsidR="00221ED0">
        <w:t> </w:t>
      </w:r>
      <w:r>
        <w:t xml:space="preserve">80 estudiará la idea de </w:t>
      </w:r>
      <w:r w:rsidRPr="00193277">
        <w:rPr>
          <w:i/>
          <w:iCs/>
          <w:u w:val="single"/>
        </w:rPr>
        <w:t>convergencia económica internacional</w:t>
      </w:r>
      <w:r>
        <w:t>.</w:t>
      </w:r>
    </w:p>
    <w:p w14:paraId="7551F3B7" w14:textId="23484731" w:rsidR="00193277" w:rsidRPr="00193277" w:rsidRDefault="00193277">
      <w:pPr>
        <w:pStyle w:val="Nivel5"/>
        <w:rPr>
          <w:spacing w:val="-2"/>
        </w:rPr>
      </w:pPr>
      <w:r w:rsidRPr="00193277">
        <w:rPr>
          <w:spacing w:val="-2"/>
        </w:rPr>
        <w:t xml:space="preserve">Finalmente, tras el estudio seminal de </w:t>
      </w:r>
      <w:r w:rsidRPr="00193277">
        <w:rPr>
          <w:smallCaps/>
          <w:spacing w:val="-2"/>
        </w:rPr>
        <w:t>Barro</w:t>
      </w:r>
      <w:r w:rsidRPr="00193277">
        <w:rPr>
          <w:spacing w:val="-2"/>
        </w:rPr>
        <w:t xml:space="preserve"> en 1991 surgirá una tercera rama que se centrará en la búsqueda de </w:t>
      </w:r>
      <w:r w:rsidRPr="00193277">
        <w:rPr>
          <w:i/>
          <w:iCs/>
          <w:spacing w:val="-2"/>
          <w:u w:val="single"/>
        </w:rPr>
        <w:t>factores que influencian el crecimiento económico</w:t>
      </w:r>
      <w:r w:rsidRPr="00193277">
        <w:rPr>
          <w:spacing w:val="-2"/>
        </w:rPr>
        <w:t>.</w:t>
      </w:r>
    </w:p>
    <w:p w14:paraId="2D314AA8" w14:textId="77777777" w:rsidR="00FD2AC8" w:rsidRDefault="00B77C0F">
      <w:pPr>
        <w:pStyle w:val="Nivel1"/>
        <w:keepNext/>
        <w:spacing w:after="0"/>
      </w:pPr>
      <w:r w:rsidRPr="00FD2AC8">
        <w:rPr>
          <w:b/>
          <w:bCs/>
          <w:i/>
          <w:iCs/>
        </w:rPr>
        <w:t>Problemática</w:t>
      </w:r>
      <w:r w:rsidR="00FD2AC8">
        <w:rPr>
          <w:b/>
          <w:bCs/>
          <w:i/>
          <w:iCs/>
        </w:rPr>
        <w:t xml:space="preserve"> (Preguntas clave)</w:t>
      </w:r>
      <w:r w:rsidR="00FD2AC8">
        <w:t>:</w:t>
      </w:r>
    </w:p>
    <w:p w14:paraId="662A6AC9" w14:textId="77777777" w:rsidR="003A60BA" w:rsidRDefault="003A60BA" w:rsidP="003A60BA">
      <w:pPr>
        <w:pStyle w:val="Nivel2"/>
      </w:pPr>
      <w:r>
        <w:t>¿Qué es la contabilidad del crecimiento?</w:t>
      </w:r>
    </w:p>
    <w:p w14:paraId="044F9E87" w14:textId="77777777" w:rsidR="003A60BA" w:rsidRDefault="003A60BA" w:rsidP="003A60BA">
      <w:pPr>
        <w:pStyle w:val="Nivel2"/>
      </w:pPr>
      <w:r>
        <w:t>¿Cómo relacionar acumulación de factores con crecimiento?</w:t>
      </w:r>
    </w:p>
    <w:p w14:paraId="7D815E08" w14:textId="77777777" w:rsidR="003A60BA" w:rsidRDefault="003A60BA" w:rsidP="003A60BA">
      <w:pPr>
        <w:pStyle w:val="Nivel2"/>
      </w:pPr>
      <w:r>
        <w:t>¿Qué otros factores determinan el crecimiento?</w:t>
      </w:r>
    </w:p>
    <w:p w14:paraId="67015390" w14:textId="77777777" w:rsidR="003A60BA" w:rsidRDefault="003A60BA" w:rsidP="003A60BA">
      <w:pPr>
        <w:pStyle w:val="Nivel2"/>
      </w:pPr>
      <w:r>
        <w:t>¿Qué es la convergencia económica?</w:t>
      </w:r>
    </w:p>
    <w:p w14:paraId="38EFA27D" w14:textId="77777777" w:rsidR="003A60BA" w:rsidRDefault="003A60BA" w:rsidP="003A60BA">
      <w:pPr>
        <w:pStyle w:val="Nivel2"/>
      </w:pPr>
      <w:r>
        <w:t>¿Se produce la convergencia?</w:t>
      </w:r>
    </w:p>
    <w:p w14:paraId="5C3973D2" w14:textId="77777777" w:rsidR="003A60BA" w:rsidRDefault="003A60BA" w:rsidP="003A60BA">
      <w:pPr>
        <w:pStyle w:val="Nivel2"/>
      </w:pPr>
      <w:r>
        <w:t>¿Qué factores determinan el grado de convergencia?</w:t>
      </w:r>
    </w:p>
    <w:p w14:paraId="15295628" w14:textId="231D1409" w:rsidR="00A42628" w:rsidRPr="000A3137" w:rsidRDefault="003A60BA" w:rsidP="003A60BA">
      <w:pPr>
        <w:pStyle w:val="Nivel2"/>
      </w:pPr>
      <w:r>
        <w:t>¿Qué evidencia empírica existe al respecto?</w:t>
      </w:r>
    </w:p>
    <w:p w14:paraId="6DDAFA58" w14:textId="14467E4A" w:rsidR="00A42628" w:rsidRPr="000A3137" w:rsidRDefault="00B77C0F">
      <w:pPr>
        <w:pStyle w:val="Nivel1"/>
        <w:keepNext/>
        <w:spacing w:after="0"/>
      </w:pPr>
      <w:r w:rsidRPr="00FD2AC8">
        <w:rPr>
          <w:b/>
          <w:bCs/>
          <w:i/>
          <w:iCs/>
        </w:rPr>
        <w:lastRenderedPageBreak/>
        <w:t>E</w:t>
      </w:r>
      <w:r w:rsidR="00FD2AC8">
        <w:rPr>
          <w:b/>
          <w:bCs/>
          <w:i/>
          <w:iCs/>
        </w:rPr>
        <w:t>s</w:t>
      </w:r>
      <w:r w:rsidR="00FD2AC8" w:rsidRPr="00FD2AC8">
        <w:rPr>
          <w:b/>
          <w:bCs/>
          <w:i/>
          <w:iCs/>
        </w:rPr>
        <w:t>tructura</w:t>
      </w:r>
      <w:r w:rsidRPr="000A3137">
        <w:t>:</w:t>
      </w:r>
    </w:p>
    <w:tbl>
      <w:tblPr>
        <w:tblStyle w:val="Tablaconcuadrcula"/>
        <w:tblW w:w="0" w:type="auto"/>
        <w:tblInd w:w="846" w:type="dxa"/>
        <w:tblLook w:val="04A0" w:firstRow="1" w:lastRow="0" w:firstColumn="1" w:lastColumn="0" w:noHBand="0" w:noVBand="1"/>
      </w:tblPr>
      <w:tblGrid>
        <w:gridCol w:w="8782"/>
      </w:tblGrid>
      <w:tr w:rsidR="0021774E" w14:paraId="417EBD20" w14:textId="77777777" w:rsidTr="00FD2AC8">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EE62BB4" w14:textId="77777777" w:rsidR="00E97044" w:rsidRPr="00397ADC" w:rsidRDefault="00E97044" w:rsidP="00397ADC">
      <w:pPr>
        <w:spacing w:after="0"/>
        <w:jc w:val="left"/>
        <w:rPr>
          <w:sz w:val="2"/>
          <w:szCs w:val="2"/>
          <w:highlight w:val="lightGray"/>
        </w:rPr>
      </w:pPr>
    </w:p>
    <w:p w14:paraId="362A5E33" w14:textId="5AD4F644" w:rsidR="0081544B" w:rsidRPr="00AC1400" w:rsidRDefault="0081544B" w:rsidP="00AC1400">
      <w:pPr>
        <w:spacing w:after="0"/>
        <w:ind w:left="-851"/>
        <w:rPr>
          <w:sz w:val="2"/>
          <w:szCs w:val="2"/>
          <w:highlight w:val="lightGray"/>
        </w:rPr>
      </w:pPr>
      <w:r w:rsidRPr="00AC1400">
        <w:rPr>
          <w:sz w:val="2"/>
          <w:szCs w:val="2"/>
          <w:highlight w:val="lightGray"/>
        </w:rPr>
        <w:br w:type="page"/>
      </w:r>
    </w:p>
    <w:p w14:paraId="606672CA" w14:textId="7A60A308" w:rsidR="00397ADC" w:rsidRDefault="00397ADC">
      <w:pPr>
        <w:pStyle w:val="Apartado0"/>
      </w:pPr>
      <w:bookmarkStart w:id="8" w:name="_Toc129716195"/>
      <w:r>
        <w:lastRenderedPageBreak/>
        <w:t>HECHOS EMPÍRICOS DEL CRECIMIENTO ECONÓMICO</w:t>
      </w:r>
      <w:bookmarkEnd w:id="8"/>
    </w:p>
    <w:p w14:paraId="78EC00EF" w14:textId="77777777" w:rsidR="00830439" w:rsidRDefault="00397ADC" w:rsidP="00830439">
      <w:pPr>
        <w:pStyle w:val="Nivel1SM"/>
        <w:keepNext/>
        <w:spacing w:before="0" w:after="0"/>
      </w:pPr>
      <w:r>
        <w:t>Un número importante de economistas argumentan que el crecimiento es la mejor manera de alcanzar una reducción muy importante de la pobreza.</w:t>
      </w:r>
    </w:p>
    <w:p w14:paraId="70D05F71" w14:textId="77777777" w:rsidR="00830439" w:rsidRDefault="00397ADC" w:rsidP="00830439">
      <w:pPr>
        <w:pStyle w:val="Nivel2SM"/>
      </w:pPr>
      <w:r>
        <w:t xml:space="preserve">Por ejemplo, el crecimiento sostenido en India en los </w:t>
      </w:r>
      <w:r w:rsidRPr="00504506">
        <w:t>últimos</w:t>
      </w:r>
      <w:r>
        <w:t xml:space="preserve"> 30</w:t>
      </w:r>
      <w:r w:rsidR="00581E5F">
        <w:t> </w:t>
      </w:r>
      <w:r>
        <w:t>años ha reducido sustancialmente la fracción de población por debajo de la línea de pobreza (del 39,1</w:t>
      </w:r>
      <w:r w:rsidR="00A14B53">
        <w:t> </w:t>
      </w:r>
      <w:r>
        <w:t>% en 1988, al 12</w:t>
      </w:r>
      <w:r w:rsidR="00A14B53">
        <w:t> </w:t>
      </w:r>
      <w:r>
        <w:t>% en el año 2000).</w:t>
      </w:r>
    </w:p>
    <w:p w14:paraId="302ABD08" w14:textId="77777777" w:rsidR="00830439" w:rsidRDefault="00397ADC" w:rsidP="00830439">
      <w:pPr>
        <w:pStyle w:val="Nivel2SM"/>
        <w:keepNext/>
        <w:spacing w:after="0"/>
      </w:pPr>
      <w:r>
        <w:t>¿Cuál fue la causa de que el crecimiento de India se acelerara en los 90? ¿Estuvo causado por un entorno externo favorable, por estímulos fiscales, liberalización del comercio, liberalización interna, la revolución verde, la inversión pública o un cambio de actitud del gobierno nacional de crear instituciones que estimularan el emprendimiento?</w:t>
      </w:r>
    </w:p>
    <w:p w14:paraId="578B0345" w14:textId="315BF74B" w:rsidR="00397ADC" w:rsidRPr="00397ADC" w:rsidRDefault="00397ADC" w:rsidP="00830439">
      <w:pPr>
        <w:pStyle w:val="Nivel3SM"/>
      </w:pPr>
      <w:r>
        <w:t>Una respuesta definitiva a esta pregunta tendría un valor incalculable para muchos países que están desesperados por salir de la pobreza.</w:t>
      </w:r>
    </w:p>
    <w:p w14:paraId="0DAC04CD" w14:textId="030A8C60" w:rsidR="00397ADC" w:rsidRDefault="00397ADC">
      <w:pPr>
        <w:pStyle w:val="Ttulo2"/>
        <w:numPr>
          <w:ilvl w:val="1"/>
          <w:numId w:val="13"/>
        </w:numPr>
        <w:ind w:left="788" w:hanging="431"/>
      </w:pPr>
      <w:bookmarkStart w:id="9" w:name="_Toc129716196"/>
      <w:r>
        <w:t>Algunos hechos empíricos</w:t>
      </w:r>
      <w:bookmarkEnd w:id="9"/>
    </w:p>
    <w:p w14:paraId="45BEB365" w14:textId="77777777" w:rsidR="00040418" w:rsidRDefault="00397ADC" w:rsidP="00451F61">
      <w:pPr>
        <w:pStyle w:val="Nivel1SM"/>
        <w:keepNext/>
        <w:spacing w:before="0" w:after="0"/>
      </w:pPr>
      <w:r>
        <w:t xml:space="preserve">Entre 1870 y 1990, el PIB per cápita en </w:t>
      </w:r>
      <w:r w:rsidR="003A2F0C">
        <w:t>Estados Unidos</w:t>
      </w:r>
      <w:r>
        <w:t xml:space="preserve"> se octuplicó, pasando de 2.244</w:t>
      </w:r>
      <w:r w:rsidR="00A14B53">
        <w:t> </w:t>
      </w:r>
      <w:r>
        <w:t>$ a 18.258</w:t>
      </w:r>
      <w:r w:rsidR="00A14B53">
        <w:t> </w:t>
      </w:r>
      <w:r>
        <w:t>$ (ambos en dólares de 1985) lo que equivale a una tasa media de crecimiento real anual de 1,75</w:t>
      </w:r>
      <w:r w:rsidR="00A14B53">
        <w:t> </w:t>
      </w:r>
      <w:r>
        <w:t>%.</w:t>
      </w:r>
    </w:p>
    <w:p w14:paraId="28D99581" w14:textId="67C7A575" w:rsidR="00397ADC" w:rsidRDefault="00397ADC" w:rsidP="00040418">
      <w:pPr>
        <w:pStyle w:val="Nivel2SM"/>
        <w:keepNext/>
        <w:spacing w:after="0"/>
      </w:pPr>
      <w:r>
        <w:t xml:space="preserve">Hay que hacer notar que </w:t>
      </w:r>
      <w:r w:rsidRPr="00040418">
        <w:rPr>
          <w:b/>
          <w:bCs/>
        </w:rPr>
        <w:t>pequeñas diferencias en la tasa media de crecimiento a través de períodos largos de tiempo producen diferencias enormes</w:t>
      </w:r>
      <w:r>
        <w:t>:</w:t>
      </w:r>
    </w:p>
    <w:p w14:paraId="3E494536" w14:textId="4FA5CBD7" w:rsidR="00397ADC" w:rsidRDefault="00397ADC" w:rsidP="00040418">
      <w:pPr>
        <w:pStyle w:val="Nivel3SM"/>
      </w:pPr>
      <w:r>
        <w:t xml:space="preserve">Si </w:t>
      </w:r>
      <w:r w:rsidR="003A2F0C">
        <w:t>Estados Unidos</w:t>
      </w:r>
      <w:r>
        <w:t xml:space="preserve"> hubiese crecido en el intervalo mencionado a una tasa media anual de 0,75</w:t>
      </w:r>
      <w:r w:rsidR="00A14B53">
        <w:t> </w:t>
      </w:r>
      <w:r>
        <w:t>%, un punto inferior a la real, su PIB per cápita en 1990 habría sido de 5.519</w:t>
      </w:r>
      <w:r w:rsidR="00A14B53">
        <w:t> </w:t>
      </w:r>
      <w:r>
        <w:t>$, sólo 2,5</w:t>
      </w:r>
      <w:r w:rsidR="00541F15">
        <w:t> </w:t>
      </w:r>
      <w:r>
        <w:t>veces superior a su valor inicial, y menos de una tercera parte del que efectivamente tuvo. Tal nivel sería, aproximadamente, el de México y Hungría en 1990, e inferior en 1.000</w:t>
      </w:r>
      <w:r w:rsidR="00581E5F">
        <w:t> </w:t>
      </w:r>
      <w:r>
        <w:t>$ per cápita al de Portugal o Grecia.</w:t>
      </w:r>
    </w:p>
    <w:p w14:paraId="1BF1102C" w14:textId="003AF140" w:rsidR="00397ADC" w:rsidRDefault="00397ADC" w:rsidP="00040418">
      <w:pPr>
        <w:pStyle w:val="Nivel3SM"/>
      </w:pPr>
      <w:r>
        <w:t>Si hubiera crecido a un punto más de media (2,75</w:t>
      </w:r>
      <w:r w:rsidR="00A14B53">
        <w:t> </w:t>
      </w:r>
      <w:r>
        <w:t>% anual), su PIB per cápita en 1990 habría sido de 60.841</w:t>
      </w:r>
      <w:r w:rsidR="00504506">
        <w:t> </w:t>
      </w:r>
      <w:r>
        <w:t>$, 27</w:t>
      </w:r>
      <w:r w:rsidR="00581E5F">
        <w:t> </w:t>
      </w:r>
      <w:r>
        <w:t>veces su valor inicial y 3</w:t>
      </w:r>
      <w:r w:rsidR="00581E5F">
        <w:t> </w:t>
      </w:r>
      <w:r>
        <w:t>veces superior al que realmente obtuvo. Al ritmo que, efectivamente, está mostrando, de 1,75</w:t>
      </w:r>
      <w:r w:rsidR="00A14B53">
        <w:t> </w:t>
      </w:r>
      <w:r>
        <w:t>% de crecimiento anual, alcanzará dicha renta per cápita en el año 2059.</w:t>
      </w:r>
    </w:p>
    <w:p w14:paraId="0A061C83" w14:textId="0D771B1E" w:rsidR="00397ADC" w:rsidRDefault="00397ADC" w:rsidP="00040418">
      <w:pPr>
        <w:pStyle w:val="Nivel4"/>
        <w:ind w:left="1474"/>
      </w:pPr>
      <w:r>
        <w:t>Estas cifras hipotéticas de crecimiento real medio anual que estamos manejando son extremas. Así, entre 1900 y 1987, India creció a un promedio de 0,64</w:t>
      </w:r>
      <w:r w:rsidR="00A14B53">
        <w:t> </w:t>
      </w:r>
      <w:r>
        <w:t>% anual, Pakistán a un 0,88</w:t>
      </w:r>
      <w:r w:rsidR="00A14B53">
        <w:t> </w:t>
      </w:r>
      <w:r>
        <w:t>%, y Filipinas a un 0,86</w:t>
      </w:r>
      <w:r w:rsidR="000F646D">
        <w:t> </w:t>
      </w:r>
      <w:r>
        <w:t>%. Por el contrario, Japón creció a un ritmo promedio del 2,95</w:t>
      </w:r>
      <w:r w:rsidR="00A14B53">
        <w:t> </w:t>
      </w:r>
      <w:r>
        <w:t>%, y Taiwán lo hizo a un 2,75</w:t>
      </w:r>
      <w:r w:rsidR="000F646D">
        <w:t> </w:t>
      </w:r>
      <w:r>
        <w:t>%. La comparación de niveles de PIB per cápita pueden llegar a implicar que a lo largo de un siglo el PIB per cápita se multiplique por 20.</w:t>
      </w:r>
    </w:p>
    <w:p w14:paraId="27808DBB" w14:textId="77777777" w:rsidR="00397ADC" w:rsidRDefault="00397ADC" w:rsidP="00830439">
      <w:pPr>
        <w:pStyle w:val="Nivel1SM"/>
        <w:keepNext/>
        <w:spacing w:after="0"/>
      </w:pPr>
      <w:r>
        <w:t xml:space="preserve">En </w:t>
      </w:r>
      <w:r w:rsidRPr="002F425E">
        <w:rPr>
          <w:b/>
          <w:bCs/>
        </w:rPr>
        <w:t>datos de sección cruzada</w:t>
      </w:r>
      <w:r>
        <w:t xml:space="preserve">, es decir, la comparación de niveles de PIB per cápita para diversos países en un instante de tiempo produce múltiplos aún superiores mostrando la </w:t>
      </w:r>
      <w:r w:rsidRPr="002F425E">
        <w:rPr>
          <w:b/>
          <w:bCs/>
        </w:rPr>
        <w:t>disparidad del crecimiento entre países</w:t>
      </w:r>
      <w:r>
        <w:t>:</w:t>
      </w:r>
    </w:p>
    <w:p w14:paraId="60047757" w14:textId="6150DF6F" w:rsidR="002F425E" w:rsidRDefault="002F425E" w:rsidP="002F425E">
      <w:pPr>
        <w:pStyle w:val="Nivel2SM"/>
        <w:keepNext/>
        <w:spacing w:after="0"/>
      </w:pPr>
      <w:r>
        <w:t>En relación con la dispersión en los niveles de PIB per cápita:</w:t>
      </w:r>
    </w:p>
    <w:p w14:paraId="09CA04FF" w14:textId="4EA30BB1" w:rsidR="00397ADC" w:rsidRDefault="00397ADC" w:rsidP="002F425E">
      <w:pPr>
        <w:pStyle w:val="Nivel3SM"/>
      </w:pPr>
      <w:r>
        <w:t>Una muestra de 118</w:t>
      </w:r>
      <w:r w:rsidR="00541F15">
        <w:t> </w:t>
      </w:r>
      <w:r>
        <w:t>países en 1960 mostraba una media de PIB per cápita de 1.470</w:t>
      </w:r>
      <w:r w:rsidR="000F646D">
        <w:t> </w:t>
      </w:r>
      <w:r>
        <w:t xml:space="preserve">$ (en dólares 1985). El nivel más alto era el de </w:t>
      </w:r>
      <w:r w:rsidR="003A2F0C">
        <w:t>Estados Unidos</w:t>
      </w:r>
      <w:r>
        <w:t>, 39</w:t>
      </w:r>
      <w:r w:rsidR="003A2F0C">
        <w:t> </w:t>
      </w:r>
      <w:r>
        <w:t>veces superior al más bajo, el de Etiopía. La desviación típica del logaritmo del PIB per cápita, que es una medida de dispersión porcentual, era de 0,90. Ello produce un intervalo de una desviación típica muestral que comprende los países con rentas comprendidas entre un 0,4 de la renta media, y 2,5</w:t>
      </w:r>
      <w:r w:rsidR="003A2F0C">
        <w:t> </w:t>
      </w:r>
      <w:r>
        <w:t>veces la misma, por lo que la dispersión de las rentas era bastante importante.</w:t>
      </w:r>
    </w:p>
    <w:p w14:paraId="262E57BF" w14:textId="66289499" w:rsidR="00397ADC" w:rsidRDefault="00397ADC" w:rsidP="002F425E">
      <w:pPr>
        <w:pStyle w:val="Nivel3SM"/>
      </w:pPr>
      <w:r>
        <w:lastRenderedPageBreak/>
        <w:t>Una muestra de 129</w:t>
      </w:r>
      <w:r w:rsidR="00541F15">
        <w:t> </w:t>
      </w:r>
      <w:r>
        <w:t>países en 1990 mostraba una media de PIB per cápita de 2.737</w:t>
      </w:r>
      <w:r w:rsidR="000F646D">
        <w:t> </w:t>
      </w:r>
      <w:r>
        <w:t xml:space="preserve">$ (en dólares 1985), casi el doble que en 1960. El nivel más alto seguía siendo el de </w:t>
      </w:r>
      <w:r w:rsidR="003A2F0C">
        <w:t>Estados Unidos</w:t>
      </w:r>
      <w:r>
        <w:t>, 65</w:t>
      </w:r>
      <w:r w:rsidR="003A2F0C">
        <w:t> </w:t>
      </w:r>
      <w:r>
        <w:t>veces superior al más bajo, que seguía siendo el de Etiopía. La desviación típica del logaritmo del PIB per cápita aumentó a 1,1, produciendo un intervalo de una desviación típica muestral que comprende los países con rentas comprendidas entre un 0,33 de la renta media, y 3</w:t>
      </w:r>
      <w:r w:rsidR="003A2F0C">
        <w:t> </w:t>
      </w:r>
      <w:r>
        <w:t>veces la misma, por lo que la dispersión de las rentas aumentó</w:t>
      </w:r>
      <w:r w:rsidR="00C91F00">
        <w:rPr>
          <w:rStyle w:val="Refdenotaalpie"/>
        </w:rPr>
        <w:footnoteReference w:id="8"/>
      </w:r>
      <w:r>
        <w:t>.</w:t>
      </w:r>
    </w:p>
    <w:p w14:paraId="5E5BE7F2" w14:textId="5E636F80" w:rsidR="002F425E" w:rsidRDefault="002F425E" w:rsidP="002F425E">
      <w:pPr>
        <w:pStyle w:val="Nivel2SM"/>
        <w:keepNext/>
        <w:spacing w:after="0"/>
      </w:pPr>
      <w:r>
        <w:t>En relación con la dispersión en la tasa de crecimiento del PIB per cápita:</w:t>
      </w:r>
    </w:p>
    <w:p w14:paraId="5AE8FB33" w14:textId="77DE2687" w:rsidR="00397ADC" w:rsidRDefault="00397ADC" w:rsidP="002F425E">
      <w:pPr>
        <w:pStyle w:val="Nivel3SM"/>
        <w:keepNext/>
      </w:pPr>
      <w:r>
        <w:t>En una muestra de 114</w:t>
      </w:r>
      <w:r w:rsidR="003A2F0C">
        <w:t> </w:t>
      </w:r>
      <w:r>
        <w:t>países analizados entre 1960 y 1990, la tasa media de crecimiento real del PIB per cápita fue de 1,8</w:t>
      </w:r>
      <w:r w:rsidR="000F646D">
        <w:t> </w:t>
      </w:r>
      <w:r>
        <w:t xml:space="preserve">% anual (similar a la de largo plazo de </w:t>
      </w:r>
      <w:r w:rsidR="003A2F0C">
        <w:t>Estados Unidos</w:t>
      </w:r>
      <w:r>
        <w:t xml:space="preserve">), con una desviación típica asimismo igual a 1,8. El rango de tasas observadas oscila desde </w:t>
      </w:r>
      <w:r w:rsidR="002F425E">
        <w:rPr>
          <w:rFonts w:ascii="Times New Roman" w:hAnsi="Times New Roman" w:cs="Times New Roman"/>
        </w:rPr>
        <w:t>−</w:t>
      </w:r>
      <w:r>
        <w:t>2,1</w:t>
      </w:r>
      <w:r w:rsidR="000F646D">
        <w:t> </w:t>
      </w:r>
      <w:r>
        <w:t>% de Iraq, a +6,7</w:t>
      </w:r>
      <w:r w:rsidR="000F646D">
        <w:t> </w:t>
      </w:r>
      <w:r>
        <w:t>% de Corea del Sur. Diferencias en el crecimiento medio durante 30</w:t>
      </w:r>
      <w:r w:rsidR="00541F15">
        <w:t> </w:t>
      </w:r>
      <w:r>
        <w:t>años tiene drásticas consecuencias: Corea del Sur multiplicó su nivel de PIB per cápita por 7,4 en dichos años, pasando de ocupar el ranking</w:t>
      </w:r>
      <w:r w:rsidR="003A2F0C">
        <w:t> </w:t>
      </w:r>
      <w:r>
        <w:t>83 entre 118 países en 1960, a ser el 35 entre 129 en 1990. Iraq redujo su PIB per cápita en un factor de 0,5, pasando de ocupar el lugar</w:t>
      </w:r>
      <w:r w:rsidR="003A2F0C">
        <w:t> </w:t>
      </w:r>
      <w:r>
        <w:t>23 entre 118</w:t>
      </w:r>
      <w:r w:rsidR="003A2F0C">
        <w:t> </w:t>
      </w:r>
      <w:r>
        <w:t>países en 1960, a estar el 82 entre 129 en 1990.</w:t>
      </w:r>
    </w:p>
    <w:p w14:paraId="370ED0F0" w14:textId="77777777" w:rsidR="002F425E" w:rsidRDefault="00397ADC" w:rsidP="002F425E">
      <w:pPr>
        <w:pStyle w:val="Nivel4"/>
        <w:ind w:left="1474"/>
      </w:pPr>
      <w:r>
        <w:t xml:space="preserve">Singapur, Hong-Kong, </w:t>
      </w:r>
      <w:r w:rsidR="000F646D">
        <w:t>Taiwán</w:t>
      </w:r>
      <w:r>
        <w:t xml:space="preserve">, </w:t>
      </w:r>
      <w:r w:rsidR="000F646D">
        <w:t>Botsuana</w:t>
      </w:r>
      <w:r>
        <w:t>, Malta y Japón crecieron a tasas similares a las de Corea del Sur, multiplicando aproximadamente por 5 su PIB per cápita en una generación (30</w:t>
      </w:r>
      <w:r w:rsidR="003A2F0C">
        <w:t> </w:t>
      </w:r>
      <w:r>
        <w:t>años).</w:t>
      </w:r>
    </w:p>
    <w:p w14:paraId="36F9B1F0" w14:textId="04BBE362" w:rsidR="00397ADC" w:rsidRDefault="00397ADC" w:rsidP="002F425E">
      <w:pPr>
        <w:pStyle w:val="Nivel4"/>
        <w:ind w:left="1474"/>
      </w:pPr>
      <w:r>
        <w:t>Por el contrario, un amplio grupo de países del sur del Sahara, junto con algún otro de fuera de dicha región, registraron tasas de crecimiento muy reducidas.</w:t>
      </w:r>
    </w:p>
    <w:p w14:paraId="20356985" w14:textId="08A79C6E" w:rsidR="00397ADC" w:rsidRPr="00397ADC" w:rsidRDefault="00397ADC" w:rsidP="00830439">
      <w:pPr>
        <w:pStyle w:val="Nivel1SM"/>
      </w:pPr>
      <w:r>
        <w:t>Para entender las razones por las que los países pueden diferir tan dramáticamente en su nivel de vida, hemos de comprender las razones por las que experimentan divergencias tan profundas en sus tasas de crecimiento. Si podemos identificar con claridad los factores que han determinado las diferencias en el crecimiento per cápita registrado en las últimas décadas y podemos entender las fuerzas que impulsan el desarrollo a largo plazo de las economías, podrán valorarse las distintas opciones que tienen los gobiernos para diseñar políticas que contribuyan a mejorar el nivel de vida de sus ciudadanos.</w:t>
      </w:r>
    </w:p>
    <w:p w14:paraId="6C85E058" w14:textId="76A057D2" w:rsidR="00741B8A" w:rsidRPr="00397ADC" w:rsidRDefault="00397ADC">
      <w:pPr>
        <w:pStyle w:val="Ttulo2"/>
        <w:numPr>
          <w:ilvl w:val="1"/>
          <w:numId w:val="13"/>
        </w:numPr>
        <w:ind w:left="788" w:hanging="431"/>
      </w:pPr>
      <w:bookmarkStart w:id="10" w:name="_Toc129716197"/>
      <w:r w:rsidRPr="00163188">
        <w:t>¿Es el modelo neoclásico una buena representación de la realidad</w:t>
      </w:r>
      <w:r>
        <w:t xml:space="preserve">? </w:t>
      </w:r>
      <w:r>
        <w:br/>
      </w:r>
      <w:r w:rsidRPr="00397ADC">
        <w:rPr>
          <w:spacing w:val="-6"/>
        </w:rPr>
        <w:t xml:space="preserve">Senda de crecimiento equilibrada y los hechos estilizados de </w:t>
      </w:r>
      <w:r w:rsidRPr="00397ADC">
        <w:rPr>
          <w:smallCaps/>
          <w:spacing w:val="-6"/>
        </w:rPr>
        <w:t>Kaldor</w:t>
      </w:r>
      <w:bookmarkStart w:id="11" w:name="_Toc55381922"/>
      <w:bookmarkStart w:id="12" w:name="_Toc55382057"/>
      <w:bookmarkStart w:id="13" w:name="_Toc55382092"/>
      <w:bookmarkStart w:id="14" w:name="_Toc55381923"/>
      <w:bookmarkStart w:id="15" w:name="_Toc55382058"/>
      <w:bookmarkStart w:id="16" w:name="_Toc55382093"/>
      <w:bookmarkStart w:id="17" w:name="_Toc55382521"/>
      <w:bookmarkEnd w:id="11"/>
      <w:bookmarkEnd w:id="12"/>
      <w:bookmarkEnd w:id="13"/>
      <w:bookmarkEnd w:id="14"/>
      <w:bookmarkEnd w:id="15"/>
      <w:bookmarkEnd w:id="16"/>
      <w:bookmarkEnd w:id="17"/>
      <w:r>
        <w:rPr>
          <w:spacing w:val="-6"/>
        </w:rPr>
        <w:t xml:space="preserve"> (1961)</w:t>
      </w:r>
      <w:bookmarkEnd w:id="10"/>
    </w:p>
    <w:p w14:paraId="66FC8681" w14:textId="40AEDE83" w:rsidR="002C0C14" w:rsidRDefault="007230C5" w:rsidP="00451F61">
      <w:pPr>
        <w:pStyle w:val="Nivel1SM"/>
        <w:keepNext/>
        <w:spacing w:before="0" w:after="0"/>
      </w:pPr>
      <w:bookmarkStart w:id="18" w:name="_Hlk72944972"/>
      <w:r>
        <w:t xml:space="preserve">En 1961, </w:t>
      </w:r>
      <w:r>
        <w:rPr>
          <w:smallCaps/>
        </w:rPr>
        <w:t>Kaldor</w:t>
      </w:r>
      <w:r>
        <w:t xml:space="preserve"> propone una serie de 6</w:t>
      </w:r>
      <w:r w:rsidR="003A2F0C">
        <w:t> </w:t>
      </w:r>
      <w:r>
        <w:t>hechos “estilizados” (</w:t>
      </w:r>
      <w:r>
        <w:rPr>
          <w:i/>
          <w:iCs/>
          <w:smallCaps/>
        </w:rPr>
        <w:t>Kaldor</w:t>
      </w:r>
      <w:r>
        <w:rPr>
          <w:i/>
          <w:iCs/>
        </w:rPr>
        <w:t>’s “stylised” facts</w:t>
      </w:r>
      <w:r>
        <w:t>)</w:t>
      </w:r>
      <w:r w:rsidR="008821C3">
        <w:t xml:space="preserve"> para resumir lo que los economistas habían aprendido de su análisis del crecimiento del siglo</w:t>
      </w:r>
      <w:r w:rsidR="003A2F0C">
        <w:t> </w:t>
      </w:r>
      <w:r w:rsidR="008821C3">
        <w:t>XX y poder así enmarcar la agenda de la investigación para el futuro</w:t>
      </w:r>
      <w:r w:rsidR="00AE4D2C">
        <w:t xml:space="preserve">. </w:t>
      </w:r>
      <w:r w:rsidR="00CA5715">
        <w:t xml:space="preserve">Por lo tanto, se refieren a la evidencia empírica básica con la que cualquier modelo de crecimiento debe de ser consistente. </w:t>
      </w:r>
      <w:r w:rsidR="00AE4D2C">
        <w:t>Por orden de publicación en el artículo original son los siguientes</w:t>
      </w:r>
      <w:r>
        <w:t>:</w:t>
      </w:r>
    </w:p>
    <w:p w14:paraId="7C6FB984" w14:textId="3871F25D" w:rsidR="007230C5" w:rsidRDefault="005B7E9D" w:rsidP="00F339CD">
      <w:pPr>
        <w:pStyle w:val="Prrafodelista"/>
        <w:keepNext/>
        <w:numPr>
          <w:ilvl w:val="0"/>
          <w:numId w:val="7"/>
        </w:numPr>
        <w:spacing w:after="0"/>
        <w:ind w:left="709" w:hanging="284"/>
        <w:contextualSpacing w:val="0"/>
      </w:pPr>
      <w:r>
        <w:t>En el largo plazo, l</w:t>
      </w:r>
      <w:r w:rsidR="007230C5">
        <w:t xml:space="preserve">a </w:t>
      </w:r>
      <w:r>
        <w:t>productividad del trabajo</w:t>
      </w:r>
      <w:r w:rsidR="007230C5">
        <w:t xml:space="preserve"> crece a una tasa </w:t>
      </w:r>
      <w:r w:rsidR="007230C5" w:rsidRPr="007230C5">
        <w:t xml:space="preserve">constante </w:t>
      </w:r>
      <m:oMath>
        <m:d>
          <m:dPr>
            <m:ctrlPr>
              <w:rPr>
                <w:rFonts w:ascii="Cambria Math" w:hAnsi="Cambria Math"/>
                <w:i/>
              </w:rPr>
            </m:ctrlPr>
          </m:dPr>
          <m:e>
            <m:sSub>
              <m:sSubPr>
                <m:ctrlPr>
                  <w:rPr>
                    <w:rFonts w:ascii="Cambria Math" w:hAnsi="Cambria Math"/>
                    <w:i/>
                  </w:rPr>
                </m:ctrlPr>
              </m:sSubPr>
              <m:e>
                <m:r>
                  <m:rPr>
                    <m:nor/>
                  </m:rPr>
                  <w:rPr>
                    <w:i/>
                  </w:rPr>
                  <m:t>γ</m:t>
                </m:r>
              </m:e>
              <m:sub>
                <m:r>
                  <m:rPr>
                    <m:nor/>
                  </m:rPr>
                  <w:rPr>
                    <w:i/>
                  </w:rPr>
                  <m:t>y</m:t>
                </m:r>
              </m:sub>
            </m:sSub>
            <m:r>
              <m:rPr>
                <m:nor/>
              </m:rPr>
              <m:t xml:space="preserve"> cte. </m:t>
            </m:r>
            <m:r>
              <m:rPr>
                <m:nor/>
              </m:rPr>
              <w:rPr>
                <w:rFonts w:ascii="Cambria Math" w:hAnsi="Cambria Math" w:cs="Cambria Math"/>
              </w:rPr>
              <m:t>⇒</m:t>
            </m:r>
            <m:f>
              <m:fPr>
                <m:ctrlPr>
                  <w:rPr>
                    <w:rFonts w:ascii="Cambria Math" w:hAnsi="Cambria Math"/>
                    <w:i/>
                  </w:rPr>
                </m:ctrlPr>
              </m:fPr>
              <m:num>
                <m:r>
                  <m:rPr>
                    <m:nor/>
                  </m:rPr>
                  <w:rPr>
                    <w:i/>
                  </w:rPr>
                  <m:t>Y</m:t>
                </m:r>
              </m:num>
              <m:den>
                <m:r>
                  <m:rPr>
                    <m:nor/>
                  </m:rPr>
                  <w:rPr>
                    <w:i/>
                  </w:rPr>
                  <m:t>L</m:t>
                </m:r>
              </m:den>
            </m:f>
            <m:r>
              <m:rPr>
                <m:nor/>
              </m:rPr>
              <m:t xml:space="preserve"> crece a una tasa constante</m:t>
            </m:r>
          </m:e>
        </m:d>
      </m:oMath>
      <w:r w:rsidR="007230C5">
        <w:t>.</w:t>
      </w:r>
    </w:p>
    <w:p w14:paraId="1B787EB5" w14:textId="26927E96" w:rsidR="007230C5" w:rsidRDefault="007230C5" w:rsidP="00F339CD">
      <w:pPr>
        <w:pStyle w:val="Prrafodelista"/>
        <w:numPr>
          <w:ilvl w:val="0"/>
          <w:numId w:val="7"/>
        </w:numPr>
        <w:spacing w:after="0"/>
        <w:ind w:left="709" w:hanging="284"/>
        <w:contextualSpacing w:val="0"/>
      </w:pPr>
      <w:r>
        <w:t xml:space="preserve">El capital por hora trabajada crece a lo largo del tiempo a una tasa </w:t>
      </w:r>
      <w:r w:rsidR="005B7E9D">
        <w:t>sostenida</w:t>
      </w:r>
      <w:r>
        <w:t xml:space="preserve"> </w:t>
      </w:r>
      <m:oMath>
        <m:d>
          <m:dPr>
            <m:ctrlPr>
              <w:rPr>
                <w:rFonts w:ascii="Cambria Math" w:hAnsi="Cambria Math"/>
                <w:i/>
              </w:rPr>
            </m:ctrlPr>
          </m:dPr>
          <m:e>
            <m:f>
              <m:fPr>
                <m:ctrlPr>
                  <w:rPr>
                    <w:rFonts w:ascii="Cambria Math" w:hAnsi="Cambria Math"/>
                    <w:i/>
                  </w:rPr>
                </m:ctrlPr>
              </m:fPr>
              <m:num>
                <m:r>
                  <m:rPr>
                    <m:nor/>
                  </m:rPr>
                  <w:rPr>
                    <w:i/>
                  </w:rPr>
                  <m:t>K</m:t>
                </m:r>
              </m:num>
              <m:den>
                <m:r>
                  <m:rPr>
                    <m:nor/>
                  </m:rPr>
                  <w:rPr>
                    <w:i/>
                  </w:rPr>
                  <m:t>L</m:t>
                </m:r>
              </m:den>
            </m:f>
            <m:r>
              <m:rPr>
                <m:nor/>
              </m:rPr>
              <m:t xml:space="preserve"> crece a una tasa constante</m:t>
            </m:r>
          </m:e>
        </m:d>
      </m:oMath>
      <w:r>
        <w:t>.</w:t>
      </w:r>
    </w:p>
    <w:p w14:paraId="2A2126E3" w14:textId="74200798" w:rsidR="00AE4D2C" w:rsidRDefault="00AE4D2C" w:rsidP="00F339CD">
      <w:pPr>
        <w:pStyle w:val="Prrafodelista"/>
        <w:numPr>
          <w:ilvl w:val="0"/>
          <w:numId w:val="7"/>
        </w:numPr>
        <w:spacing w:after="0"/>
        <w:ind w:left="709" w:hanging="284"/>
        <w:contextualSpacing w:val="0"/>
      </w:pPr>
      <w:r>
        <w:t xml:space="preserve">La tasa de retorno del capital es constante </w:t>
      </w:r>
      <m:oMath>
        <m:d>
          <m:dPr>
            <m:ctrlPr>
              <w:rPr>
                <w:rFonts w:ascii="Cambria Math" w:hAnsi="Cambria Math"/>
                <w:i/>
              </w:rPr>
            </m:ctrlPr>
          </m:dPr>
          <m:e>
            <m:r>
              <m:rPr>
                <m:nor/>
              </m:rPr>
              <w:rPr>
                <w:i/>
              </w:rPr>
              <m:t>r</m:t>
            </m:r>
            <m:r>
              <m:rPr>
                <m:nor/>
              </m:rPr>
              <m:t xml:space="preserve"> es </m:t>
            </m:r>
            <m:r>
              <m:rPr>
                <m:nor/>
              </m:rPr>
              <w:rPr>
                <w:iCs/>
              </w:rPr>
              <m:t>constante</m:t>
            </m:r>
          </m:e>
        </m:d>
      </m:oMath>
      <w:r>
        <w:t>.</w:t>
      </w:r>
    </w:p>
    <w:p w14:paraId="48629C9A" w14:textId="4726A76A" w:rsidR="007230C5" w:rsidRDefault="007230C5" w:rsidP="00F339CD">
      <w:pPr>
        <w:pStyle w:val="Prrafodelista"/>
        <w:numPr>
          <w:ilvl w:val="0"/>
          <w:numId w:val="7"/>
        </w:numPr>
        <w:spacing w:after="0"/>
        <w:ind w:left="709" w:hanging="284"/>
        <w:contextualSpacing w:val="0"/>
      </w:pPr>
      <w:r>
        <w:t xml:space="preserve">La ratio de capital-renta es estable </w:t>
      </w:r>
      <m:oMath>
        <m:d>
          <m:dPr>
            <m:ctrlPr>
              <w:rPr>
                <w:rFonts w:ascii="Cambria Math" w:hAnsi="Cambria Math"/>
                <w:i/>
              </w:rPr>
            </m:ctrlPr>
          </m:dPr>
          <m:e>
            <m:f>
              <m:fPr>
                <m:ctrlPr>
                  <w:rPr>
                    <w:rFonts w:ascii="Cambria Math" w:hAnsi="Cambria Math"/>
                    <w:i/>
                  </w:rPr>
                </m:ctrlPr>
              </m:fPr>
              <m:num>
                <m:r>
                  <m:rPr>
                    <m:nor/>
                  </m:rPr>
                  <w:rPr>
                    <w:i/>
                  </w:rPr>
                  <m:t>K</m:t>
                </m:r>
              </m:num>
              <m:den>
                <m:r>
                  <m:rPr>
                    <m:nor/>
                  </m:rPr>
                  <w:rPr>
                    <w:i/>
                  </w:rPr>
                  <m:t>Y</m:t>
                </m:r>
              </m:den>
            </m:f>
            <m:r>
              <m:rPr>
                <m:nor/>
              </m:rPr>
              <m:t xml:space="preserve"> es constante</m:t>
            </m:r>
          </m:e>
        </m:d>
      </m:oMath>
      <w:r>
        <w:t>.</w:t>
      </w:r>
    </w:p>
    <w:p w14:paraId="713E08C0" w14:textId="166D5E3E" w:rsidR="007230C5" w:rsidRDefault="007230C5" w:rsidP="00F339CD">
      <w:pPr>
        <w:pStyle w:val="Prrafodelista"/>
        <w:keepNext/>
        <w:numPr>
          <w:ilvl w:val="0"/>
          <w:numId w:val="7"/>
        </w:numPr>
        <w:spacing w:after="0"/>
        <w:ind w:left="709" w:hanging="284"/>
        <w:contextualSpacing w:val="0"/>
      </w:pPr>
      <w:r>
        <w:lastRenderedPageBreak/>
        <w:t xml:space="preserve">La participación de las rentas del capital y trabajo en la producción también han permanecido estables </w:t>
      </w:r>
      <m:oMath>
        <m:d>
          <m:dPr>
            <m:ctrlPr>
              <w:rPr>
                <w:rFonts w:ascii="Cambria Math" w:hAnsi="Cambria Math"/>
                <w:i/>
              </w:rPr>
            </m:ctrlPr>
          </m:dPr>
          <m:e>
            <m:r>
              <m:rPr>
                <m:nor/>
              </m:rPr>
              <w:rPr>
                <w:i/>
              </w:rPr>
              <m:t>α</m:t>
            </m:r>
            <m:r>
              <w:rPr>
                <w:rFonts w:ascii="Cambria Math"/>
              </w:rPr>
              <m:t>=</m:t>
            </m:r>
            <m:f>
              <m:fPr>
                <m:ctrlPr>
                  <w:rPr>
                    <w:rFonts w:ascii="Cambria Math" w:hAnsi="Cambria Math"/>
                    <w:i/>
                  </w:rPr>
                </m:ctrlPr>
              </m:fPr>
              <m:num>
                <m:r>
                  <m:rPr>
                    <m:nor/>
                  </m:rPr>
                  <w:rPr>
                    <w:i/>
                  </w:rPr>
                  <m:t>r</m:t>
                </m:r>
                <m:r>
                  <w:rPr>
                    <w:rFonts w:ascii="Cambria Math" w:hAnsi="Cambria Math"/>
                  </w:rPr>
                  <m:t>∙</m:t>
                </m:r>
                <m:r>
                  <m:rPr>
                    <m:nor/>
                  </m:rPr>
                  <w:rPr>
                    <w:i/>
                  </w:rPr>
                  <m:t>K</m:t>
                </m:r>
              </m:num>
              <m:den>
                <m:r>
                  <m:rPr>
                    <m:nor/>
                  </m:rPr>
                  <w:rPr>
                    <w:i/>
                  </w:rPr>
                  <m:t>Y</m:t>
                </m:r>
              </m:den>
            </m:f>
            <m:r>
              <m:rPr>
                <m:nor/>
              </m:rPr>
              <w:rPr>
                <w:i/>
              </w:rPr>
              <m:t xml:space="preserve"> </m:t>
            </m:r>
            <m:r>
              <m:rPr>
                <m:nor/>
              </m:rPr>
              <w:rPr>
                <w:iCs/>
              </w:rPr>
              <m:t>y</m:t>
            </m:r>
            <m:r>
              <m:rPr>
                <m:nor/>
              </m:rPr>
              <w:rPr>
                <w:i/>
              </w:rPr>
              <m:t xml:space="preserve"> </m:t>
            </m:r>
            <m:d>
              <m:dPr>
                <m:ctrlPr>
                  <w:rPr>
                    <w:rFonts w:ascii="Cambria Math" w:hAnsi="Cambria Math"/>
                    <w:i/>
                  </w:rPr>
                </m:ctrlPr>
              </m:dPr>
              <m:e>
                <m:r>
                  <m:rPr>
                    <m:nor/>
                  </m:rPr>
                  <w:rPr>
                    <w:i/>
                  </w:rPr>
                  <m:t>1</m:t>
                </m:r>
                <m:r>
                  <w:rPr>
                    <w:rFonts w:ascii="Cambria Math" w:hAnsi="Cambria Math"/>
                  </w:rPr>
                  <m:t>-</m:t>
                </m:r>
                <m:r>
                  <m:rPr>
                    <m:nor/>
                  </m:rPr>
                  <w:rPr>
                    <w:i/>
                  </w:rPr>
                  <m:t>α</m:t>
                </m:r>
              </m:e>
            </m:d>
            <m:r>
              <w:rPr>
                <w:rFonts w:ascii="Cambria Math"/>
              </w:rPr>
              <m:t>=</m:t>
            </m:r>
            <m:f>
              <m:fPr>
                <m:ctrlPr>
                  <w:rPr>
                    <w:rFonts w:ascii="Cambria Math" w:hAnsi="Cambria Math"/>
                    <w:i/>
                  </w:rPr>
                </m:ctrlPr>
              </m:fPr>
              <m:num>
                <m:r>
                  <m:rPr>
                    <m:nor/>
                  </m:rPr>
                  <w:rPr>
                    <w:i/>
                  </w:rPr>
                  <m:t>w</m:t>
                </m:r>
                <m:r>
                  <w:rPr>
                    <w:rFonts w:ascii="Cambria Math" w:hAnsi="Cambria Math"/>
                  </w:rPr>
                  <m:t>∙</m:t>
                </m:r>
                <m:r>
                  <m:rPr>
                    <m:nor/>
                  </m:rPr>
                  <w:rPr>
                    <w:i/>
                  </w:rPr>
                  <m:t>L</m:t>
                </m:r>
              </m:num>
              <m:den>
                <m:r>
                  <m:rPr>
                    <m:nor/>
                  </m:rPr>
                  <w:rPr>
                    <w:i/>
                  </w:rPr>
                  <m:t>Y</m:t>
                </m:r>
              </m:den>
            </m:f>
          </m:e>
        </m:d>
      </m:oMath>
      <w:r w:rsidR="00F339CD">
        <w:rPr>
          <w:rStyle w:val="Refdenotaalpie"/>
        </w:rPr>
        <w:footnoteReference w:id="9"/>
      </w:r>
      <w:r w:rsidR="00AE4D2C">
        <w:t>.</w:t>
      </w:r>
    </w:p>
    <w:p w14:paraId="6E8F0BA4" w14:textId="3D749E8E" w:rsidR="0054604D" w:rsidRDefault="005B0B94" w:rsidP="00F339CD">
      <w:pPr>
        <w:pStyle w:val="Prrafodelista"/>
        <w:numPr>
          <w:ilvl w:val="0"/>
          <w:numId w:val="7"/>
        </w:numPr>
        <w:spacing w:after="0"/>
        <w:ind w:left="709" w:hanging="284"/>
      </w:pPr>
      <w:r>
        <w:t>Existen diferencias sustanciales (entre el 2</w:t>
      </w:r>
      <w:r w:rsidR="00451F61">
        <w:t> </w:t>
      </w:r>
      <w:r w:rsidR="00E32FC0">
        <w:t>%</w:t>
      </w:r>
      <w:r>
        <w:t xml:space="preserve"> y el 5</w:t>
      </w:r>
      <w:r w:rsidR="00451F61">
        <w:t> </w:t>
      </w:r>
      <w:r>
        <w:t xml:space="preserve">%) en las tasas de crecimiento del output y de la productividad del trabajo entre </w:t>
      </w:r>
      <w:r w:rsidR="008821C3">
        <w:t xml:space="preserve">los </w:t>
      </w:r>
      <w:r>
        <w:t>países.</w:t>
      </w:r>
    </w:p>
    <w:p w14:paraId="70994B7D" w14:textId="16FAADFC" w:rsidR="0054604D" w:rsidRDefault="0054604D" w:rsidP="0054604D">
      <w:r>
        <w:t>*</w:t>
      </w:r>
      <w:r w:rsidRPr="00AE4D2C">
        <w:rPr>
          <w:i/>
          <w:iCs/>
        </w:rPr>
        <w:t>Nota</w:t>
      </w:r>
      <w:r>
        <w:t>: Es interesante apreciar que algunos de estos hechos no son independientes entre sí, por lo que solamente con 1, 3, 4 y 6 tenemos todos los hechos estilizados ya que son interdependientes entre sí, ya que 1 y 4 implican 2, y además 3 y 4 implican 5.</w:t>
      </w:r>
    </w:p>
    <w:p w14:paraId="42C4D00C" w14:textId="77777777" w:rsidR="00535E41" w:rsidRDefault="00535E41" w:rsidP="00F339CD">
      <w:pPr>
        <w:pStyle w:val="Nivel1SM"/>
        <w:keepNext/>
        <w:spacing w:after="0"/>
      </w:pPr>
      <w:r>
        <w:t xml:space="preserve">El modelo neoclásico es consistente con estos hechos estilizados de </w:t>
      </w:r>
      <w:r>
        <w:rPr>
          <w:smallCaps/>
        </w:rPr>
        <w:t>Kaldor</w:t>
      </w:r>
      <w:r>
        <w:t xml:space="preserve"> siendo capaz de replicar dicha evidencia:</w:t>
      </w:r>
    </w:p>
    <w:p w14:paraId="136E40B1" w14:textId="77777777" w:rsidR="00535E41" w:rsidRDefault="00535E41" w:rsidP="00F339CD">
      <w:pPr>
        <w:pStyle w:val="Prrafodelista"/>
        <w:numPr>
          <w:ilvl w:val="0"/>
          <w:numId w:val="8"/>
        </w:numPr>
        <w:spacing w:after="0"/>
        <w:contextualSpacing w:val="0"/>
      </w:pPr>
      <w:r w:rsidRPr="00E4717D">
        <w:rPr>
          <w:i/>
          <w:iCs/>
        </w:rPr>
        <w:t>En el estado estacionario</w:t>
      </w:r>
      <w:r>
        <w:t xml:space="preserve"> predice una senda de crecimiento constante, de forma que la renta per cápita crece a la misma tasa que la tecnología (cuyo crecimiento se puede asumir constante).</w:t>
      </w:r>
    </w:p>
    <w:p w14:paraId="07B48219" w14:textId="77777777" w:rsidR="00535E41" w:rsidRDefault="00000000" w:rsidP="00F339CD">
      <w:pPr>
        <w:pStyle w:val="Prrafodelista"/>
        <w:numPr>
          <w:ilvl w:val="0"/>
          <w:numId w:val="8"/>
        </w:numPr>
        <w:spacing w:after="0"/>
        <w:contextualSpacing w:val="0"/>
      </w:pPr>
      <m:oMath>
        <m:f>
          <m:fPr>
            <m:ctrlPr>
              <w:rPr>
                <w:rFonts w:ascii="Cambria Math" w:hAnsi="Cambria Math"/>
                <w:i/>
              </w:rPr>
            </m:ctrlPr>
          </m:fPr>
          <m:num>
            <m:r>
              <m:rPr>
                <m:nor/>
              </m:rPr>
              <w:rPr>
                <w:i/>
              </w:rPr>
              <m:t>K</m:t>
            </m:r>
          </m:num>
          <m:den>
            <m:r>
              <m:rPr>
                <m:nor/>
              </m:rPr>
              <w:rPr>
                <w:i/>
              </w:rPr>
              <m:t>L</m:t>
            </m:r>
          </m:den>
        </m:f>
      </m:oMath>
      <w:r w:rsidR="00535E41">
        <w:rPr>
          <w:rFonts w:eastAsiaTheme="minorEastAsia"/>
        </w:rPr>
        <w:t xml:space="preserve"> crece a una tasa constante en el estado estacionario.</w:t>
      </w:r>
    </w:p>
    <w:p w14:paraId="32EFAA9C" w14:textId="77777777" w:rsidR="00535E41" w:rsidRPr="00AC1400" w:rsidRDefault="00535E41" w:rsidP="00F339CD">
      <w:pPr>
        <w:pStyle w:val="Prrafodelista"/>
        <w:numPr>
          <w:ilvl w:val="0"/>
          <w:numId w:val="8"/>
        </w:numPr>
        <w:spacing w:after="0"/>
        <w:contextualSpacing w:val="0"/>
      </w:pPr>
      <w:r w:rsidRPr="00AC1400">
        <w:t>Ver 4 y 5, pues si se cumplen ambos, 3 también se cumplirá.</w:t>
      </w:r>
    </w:p>
    <w:p w14:paraId="2F70FEFC" w14:textId="77777777" w:rsidR="00535E41" w:rsidRDefault="00535E41" w:rsidP="00F339CD">
      <w:pPr>
        <w:pStyle w:val="Prrafodelista"/>
        <w:numPr>
          <w:ilvl w:val="0"/>
          <w:numId w:val="8"/>
        </w:numPr>
        <w:spacing w:after="0"/>
        <w:contextualSpacing w:val="0"/>
      </w:pPr>
      <w:r>
        <w:t xml:space="preserve">En el estado estacionario predice que </w:t>
      </w:r>
      <m:oMath>
        <m:f>
          <m:fPr>
            <m:ctrlPr>
              <w:rPr>
                <w:rFonts w:ascii="Cambria Math" w:hAnsi="Cambria Math"/>
                <w:i/>
              </w:rPr>
            </m:ctrlPr>
          </m:fPr>
          <m:num>
            <m:r>
              <m:rPr>
                <m:nor/>
              </m:rPr>
              <w:rPr>
                <w:i/>
              </w:rPr>
              <m:t>Y</m:t>
            </m:r>
          </m:num>
          <m:den>
            <m:r>
              <m:rPr>
                <m:nor/>
              </m:rPr>
              <w:rPr>
                <w:i/>
              </w:rPr>
              <m:t>K</m:t>
            </m:r>
          </m:den>
        </m:f>
        <m:r>
          <m:rPr>
            <m:nor/>
          </m:rPr>
          <m:t xml:space="preserve"> es constante</m:t>
        </m:r>
      </m:oMath>
      <w:r>
        <w:rPr>
          <w:rFonts w:eastAsiaTheme="minorEastAsia"/>
        </w:rPr>
        <w:t xml:space="preserve">, ya que </w:t>
      </w:r>
      <m:oMath>
        <m:sSub>
          <m:sSubPr>
            <m:ctrlPr>
              <w:rPr>
                <w:rFonts w:ascii="Cambria Math" w:hAnsi="Cambria Math"/>
                <w:i/>
              </w:rPr>
            </m:ctrlPr>
          </m:sSubPr>
          <m:e>
            <m:r>
              <m:rPr>
                <m:nor/>
              </m:rPr>
              <w:rPr>
                <w:i/>
              </w:rPr>
              <m:t>γ</m:t>
            </m:r>
          </m:e>
          <m:sub>
            <m:r>
              <m:rPr>
                <m:nor/>
              </m:rPr>
              <w:rPr>
                <w:i/>
              </w:rPr>
              <m:t>Y</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oMath>
      <w:r>
        <w:rPr>
          <w:rFonts w:eastAsiaTheme="minorEastAsia"/>
        </w:rPr>
        <w:t xml:space="preserve"> (</w:t>
      </w:r>
      <w:r w:rsidRPr="009E1243">
        <w:rPr>
          <w:rFonts w:eastAsiaTheme="minorEastAsia"/>
          <w:i/>
          <w:iCs/>
        </w:rPr>
        <w:t>crecimiento equilibrado</w:t>
      </w:r>
      <w:r>
        <w:rPr>
          <w:rFonts w:eastAsiaTheme="minorEastAsia"/>
        </w:rPr>
        <w:t>).</w:t>
      </w:r>
    </w:p>
    <w:p w14:paraId="1CF2DAFF" w14:textId="77777777" w:rsidR="00535E41" w:rsidRDefault="00535E41" w:rsidP="00F339CD">
      <w:pPr>
        <w:pStyle w:val="Prrafodelista"/>
        <w:numPr>
          <w:ilvl w:val="0"/>
          <w:numId w:val="8"/>
        </w:numPr>
        <w:spacing w:after="0"/>
        <w:contextualSpacing w:val="0"/>
      </w:pPr>
      <w:r>
        <w:t xml:space="preserve">El modelo neoclásico de crecimiento con </w:t>
      </w:r>
      <w:r w:rsidRPr="00E4717D">
        <w:rPr>
          <w:i/>
          <w:iCs/>
        </w:rPr>
        <w:t>función de producción de tipo Cobb-Douglas</w:t>
      </w:r>
      <w:r>
        <w:t>, implica que la remuneración de los factores (trabajo y capital) será contante en la senda de crecimiento equilibrado.</w:t>
      </w:r>
    </w:p>
    <w:p w14:paraId="2BC82D1F" w14:textId="77777777" w:rsidR="00535E41" w:rsidRDefault="00535E41" w:rsidP="00F339CD">
      <w:pPr>
        <w:pStyle w:val="Prrafodelista"/>
        <w:numPr>
          <w:ilvl w:val="0"/>
          <w:numId w:val="8"/>
        </w:numPr>
        <w:spacing w:after="0"/>
      </w:pPr>
      <w:r>
        <w:t>Pueden existir diferencias debido a diferencias en los parámetros del modelo en las distintas economías (</w:t>
      </w:r>
      <w:r>
        <w:rPr>
          <w:i/>
          <w:iCs/>
        </w:rPr>
        <w:t>convergencia condicional</w:t>
      </w:r>
      <w:r>
        <w:t xml:space="preserve">). Sin embargo, este hecho estilizado es el único que </w:t>
      </w:r>
      <w:r>
        <w:rPr>
          <w:smallCaps/>
        </w:rPr>
        <w:t>Kaldor</w:t>
      </w:r>
      <w:r>
        <w:t xml:space="preserve"> no consigue explicar con el modelo de crecimiento de Solow.</w:t>
      </w:r>
    </w:p>
    <w:p w14:paraId="02FB6258" w14:textId="77777777" w:rsidR="00535E41" w:rsidRDefault="00535E41" w:rsidP="00535E41">
      <w:pPr>
        <w:pStyle w:val="Nivel1SM"/>
        <w:keepNext/>
        <w:spacing w:after="0"/>
      </w:pPr>
      <w:r>
        <w:t xml:space="preserve">En 2009, </w:t>
      </w:r>
      <w:r>
        <w:rPr>
          <w:smallCaps/>
        </w:rPr>
        <w:t xml:space="preserve">Jones </w:t>
      </w:r>
      <w:r>
        <w:t xml:space="preserve">y </w:t>
      </w:r>
      <w:r>
        <w:rPr>
          <w:smallCaps/>
        </w:rPr>
        <w:t>Romer</w:t>
      </w:r>
      <w:r>
        <w:t xml:space="preserve"> proponen esta actualización de los hechos estilizados de </w:t>
      </w:r>
      <w:r>
        <w:rPr>
          <w:smallCaps/>
        </w:rPr>
        <w:t>Kaldor</w:t>
      </w:r>
      <w:r>
        <w:t xml:space="preserve"> (</w:t>
      </w:r>
      <w:r>
        <w:rPr>
          <w:i/>
          <w:iCs/>
        </w:rPr>
        <w:t>“The new Kaldor facts”</w:t>
      </w:r>
      <w:r>
        <w:t>):</w:t>
      </w:r>
    </w:p>
    <w:p w14:paraId="00F888EA" w14:textId="77777777" w:rsidR="00535E41" w:rsidRDefault="00535E41">
      <w:pPr>
        <w:pStyle w:val="Prrafodelista"/>
        <w:numPr>
          <w:ilvl w:val="0"/>
          <w:numId w:val="14"/>
        </w:numPr>
        <w:spacing w:after="0"/>
        <w:ind w:left="568" w:hanging="284"/>
      </w:pPr>
      <w:r w:rsidRPr="005B7E9D">
        <w:rPr>
          <w:i/>
          <w:iCs/>
        </w:rPr>
        <w:t>Aumentos en la extensión del mercado</w:t>
      </w:r>
      <w:r>
        <w:t>: El crecimiento de los flujos de bienes, ideas, finanzas y personas –vía globalización y urbanización– han aumentado el tamaño del mercado para todos los trabajadores, empresarios y consumidores.</w:t>
      </w:r>
    </w:p>
    <w:p w14:paraId="59A91C4D" w14:textId="77777777" w:rsidR="00535E41" w:rsidRDefault="00535E41">
      <w:pPr>
        <w:pStyle w:val="Prrafodelista"/>
        <w:numPr>
          <w:ilvl w:val="0"/>
          <w:numId w:val="14"/>
        </w:numPr>
        <w:spacing w:after="0"/>
        <w:ind w:left="568" w:hanging="284"/>
      </w:pPr>
      <w:r w:rsidRPr="005B7E9D">
        <w:rPr>
          <w:i/>
          <w:iCs/>
        </w:rPr>
        <w:t>Aceleración del crecimiento</w:t>
      </w:r>
      <w:r>
        <w:t>: Mirando los últimos diez mil años, vemos que el crecimiento de la población y del PIB per cápita se ha acelerado pasando en los dos últimos siglos de tasas prácticamente nulas a tasas relativamente elevadas.</w:t>
      </w:r>
    </w:p>
    <w:p w14:paraId="47AF95A6" w14:textId="54A8DE63" w:rsidR="00535E41" w:rsidRDefault="00535E41">
      <w:pPr>
        <w:pStyle w:val="Prrafodelista"/>
        <w:numPr>
          <w:ilvl w:val="0"/>
          <w:numId w:val="14"/>
        </w:numPr>
        <w:spacing w:after="0"/>
        <w:ind w:left="568" w:hanging="284"/>
      </w:pPr>
      <w:r w:rsidRPr="005B7E9D">
        <w:rPr>
          <w:i/>
          <w:iCs/>
        </w:rPr>
        <w:t>Variedad en las tasas de crecimiento actuales</w:t>
      </w:r>
      <w:r>
        <w:t>: La varianza en las tasas de crecimiento del PIB per cápita aumenta con la distancia a la frontera tecnológica</w:t>
      </w:r>
      <w:r>
        <w:rPr>
          <w:rStyle w:val="Refdenotaalpie"/>
        </w:rPr>
        <w:footnoteReference w:id="10"/>
      </w:r>
      <w:r>
        <w:t>.</w:t>
      </w:r>
    </w:p>
    <w:p w14:paraId="360CECAE" w14:textId="076775C0" w:rsidR="00535E41" w:rsidRDefault="00535E41">
      <w:pPr>
        <w:pStyle w:val="Prrafodelista"/>
        <w:numPr>
          <w:ilvl w:val="0"/>
          <w:numId w:val="14"/>
        </w:numPr>
        <w:spacing w:after="0"/>
        <w:ind w:left="568" w:hanging="284"/>
      </w:pPr>
      <w:r w:rsidRPr="00535E41">
        <w:rPr>
          <w:i/>
          <w:iCs/>
        </w:rPr>
        <w:t>Grandes diferencias en renta y productividad total de los factores</w:t>
      </w:r>
      <w:r>
        <w:t>: Las diferencias medidas en los inputs rivales (capital físico y humano y población activa), explican menos de la mitad de las diferencias observadas en los niveles de PIB per cápita entre países.</w:t>
      </w:r>
    </w:p>
    <w:p w14:paraId="28E08DDA" w14:textId="25CFB543" w:rsidR="00535E41" w:rsidRDefault="00535E41">
      <w:pPr>
        <w:pStyle w:val="Prrafodelista"/>
        <w:numPr>
          <w:ilvl w:val="0"/>
          <w:numId w:val="14"/>
        </w:numPr>
        <w:spacing w:after="0"/>
        <w:ind w:left="568" w:hanging="284"/>
      </w:pPr>
      <w:r w:rsidRPr="00535E41">
        <w:rPr>
          <w:i/>
          <w:iCs/>
        </w:rPr>
        <w:lastRenderedPageBreak/>
        <w:t>Aumentos en capital humano por trabajador</w:t>
      </w:r>
      <w:r>
        <w:t>:</w:t>
      </w:r>
      <w:r w:rsidR="00E11EB2">
        <w:t xml:space="preserve"> El capital humano por trabajador está aumentando de forma espectacular en todo el mundo. Es la contrapartida de uno de los hechos estilizados de </w:t>
      </w:r>
      <w:r w:rsidR="00E11EB2">
        <w:rPr>
          <w:smallCaps/>
        </w:rPr>
        <w:t>Kaldor</w:t>
      </w:r>
      <w:r w:rsidR="00E11EB2">
        <w:t xml:space="preserve"> (aumentos sostenidos del capital físico por trabajador).</w:t>
      </w:r>
    </w:p>
    <w:p w14:paraId="5B33B2F1" w14:textId="4172978B" w:rsidR="00AE4D2C" w:rsidRPr="00F339CD" w:rsidRDefault="00535E41">
      <w:pPr>
        <w:pStyle w:val="Prrafodelista"/>
        <w:numPr>
          <w:ilvl w:val="0"/>
          <w:numId w:val="14"/>
        </w:numPr>
        <w:spacing w:after="0"/>
        <w:ind w:left="568" w:hanging="284"/>
        <w:rPr>
          <w:spacing w:val="-5"/>
        </w:rPr>
      </w:pPr>
      <w:r w:rsidRPr="00F339CD">
        <w:rPr>
          <w:i/>
          <w:iCs/>
          <w:spacing w:val="-5"/>
        </w:rPr>
        <w:t>Estabilidad de los salarios relativos en el largo plazo</w:t>
      </w:r>
      <w:r w:rsidRPr="00F339CD">
        <w:rPr>
          <w:spacing w:val="-5"/>
        </w:rPr>
        <w:t>:</w:t>
      </w:r>
      <w:r w:rsidR="00E11EB2" w:rsidRPr="00F339CD">
        <w:rPr>
          <w:spacing w:val="-5"/>
        </w:rPr>
        <w:t xml:space="preserve"> El aumento continuo del capital humano en relación al trabajo no cualificado no se ha visto compensado por una disminución de su precio relativo</w:t>
      </w:r>
      <w:r w:rsidR="00B93BD4" w:rsidRPr="00F339CD">
        <w:rPr>
          <w:rStyle w:val="Refdenotaalpie"/>
          <w:spacing w:val="-5"/>
        </w:rPr>
        <w:footnoteReference w:id="11"/>
      </w:r>
      <w:r w:rsidR="00E11EB2" w:rsidRPr="00F339CD">
        <w:rPr>
          <w:spacing w:val="-5"/>
        </w:rPr>
        <w:t>.</w:t>
      </w:r>
    </w:p>
    <w:p w14:paraId="585A2D5D" w14:textId="77777777" w:rsidR="00397ADC" w:rsidRDefault="00397ADC" w:rsidP="00535E41">
      <w:pPr>
        <w:pStyle w:val="Nivel1SM"/>
        <w:keepNext/>
        <w:spacing w:after="0"/>
      </w:pPr>
      <w:r>
        <w:t>Más recientemente, la evidencia empírica ha consolidado una serie de observaciones empíricas que son hoy ampliamente aceptadas:</w:t>
      </w:r>
    </w:p>
    <w:p w14:paraId="168B2E9E" w14:textId="77777777" w:rsidR="00397ADC" w:rsidRPr="00486B7E" w:rsidRDefault="00397ADC" w:rsidP="00486B7E">
      <w:pPr>
        <w:pStyle w:val="Nivel2SM"/>
        <w:rPr>
          <w:spacing w:val="-2"/>
        </w:rPr>
      </w:pPr>
      <w:r w:rsidRPr="00486B7E">
        <w:rPr>
          <w:spacing w:val="-2"/>
        </w:rPr>
        <w:t>En sección cruzada, la tasa de crecimiento medio no parece variar con el nivel de renta per cápita.</w:t>
      </w:r>
    </w:p>
    <w:p w14:paraId="7488111A" w14:textId="77777777" w:rsidR="00397ADC" w:rsidRDefault="00397ADC" w:rsidP="00486B7E">
      <w:pPr>
        <w:pStyle w:val="Nivel2SM"/>
      </w:pPr>
      <w:r>
        <w:t>El crecimiento en el volumen de comercio está positivamente correlacionado con el crecimiento del producto.</w:t>
      </w:r>
    </w:p>
    <w:p w14:paraId="23050B02" w14:textId="77777777" w:rsidR="00397ADC" w:rsidRDefault="00397ADC" w:rsidP="00486B7E">
      <w:pPr>
        <w:pStyle w:val="Nivel2SM"/>
      </w:pPr>
      <w:r>
        <w:t>El crecimiento de la población está negativamente correlacionado con el nivel de renta.</w:t>
      </w:r>
    </w:p>
    <w:p w14:paraId="1384093F" w14:textId="77777777" w:rsidR="00397ADC" w:rsidRDefault="00397ADC" w:rsidP="00486B7E">
      <w:pPr>
        <w:pStyle w:val="Nivel2SM"/>
      </w:pPr>
      <w:r>
        <w:t>La tasa de crecimiento de los inputs productivos no es suficiente como para explicar el crecimiento del producto. Parece, por tanto, existir una fuente residual de crecimiento que, en muchas ocasiones, se atribuye al aumento producido a través del tiempo de la productividad de los factores, debido a las mejoras tecnológicas progresivamente introducidas.</w:t>
      </w:r>
    </w:p>
    <w:p w14:paraId="4B636E3C" w14:textId="77777777" w:rsidR="00397ADC" w:rsidRDefault="00397ADC" w:rsidP="00486B7E">
      <w:pPr>
        <w:pStyle w:val="Nivel2SM"/>
      </w:pPr>
      <w:r>
        <w:t>Tanto los trabajadores cualificados como los no cualificados tienden a emigrar hacia países de mayor renta.</w:t>
      </w:r>
    </w:p>
    <w:p w14:paraId="4088BE0D" w14:textId="77777777" w:rsidR="00397ADC" w:rsidRDefault="00397ADC" w:rsidP="00397ADC">
      <w:pPr>
        <w:keepNext/>
        <w:spacing w:after="0"/>
      </w:pPr>
      <w:r>
        <w:t>Por otra parte, los estudios empíricos realizados, mediante análisis de regresión, sugieren que las tasas de crecimiento parecen depender:</w:t>
      </w:r>
    </w:p>
    <w:p w14:paraId="58EFD2C9" w14:textId="77777777" w:rsidR="00397ADC" w:rsidRDefault="00397ADC">
      <w:pPr>
        <w:pStyle w:val="Nivel2"/>
        <w:ind w:left="567" w:hanging="141"/>
      </w:pPr>
      <w:r>
        <w:t>Positivamente de la cantidad inicial de capital humano, medido como el agregado de los niveles de educación y salud;</w:t>
      </w:r>
    </w:p>
    <w:p w14:paraId="03764F9A" w14:textId="77777777" w:rsidR="00397ADC" w:rsidRDefault="00397ADC">
      <w:pPr>
        <w:pStyle w:val="Nivel2"/>
        <w:ind w:left="567" w:hanging="141"/>
      </w:pPr>
      <w:r>
        <w:t>Positivamente del desarrollo institucional, que contribuye a estimular las iniciativas personales y empresariales;</w:t>
      </w:r>
    </w:p>
    <w:p w14:paraId="6CD86D9B" w14:textId="77777777" w:rsidR="00397ADC" w:rsidRDefault="00397ADC">
      <w:pPr>
        <w:pStyle w:val="Nivel2"/>
        <w:ind w:left="567" w:hanging="141"/>
      </w:pPr>
      <w:r>
        <w:t>Existe una correlación positiva con la ratio Inversión/PIB y con la inversión en I+D, aunque parece que es de retroalimentación;</w:t>
      </w:r>
    </w:p>
    <w:p w14:paraId="45F1C905" w14:textId="77777777" w:rsidR="00397ADC" w:rsidRDefault="00397ADC">
      <w:pPr>
        <w:pStyle w:val="Nivel2"/>
        <w:ind w:left="567" w:hanging="141"/>
      </w:pPr>
      <w:r>
        <w:t>Negativamente de la relación entre el consumo público y el PIB;</w:t>
      </w:r>
    </w:p>
    <w:p w14:paraId="67B9AC71" w14:textId="77777777" w:rsidR="00397ADC" w:rsidRDefault="00397ADC">
      <w:pPr>
        <w:pStyle w:val="Nivel2"/>
        <w:ind w:left="567" w:hanging="141"/>
      </w:pPr>
      <w:r>
        <w:t>Negativamente de indicadores de distorsión en los mercados;</w:t>
      </w:r>
    </w:p>
    <w:p w14:paraId="59194CE8" w14:textId="77777777" w:rsidR="00397ADC" w:rsidRDefault="00397ADC">
      <w:pPr>
        <w:pStyle w:val="Nivel2"/>
        <w:spacing w:after="0"/>
        <w:ind w:left="567" w:hanging="141"/>
      </w:pPr>
      <w:r>
        <w:t>Negativamente de la inestabilidad política.</w:t>
      </w:r>
    </w:p>
    <w:p w14:paraId="3AA842AA" w14:textId="77777777" w:rsidR="00397ADC" w:rsidRDefault="00397ADC" w:rsidP="00397ADC">
      <w:r>
        <w:t>Si bien es difícil evaluar con precisión el impacto de cada uno de estos efectos, es posible detectar que, conjuntamente, son claramente significativos.</w:t>
      </w:r>
    </w:p>
    <w:p w14:paraId="64123A30" w14:textId="77777777" w:rsidR="00397ADC" w:rsidRDefault="00397ADC" w:rsidP="00397ADC">
      <w:pPr>
        <w:keepNext/>
        <w:spacing w:after="0"/>
      </w:pPr>
      <w:r>
        <w:t>Se detectan, además, con los datos de sección cruzada:</w:t>
      </w:r>
    </w:p>
    <w:p w14:paraId="2A4F39C0" w14:textId="77777777" w:rsidR="00397ADC" w:rsidRDefault="00397ADC" w:rsidP="00486B7E">
      <w:pPr>
        <w:pStyle w:val="Nivel2SM"/>
      </w:pPr>
      <w:r>
        <w:t>Correlación positiva entre cada una de las ratios Inversión/PIB y Ahorro/PIB, y el nivel de capital humano, sugiriendo que dichas ratios tienden a aumentar al desarrollarse una economía. Además, no parece que pueda suponerse que la tasa de ahorro sea constante, con independencia de los avances en la renta per cápita.</w:t>
      </w:r>
    </w:p>
    <w:p w14:paraId="3C674D52" w14:textId="77777777" w:rsidR="00397ADC" w:rsidRDefault="00397ADC" w:rsidP="00486B7E">
      <w:pPr>
        <w:pStyle w:val="Nivel2SM"/>
      </w:pPr>
      <w:r>
        <w:t>Las tasas de fertilidad (y de crecimiento poblacional) disminuyen al aumentar el PIB per cápita, aunque puede haber un efecto positivo inicial en países de renta muy baja. El nivel de escolarización femenino está negativamente relacionado con la tasa de fertilidad, mientras que el nivel de escolarización masculino parece estar positivamente correlacionado con ella. En definitiva, no parece que la tasa de crecimiento poblacional sea constante en el tiempo.</w:t>
      </w:r>
    </w:p>
    <w:p w14:paraId="612FE6DF" w14:textId="2A3B2C03" w:rsidR="00397ADC" w:rsidRDefault="00397ADC" w:rsidP="00397ADC">
      <w:r>
        <w:lastRenderedPageBreak/>
        <w:t>La teoría económica ha desarrollado distintos enfoques para tratar de explicar esta evidencia y regularidades empíricas.</w:t>
      </w:r>
    </w:p>
    <w:bookmarkEnd w:id="18"/>
    <w:p w14:paraId="58C02F05" w14:textId="09A78D6F" w:rsidR="00CA5715" w:rsidRPr="00AE4D2C" w:rsidRDefault="003027A8" w:rsidP="00CA5715">
      <w:r>
        <w:rPr>
          <w:noProof/>
        </w:rPr>
        <w:drawing>
          <wp:inline distT="0" distB="0" distL="0" distR="0" wp14:anchorId="00E9A1A7" wp14:editId="1DEB31AD">
            <wp:extent cx="3429000" cy="3000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29000" cy="3000375"/>
                    </a:xfrm>
                    <a:prstGeom prst="rect">
                      <a:avLst/>
                    </a:prstGeom>
                  </pic:spPr>
                </pic:pic>
              </a:graphicData>
            </a:graphic>
          </wp:inline>
        </w:drawing>
      </w:r>
      <w:r w:rsidRPr="003027A8">
        <w:rPr>
          <w:noProof/>
        </w:rPr>
        <w:t xml:space="preserve"> </w:t>
      </w:r>
      <w:r>
        <w:rPr>
          <w:noProof/>
        </w:rPr>
        <w:drawing>
          <wp:inline distT="0" distB="0" distL="0" distR="0" wp14:anchorId="612882F8" wp14:editId="6A355981">
            <wp:extent cx="3228975" cy="3048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28975" cy="3048000"/>
                    </a:xfrm>
                    <a:prstGeom prst="rect">
                      <a:avLst/>
                    </a:prstGeom>
                  </pic:spPr>
                </pic:pic>
              </a:graphicData>
            </a:graphic>
          </wp:inline>
        </w:drawing>
      </w:r>
      <w:r w:rsidRPr="003027A8">
        <w:rPr>
          <w:noProof/>
        </w:rPr>
        <w:t xml:space="preserve"> </w:t>
      </w:r>
      <w:r>
        <w:rPr>
          <w:noProof/>
        </w:rPr>
        <w:drawing>
          <wp:inline distT="0" distB="0" distL="0" distR="0" wp14:anchorId="3CAA38CE" wp14:editId="6951FEC4">
            <wp:extent cx="3524250" cy="2838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24250" cy="2838450"/>
                    </a:xfrm>
                    <a:prstGeom prst="rect">
                      <a:avLst/>
                    </a:prstGeom>
                  </pic:spPr>
                </pic:pic>
              </a:graphicData>
            </a:graphic>
          </wp:inline>
        </w:drawing>
      </w:r>
    </w:p>
    <w:p w14:paraId="00C0EA7E" w14:textId="6CEE6E8E" w:rsidR="002E0C48" w:rsidRDefault="002C0C14" w:rsidP="00DD620B">
      <w:pPr>
        <w:pStyle w:val="Ttulo1"/>
      </w:pPr>
      <w:bookmarkStart w:id="19" w:name="_Toc55381924"/>
      <w:bookmarkStart w:id="20" w:name="_Toc55382059"/>
      <w:bookmarkStart w:id="21" w:name="_Toc55382094"/>
      <w:bookmarkStart w:id="22" w:name="_Toc55382522"/>
      <w:bookmarkStart w:id="23" w:name="_Toc129716198"/>
      <w:bookmarkEnd w:id="19"/>
      <w:bookmarkEnd w:id="20"/>
      <w:bookmarkEnd w:id="21"/>
      <w:bookmarkEnd w:id="22"/>
      <w:r>
        <w:lastRenderedPageBreak/>
        <w:t>ANÁLISIS DE LA CONTABILIDAD DEL CRECIMIENTO</w:t>
      </w:r>
      <w:bookmarkEnd w:id="23"/>
    </w:p>
    <w:p w14:paraId="121434CD" w14:textId="559B0C4C" w:rsidR="00641776" w:rsidRPr="00641776" w:rsidRDefault="00641776" w:rsidP="00641776">
      <w:pPr>
        <w:pStyle w:val="Notaalopositor"/>
      </w:pPr>
      <w:r>
        <w:t>Para ver cómo organizar esta exposición puede estar bien ver el capítulo</w:t>
      </w:r>
      <w:r w:rsidR="00C14A6A">
        <w:t> </w:t>
      </w:r>
      <w:r>
        <w:t xml:space="preserve">7 de </w:t>
      </w:r>
      <w:r w:rsidRPr="00641776">
        <w:t xml:space="preserve">Campante, F., Sturzenegger, F. &amp; Velasco, A. (2021). </w:t>
      </w:r>
      <w:r w:rsidRPr="00641776">
        <w:rPr>
          <w:lang w:val="en-US"/>
        </w:rPr>
        <w:t xml:space="preserve">Advanced Macroeconomics: An Easy Guide. En LSE Press. LSE Press. </w:t>
      </w:r>
      <w:hyperlink r:id="rId13" w:history="1">
        <w:r w:rsidRPr="00D311FD">
          <w:rPr>
            <w:rStyle w:val="Hipervnculo"/>
          </w:rPr>
          <w:t>https://doi.org/10.31389/lsepress.ame</w:t>
        </w:r>
      </w:hyperlink>
    </w:p>
    <w:p w14:paraId="2A763560" w14:textId="77777777" w:rsidR="000F646D" w:rsidRDefault="008B1ABC" w:rsidP="00451F61">
      <w:pPr>
        <w:pStyle w:val="Nivel1SM"/>
        <w:keepNext/>
        <w:spacing w:before="0" w:after="0"/>
      </w:pPr>
      <w:r>
        <w:t xml:space="preserve">Uno de los primeros intentos para </w:t>
      </w:r>
      <w:r w:rsidRPr="000F646D">
        <w:rPr>
          <w:i/>
          <w:iCs/>
        </w:rPr>
        <w:t>cuantificar el crecimiento económico de forma empírica</w:t>
      </w:r>
      <w:r>
        <w:t xml:space="preserve"> fue con el objetivo de determinar </w:t>
      </w:r>
      <w:r w:rsidR="00163188" w:rsidRPr="005F7026">
        <w:rPr>
          <w:i/>
          <w:iCs/>
          <w:u w:val="single"/>
        </w:rPr>
        <w:t>cuánto</w:t>
      </w:r>
      <w:r w:rsidRPr="005F7026">
        <w:rPr>
          <w:i/>
          <w:iCs/>
          <w:u w:val="single"/>
        </w:rPr>
        <w:t xml:space="preserve"> crecimiento económico puede ser explicado por el aumento de cada uno de los factores de producción</w:t>
      </w:r>
      <w:r>
        <w:t>.</w:t>
      </w:r>
    </w:p>
    <w:p w14:paraId="7F08333A" w14:textId="47AA0448" w:rsidR="000F646D" w:rsidRDefault="008B1ABC">
      <w:pPr>
        <w:pStyle w:val="Nivel2SM"/>
        <w:spacing w:after="0"/>
      </w:pPr>
      <w:r>
        <w:t>Este ejercicio surgido en los años</w:t>
      </w:r>
      <w:r w:rsidR="00114FFC">
        <w:t> 5</w:t>
      </w:r>
      <w:r>
        <w:t xml:space="preserve">0 es llamado </w:t>
      </w:r>
      <w:r w:rsidRPr="008B1ABC">
        <w:rPr>
          <w:b/>
          <w:bCs/>
        </w:rPr>
        <w:t>contabilidad del crecimiento</w:t>
      </w:r>
      <w:r>
        <w:t>.</w:t>
      </w:r>
    </w:p>
    <w:p w14:paraId="1735B2A0" w14:textId="2CECF177" w:rsidR="008B1ABC" w:rsidRDefault="008B1ABC">
      <w:pPr>
        <w:pStyle w:val="Nivel2SM"/>
        <w:keepNext/>
        <w:spacing w:after="0"/>
      </w:pPr>
      <w:r>
        <w:t>Por lo tanto, la contabilidad del crecimiento intenta descomponer el crecimiento total en el nivel de producción en componentes atribuibles al crecimiento del capital, el crecimiento del trabajo y el crecimiento de</w:t>
      </w:r>
      <w:r w:rsidR="000F646D">
        <w:t xml:space="preserve"> la </w:t>
      </w:r>
      <w:r>
        <w:t>productividad total</w:t>
      </w:r>
      <w:r w:rsidR="000F646D">
        <w:t xml:space="preserve"> de los factores</w:t>
      </w:r>
      <w:r>
        <w:t>.</w:t>
      </w:r>
    </w:p>
    <w:p w14:paraId="6EE69220" w14:textId="77777777" w:rsidR="005F7026" w:rsidRDefault="005F7026">
      <w:pPr>
        <w:pStyle w:val="Nivel3SM"/>
        <w:keepNext/>
      </w:pPr>
      <w:r>
        <w:t xml:space="preserve">De este modo, la contabilidad del crecimiento es un análisis que se refiere a las </w:t>
      </w:r>
      <w:r w:rsidRPr="005F7026">
        <w:rPr>
          <w:i/>
          <w:iCs/>
        </w:rPr>
        <w:t>causas próximas del crecimiento económico</w:t>
      </w:r>
      <w:r>
        <w:t xml:space="preserve"> (i.e. factores con influencia directa).</w:t>
      </w:r>
    </w:p>
    <w:p w14:paraId="0FE37B72" w14:textId="219B1354" w:rsidR="005F7026" w:rsidRDefault="005F7026">
      <w:pPr>
        <w:pStyle w:val="Nivel4"/>
        <w:ind w:left="1474"/>
      </w:pPr>
      <w:r>
        <w:t xml:space="preserve">Otro análisis distinto sería responder a ¿por qué unos países acumulan más capital que otros? o ¿qué determina el progreso tecnológico?, en cuyo caso nos estaríamos preguntando por las </w:t>
      </w:r>
      <w:r w:rsidRPr="005F7026">
        <w:rPr>
          <w:i/>
          <w:iCs/>
        </w:rPr>
        <w:t>causas últimas del crecimiento económico</w:t>
      </w:r>
      <w:r>
        <w:t>.</w:t>
      </w:r>
    </w:p>
    <w:p w14:paraId="41DBC81E" w14:textId="7622A225" w:rsidR="005F7026" w:rsidRDefault="005F7026">
      <w:pPr>
        <w:pStyle w:val="Nivel3SM"/>
        <w:spacing w:after="100"/>
      </w:pPr>
      <w:r>
        <w:t>Además, este análisis no requiere comparaciones entre países, por lo que se puede realizar de manera individual para cualquier economía de la que dispongamos los datos necesarios sobre los factores de producción.</w:t>
      </w:r>
    </w:p>
    <w:p w14:paraId="03D10306" w14:textId="2ECA2021" w:rsidR="008B1ABC" w:rsidRDefault="008B1ABC">
      <w:pPr>
        <w:pStyle w:val="Nivel1SM"/>
        <w:keepNext/>
        <w:spacing w:after="0"/>
      </w:pPr>
      <w:r>
        <w:t>De esta forma, si pensamos en la producción como:</w:t>
      </w:r>
    </w:p>
    <w:p w14:paraId="65C20B3F" w14:textId="375469FA" w:rsidR="00783ADE" w:rsidRDefault="00783ADE" w:rsidP="005F7026">
      <w:pPr>
        <w:keepNext/>
        <w:spacing w:after="0"/>
        <w:rPr>
          <w:rFonts w:eastAsiaTheme="minorEastAsia"/>
        </w:rPr>
      </w:pPr>
      <m:oMathPara>
        <m:oMath>
          <m:r>
            <m:rPr>
              <m:nor/>
            </m:rPr>
            <w:rPr>
              <w:i/>
              <w:iCs/>
            </w:rPr>
            <m:t>Renta = F</m:t>
          </m:r>
          <m:r>
            <m:rPr>
              <m:nor/>
            </m:rPr>
            <m:t>(</m:t>
          </m:r>
          <m:r>
            <m:rPr>
              <m:nor/>
            </m:rPr>
            <w:rPr>
              <w:i/>
              <w:iCs/>
            </w:rPr>
            <m:t>Factores de producción, Productividad</m:t>
          </m:r>
          <m:r>
            <m:rPr>
              <m:nor/>
            </m:rPr>
            <m:t>)</m:t>
          </m:r>
          <m:r>
            <m:rPr>
              <m:sty m:val="p"/>
            </m:rPr>
            <w:rPr>
              <w:rFonts w:eastAsiaTheme="minorEastAsia"/>
            </w:rPr>
            <w:br/>
          </m:r>
        </m:oMath>
      </m:oMathPara>
      <w:r w:rsidR="005F7026">
        <w:rPr>
          <w:rFonts w:eastAsiaTheme="minorEastAsia"/>
        </w:rPr>
        <w:t>t</w:t>
      </w:r>
      <w:r w:rsidR="008B1ABC">
        <w:rPr>
          <w:rFonts w:eastAsiaTheme="minorEastAsia"/>
        </w:rPr>
        <w:t>endremos que</w:t>
      </w:r>
      <w:r>
        <w:rPr>
          <w:rFonts w:eastAsiaTheme="minorEastAsia"/>
        </w:rPr>
        <w:t>:</w:t>
      </w:r>
    </w:p>
    <w:p w14:paraId="7A5F97CF" w14:textId="39D6BDA0" w:rsidR="00783ADE" w:rsidRDefault="00243DB4" w:rsidP="00C147A2">
      <w:pPr>
        <w:pStyle w:val="Prrafodelista"/>
        <w:numPr>
          <w:ilvl w:val="0"/>
          <w:numId w:val="9"/>
        </w:numPr>
        <w:spacing w:after="100"/>
        <w:ind w:left="567" w:hanging="113"/>
        <w:rPr>
          <w:rFonts w:eastAsiaTheme="minorEastAsia"/>
        </w:rPr>
      </w:pPr>
      <w:r>
        <w:rPr>
          <w:rFonts w:eastAsiaTheme="minorEastAsia"/>
        </w:rPr>
        <w:t>D</w:t>
      </w:r>
      <w:r w:rsidR="008B1ABC" w:rsidRPr="00783ADE">
        <w:rPr>
          <w:rFonts w:eastAsiaTheme="minorEastAsia"/>
        </w:rPr>
        <w:t xml:space="preserve">efinir la forma funcional de </w:t>
      </w:r>
      <w:r w:rsidR="008B1ABC" w:rsidRPr="00783ADE">
        <w:rPr>
          <w:rFonts w:eastAsiaTheme="minorEastAsia"/>
          <w:i/>
          <w:iCs/>
        </w:rPr>
        <w:t>F</w:t>
      </w:r>
      <w:r w:rsidR="00783ADE" w:rsidRPr="00783ADE">
        <w:rPr>
          <w:rFonts w:eastAsiaTheme="minorEastAsia"/>
        </w:rPr>
        <w:t>;</w:t>
      </w:r>
      <w:r w:rsidR="008B1ABC" w:rsidRPr="00783ADE">
        <w:rPr>
          <w:rFonts w:eastAsiaTheme="minorEastAsia"/>
        </w:rPr>
        <w:t xml:space="preserve"> </w:t>
      </w:r>
      <w:r w:rsidR="00721D6C" w:rsidRPr="00783ADE">
        <w:rPr>
          <w:rFonts w:eastAsiaTheme="minorEastAsia"/>
        </w:rPr>
        <w:t>y</w:t>
      </w:r>
    </w:p>
    <w:p w14:paraId="023A92E4" w14:textId="65751C7C" w:rsidR="008B1ABC" w:rsidRPr="00783ADE" w:rsidRDefault="00243DB4" w:rsidP="00C147A2">
      <w:pPr>
        <w:pStyle w:val="Prrafodelista"/>
        <w:numPr>
          <w:ilvl w:val="0"/>
          <w:numId w:val="9"/>
        </w:numPr>
        <w:spacing w:after="100"/>
        <w:ind w:left="567" w:hanging="113"/>
        <w:rPr>
          <w:rFonts w:eastAsiaTheme="minorEastAsia"/>
        </w:rPr>
      </w:pPr>
      <w:r>
        <w:rPr>
          <w:rFonts w:eastAsiaTheme="minorEastAsia"/>
        </w:rPr>
        <w:t>M</w:t>
      </w:r>
      <w:r w:rsidR="00721D6C" w:rsidRPr="00783ADE">
        <w:rPr>
          <w:rFonts w:eastAsiaTheme="minorEastAsia"/>
        </w:rPr>
        <w:t>edir apropiadamente la renta y los factores de producción.</w:t>
      </w:r>
    </w:p>
    <w:p w14:paraId="411AD616" w14:textId="2C257FB2" w:rsidR="002C0C14" w:rsidRDefault="00AE448A">
      <w:pPr>
        <w:pStyle w:val="Ttulo2"/>
      </w:pPr>
      <w:bookmarkStart w:id="24" w:name="_Toc129716199"/>
      <w:r>
        <w:t>Enfoques clásicos de la contabilidad del crecimiento</w:t>
      </w:r>
      <w:bookmarkEnd w:id="24"/>
    </w:p>
    <w:p w14:paraId="47C8F909" w14:textId="77777777" w:rsidR="008A133E" w:rsidRDefault="00AE448A" w:rsidP="00451F61">
      <w:pPr>
        <w:pStyle w:val="Ttulo3"/>
        <w:spacing w:before="0"/>
      </w:pPr>
      <w:bookmarkStart w:id="25" w:name="_Toc129716200"/>
      <w:r>
        <w:t>Enfoque clásico (primal)</w:t>
      </w:r>
      <w:r w:rsidR="008F44E6">
        <w:t xml:space="preserve"> (</w:t>
      </w:r>
      <w:r w:rsidR="008F44E6">
        <w:rPr>
          <w:smallCaps/>
        </w:rPr>
        <w:t>Solow</w:t>
      </w:r>
      <w:r w:rsidR="008F44E6">
        <w:t>, 1957)</w:t>
      </w:r>
      <w:bookmarkEnd w:id="25"/>
    </w:p>
    <w:p w14:paraId="4C0638E0" w14:textId="6DC936D5" w:rsidR="00AE448A" w:rsidRDefault="008A133E" w:rsidP="00451F61">
      <w:pPr>
        <w:pStyle w:val="Ttulo6"/>
        <w:spacing w:before="0"/>
      </w:pPr>
      <w:bookmarkStart w:id="26" w:name="_Toc129716201"/>
      <w:r>
        <w:t>Idea</w:t>
      </w:r>
      <w:bookmarkEnd w:id="26"/>
    </w:p>
    <w:p w14:paraId="1941259C" w14:textId="6DA66640" w:rsidR="00504506" w:rsidRDefault="008F44E6" w:rsidP="00451F61">
      <w:pPr>
        <w:pStyle w:val="Nivel1SM"/>
        <w:keepNext/>
        <w:spacing w:before="0" w:after="0"/>
      </w:pPr>
      <w:r>
        <w:rPr>
          <w:smallCaps/>
        </w:rPr>
        <w:t>Solow</w:t>
      </w:r>
      <w:r>
        <w:t xml:space="preserve"> (1957) persigue descifrar qué parte del crecimiento de </w:t>
      </w:r>
      <w:r w:rsidR="0036576D">
        <w:t>Estados Unidos</w:t>
      </w:r>
      <w:r>
        <w:t xml:space="preserve"> para el período 1909-1949 viene dada por la acumulación de factores y cuál por el progreso tecnológico. Se trata de la </w:t>
      </w:r>
      <w:r w:rsidRPr="00504506">
        <w:rPr>
          <w:i/>
          <w:iCs/>
        </w:rPr>
        <w:t xml:space="preserve">vertiente empírica del modelo teórico que </w:t>
      </w:r>
      <w:r w:rsidRPr="00504506">
        <w:rPr>
          <w:i/>
          <w:iCs/>
          <w:smallCaps/>
        </w:rPr>
        <w:t>Solow</w:t>
      </w:r>
      <w:r w:rsidRPr="00504506">
        <w:rPr>
          <w:i/>
          <w:iCs/>
        </w:rPr>
        <w:t xml:space="preserve"> había desarrollado en 1956</w:t>
      </w:r>
      <w:r>
        <w:t xml:space="preserve">. Por tanto, </w:t>
      </w:r>
      <w:r>
        <w:rPr>
          <w:smallCaps/>
        </w:rPr>
        <w:t>Solow</w:t>
      </w:r>
      <w:r>
        <w:t xml:space="preserve"> pretende contrastar sus predicciones.</w:t>
      </w:r>
    </w:p>
    <w:p w14:paraId="5E8AB2D9" w14:textId="77777777" w:rsidR="00504506" w:rsidRDefault="008F44E6" w:rsidP="00504506">
      <w:pPr>
        <w:pStyle w:val="Nivel2SM"/>
      </w:pPr>
      <w:r>
        <w:t xml:space="preserve">Recordemos que </w:t>
      </w:r>
      <w:r>
        <w:rPr>
          <w:smallCaps/>
        </w:rPr>
        <w:t>Solow</w:t>
      </w:r>
      <w:r>
        <w:t xml:space="preserve"> elabora un modelo de crecimiento económico basado en la acumulación de capital. Llega a la conclusión de que el crecimiento causado por la acumulación de capital se verá limitado por los rendimientos decrecientes en su acumulación.</w:t>
      </w:r>
    </w:p>
    <w:p w14:paraId="34DF8D7C" w14:textId="003DD115" w:rsidR="008F44E6" w:rsidRDefault="008F44E6" w:rsidP="00504506">
      <w:pPr>
        <w:pStyle w:val="Nivel2SM"/>
      </w:pPr>
      <w:r>
        <w:t xml:space="preserve">Solo el progreso tecnológico, modelizado de forma exógena, permite el crecimiento económico sostenido. </w:t>
      </w:r>
      <w:r>
        <w:rPr>
          <w:smallCaps/>
        </w:rPr>
        <w:t>Solow</w:t>
      </w:r>
      <w:r>
        <w:t xml:space="preserve"> admite una parte de carácter endógeno, pero es mejor considerar exógeno: los descubrimientos tienen un gran componente aleatorio.</w:t>
      </w:r>
    </w:p>
    <w:p w14:paraId="35556F79" w14:textId="77777777" w:rsidR="008A133E" w:rsidRDefault="008A133E" w:rsidP="008A133E">
      <w:pPr>
        <w:pStyle w:val="Ttulo6"/>
      </w:pPr>
      <w:bookmarkStart w:id="27" w:name="_Toc129716202"/>
      <w:r>
        <w:lastRenderedPageBreak/>
        <w:t>Modelo</w:t>
      </w:r>
      <w:bookmarkEnd w:id="27"/>
    </w:p>
    <w:p w14:paraId="13396A2A" w14:textId="50EB6C4B" w:rsidR="008A133E" w:rsidRDefault="008A133E" w:rsidP="002C7B4F">
      <w:pPr>
        <w:pStyle w:val="Ttulo7"/>
        <w:spacing w:before="0"/>
      </w:pPr>
      <w:r w:rsidRPr="008A133E">
        <w:t>Supuestos</w:t>
      </w:r>
    </w:p>
    <w:p w14:paraId="72A6594D" w14:textId="222E46D7" w:rsidR="008A133E" w:rsidRDefault="008A133E" w:rsidP="002C7B4F">
      <w:pPr>
        <w:pStyle w:val="Nivel1SM"/>
        <w:keepNext/>
        <w:spacing w:before="0" w:after="0"/>
      </w:pPr>
      <w:r>
        <w:rPr>
          <w:smallCaps/>
        </w:rPr>
        <w:t>Solow</w:t>
      </w:r>
      <w:r>
        <w:t xml:space="preserve"> (1957) parte de los siguientes </w:t>
      </w:r>
      <w:r w:rsidRPr="008A133E">
        <w:rPr>
          <w:b/>
          <w:bCs/>
        </w:rPr>
        <w:t>supuestos</w:t>
      </w:r>
      <w:r>
        <w:t>:</w:t>
      </w:r>
    </w:p>
    <w:p w14:paraId="646077DA" w14:textId="78076852" w:rsidR="008A133E" w:rsidRPr="008A133E" w:rsidRDefault="008A133E">
      <w:pPr>
        <w:pStyle w:val="Nivel2SM"/>
        <w:keepNext/>
        <w:spacing w:after="0"/>
      </w:pPr>
      <w:r>
        <w:t>Trabaja</w:t>
      </w:r>
      <w:r w:rsidRPr="008A133E">
        <w:t xml:space="preserve"> con una </w:t>
      </w:r>
      <w:r w:rsidRPr="008A133E">
        <w:rPr>
          <w:i/>
          <w:iCs/>
        </w:rPr>
        <w:t>función de producción agregada neoclásica de buen comportamiento</w:t>
      </w:r>
      <w:r w:rsidRPr="008A133E">
        <w:t>.</w:t>
      </w:r>
      <w:r>
        <w:t xml:space="preserve"> Esto es, la función de producción presenta las siguientes propiedades.</w:t>
      </w:r>
    </w:p>
    <w:p w14:paraId="54237057" w14:textId="4E58E110" w:rsidR="008A133E" w:rsidRDefault="008A133E" w:rsidP="00C60758">
      <w:pPr>
        <w:pStyle w:val="Nivel3SM"/>
        <w:keepNext/>
      </w:pPr>
      <w:r>
        <w:t>Rendimientos constantes a escala (i.e. función homogénea de grado uno)</w:t>
      </w:r>
    </w:p>
    <w:p w14:paraId="4094E827" w14:textId="6F8653B0" w:rsidR="008A133E" w:rsidRDefault="008A133E" w:rsidP="00C60758">
      <w:pPr>
        <w:pStyle w:val="Nivel3SM"/>
        <w:keepNext/>
      </w:pPr>
      <w:r w:rsidRPr="008A133E">
        <w:t>Productivid</w:t>
      </w:r>
      <w:r>
        <w:t>ades marginales positivas per</w:t>
      </w:r>
      <w:r w:rsidR="00606548">
        <w:t>o</w:t>
      </w:r>
      <w:r>
        <w:t xml:space="preserve"> decrecientes en todos los factores.</w:t>
      </w:r>
    </w:p>
    <w:p w14:paraId="4AF79A32" w14:textId="04820B0B" w:rsidR="008A133E" w:rsidRDefault="008A133E" w:rsidP="002C7B4F">
      <w:pPr>
        <w:pStyle w:val="Nivel3SM"/>
        <w:keepNext/>
      </w:pPr>
      <w:r>
        <w:t>Cumple las condiciones de Inada.</w:t>
      </w:r>
    </w:p>
    <w:p w14:paraId="19E19F4C" w14:textId="4BD60C05" w:rsidR="00504506" w:rsidRDefault="00504506" w:rsidP="00606548">
      <w:pPr>
        <w:pStyle w:val="Nivel4"/>
        <w:keepNext/>
        <w:ind w:left="1474"/>
      </w:pPr>
      <w:r>
        <w:t>Podemos suponer una función de producción de tipo Cobb-Douglas</w:t>
      </w:r>
      <w:r w:rsidRPr="000A2407">
        <w:rPr>
          <w:rStyle w:val="Refdenotaalpie"/>
        </w:rPr>
        <w:footnoteReference w:id="12"/>
      </w:r>
      <w:r>
        <w:t>:</w:t>
      </w:r>
    </w:p>
    <w:p w14:paraId="7FA8DF40" w14:textId="77777777" w:rsidR="00504506" w:rsidRDefault="00504506" w:rsidP="00C60758">
      <w:pPr>
        <w:pStyle w:val="Nivel1SM"/>
        <w:numPr>
          <w:ilvl w:val="0"/>
          <w:numId w:val="0"/>
        </w:numPr>
        <w:spacing w:before="0" w:after="0"/>
      </w:pPr>
      <m:oMathPara>
        <m:oMath>
          <m:r>
            <m:rPr>
              <m:nor/>
            </m:rPr>
            <w:rPr>
              <w:i/>
              <w:iCs/>
            </w:rPr>
            <m:t>Y</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K</m:t>
              </m:r>
            </m:e>
            <m:sup>
              <m:r>
                <m:rPr>
                  <m:nor/>
                </m:rPr>
                <w:rPr>
                  <w:rFonts w:eastAsiaTheme="minorEastAsia"/>
                  <w:i/>
                </w:rPr>
                <m:t>α</m:t>
              </m:r>
            </m:sup>
          </m:sSup>
          <m:r>
            <w:rPr>
              <w:rFonts w:ascii="Cambria Math" w:hAnsi="Cambria Math"/>
            </w:rPr>
            <m:t>·</m:t>
          </m:r>
          <m:sSup>
            <m:sSupPr>
              <m:ctrlPr>
                <w:rPr>
                  <w:rFonts w:ascii="Cambria Math" w:hAnsi="Cambria Math"/>
                  <w:i/>
                  <w:iCs/>
                </w:rPr>
              </m:ctrlPr>
            </m:sSupPr>
            <m:e>
              <m:r>
                <m:rPr>
                  <m:nor/>
                </m:rPr>
                <w:rPr>
                  <w:i/>
                  <w:iCs/>
                </w:rPr>
                <m:t>L</m:t>
              </m:r>
            </m:e>
            <m:sup>
              <m:r>
                <m:rPr>
                  <m:nor/>
                </m:rPr>
                <w:rPr>
                  <w:i/>
                  <w:iCs/>
                </w:rPr>
                <m:t>1</m:t>
              </m:r>
              <m:r>
                <w:rPr>
                  <w:rFonts w:ascii="Cambria Math" w:hAnsi="Cambria Math"/>
                </w:rPr>
                <m:t>-</m:t>
              </m:r>
              <m:r>
                <m:rPr>
                  <m:nor/>
                </m:rPr>
                <w:rPr>
                  <w:rFonts w:eastAsiaTheme="minorEastAsia"/>
                  <w:i/>
                </w:rPr>
                <m:t>α</m:t>
              </m:r>
            </m:sup>
          </m:sSup>
        </m:oMath>
      </m:oMathPara>
    </w:p>
    <w:p w14:paraId="03499E28" w14:textId="18A8828A" w:rsidR="008A133E" w:rsidRDefault="008A133E" w:rsidP="00D60EAC">
      <w:pPr>
        <w:pStyle w:val="Nivel2SM"/>
        <w:keepNext/>
        <w:spacing w:after="0"/>
      </w:pPr>
      <w:r>
        <w:t xml:space="preserve">Finalmente, </w:t>
      </w:r>
      <w:r>
        <w:rPr>
          <w:smallCaps/>
        </w:rPr>
        <w:t>Solow</w:t>
      </w:r>
      <w:r>
        <w:t xml:space="preserve"> supone que </w:t>
      </w:r>
      <w:r w:rsidRPr="00504506">
        <w:rPr>
          <w:i/>
          <w:iCs/>
        </w:rPr>
        <w:t>existe competencia perfecta en el mercado de factores</w:t>
      </w:r>
      <w:r>
        <w:t>.</w:t>
      </w:r>
    </w:p>
    <w:p w14:paraId="13A4B0AB" w14:textId="6C26279C" w:rsidR="008A133E" w:rsidRDefault="008A133E" w:rsidP="00504506">
      <w:pPr>
        <w:pStyle w:val="Nivel3SM"/>
      </w:pPr>
      <w:r>
        <w:t>Bajo estas condiciones, cada factor se remunera por su productividad marginal y la remuneración total de los factores</w:t>
      </w:r>
      <w:r w:rsidR="002A1373">
        <w:t xml:space="preserve"> agota el producto.</w:t>
      </w:r>
    </w:p>
    <w:p w14:paraId="303280C5" w14:textId="5FC65112" w:rsidR="008A133E" w:rsidRDefault="008A133E" w:rsidP="008A133E">
      <w:pPr>
        <w:pStyle w:val="Ttulo7"/>
      </w:pPr>
      <w:r>
        <w:t>Desarrollo</w:t>
      </w:r>
    </w:p>
    <w:p w14:paraId="72DC704A" w14:textId="2B34972E" w:rsidR="002A1373" w:rsidRDefault="00A3609F" w:rsidP="00114FFC">
      <w:pPr>
        <w:pStyle w:val="Nivel1SM"/>
        <w:keepNext/>
        <w:spacing w:before="0" w:after="0"/>
      </w:pPr>
      <w:r w:rsidRPr="00A3609F">
        <w:t>Para</w:t>
      </w:r>
      <w:r>
        <w:t xml:space="preserve"> entender el análisis</w:t>
      </w:r>
      <w:r>
        <w:rPr>
          <w:smallCaps/>
        </w:rPr>
        <w:t xml:space="preserve"> </w:t>
      </w:r>
      <w:r w:rsidRPr="00A3609F">
        <w:t xml:space="preserve">de </w:t>
      </w:r>
      <w:r w:rsidR="002A1373">
        <w:rPr>
          <w:smallCaps/>
        </w:rPr>
        <w:t>Solow</w:t>
      </w:r>
      <w:r w:rsidR="002A1373">
        <w:t xml:space="preserve"> </w:t>
      </w:r>
      <w:r>
        <w:t>procederemos en</w:t>
      </w:r>
      <w:r w:rsidR="002A1373">
        <w:t xml:space="preserve"> 3</w:t>
      </w:r>
      <w:r w:rsidR="00114FFC">
        <w:t> </w:t>
      </w:r>
      <w:r w:rsidR="002A1373">
        <w:t>pasos:</w:t>
      </w:r>
    </w:p>
    <w:p w14:paraId="693C5BD7" w14:textId="4DB8992A" w:rsidR="009B46A1" w:rsidRDefault="00A3609F">
      <w:pPr>
        <w:pStyle w:val="Nivel1SM"/>
        <w:keepNext/>
        <w:numPr>
          <w:ilvl w:val="0"/>
          <w:numId w:val="18"/>
        </w:numPr>
        <w:spacing w:before="0" w:after="0"/>
        <w:ind w:left="568" w:hanging="284"/>
        <w:contextualSpacing/>
      </w:pPr>
      <w:r w:rsidRPr="00A3609F">
        <w:t>Partimos</w:t>
      </w:r>
      <w:r w:rsidR="009B46A1">
        <w:t xml:space="preserve"> de la función de producción agregada de la economía. En esta función, toma</w:t>
      </w:r>
      <w:r w:rsidR="00606548">
        <w:t>mos</w:t>
      </w:r>
      <w:r w:rsidR="009B46A1">
        <w:t xml:space="preserve"> logaritmos y diferencia</w:t>
      </w:r>
      <w:r w:rsidR="00606548">
        <w:t>mos</w:t>
      </w:r>
      <w:r w:rsidR="009B46A1">
        <w:t xml:space="preserve"> respecto al tiempo (i.e. la expresa</w:t>
      </w:r>
      <w:r w:rsidR="00606548">
        <w:t>mos</w:t>
      </w:r>
      <w:r w:rsidR="009B46A1">
        <w:t xml:space="preserve"> en términos de </w:t>
      </w:r>
      <w:r w:rsidR="009B46A1" w:rsidRPr="009B46A1">
        <w:rPr>
          <w:i/>
          <w:iCs/>
        </w:rPr>
        <w:t>tasas de crecimiento</w:t>
      </w:r>
      <w:r w:rsidR="009B46A1">
        <w:t>)</w:t>
      </w:r>
      <w:r w:rsidR="00606548">
        <w:t>. Además</w:t>
      </w:r>
      <w:r w:rsidR="009B46A1">
        <w:t>:</w:t>
      </w:r>
    </w:p>
    <w:p w14:paraId="5D7CAE26" w14:textId="15F06DEB" w:rsidR="009B46A1" w:rsidRPr="00A3609F" w:rsidRDefault="00000000" w:rsidP="00C60758">
      <w:pPr>
        <w:spacing w:after="0"/>
        <w:rPr>
          <w:rFonts w:eastAsiaTheme="minorEastAsia"/>
          <w:i/>
          <w:iCs/>
        </w:rPr>
      </w:pPr>
      <m:oMathPara>
        <m:oMath>
          <m:f>
            <m:fPr>
              <m:ctrlPr>
                <w:rPr>
                  <w:rFonts w:ascii="Cambria Math" w:hAnsi="Cambria Math"/>
                  <w:i/>
                  <w:iCs/>
                </w:rPr>
              </m:ctrlPr>
            </m:fPr>
            <m:num>
              <m:acc>
                <m:accPr>
                  <m:chr m:val="̇"/>
                  <m:ctrlPr>
                    <w:rPr>
                      <w:rFonts w:ascii="Cambria Math" w:hAnsi="Cambria Math"/>
                      <w:i/>
                      <w:iCs/>
                    </w:rPr>
                  </m:ctrlPr>
                </m:accPr>
                <m:e>
                  <m:r>
                    <m:rPr>
                      <m:nor/>
                    </m:rPr>
                    <w:rPr>
                      <w:i/>
                      <w:iCs/>
                    </w:rPr>
                    <m:t>Y</m:t>
                  </m:r>
                </m:e>
              </m:acc>
            </m:num>
            <m:den>
              <m:r>
                <m:rPr>
                  <m:nor/>
                </m:rPr>
                <w:rPr>
                  <w:i/>
                  <w:iCs/>
                </w:rPr>
                <m:t>Y</m:t>
              </m:r>
            </m:den>
          </m:f>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A</m:t>
                  </m:r>
                </m:e>
              </m:acc>
            </m:num>
            <m:den>
              <m:r>
                <m:rPr>
                  <m:nor/>
                </m:rPr>
                <w:rPr>
                  <w:i/>
                  <w:iCs/>
                </w:rPr>
                <m:t>A</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sSub>
                        <m:sSubPr>
                          <m:ctrlPr>
                            <w:rPr>
                              <w:rFonts w:ascii="Cambria Math" w:hAnsi="Cambria Math"/>
                              <w:i/>
                              <w:iCs/>
                            </w:rPr>
                          </m:ctrlPr>
                        </m:sSubPr>
                        <m:e>
                          <m:r>
                            <m:rPr>
                              <m:nor/>
                            </m:rPr>
                            <w:rPr>
                              <w:i/>
                              <w:iCs/>
                            </w:rPr>
                            <m:t>F</m:t>
                          </m:r>
                        </m:e>
                        <m:sub>
                          <m:r>
                            <m:rPr>
                              <m:nor/>
                            </m:rPr>
                            <w:rPr>
                              <w:i/>
                              <w:iCs/>
                            </w:rPr>
                            <m:t>K</m:t>
                          </m:r>
                        </m:sub>
                      </m:sSub>
                      <m:r>
                        <w:rPr>
                          <w:rFonts w:ascii="Cambria Math" w:eastAsiaTheme="minorEastAsia" w:hAnsi="Cambria Math"/>
                        </w:rPr>
                        <m:t>∙</m:t>
                      </m:r>
                      <m:r>
                        <m:rPr>
                          <m:nor/>
                        </m:rPr>
                        <w:rPr>
                          <w:i/>
                          <w:iCs/>
                        </w:rPr>
                        <m:t>K</m:t>
                      </m:r>
                    </m:num>
                    <m:den>
                      <m:r>
                        <m:rPr>
                          <m:nor/>
                        </m:rPr>
                        <w:rPr>
                          <w:i/>
                          <w:iCs/>
                        </w:rPr>
                        <m:t>Y</m:t>
                      </m:r>
                    </m:den>
                  </m:f>
                </m:e>
              </m:groupChr>
            </m:e>
            <m:lim>
              <m:r>
                <m:rPr>
                  <m:nor/>
                </m:rPr>
                <w:rPr>
                  <w:rFonts w:eastAsiaTheme="minorEastAsia"/>
                  <w:i/>
                </w:rPr>
                <m:t>α</m:t>
              </m:r>
            </m:lim>
          </m:limLow>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K</m:t>
                  </m:r>
                </m:e>
              </m:acc>
            </m:num>
            <m:den>
              <m:r>
                <m:rPr>
                  <m:nor/>
                </m:rPr>
                <w:rPr>
                  <w:i/>
                  <w:iCs/>
                </w:rPr>
                <m:t>K</m:t>
              </m:r>
            </m:den>
          </m:f>
          <m:r>
            <m:rPr>
              <m:nor/>
            </m:rPr>
            <w:rPr>
              <w:rFonts w:ascii="Cambria Math" w:hAnsi="Cambria Math"/>
              <w:iCs/>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sSub>
                        <m:sSubPr>
                          <m:ctrlPr>
                            <w:rPr>
                              <w:rFonts w:ascii="Cambria Math" w:hAnsi="Cambria Math"/>
                              <w:i/>
                              <w:iCs/>
                            </w:rPr>
                          </m:ctrlPr>
                        </m:sSubPr>
                        <m:e>
                          <m:r>
                            <m:rPr>
                              <m:nor/>
                            </m:rPr>
                            <w:rPr>
                              <w:i/>
                              <w:iCs/>
                            </w:rPr>
                            <m:t>F</m:t>
                          </m:r>
                        </m:e>
                        <m:sub>
                          <m:r>
                            <m:rPr>
                              <m:nor/>
                            </m:rPr>
                            <w:rPr>
                              <w:i/>
                              <w:iCs/>
                            </w:rPr>
                            <m:t>L</m:t>
                          </m:r>
                        </m:sub>
                      </m:sSub>
                      <m:r>
                        <w:rPr>
                          <w:rFonts w:ascii="Cambria Math" w:eastAsiaTheme="minorEastAsia" w:hAnsi="Cambria Math"/>
                        </w:rPr>
                        <m:t>∙</m:t>
                      </m:r>
                      <m:r>
                        <m:rPr>
                          <m:nor/>
                        </m:rPr>
                        <w:rPr>
                          <w:i/>
                          <w:iCs/>
                        </w:rPr>
                        <m:t>L</m:t>
                      </m:r>
                    </m:num>
                    <m:den>
                      <m:r>
                        <m:rPr>
                          <m:nor/>
                        </m:rPr>
                        <w:rPr>
                          <w:i/>
                          <w:iCs/>
                        </w:rPr>
                        <m:t>Y</m:t>
                      </m:r>
                    </m:den>
                  </m:f>
                </m:e>
              </m:groupChr>
            </m:e>
            <m:li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lim>
          </m:limLow>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L</m:t>
                  </m:r>
                </m:e>
              </m:acc>
            </m:num>
            <m:den>
              <m:r>
                <m:rPr>
                  <m:nor/>
                </m:rPr>
                <w:rPr>
                  <w:i/>
                  <w:iCs/>
                </w:rPr>
                <m:t>L</m:t>
              </m:r>
            </m:den>
          </m:f>
        </m:oMath>
      </m:oMathPara>
    </w:p>
    <w:p w14:paraId="297280C2" w14:textId="77777777" w:rsidR="00A3609F" w:rsidRPr="00163188" w:rsidRDefault="00000000" w:rsidP="00A3609F">
      <w:pPr>
        <w:spacing w:after="0"/>
        <w:rPr>
          <w:rFonts w:eastAsiaTheme="minorEastAsia"/>
          <w:i/>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A</m:t>
              </m:r>
            </m:sub>
          </m:sSub>
          <m:r>
            <w:rPr>
              <w:rFonts w:ascii="Cambria Math" w:eastAsiaTheme="minorEastAsia" w:hAnsi="Cambria Math"/>
            </w:rPr>
            <m:t>+</m:t>
          </m:r>
          <m:r>
            <m:rPr>
              <m:nor/>
            </m:rPr>
            <w:rPr>
              <w:rFonts w:eastAsiaTheme="minorEastAsia"/>
              <w:i/>
            </w:rPr>
            <m:t>α</m:t>
          </m:r>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L</m:t>
              </m:r>
            </m:sub>
          </m:sSub>
        </m:oMath>
      </m:oMathPara>
    </w:p>
    <w:p w14:paraId="0B28088A" w14:textId="5879E407" w:rsidR="009B46A1" w:rsidRDefault="009B46A1">
      <w:pPr>
        <w:pStyle w:val="Nivel3SM"/>
        <w:keepNext/>
      </w:pPr>
      <w:r>
        <w:t xml:space="preserve">Esto le permite dividir la tasa de crecimiento del producto, </w:t>
      </w:r>
      <m:oMath>
        <m:f>
          <m:fPr>
            <m:type m:val="lin"/>
            <m:ctrlPr>
              <w:rPr>
                <w:rFonts w:ascii="Cambria Math" w:hAnsi="Cambria Math"/>
                <w:i/>
              </w:rPr>
            </m:ctrlPr>
          </m:fPr>
          <m:num>
            <m:acc>
              <m:accPr>
                <m:chr m:val="̇"/>
                <m:ctrlPr>
                  <w:rPr>
                    <w:rFonts w:ascii="Cambria Math" w:hAnsi="Cambria Math"/>
                    <w:i/>
                    <w:iCs/>
                  </w:rPr>
                </m:ctrlPr>
              </m:accPr>
              <m:e>
                <m:r>
                  <m:rPr>
                    <m:nor/>
                  </m:rPr>
                  <w:rPr>
                    <w:i/>
                    <w:iCs/>
                  </w:rPr>
                  <m:t>Y</m:t>
                </m:r>
              </m:e>
            </m:acc>
          </m:num>
          <m:den>
            <m:r>
              <m:rPr>
                <m:nor/>
              </m:rPr>
              <w:rPr>
                <w:i/>
                <w:iCs/>
              </w:rPr>
              <m:t>Y</m:t>
            </m:r>
          </m:den>
        </m:f>
      </m:oMath>
      <w:r>
        <w:t>, en:</w:t>
      </w:r>
    </w:p>
    <w:p w14:paraId="572DC6F8" w14:textId="774295D7" w:rsidR="009B46A1" w:rsidRDefault="009B46A1">
      <w:pPr>
        <w:pStyle w:val="Nivel4"/>
        <w:ind w:left="1474"/>
      </w:pPr>
      <w:r>
        <w:t xml:space="preserve">Tasa de crecimiento de la tecnología, </w:t>
      </w:r>
      <m:oMath>
        <m:f>
          <m:fPr>
            <m:type m:val="lin"/>
            <m:ctrlPr>
              <w:rPr>
                <w:rFonts w:ascii="Cambria Math" w:hAnsi="Cambria Math"/>
                <w:i/>
              </w:rPr>
            </m:ctrlPr>
          </m:fPr>
          <m:num>
            <m:acc>
              <m:accPr>
                <m:chr m:val="̇"/>
                <m:ctrlPr>
                  <w:rPr>
                    <w:rFonts w:ascii="Cambria Math" w:hAnsi="Cambria Math"/>
                    <w:i/>
                    <w:iCs/>
                  </w:rPr>
                </m:ctrlPr>
              </m:accPr>
              <m:e>
                <m:r>
                  <m:rPr>
                    <m:nor/>
                  </m:rPr>
                  <w:rPr>
                    <w:i/>
                    <w:iCs/>
                  </w:rPr>
                  <m:t>A</m:t>
                </m:r>
              </m:e>
            </m:acc>
          </m:num>
          <m:den>
            <m:r>
              <m:rPr>
                <m:nor/>
              </m:rPr>
              <w:rPr>
                <w:i/>
                <w:iCs/>
              </w:rPr>
              <m:t>A</m:t>
            </m:r>
          </m:den>
        </m:f>
      </m:oMath>
      <w:r>
        <w:t>; y</w:t>
      </w:r>
    </w:p>
    <w:p w14:paraId="4F47C074" w14:textId="6005E5A0" w:rsidR="009B46A1" w:rsidRDefault="009B46A1">
      <w:pPr>
        <w:pStyle w:val="Nivel4"/>
        <w:keepNext/>
        <w:ind w:left="1474"/>
      </w:pPr>
      <w:r>
        <w:t>Contribución al crecimiento de cada factor productivo, que a su vez se divide en:</w:t>
      </w:r>
    </w:p>
    <w:p w14:paraId="5A22A684" w14:textId="0383B76B" w:rsidR="009B46A1" w:rsidRDefault="00EF7797">
      <w:pPr>
        <w:pStyle w:val="Nivel5"/>
        <w:ind w:left="1871"/>
      </w:pPr>
      <w:r>
        <w:t>Variación del factor.</w:t>
      </w:r>
    </w:p>
    <w:p w14:paraId="1F117080" w14:textId="476F33A0" w:rsidR="009B46A1" w:rsidRPr="00EF7797" w:rsidRDefault="00EF7797">
      <w:pPr>
        <w:pStyle w:val="Nivel5"/>
        <w:ind w:left="1871"/>
        <w:rPr>
          <w:spacing w:val="-3"/>
        </w:rPr>
      </w:pPr>
      <w:r w:rsidRPr="00EF7797">
        <w:rPr>
          <w:spacing w:val="-3"/>
        </w:rPr>
        <w:t>Elasticidad-producto del factor productivo</w:t>
      </w:r>
      <w:r w:rsidR="00D2573E" w:rsidRPr="00EF7797">
        <w:rPr>
          <w:spacing w:val="-3"/>
        </w:rPr>
        <w:t>, que en el caso de una función de producción Cobb-Douglas homogénea de grado uno, será un parámetro constante.</w:t>
      </w:r>
    </w:p>
    <w:p w14:paraId="019E8B23" w14:textId="1EEBFDB1" w:rsidR="002A1373" w:rsidRDefault="00D2573E">
      <w:pPr>
        <w:pStyle w:val="Prrafodelista"/>
        <w:keepNext/>
        <w:numPr>
          <w:ilvl w:val="0"/>
          <w:numId w:val="18"/>
        </w:numPr>
        <w:spacing w:after="0"/>
        <w:ind w:left="568" w:hanging="284"/>
      </w:pPr>
      <w:r>
        <w:lastRenderedPageBreak/>
        <w:t xml:space="preserve">Como </w:t>
      </w:r>
      <w:r w:rsidR="00A3609F">
        <w:t>podemos</w:t>
      </w:r>
      <w:r>
        <w:t xml:space="preserve"> obtener todos los datos salvo la tasa de crecimiento de la tecnología, </w:t>
      </w:r>
      <w:r w:rsidR="00A3609F" w:rsidRPr="00A3609F">
        <w:t>despejamos</w:t>
      </w:r>
      <w:r>
        <w:t xml:space="preserve"> de la siguiente forma</w:t>
      </w:r>
      <w:r w:rsidR="002A1373">
        <w:t>:</w:t>
      </w:r>
    </w:p>
    <w:p w14:paraId="3C01C6CB" w14:textId="6766CCF2" w:rsidR="00D2573E" w:rsidRPr="00A3609F" w:rsidRDefault="00000000" w:rsidP="00A3609F">
      <w:pPr>
        <w:pStyle w:val="Prrafodelista"/>
        <w:keepNext/>
        <w:spacing w:after="0"/>
        <w:ind w:left="567"/>
        <w:rPr>
          <w:rFonts w:eastAsiaTheme="minorEastAsia"/>
          <w:iCs/>
        </w:rPr>
      </w:pPr>
      <m:oMathPara>
        <m:oMath>
          <m:f>
            <m:fPr>
              <m:ctrlPr>
                <w:rPr>
                  <w:rFonts w:ascii="Cambria Math" w:hAnsi="Cambria Math"/>
                  <w:i/>
                  <w:iCs/>
                </w:rPr>
              </m:ctrlPr>
            </m:fPr>
            <m:num>
              <m:acc>
                <m:accPr>
                  <m:chr m:val="̇"/>
                  <m:ctrlPr>
                    <w:rPr>
                      <w:rFonts w:ascii="Cambria Math" w:hAnsi="Cambria Math"/>
                      <w:i/>
                      <w:iCs/>
                    </w:rPr>
                  </m:ctrlPr>
                </m:accPr>
                <m:e>
                  <m:r>
                    <m:rPr>
                      <m:nor/>
                    </m:rPr>
                    <w:rPr>
                      <w:i/>
                      <w:iCs/>
                    </w:rPr>
                    <m:t>A</m:t>
                  </m:r>
                </m:e>
              </m:acc>
            </m:num>
            <m:den>
              <m:r>
                <m:rPr>
                  <m:nor/>
                </m:rPr>
                <w:rPr>
                  <w:i/>
                  <w:iCs/>
                </w:rPr>
                <m:t>A</m:t>
              </m:r>
            </m:den>
          </m:f>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Y</m:t>
                  </m:r>
                </m:e>
              </m:acc>
            </m:num>
            <m:den>
              <m:r>
                <m:rPr>
                  <m:nor/>
                </m:rPr>
                <w:rPr>
                  <w:i/>
                  <w:iCs/>
                </w:rPr>
                <m:t>Y</m:t>
              </m:r>
            </m:den>
          </m:f>
          <m:r>
            <w:rPr>
              <w:rFonts w:ascii="Cambria Math" w:hAnsi="Cambria Math"/>
            </w:rPr>
            <m:t>-</m:t>
          </m:r>
          <m:d>
            <m:dPr>
              <m:ctrlPr>
                <w:rPr>
                  <w:rFonts w:ascii="Cambria Math" w:hAnsi="Cambria Math"/>
                  <w:i/>
                  <w:iCs/>
                </w:rPr>
              </m:ctrlPr>
            </m:dPr>
            <m:e>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sSub>
                            <m:sSubPr>
                              <m:ctrlPr>
                                <w:rPr>
                                  <w:rFonts w:ascii="Cambria Math" w:hAnsi="Cambria Math"/>
                                  <w:i/>
                                  <w:iCs/>
                                </w:rPr>
                              </m:ctrlPr>
                            </m:sSubPr>
                            <m:e>
                              <m:r>
                                <m:rPr>
                                  <m:nor/>
                                </m:rPr>
                                <w:rPr>
                                  <w:i/>
                                  <w:iCs/>
                                </w:rPr>
                                <m:t>F</m:t>
                              </m:r>
                            </m:e>
                            <m:sub>
                              <m:r>
                                <m:rPr>
                                  <m:nor/>
                                </m:rPr>
                                <w:rPr>
                                  <w:i/>
                                  <w:iCs/>
                                </w:rPr>
                                <m:t>K</m:t>
                              </m:r>
                            </m:sub>
                          </m:sSub>
                          <m:r>
                            <w:rPr>
                              <w:rFonts w:ascii="Cambria Math" w:eastAsiaTheme="minorEastAsia" w:hAnsi="Cambria Math"/>
                            </w:rPr>
                            <m:t>∙</m:t>
                          </m:r>
                          <m:r>
                            <m:rPr>
                              <m:nor/>
                            </m:rPr>
                            <w:rPr>
                              <w:i/>
                              <w:iCs/>
                            </w:rPr>
                            <m:t>K</m:t>
                          </m:r>
                        </m:num>
                        <m:den>
                          <m:r>
                            <m:rPr>
                              <m:nor/>
                            </m:rPr>
                            <w:rPr>
                              <w:i/>
                              <w:iCs/>
                            </w:rPr>
                            <m:t>Y</m:t>
                          </m:r>
                        </m:den>
                      </m:f>
                    </m:e>
                  </m:groupChr>
                </m:e>
                <m:lim>
                  <m:r>
                    <m:rPr>
                      <m:nor/>
                    </m:rPr>
                    <w:rPr>
                      <w:rFonts w:eastAsiaTheme="minorEastAsia"/>
                      <w:i/>
                    </w:rPr>
                    <m:t>α</m:t>
                  </m:r>
                </m:lim>
              </m:limLow>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K</m:t>
                      </m:r>
                    </m:e>
                  </m:acc>
                </m:num>
                <m:den>
                  <m:r>
                    <m:rPr>
                      <m:nor/>
                    </m:rPr>
                    <w:rPr>
                      <w:i/>
                      <w:iCs/>
                    </w:rPr>
                    <m:t>K</m:t>
                  </m:r>
                </m:den>
              </m:f>
              <m:r>
                <m:rPr>
                  <m:nor/>
                </m:rPr>
                <w:rPr>
                  <w:rFonts w:ascii="Cambria Math" w:hAnsi="Cambria Math"/>
                  <w:iCs/>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sSub>
                            <m:sSubPr>
                              <m:ctrlPr>
                                <w:rPr>
                                  <w:rFonts w:ascii="Cambria Math" w:hAnsi="Cambria Math"/>
                                  <w:i/>
                                  <w:iCs/>
                                </w:rPr>
                              </m:ctrlPr>
                            </m:sSubPr>
                            <m:e>
                              <m:r>
                                <m:rPr>
                                  <m:nor/>
                                </m:rPr>
                                <w:rPr>
                                  <w:i/>
                                  <w:iCs/>
                                </w:rPr>
                                <m:t>F</m:t>
                              </m:r>
                            </m:e>
                            <m:sub>
                              <m:r>
                                <m:rPr>
                                  <m:nor/>
                                </m:rPr>
                                <w:rPr>
                                  <w:i/>
                                  <w:iCs/>
                                </w:rPr>
                                <m:t>L</m:t>
                              </m:r>
                            </m:sub>
                          </m:sSub>
                          <m:r>
                            <w:rPr>
                              <w:rFonts w:ascii="Cambria Math" w:eastAsiaTheme="minorEastAsia" w:hAnsi="Cambria Math"/>
                            </w:rPr>
                            <m:t>∙</m:t>
                          </m:r>
                          <m:r>
                            <m:rPr>
                              <m:nor/>
                            </m:rPr>
                            <w:rPr>
                              <w:i/>
                              <w:iCs/>
                            </w:rPr>
                            <m:t>L</m:t>
                          </m:r>
                        </m:num>
                        <m:den>
                          <m:r>
                            <m:rPr>
                              <m:nor/>
                            </m:rPr>
                            <w:rPr>
                              <w:i/>
                              <w:iCs/>
                            </w:rPr>
                            <m:t>Y</m:t>
                          </m:r>
                        </m:den>
                      </m:f>
                    </m:e>
                  </m:groupChr>
                </m:e>
                <m:li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lim>
              </m:limLow>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L</m:t>
                      </m:r>
                    </m:e>
                  </m:acc>
                </m:num>
                <m:den>
                  <m:r>
                    <m:rPr>
                      <m:nor/>
                    </m:rPr>
                    <w:rPr>
                      <w:i/>
                      <w:iCs/>
                    </w:rPr>
                    <m:t>L</m:t>
                  </m:r>
                </m:den>
              </m:f>
            </m:e>
          </m:d>
        </m:oMath>
      </m:oMathPara>
    </w:p>
    <w:p w14:paraId="7A4AC1D0" w14:textId="13D20F63" w:rsidR="00A3609F" w:rsidRPr="008A133E" w:rsidRDefault="00000000" w:rsidP="00A3609F">
      <w:pPr>
        <w:spacing w:after="0"/>
        <w:rPr>
          <w:rFonts w:eastAsiaTheme="minorEastAsia"/>
          <w:i/>
        </w:rPr>
      </w:pPr>
      <m:oMathPara>
        <m:oMath>
          <m:sSub>
            <m:sSubPr>
              <m:ctrlPr>
                <w:rPr>
                  <w:rFonts w:ascii="Cambria Math" w:eastAsiaTheme="minorEastAsia" w:hAnsi="Cambria Math"/>
                  <w:i/>
                </w:rPr>
              </m:ctrlPr>
            </m:sSubPr>
            <m:e>
              <m:r>
                <m:rPr>
                  <m:nor/>
                </m:rPr>
                <w:rPr>
                  <w:rFonts w:eastAsiaTheme="minorEastAsia"/>
                  <w:i/>
                </w:rPr>
                <m:t>Residuo de Solow</m:t>
              </m:r>
              <m:r>
                <w:rPr>
                  <w:rFonts w:ascii="Cambria Math" w:eastAsiaTheme="minorEastAsia" w:hAnsi="Cambria Math"/>
                </w:rPr>
                <m:t xml:space="preserve"> ≡ </m:t>
              </m:r>
              <m:r>
                <m:rPr>
                  <m:nor/>
                </m:rPr>
                <w:rPr>
                  <w:rFonts w:eastAsiaTheme="minorEastAsia"/>
                  <w:i/>
                </w:rPr>
                <m:t>γ</m:t>
              </m:r>
            </m:e>
            <m:sub>
              <m:r>
                <m:rPr>
                  <m:nor/>
                </m:rPr>
                <w:rPr>
                  <w:rFonts w:eastAsiaTheme="minorEastAsia"/>
                  <w:i/>
                </w:rPr>
                <m:t>A</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r>
            <m:rPr>
              <m:nor/>
            </m:rPr>
            <w:rPr>
              <w:rFonts w:eastAsiaTheme="minorEastAsia"/>
              <w:i/>
            </w:rPr>
            <m:t>α</m:t>
          </m:r>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L</m:t>
              </m:r>
            </m:sub>
          </m:sSub>
        </m:oMath>
      </m:oMathPara>
    </w:p>
    <w:p w14:paraId="38122B2C" w14:textId="72B237A8" w:rsidR="00D2573E" w:rsidRPr="00A3609F" w:rsidRDefault="00D2573E">
      <w:pPr>
        <w:pStyle w:val="Nivel3SM"/>
      </w:pPr>
      <w:r>
        <w:t xml:space="preserve">El impacto de la tecnología puede obtenerse como un residuo tras sustraer la contribución al crecimiento de ambos factores. El residuo se llama </w:t>
      </w:r>
      <w:r w:rsidRPr="002A1373">
        <w:rPr>
          <w:rFonts w:cs="Times New Roman"/>
        </w:rPr>
        <w:t>«</w:t>
      </w:r>
      <w:r>
        <w:rPr>
          <w:rFonts w:cs="Times New Roman"/>
        </w:rPr>
        <w:t>residuo de Solow</w:t>
      </w:r>
      <w:r w:rsidRPr="002A1373">
        <w:rPr>
          <w:rFonts w:cs="Times New Roman"/>
        </w:rPr>
        <w:t>»</w:t>
      </w:r>
      <w:r w:rsidR="00A3609F">
        <w:rPr>
          <w:rFonts w:cs="Times New Roman"/>
        </w:rPr>
        <w:t>.</w:t>
      </w:r>
    </w:p>
    <w:p w14:paraId="3A0E2E28" w14:textId="1B8B3D12" w:rsidR="00A3609F" w:rsidRDefault="00A3609F">
      <w:pPr>
        <w:pStyle w:val="Nivel3SM"/>
      </w:pPr>
      <w:r>
        <w:rPr>
          <w:rFonts w:cs="Times New Roman"/>
        </w:rPr>
        <w:t xml:space="preserve">En definitiva, el ejercicio de contabilidad de crecimiento permite computar el denominado </w:t>
      </w:r>
      <w:r w:rsidRPr="002A1373">
        <w:rPr>
          <w:rFonts w:cs="Times New Roman"/>
        </w:rPr>
        <w:t>«</w:t>
      </w:r>
      <w:r>
        <w:rPr>
          <w:rFonts w:cs="Times New Roman"/>
        </w:rPr>
        <w:t>residuo de Solow</w:t>
      </w:r>
      <w:r w:rsidRPr="002A1373">
        <w:rPr>
          <w:rFonts w:cs="Times New Roman"/>
        </w:rPr>
        <w:t>»</w:t>
      </w:r>
      <w:r>
        <w:rPr>
          <w:rFonts w:cs="Times New Roman"/>
        </w:rPr>
        <w:t>, a prior</w:t>
      </w:r>
      <w:r w:rsidR="00EF7797">
        <w:rPr>
          <w:rFonts w:cs="Times New Roman"/>
        </w:rPr>
        <w:t>i</w:t>
      </w:r>
      <w:r>
        <w:rPr>
          <w:rFonts w:cs="Times New Roman"/>
        </w:rPr>
        <w:t xml:space="preserve"> no observable, a partir de los </w:t>
      </w:r>
      <w:r w:rsidR="000C1286">
        <w:rPr>
          <w:rFonts w:cs="Times New Roman"/>
        </w:rPr>
        <w:t>v</w:t>
      </w:r>
      <w:r>
        <w:rPr>
          <w:rFonts w:cs="Times New Roman"/>
        </w:rPr>
        <w:t xml:space="preserve">alores observados de la proporción de la </w:t>
      </w:r>
      <w:r w:rsidR="0026308C">
        <w:rPr>
          <w:rFonts w:cs="Times New Roman"/>
        </w:rPr>
        <w:t>r</w:t>
      </w:r>
      <w:r>
        <w:rPr>
          <w:rFonts w:cs="Times New Roman"/>
        </w:rPr>
        <w:t>enta y la tasa de crecimiento de los factores productivos ponderadas por sus elasticidades producto.</w:t>
      </w:r>
    </w:p>
    <w:p w14:paraId="0CBBBE7B" w14:textId="7F411858" w:rsidR="00D2573E" w:rsidRDefault="00A3609F">
      <w:pPr>
        <w:pStyle w:val="Prrafodelista"/>
        <w:keepNext/>
        <w:numPr>
          <w:ilvl w:val="0"/>
          <w:numId w:val="18"/>
        </w:numPr>
        <w:spacing w:after="0"/>
        <w:ind w:left="568" w:hanging="284"/>
      </w:pPr>
      <w:r>
        <w:t>Realmente</w:t>
      </w:r>
      <w:r w:rsidR="00D2573E">
        <w:t xml:space="preserve">, </w:t>
      </w:r>
      <w:r>
        <w:rPr>
          <w:smallCaps/>
        </w:rPr>
        <w:t>Solow</w:t>
      </w:r>
      <w:r>
        <w:t xml:space="preserve"> (1957) realizó este mismo análisis, pero en términos per cápita (i.e. tras dividir la función de producción agregada por la cantidad de trabajo):</w:t>
      </w:r>
    </w:p>
    <w:p w14:paraId="14F03647" w14:textId="39F1EE85" w:rsidR="002A1373" w:rsidRDefault="00000000" w:rsidP="00A3609F">
      <w:pPr>
        <w:pStyle w:val="Prrafodelista"/>
        <w:spacing w:after="0"/>
        <w:ind w:left="568"/>
      </w:pPr>
      <m:oMathPara>
        <m:oMath>
          <m:f>
            <m:fPr>
              <m:ctrlPr>
                <w:rPr>
                  <w:rFonts w:ascii="Cambria Math" w:hAnsi="Cambria Math"/>
                  <w:i/>
                  <w:iCs/>
                </w:rPr>
              </m:ctrlPr>
            </m:fPr>
            <m:num>
              <m:r>
                <m:rPr>
                  <m:nor/>
                </m:rPr>
                <w:rPr>
                  <w:i/>
                  <w:iCs/>
                </w:rPr>
                <m:t>Y</m:t>
              </m:r>
            </m:num>
            <m:den>
              <m:r>
                <m:rPr>
                  <m:nor/>
                </m:rPr>
                <w:rPr>
                  <w:i/>
                  <w:iCs/>
                </w:rPr>
                <m:t>L</m:t>
              </m:r>
            </m:den>
          </m:f>
          <m:r>
            <w:rPr>
              <w:rFonts w:ascii="Cambria Math" w:hAnsi="Cambria Math"/>
            </w:rPr>
            <m:t>=</m:t>
          </m:r>
          <m:f>
            <m:fPr>
              <m:ctrlPr>
                <w:rPr>
                  <w:rFonts w:ascii="Cambria Math" w:hAnsi="Cambria Math"/>
                  <w:i/>
                  <w:iCs/>
                </w:rPr>
              </m:ctrlPr>
            </m:fPr>
            <m:num>
              <m:r>
                <m:rPr>
                  <m:nor/>
                </m:rPr>
                <w:rPr>
                  <w:i/>
                  <w:iCs/>
                </w:rPr>
                <m:t>A</m:t>
              </m:r>
              <m:r>
                <w:rPr>
                  <w:rFonts w:ascii="Cambria Math" w:hAnsi="Cambria Math"/>
                </w:rPr>
                <m:t>·</m:t>
              </m:r>
              <m:sSup>
                <m:sSupPr>
                  <m:ctrlPr>
                    <w:rPr>
                      <w:rFonts w:ascii="Cambria Math" w:hAnsi="Cambria Math"/>
                      <w:i/>
                      <w:iCs/>
                    </w:rPr>
                  </m:ctrlPr>
                </m:sSupPr>
                <m:e>
                  <m:r>
                    <m:rPr>
                      <m:nor/>
                    </m:rPr>
                    <w:rPr>
                      <w:i/>
                      <w:iCs/>
                    </w:rPr>
                    <m:t>K</m:t>
                  </m:r>
                </m:e>
                <m:sup>
                  <m:r>
                    <m:rPr>
                      <m:nor/>
                    </m:rPr>
                    <w:rPr>
                      <w:rFonts w:eastAsiaTheme="minorEastAsia"/>
                      <w:i/>
                    </w:rPr>
                    <m:t>α</m:t>
                  </m:r>
                </m:sup>
              </m:sSup>
              <m:r>
                <w:rPr>
                  <w:rFonts w:ascii="Cambria Math" w:hAnsi="Cambria Math"/>
                </w:rPr>
                <m:t>·</m:t>
              </m:r>
              <m:sSup>
                <m:sSupPr>
                  <m:ctrlPr>
                    <w:rPr>
                      <w:rFonts w:ascii="Cambria Math" w:hAnsi="Cambria Math"/>
                      <w:i/>
                      <w:iCs/>
                    </w:rPr>
                  </m:ctrlPr>
                </m:sSupPr>
                <m:e>
                  <m:r>
                    <m:rPr>
                      <m:nor/>
                    </m:rPr>
                    <w:rPr>
                      <w:i/>
                      <w:iCs/>
                    </w:rPr>
                    <m:t>L</m:t>
                  </m:r>
                </m:e>
                <m:sup>
                  <m:r>
                    <m:rPr>
                      <m:nor/>
                    </m:rPr>
                    <w:rPr>
                      <w:i/>
                      <w:iCs/>
                    </w:rPr>
                    <m:t>1</m:t>
                  </m:r>
                  <m:r>
                    <w:rPr>
                      <w:rFonts w:ascii="Cambria Math" w:hAnsi="Cambria Math"/>
                    </w:rPr>
                    <m:t>-</m:t>
                  </m:r>
                  <m:r>
                    <m:rPr>
                      <m:nor/>
                    </m:rPr>
                    <w:rPr>
                      <w:rFonts w:eastAsiaTheme="minorEastAsia"/>
                      <w:i/>
                    </w:rPr>
                    <m:t>α</m:t>
                  </m:r>
                </m:sup>
              </m:sSup>
            </m:num>
            <m:den>
              <m:r>
                <m:rPr>
                  <m:nor/>
                </m:rPr>
                <w:rPr>
                  <w:i/>
                  <w:iCs/>
                </w:rPr>
                <m:t>L</m:t>
              </m:r>
            </m:den>
          </m:f>
          <m:r>
            <w:rPr>
              <w:rFonts w:ascii="Cambria Math" w:hAnsi="Cambria Math"/>
            </w:rPr>
            <m:t>⟹</m:t>
          </m:r>
          <m:r>
            <m:rPr>
              <m:nor/>
            </m:rPr>
            <w:rPr>
              <w:i/>
              <w:iCs/>
            </w:rPr>
            <m:t>y</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k</m:t>
              </m:r>
            </m:e>
            <m:sup>
              <m:r>
                <m:rPr>
                  <m:nor/>
                </m:rPr>
                <w:rPr>
                  <w:rFonts w:eastAsiaTheme="minorEastAsia"/>
                  <w:i/>
                </w:rPr>
                <m:t>α</m:t>
              </m:r>
            </m:sup>
          </m:sSup>
        </m:oMath>
      </m:oMathPara>
    </w:p>
    <w:p w14:paraId="6EFEEA98" w14:textId="7885622F" w:rsidR="002A1373" w:rsidRPr="00A3609F" w:rsidRDefault="00000000" w:rsidP="00A3609F">
      <w:pPr>
        <w:pStyle w:val="Nivel1SM"/>
        <w:keepNext/>
        <w:numPr>
          <w:ilvl w:val="0"/>
          <w:numId w:val="0"/>
        </w:numPr>
        <w:spacing w:after="0"/>
        <w:ind w:left="720"/>
        <w:contextualSpacing/>
        <w:rPr>
          <w:rFonts w:eastAsiaTheme="minorEastAsia"/>
          <w:iCs/>
        </w:rPr>
      </w:pPr>
      <m:oMathPara>
        <m:oMath>
          <m:f>
            <m:fPr>
              <m:ctrlPr>
                <w:rPr>
                  <w:rFonts w:ascii="Cambria Math" w:hAnsi="Cambria Math"/>
                  <w:i/>
                  <w:iCs/>
                </w:rPr>
              </m:ctrlPr>
            </m:fPr>
            <m:num>
              <m:acc>
                <m:accPr>
                  <m:chr m:val="̇"/>
                  <m:ctrlPr>
                    <w:rPr>
                      <w:rFonts w:ascii="Cambria Math" w:hAnsi="Cambria Math"/>
                      <w:i/>
                      <w:iCs/>
                    </w:rPr>
                  </m:ctrlPr>
                </m:accPr>
                <m:e>
                  <m:r>
                    <m:rPr>
                      <m:nor/>
                    </m:rPr>
                    <w:rPr>
                      <w:i/>
                      <w:iCs/>
                    </w:rPr>
                    <m:t>y</m:t>
                  </m:r>
                </m:e>
              </m:acc>
            </m:num>
            <m:den>
              <m:r>
                <m:rPr>
                  <m:nor/>
                </m:rPr>
                <w:rPr>
                  <w:i/>
                  <w:iCs/>
                </w:rPr>
                <m:t>y</m:t>
              </m:r>
            </m:den>
          </m:f>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A</m:t>
                  </m:r>
                </m:e>
              </m:acc>
            </m:num>
            <m:den>
              <m:r>
                <m:rPr>
                  <m:nor/>
                </m:rPr>
                <w:rPr>
                  <w:i/>
                  <w:iCs/>
                </w:rPr>
                <m:t>A</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sSub>
                        <m:sSubPr>
                          <m:ctrlPr>
                            <w:rPr>
                              <w:rFonts w:ascii="Cambria Math" w:hAnsi="Cambria Math"/>
                              <w:i/>
                              <w:iCs/>
                            </w:rPr>
                          </m:ctrlPr>
                        </m:sSubPr>
                        <m:e>
                          <m:r>
                            <m:rPr>
                              <m:nor/>
                            </m:rPr>
                            <w:rPr>
                              <w:i/>
                              <w:iCs/>
                            </w:rPr>
                            <m:t>F</m:t>
                          </m:r>
                        </m:e>
                        <m:sub>
                          <m:r>
                            <m:rPr>
                              <m:nor/>
                            </m:rPr>
                            <w:rPr>
                              <w:i/>
                              <w:iCs/>
                            </w:rPr>
                            <m:t>k</m:t>
                          </m:r>
                        </m:sub>
                      </m:sSub>
                      <m:r>
                        <w:rPr>
                          <w:rFonts w:ascii="Cambria Math" w:eastAsiaTheme="minorEastAsia" w:hAnsi="Cambria Math"/>
                        </w:rPr>
                        <m:t>∙</m:t>
                      </m:r>
                      <m:r>
                        <m:rPr>
                          <m:nor/>
                        </m:rPr>
                        <w:rPr>
                          <w:i/>
                          <w:iCs/>
                        </w:rPr>
                        <m:t>k</m:t>
                      </m:r>
                    </m:num>
                    <m:den>
                      <m:r>
                        <m:rPr>
                          <m:nor/>
                        </m:rPr>
                        <w:rPr>
                          <w:i/>
                          <w:iCs/>
                        </w:rPr>
                        <m:t>y</m:t>
                      </m:r>
                    </m:den>
                  </m:f>
                </m:e>
              </m:groupChr>
            </m:e>
            <m:lim>
              <m:r>
                <m:rPr>
                  <m:nor/>
                </m:rPr>
                <w:rPr>
                  <w:rFonts w:eastAsiaTheme="minorEastAsia"/>
                  <w:i/>
                </w:rPr>
                <m:t>α</m:t>
              </m:r>
            </m:lim>
          </m:limLow>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k</m:t>
                  </m:r>
                </m:e>
              </m:acc>
            </m:num>
            <m:den>
              <m:r>
                <m:rPr>
                  <m:nor/>
                </m:rPr>
                <w:rPr>
                  <w:i/>
                  <w:iCs/>
                </w:rPr>
                <m:t>k</m:t>
              </m:r>
            </m:den>
          </m:f>
        </m:oMath>
      </m:oMathPara>
    </w:p>
    <w:p w14:paraId="3014AC65" w14:textId="701D5580" w:rsidR="00A3609F" w:rsidRPr="00A3609F" w:rsidRDefault="00000000" w:rsidP="00A3609F">
      <w:pPr>
        <w:pStyle w:val="Nivel1SM"/>
        <w:keepNext/>
        <w:numPr>
          <w:ilvl w:val="0"/>
          <w:numId w:val="0"/>
        </w:numPr>
        <w:tabs>
          <w:tab w:val="left" w:pos="1652"/>
        </w:tabs>
        <w:spacing w:after="0"/>
        <w:ind w:left="720"/>
        <w:contextualSpacing/>
        <w:rPr>
          <w:rFonts w:eastAsiaTheme="minorEastAsia"/>
          <w:iCs/>
        </w:rPr>
      </w:pPr>
      <m:oMathPara>
        <m:oMath>
          <m:f>
            <m:fPr>
              <m:ctrlPr>
                <w:rPr>
                  <w:rFonts w:ascii="Cambria Math" w:hAnsi="Cambria Math"/>
                  <w:i/>
                  <w:iCs/>
                </w:rPr>
              </m:ctrlPr>
            </m:fPr>
            <m:num>
              <m:acc>
                <m:accPr>
                  <m:chr m:val="̇"/>
                  <m:ctrlPr>
                    <w:rPr>
                      <w:rFonts w:ascii="Cambria Math" w:hAnsi="Cambria Math"/>
                      <w:i/>
                      <w:iCs/>
                    </w:rPr>
                  </m:ctrlPr>
                </m:accPr>
                <m:e>
                  <m:r>
                    <m:rPr>
                      <m:nor/>
                    </m:rPr>
                    <w:rPr>
                      <w:i/>
                      <w:iCs/>
                    </w:rPr>
                    <m:t>A</m:t>
                  </m:r>
                </m:e>
              </m:acc>
            </m:num>
            <m:den>
              <m:r>
                <m:rPr>
                  <m:nor/>
                </m:rPr>
                <w:rPr>
                  <w:i/>
                  <w:iCs/>
                </w:rPr>
                <m:t>A</m:t>
              </m:r>
            </m:den>
          </m:f>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y</m:t>
                  </m:r>
                </m:e>
              </m:acc>
            </m:num>
            <m:den>
              <m:r>
                <m:rPr>
                  <m:nor/>
                </m:rPr>
                <w:rPr>
                  <w:i/>
                  <w:iCs/>
                </w:rPr>
                <m:t>y</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sSub>
                        <m:sSubPr>
                          <m:ctrlPr>
                            <w:rPr>
                              <w:rFonts w:ascii="Cambria Math" w:hAnsi="Cambria Math"/>
                              <w:i/>
                              <w:iCs/>
                            </w:rPr>
                          </m:ctrlPr>
                        </m:sSubPr>
                        <m:e>
                          <m:r>
                            <m:rPr>
                              <m:nor/>
                            </m:rPr>
                            <w:rPr>
                              <w:i/>
                              <w:iCs/>
                            </w:rPr>
                            <m:t>F</m:t>
                          </m:r>
                        </m:e>
                        <m:sub>
                          <m:r>
                            <m:rPr>
                              <m:nor/>
                            </m:rPr>
                            <w:rPr>
                              <w:i/>
                              <w:iCs/>
                            </w:rPr>
                            <m:t>k</m:t>
                          </m:r>
                        </m:sub>
                      </m:sSub>
                      <m:r>
                        <w:rPr>
                          <w:rFonts w:ascii="Cambria Math" w:eastAsiaTheme="minorEastAsia" w:hAnsi="Cambria Math"/>
                        </w:rPr>
                        <m:t>∙</m:t>
                      </m:r>
                      <m:r>
                        <m:rPr>
                          <m:nor/>
                        </m:rPr>
                        <w:rPr>
                          <w:i/>
                          <w:iCs/>
                        </w:rPr>
                        <m:t>k</m:t>
                      </m:r>
                    </m:num>
                    <m:den>
                      <m:r>
                        <m:rPr>
                          <m:nor/>
                        </m:rPr>
                        <w:rPr>
                          <w:i/>
                          <w:iCs/>
                        </w:rPr>
                        <m:t>y</m:t>
                      </m:r>
                    </m:den>
                  </m:f>
                </m:e>
              </m:groupChr>
            </m:e>
            <m:lim>
              <m:r>
                <m:rPr>
                  <m:nor/>
                </m:rPr>
                <w:rPr>
                  <w:rFonts w:eastAsiaTheme="minorEastAsia"/>
                  <w:i/>
                </w:rPr>
                <m:t>α</m:t>
              </m:r>
            </m:lim>
          </m:limLow>
          <m:r>
            <w:rPr>
              <w:rFonts w:ascii="Cambria Math" w:hAnsi="Cambria Math"/>
            </w:rPr>
            <m:t>·</m:t>
          </m:r>
          <m:f>
            <m:fPr>
              <m:ctrlPr>
                <w:rPr>
                  <w:rFonts w:ascii="Cambria Math" w:hAnsi="Cambria Math"/>
                  <w:i/>
                  <w:iCs/>
                </w:rPr>
              </m:ctrlPr>
            </m:fPr>
            <m:num>
              <m:acc>
                <m:accPr>
                  <m:chr m:val="̇"/>
                  <m:ctrlPr>
                    <w:rPr>
                      <w:rFonts w:ascii="Cambria Math" w:hAnsi="Cambria Math"/>
                      <w:i/>
                      <w:iCs/>
                    </w:rPr>
                  </m:ctrlPr>
                </m:accPr>
                <m:e>
                  <m:r>
                    <m:rPr>
                      <m:nor/>
                    </m:rPr>
                    <w:rPr>
                      <w:i/>
                      <w:iCs/>
                    </w:rPr>
                    <m:t>k</m:t>
                  </m:r>
                </m:e>
              </m:acc>
            </m:num>
            <m:den>
              <m:r>
                <m:rPr>
                  <m:nor/>
                </m:rPr>
                <w:rPr>
                  <w:i/>
                  <w:iCs/>
                </w:rPr>
                <m:t>k</m:t>
              </m:r>
            </m:den>
          </m:f>
        </m:oMath>
      </m:oMathPara>
    </w:p>
    <w:p w14:paraId="2C4A97BF" w14:textId="59864F2F" w:rsidR="00A3609F" w:rsidRPr="00A3609F" w:rsidRDefault="00000000" w:rsidP="00A3609F">
      <w:pPr>
        <w:spacing w:after="0"/>
        <w:rPr>
          <w:rFonts w:eastAsiaTheme="minorEastAsia"/>
          <w:i/>
        </w:rPr>
      </w:pPr>
      <m:oMathPara>
        <m:oMath>
          <m:sSub>
            <m:sSubPr>
              <m:ctrlPr>
                <w:rPr>
                  <w:rFonts w:ascii="Cambria Math" w:eastAsiaTheme="minorEastAsia" w:hAnsi="Cambria Math"/>
                  <w:i/>
                </w:rPr>
              </m:ctrlPr>
            </m:sSubPr>
            <m:e>
              <m:r>
                <m:rPr>
                  <m:nor/>
                </m:rPr>
                <w:rPr>
                  <w:rFonts w:eastAsiaTheme="minorEastAsia"/>
                  <w:i/>
                </w:rPr>
                <m:t>Residuo de Solow</m:t>
              </m:r>
              <m:r>
                <w:rPr>
                  <w:rFonts w:ascii="Cambria Math" w:eastAsiaTheme="minorEastAsia" w:hAnsi="Cambria Math"/>
                </w:rPr>
                <m:t xml:space="preserve"> ≡ </m:t>
              </m:r>
              <m:r>
                <m:rPr>
                  <m:nor/>
                </m:rPr>
                <w:rPr>
                  <w:rFonts w:eastAsiaTheme="minorEastAsia"/>
                  <w:i/>
                </w:rPr>
                <m:t>γ</m:t>
              </m:r>
            </m:e>
            <m:sub>
              <m:r>
                <m:rPr>
                  <m:nor/>
                </m:rPr>
                <w:rPr>
                  <w:rFonts w:eastAsiaTheme="minorEastAsia"/>
                  <w:i/>
                </w:rPr>
                <m:t>A</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r>
            <m:rPr>
              <m:nor/>
            </m:rPr>
            <w:rPr>
              <w:rFonts w:eastAsiaTheme="minorEastAsia"/>
              <w:i/>
            </w:rPr>
            <m:t>α</m:t>
          </m:r>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oMath>
      </m:oMathPara>
    </w:p>
    <w:p w14:paraId="6FDD1F16" w14:textId="24038E61" w:rsidR="009B46A1" w:rsidRDefault="009B46A1">
      <w:pPr>
        <w:pStyle w:val="Nivel3SM"/>
      </w:pPr>
      <w:r>
        <w:t>Esto le permite dividir la tasa del crecimiento del producto en la tasa de crecimiento de la tecnología</w:t>
      </w:r>
      <w:r w:rsidR="00A3609F">
        <w:t xml:space="preserve"> y la contribución al crecimiento del capital</w:t>
      </w:r>
      <w:r>
        <w:t>.</w:t>
      </w:r>
    </w:p>
    <w:p w14:paraId="3779F7E1" w14:textId="5F9B9B6E" w:rsidR="00504506" w:rsidRDefault="00504506">
      <w:pPr>
        <w:pStyle w:val="Nivel3SM"/>
      </w:pPr>
      <w:r>
        <w:t>La cuentas nacionales permiten obtener los datos necesarios</w:t>
      </w:r>
      <w:r>
        <w:rPr>
          <w:rStyle w:val="Refdenotaalpie"/>
        </w:rPr>
        <w:footnoteReference w:id="13"/>
      </w:r>
      <w:r>
        <w:t>.</w:t>
      </w:r>
    </w:p>
    <w:p w14:paraId="2B81154C" w14:textId="21892847" w:rsidR="008A133E" w:rsidRDefault="008A133E" w:rsidP="008A133E">
      <w:pPr>
        <w:pStyle w:val="Ttulo7"/>
      </w:pPr>
      <w:r>
        <w:t>Implicaciones</w:t>
      </w:r>
    </w:p>
    <w:p w14:paraId="7E79713C" w14:textId="77777777" w:rsidR="000E0F3C" w:rsidRDefault="002A1373" w:rsidP="000E0F3C">
      <w:pPr>
        <w:pStyle w:val="Nivel1SM"/>
        <w:keepNext/>
        <w:spacing w:before="0" w:after="0"/>
      </w:pPr>
      <w:r>
        <w:t xml:space="preserve">Como conclusión, </w:t>
      </w:r>
      <w:r>
        <w:rPr>
          <w:smallCaps/>
        </w:rPr>
        <w:t>Solow</w:t>
      </w:r>
      <w:r>
        <w:t xml:space="preserve"> observó que </w:t>
      </w:r>
      <w:r w:rsidR="000E0F3C">
        <w:t>durante el período 1909-1949:</w:t>
      </w:r>
    </w:p>
    <w:p w14:paraId="0A135DD2" w14:textId="1CB2D0FB" w:rsidR="002C7B4F" w:rsidRPr="00B94FDE" w:rsidRDefault="000E0F3C" w:rsidP="00A87AC8">
      <w:pPr>
        <w:pStyle w:val="Nivel2SM"/>
        <w:rPr>
          <w:spacing w:val="-2"/>
        </w:rPr>
      </w:pPr>
      <w:r w:rsidRPr="00B94FDE">
        <w:rPr>
          <w:spacing w:val="-2"/>
        </w:rPr>
        <w:t xml:space="preserve">El cambio técnico </w:t>
      </w:r>
      <w:r w:rsidR="00862952" w:rsidRPr="00B94FDE">
        <w:rPr>
          <w:spacing w:val="-2"/>
        </w:rPr>
        <w:t xml:space="preserve">creció de forma neutral en sentido de </w:t>
      </w:r>
      <w:r w:rsidR="00862952" w:rsidRPr="00B94FDE">
        <w:rPr>
          <w:smallCaps/>
          <w:spacing w:val="-2"/>
        </w:rPr>
        <w:t>Hicks</w:t>
      </w:r>
      <w:r w:rsidR="00862952" w:rsidRPr="00B94FDE">
        <w:rPr>
          <w:spacing w:val="-2"/>
        </w:rPr>
        <w:t xml:space="preserve"> en </w:t>
      </w:r>
      <w:r w:rsidR="00B94FDE" w:rsidRPr="00B94FDE">
        <w:rPr>
          <w:spacing w:val="-2"/>
        </w:rPr>
        <w:t>promedi</w:t>
      </w:r>
      <w:bookmarkStart w:id="28" w:name="_Hlk119748863"/>
      <w:r w:rsidR="00B94FDE" w:rsidRPr="00B94FDE">
        <w:rPr>
          <w:spacing w:val="-2"/>
        </w:rPr>
        <w:t>o</w:t>
      </w:r>
      <w:r w:rsidR="00B94FDE" w:rsidRPr="00B94FDE">
        <w:rPr>
          <w:rStyle w:val="Refdenotaalpie"/>
          <w:spacing w:val="-2"/>
        </w:rPr>
        <w:footnoteReference w:id="14"/>
      </w:r>
      <w:bookmarkEnd w:id="28"/>
      <w:r w:rsidRPr="00B94FDE">
        <w:rPr>
          <w:spacing w:val="-2"/>
        </w:rPr>
        <w:t>.</w:t>
      </w:r>
      <w:r w:rsidR="002C7B4F" w:rsidRPr="00B94FDE">
        <w:rPr>
          <w:spacing w:val="-2"/>
        </w:rPr>
        <w:t xml:space="preserve"> El desplazamiento hacia arriba en la función de producción (obviando las fluctuaciones) fue de aproximadamente el 1 % anual durante la primera mitad del período y de 2 % anual en la segunda mitad.</w:t>
      </w:r>
    </w:p>
    <w:p w14:paraId="2DC3E074" w14:textId="146E01FB" w:rsidR="000E0F3C" w:rsidRDefault="002C7B4F" w:rsidP="002C7B4F">
      <w:pPr>
        <w:pStyle w:val="Nivel2SM"/>
      </w:pPr>
      <w:r>
        <w:lastRenderedPageBreak/>
        <w:t>La renta per cápita se duplic</w:t>
      </w:r>
      <w:r w:rsidR="00285C3B">
        <w:t>ó</w:t>
      </w:r>
      <w:r>
        <w:t xml:space="preserve"> en el período. </w:t>
      </w:r>
      <w:r w:rsidR="000E0F3C">
        <w:t>L</w:t>
      </w:r>
      <w:r w:rsidR="002A1373">
        <w:t>a acumulación de capital per cápita sólo podía explicar un 12</w:t>
      </w:r>
      <w:r w:rsidR="000E0F3C">
        <w:t>,5</w:t>
      </w:r>
      <w:r w:rsidR="002A1373">
        <w:t> % de</w:t>
      </w:r>
      <w:r w:rsidR="000E0F3C">
        <w:t>l crecimiento de l</w:t>
      </w:r>
      <w:r w:rsidR="002A1373">
        <w:t>a renta</w:t>
      </w:r>
      <w:r>
        <w:t xml:space="preserve"> per cápita</w:t>
      </w:r>
      <w:r w:rsidR="002A1373">
        <w:t>. El 8</w:t>
      </w:r>
      <w:r w:rsidR="000E0F3C">
        <w:t>7,5</w:t>
      </w:r>
      <w:r w:rsidR="002A1373">
        <w:t xml:space="preserve"> % restante es lo que se conoció como </w:t>
      </w:r>
      <w:r w:rsidR="002A1373" w:rsidRPr="002A1373">
        <w:rPr>
          <w:rFonts w:cs="Times New Roman"/>
        </w:rPr>
        <w:t>«</w:t>
      </w:r>
      <w:r w:rsidR="002A1373">
        <w:rPr>
          <w:rFonts w:cs="Times New Roman"/>
        </w:rPr>
        <w:t>residuo de Solow</w:t>
      </w:r>
      <w:r w:rsidR="002A1373" w:rsidRPr="002A1373">
        <w:rPr>
          <w:rFonts w:cs="Times New Roman"/>
        </w:rPr>
        <w:t>»</w:t>
      </w:r>
      <w:r w:rsidR="002A1373">
        <w:rPr>
          <w:rFonts w:cs="Times New Roman"/>
        </w:rPr>
        <w:t xml:space="preserve">, </w:t>
      </w:r>
      <w:r w:rsidR="00D2573E">
        <w:rPr>
          <w:rFonts w:cs="Times New Roman"/>
        </w:rPr>
        <w:t>y</w:t>
      </w:r>
      <w:r w:rsidR="002A1373">
        <w:rPr>
          <w:rFonts w:cs="Times New Roman"/>
        </w:rPr>
        <w:t xml:space="preserve"> que se deb</w:t>
      </w:r>
      <w:r w:rsidR="00D2573E">
        <w:rPr>
          <w:rFonts w:cs="Times New Roman"/>
        </w:rPr>
        <w:t>í</w:t>
      </w:r>
      <w:r w:rsidR="002A1373">
        <w:rPr>
          <w:rFonts w:cs="Times New Roman"/>
        </w:rPr>
        <w:t>a al progreso técnico, a priori inobservable</w:t>
      </w:r>
      <w:r w:rsidR="000E0F3C">
        <w:rPr>
          <w:rStyle w:val="Refdenotaalpie"/>
          <w:rFonts w:cs="Times New Roman"/>
        </w:rPr>
        <w:footnoteReference w:id="15"/>
      </w:r>
      <w:r w:rsidR="002A1373">
        <w:rPr>
          <w:rFonts w:cs="Times New Roman"/>
        </w:rPr>
        <w:t>.</w:t>
      </w:r>
    </w:p>
    <w:p w14:paraId="70A28D5C" w14:textId="1B11B54B" w:rsidR="008A133E" w:rsidRDefault="008A133E" w:rsidP="008A133E">
      <w:pPr>
        <w:pStyle w:val="Ttulo6"/>
      </w:pPr>
      <w:bookmarkStart w:id="30" w:name="_Toc129716203"/>
      <w:r>
        <w:t>Valoración</w:t>
      </w:r>
      <w:bookmarkEnd w:id="30"/>
    </w:p>
    <w:p w14:paraId="01D909EF" w14:textId="29284F16" w:rsidR="008A133E" w:rsidRDefault="00A3609F" w:rsidP="00114FFC">
      <w:pPr>
        <w:pStyle w:val="Nivel1SM"/>
        <w:keepNext/>
        <w:spacing w:before="0" w:after="0"/>
      </w:pPr>
      <w:r>
        <w:t xml:space="preserve">La contribución de </w:t>
      </w:r>
      <w:r>
        <w:rPr>
          <w:smallCaps/>
        </w:rPr>
        <w:t>Solow</w:t>
      </w:r>
      <w:r>
        <w:t xml:space="preserve"> (1957) fue </w:t>
      </w:r>
      <w:r w:rsidRPr="003C7D80">
        <w:rPr>
          <w:b/>
          <w:bCs/>
        </w:rPr>
        <w:t>fundamental</w:t>
      </w:r>
      <w:r>
        <w:t xml:space="preserve"> para el campo del crecimiento económico:</w:t>
      </w:r>
    </w:p>
    <w:p w14:paraId="6F1D468F" w14:textId="77777777" w:rsidR="00A3609F" w:rsidRDefault="00A3609F">
      <w:pPr>
        <w:pStyle w:val="Nivel2SM"/>
        <w:keepNext/>
        <w:spacing w:after="0"/>
      </w:pPr>
      <w:r>
        <w:t xml:space="preserve">Supone un </w:t>
      </w:r>
      <w:r w:rsidRPr="003C7D80">
        <w:rPr>
          <w:i/>
          <w:iCs/>
          <w:u w:val="single"/>
        </w:rPr>
        <w:t>programa de investigación progresivo</w:t>
      </w:r>
      <w:r>
        <w:t>.</w:t>
      </w:r>
    </w:p>
    <w:p w14:paraId="0A6EC428" w14:textId="02DCE3D6" w:rsidR="00A3609F" w:rsidRDefault="00A3609F">
      <w:pPr>
        <w:pStyle w:val="Nivel3SM"/>
      </w:pPr>
      <w:r>
        <w:t xml:space="preserve">Por una parte, una serie de economistas van a tratar de </w:t>
      </w:r>
      <w:r w:rsidRPr="003C7D80">
        <w:rPr>
          <w:i/>
          <w:iCs/>
        </w:rPr>
        <w:t xml:space="preserve">matizar o corregir el trabajo de </w:t>
      </w:r>
      <w:r w:rsidRPr="003C7D80">
        <w:rPr>
          <w:i/>
          <w:iCs/>
          <w:smallCaps/>
        </w:rPr>
        <w:t>Solow</w:t>
      </w:r>
      <w:r>
        <w:t>.</w:t>
      </w:r>
    </w:p>
    <w:p w14:paraId="2E5B5C6D" w14:textId="77777777" w:rsidR="009E100B" w:rsidRDefault="00A3609F" w:rsidP="009E100B">
      <w:pPr>
        <w:pStyle w:val="Nivel3SM"/>
        <w:keepNext/>
        <w:rPr>
          <w:spacing w:val="-2"/>
        </w:rPr>
      </w:pPr>
      <w:r w:rsidRPr="00130E96">
        <w:rPr>
          <w:spacing w:val="-2"/>
        </w:rPr>
        <w:t xml:space="preserve">Por otra parte, fuera de un análisis puramente de contabilidad del crecimiento, este trabajo de </w:t>
      </w:r>
      <w:r w:rsidRPr="00130E96">
        <w:rPr>
          <w:smallCaps/>
          <w:spacing w:val="-2"/>
        </w:rPr>
        <w:t>Solow</w:t>
      </w:r>
      <w:r w:rsidRPr="00130E96">
        <w:rPr>
          <w:spacing w:val="-2"/>
        </w:rPr>
        <w:t xml:space="preserve"> </w:t>
      </w:r>
      <w:r w:rsidRPr="00130E96">
        <w:rPr>
          <w:i/>
          <w:iCs/>
          <w:spacing w:val="-2"/>
        </w:rPr>
        <w:t xml:space="preserve">influenció significativamente a </w:t>
      </w:r>
      <w:r w:rsidRPr="00130E96">
        <w:rPr>
          <w:i/>
          <w:iCs/>
          <w:smallCaps/>
          <w:spacing w:val="-2"/>
        </w:rPr>
        <w:t>Prescott</w:t>
      </w:r>
      <w:r w:rsidRPr="00130E96">
        <w:rPr>
          <w:i/>
          <w:iCs/>
          <w:spacing w:val="-2"/>
        </w:rPr>
        <w:t xml:space="preserve"> (1986)</w:t>
      </w:r>
      <w:r w:rsidR="003C7D80" w:rsidRPr="00130E96">
        <w:rPr>
          <w:spacing w:val="-2"/>
        </w:rPr>
        <w:t>.</w:t>
      </w:r>
    </w:p>
    <w:p w14:paraId="2B49E17A" w14:textId="60B24394" w:rsidR="00A3609F" w:rsidRPr="00130E96" w:rsidRDefault="003C7D80" w:rsidP="009E100B">
      <w:pPr>
        <w:pStyle w:val="Nivel4"/>
        <w:ind w:left="1474"/>
      </w:pPr>
      <w:r w:rsidRPr="00130E96">
        <w:rPr>
          <w:smallCaps/>
        </w:rPr>
        <w:t>Prescott</w:t>
      </w:r>
      <w:r w:rsidRPr="00130E96">
        <w:t xml:space="preserve"> integra el concepto de residuo de Solow en la teoría de los ciclos económicos. Considera que el residuo de Solow se descompone en un componente de tendencia y en un componente estocástico. La idea es que como el residuo de Solow evoluciona muy cerca del PIB, las fluctuaciones en la productividad pueden ser importantes explicaciones de por</w:t>
      </w:r>
      <w:r w:rsidR="003F6FD2">
        <w:t xml:space="preserve"> </w:t>
      </w:r>
      <w:r w:rsidRPr="00130E96">
        <w:t>qu</w:t>
      </w:r>
      <w:r w:rsidR="003F6FD2">
        <w:t>é</w:t>
      </w:r>
      <w:r w:rsidRPr="00130E96">
        <w:t xml:space="preserve"> el producto fluctúa </w:t>
      </w:r>
      <w:r w:rsidRPr="00130E96">
        <w:rPr>
          <w:color w:val="767171" w:themeColor="background2" w:themeShade="80"/>
          <w:sz w:val="19"/>
          <w:szCs w:val="19"/>
        </w:rPr>
        <w:t>[ver tema 3.A.</w:t>
      </w:r>
      <w:r w:rsidR="00F53632">
        <w:rPr>
          <w:color w:val="767171" w:themeColor="background2" w:themeShade="80"/>
          <w:sz w:val="19"/>
          <w:szCs w:val="19"/>
        </w:rPr>
        <w:t>6</w:t>
      </w:r>
      <w:r w:rsidRPr="00130E96">
        <w:rPr>
          <w:color w:val="767171" w:themeColor="background2" w:themeShade="80"/>
          <w:sz w:val="19"/>
          <w:szCs w:val="19"/>
        </w:rPr>
        <w:t>]</w:t>
      </w:r>
      <w:r w:rsidRPr="00130E96">
        <w:t>.</w:t>
      </w:r>
    </w:p>
    <w:p w14:paraId="67E8C715" w14:textId="305F2646" w:rsidR="00A3609F" w:rsidRDefault="00A3609F">
      <w:pPr>
        <w:pStyle w:val="Nivel1SM"/>
        <w:keepNext/>
        <w:spacing w:after="0"/>
      </w:pPr>
      <w:r>
        <w:t>Sin embargo</w:t>
      </w:r>
      <w:r w:rsidR="003C7D80">
        <w:t xml:space="preserve">, el enfoque de </w:t>
      </w:r>
      <w:r w:rsidR="003C7D80">
        <w:rPr>
          <w:smallCaps/>
        </w:rPr>
        <w:t>Solow</w:t>
      </w:r>
      <w:r w:rsidR="003C7D80">
        <w:t xml:space="preserve"> también ha sido objeto de </w:t>
      </w:r>
      <w:r w:rsidR="003C7D80" w:rsidRPr="003C7D80">
        <w:rPr>
          <w:b/>
          <w:bCs/>
        </w:rPr>
        <w:t>críticas</w:t>
      </w:r>
      <w:r w:rsidR="003C7D80">
        <w:t>:</w:t>
      </w:r>
    </w:p>
    <w:p w14:paraId="4D4C18FB" w14:textId="5D25B894" w:rsidR="003C7D80" w:rsidRDefault="003C7D80">
      <w:pPr>
        <w:pStyle w:val="Nivel2SM"/>
        <w:keepNext/>
        <w:spacing w:after="0"/>
      </w:pPr>
      <w:r>
        <w:t xml:space="preserve">En relación a los </w:t>
      </w:r>
      <w:r w:rsidRPr="003C7D80">
        <w:rPr>
          <w:i/>
          <w:iCs/>
          <w:u w:val="single"/>
        </w:rPr>
        <w:t>supuestos</w:t>
      </w:r>
      <w:r w:rsidRPr="003C7D80">
        <w:t xml:space="preserve"> fuertes</w:t>
      </w:r>
      <w:r>
        <w:t xml:space="preserve"> de los que parte:</w:t>
      </w:r>
    </w:p>
    <w:p w14:paraId="6D1EC701" w14:textId="7AD12EFF" w:rsidR="003C7D80" w:rsidRDefault="003C7D80" w:rsidP="003F6FD2">
      <w:pPr>
        <w:pStyle w:val="Nivel3SM"/>
        <w:keepNext/>
      </w:pPr>
      <w:r w:rsidRPr="003C7D80">
        <w:rPr>
          <w:i/>
          <w:iCs/>
        </w:rPr>
        <w:t xml:space="preserve">Competencia perfecta en </w:t>
      </w:r>
      <w:r>
        <w:rPr>
          <w:i/>
          <w:iCs/>
        </w:rPr>
        <w:t xml:space="preserve">el mercado de </w:t>
      </w:r>
      <w:r w:rsidRPr="003C7D80">
        <w:rPr>
          <w:i/>
          <w:iCs/>
        </w:rPr>
        <w:t>factores</w:t>
      </w:r>
      <w:r>
        <w:t xml:space="preserve">: </w:t>
      </w:r>
      <w:r w:rsidR="003F6FD2">
        <w:t>L</w:t>
      </w:r>
      <w:r>
        <w:t>a evidencia empírica sugiere que los mercados de trabajo y de capital no son perfectamente competitivos.</w:t>
      </w:r>
    </w:p>
    <w:p w14:paraId="1A8FEEFD" w14:textId="174EF9E3" w:rsidR="003F6FD2" w:rsidRPr="003F6FD2" w:rsidRDefault="003F6FD2" w:rsidP="003F6FD2">
      <w:pPr>
        <w:pStyle w:val="Nivel4"/>
        <w:ind w:left="1474"/>
        <w:rPr>
          <w:spacing w:val="-1"/>
        </w:rPr>
      </w:pPr>
      <w:r w:rsidRPr="003F6FD2">
        <w:rPr>
          <w:spacing w:val="-1"/>
        </w:rPr>
        <w:t>Dicho supuesto nos permite sustituir en la derivación anterior las productividades marginales por los salarios y rentas del capital lo que nos permite expresar la ecuación en términos de la participación de los salarios y rentas de capital en la renta nacional.</w:t>
      </w:r>
    </w:p>
    <w:p w14:paraId="5A734445" w14:textId="77777777" w:rsidR="003F6FD2" w:rsidRDefault="003F6FD2" w:rsidP="003F6FD2">
      <w:pPr>
        <w:pStyle w:val="Nivel4"/>
        <w:keepNext/>
        <w:ind w:left="1474"/>
      </w:pPr>
      <w:r>
        <w:t>No obstante, en mercados de factores productivos imperfectos esto no tendría por qué cumplirse por lo que no podríamos sustituir dichas productividades marginales por los salarios y rentas directamente, invalidando dicho enfoque.</w:t>
      </w:r>
    </w:p>
    <w:p w14:paraId="32A0CAD1" w14:textId="2C1C72F7" w:rsidR="003F6FD2" w:rsidRDefault="003F6FD2" w:rsidP="003F6FD2">
      <w:pPr>
        <w:pStyle w:val="Nivel5"/>
        <w:ind w:left="1871"/>
      </w:pPr>
      <w:r>
        <w:t>En respuesta a esta crítica surge el enfoque dual.</w:t>
      </w:r>
    </w:p>
    <w:p w14:paraId="4203D672" w14:textId="2FADD50A" w:rsidR="003C7D80" w:rsidRDefault="003C7D80">
      <w:pPr>
        <w:pStyle w:val="Nivel3SM"/>
      </w:pPr>
      <w:r w:rsidRPr="003C7D80">
        <w:rPr>
          <w:i/>
          <w:iCs/>
        </w:rPr>
        <w:t>Asume estabilidad de participaciones de los factores en la renta</w:t>
      </w:r>
      <w:r>
        <w:t xml:space="preserve"> (porque la función de producción agregada lo predetermina</w:t>
      </w:r>
      <w:r w:rsidR="003F6FD2">
        <w:t>)</w:t>
      </w:r>
      <w:r>
        <w:t>, si bien este supuesto no es del todo restrictivo de acuerdo a la evidencia empírica.</w:t>
      </w:r>
    </w:p>
    <w:p w14:paraId="57889FFE" w14:textId="43A031F3" w:rsidR="003C7D80" w:rsidRDefault="003C7D80">
      <w:pPr>
        <w:pStyle w:val="Nivel2SM"/>
        <w:keepNext/>
        <w:spacing w:after="0"/>
      </w:pPr>
      <w:r>
        <w:t xml:space="preserve">En relación a las </w:t>
      </w:r>
      <w:r w:rsidRPr="001260E2">
        <w:rPr>
          <w:i/>
          <w:iCs/>
          <w:u w:val="single"/>
        </w:rPr>
        <w:t>conclusiones</w:t>
      </w:r>
      <w:r>
        <w:t>:</w:t>
      </w:r>
    </w:p>
    <w:p w14:paraId="7B293A73" w14:textId="77777777" w:rsidR="001260E2" w:rsidRPr="00504506" w:rsidRDefault="003C7D80">
      <w:pPr>
        <w:pStyle w:val="Nivel3SM"/>
        <w:keepNext/>
        <w:rPr>
          <w:spacing w:val="-4"/>
        </w:rPr>
      </w:pPr>
      <w:r w:rsidRPr="00504506">
        <w:rPr>
          <w:smallCaps/>
          <w:spacing w:val="-4"/>
        </w:rPr>
        <w:t>Friedman</w:t>
      </w:r>
      <w:r w:rsidRPr="00504506">
        <w:rPr>
          <w:spacing w:val="-4"/>
        </w:rPr>
        <w:t xml:space="preserve"> critica la </w:t>
      </w:r>
      <w:r w:rsidRPr="00504506">
        <w:rPr>
          <w:i/>
          <w:iCs/>
          <w:spacing w:val="-4"/>
        </w:rPr>
        <w:t>diferencia entre la productividad total de los factores y la acumulación de factores</w:t>
      </w:r>
      <w:r w:rsidR="001260E2" w:rsidRPr="00504506">
        <w:rPr>
          <w:spacing w:val="-4"/>
        </w:rPr>
        <w:t>.</w:t>
      </w:r>
    </w:p>
    <w:p w14:paraId="73A91562" w14:textId="6AE3D38C" w:rsidR="003C7D80" w:rsidRPr="00504506" w:rsidRDefault="001260E2">
      <w:pPr>
        <w:pStyle w:val="Nivel4"/>
        <w:ind w:left="1474"/>
      </w:pPr>
      <w:r w:rsidRPr="00504506">
        <w:rPr>
          <w:smallCaps/>
        </w:rPr>
        <w:t>Friedman</w:t>
      </w:r>
      <w:r w:rsidRPr="00504506">
        <w:t xml:space="preserve"> c</w:t>
      </w:r>
      <w:r w:rsidR="003C7D80" w:rsidRPr="00504506">
        <w:t xml:space="preserve">onsidera que la separación de movimientos </w:t>
      </w:r>
      <w:r w:rsidR="003F6FD2">
        <w:t>en</w:t>
      </w:r>
      <w:r w:rsidR="003C7D80" w:rsidRPr="00504506">
        <w:t xml:space="preserve"> la función de producción (cuando cambia la cantidad de los factores) y de desplazamientos (cuando cambia la tecnología) es artificial. El cambio tecnológico afecta también a la cantidad de factores empleados.</w:t>
      </w:r>
    </w:p>
    <w:p w14:paraId="5FBB1DF4" w14:textId="0DFA2009" w:rsidR="005A2142" w:rsidRDefault="003C7D80">
      <w:pPr>
        <w:pStyle w:val="Nivel3SM"/>
        <w:keepNext/>
      </w:pPr>
      <w:r>
        <w:rPr>
          <w:smallCaps/>
        </w:rPr>
        <w:t>Abramovitz</w:t>
      </w:r>
      <w:r>
        <w:t xml:space="preserve"> </w:t>
      </w:r>
      <w:r w:rsidR="005A2142">
        <w:t xml:space="preserve">y la precisión del </w:t>
      </w:r>
      <w:r w:rsidR="005A2142" w:rsidRPr="001260E2">
        <w:rPr>
          <w:i/>
          <w:iCs/>
        </w:rPr>
        <w:t>concepto de productividad total de factores</w:t>
      </w:r>
      <w:r w:rsidR="005A2142">
        <w:t>.</w:t>
      </w:r>
    </w:p>
    <w:p w14:paraId="52640540" w14:textId="77777777" w:rsidR="00444951" w:rsidRDefault="001260E2" w:rsidP="00444951">
      <w:pPr>
        <w:pStyle w:val="Nivel4"/>
        <w:keepNext/>
        <w:ind w:left="1474"/>
      </w:pPr>
      <w:r>
        <w:rPr>
          <w:smallCaps/>
        </w:rPr>
        <w:t>Abramovitz</w:t>
      </w:r>
      <w:r>
        <w:t xml:space="preserve"> s</w:t>
      </w:r>
      <w:r w:rsidR="005A2142">
        <w:t>ubrayó que la productividad total de los factores debe referirse a los avances no costosos de aplicar la tecnología en los procesos de producción.</w:t>
      </w:r>
    </w:p>
    <w:p w14:paraId="289DD135" w14:textId="42DA7915" w:rsidR="005A2142" w:rsidRDefault="005A2142" w:rsidP="00444951">
      <w:pPr>
        <w:pStyle w:val="Nivel5"/>
        <w:ind w:left="1871"/>
      </w:pPr>
      <w:r>
        <w:t>Cualquier avance en los procesos de producción que es costoso no sería progreso técnico porque requeriría el uso intensivo de factores productivos. Por ejemplo, en la innovación y desarrollo se usan factores productivos.</w:t>
      </w:r>
    </w:p>
    <w:p w14:paraId="088C923E" w14:textId="4C203483" w:rsidR="00444951" w:rsidRDefault="005A2142" w:rsidP="00444951">
      <w:pPr>
        <w:pStyle w:val="Nivel5"/>
        <w:ind w:left="1871"/>
      </w:pPr>
      <w:r>
        <w:t xml:space="preserve">Por tanto, hay que tener en cuenta que estos procesos no se deben incluir en el </w:t>
      </w:r>
      <w:r w:rsidR="001260E2" w:rsidRPr="002A1373">
        <w:rPr>
          <w:rFonts w:cs="Times New Roman"/>
        </w:rPr>
        <w:t>«</w:t>
      </w:r>
      <w:r w:rsidR="001260E2">
        <w:rPr>
          <w:rFonts w:cs="Times New Roman"/>
        </w:rPr>
        <w:t>residuo de Solow</w:t>
      </w:r>
      <w:r w:rsidR="001260E2" w:rsidRPr="002A1373">
        <w:rPr>
          <w:rFonts w:cs="Times New Roman"/>
        </w:rPr>
        <w:t>»</w:t>
      </w:r>
      <w:r>
        <w:t xml:space="preserve"> ya que no cualifican para ser </w:t>
      </w:r>
      <w:r w:rsidR="00444951">
        <w:t>PTF</w:t>
      </w:r>
      <w:r>
        <w:t>.</w:t>
      </w:r>
    </w:p>
    <w:p w14:paraId="10D9B886" w14:textId="33B02BC9" w:rsidR="005A2142" w:rsidRDefault="001260E2" w:rsidP="00444951">
      <w:pPr>
        <w:pStyle w:val="Nivel5"/>
        <w:ind w:left="1871"/>
      </w:pPr>
      <w:r>
        <w:t>Es decir</w:t>
      </w:r>
      <w:r w:rsidR="005A2142">
        <w:t xml:space="preserve">, hay que tener claro que el </w:t>
      </w:r>
      <w:r w:rsidRPr="002A1373">
        <w:rPr>
          <w:rFonts w:cs="Times New Roman"/>
        </w:rPr>
        <w:t>«</w:t>
      </w:r>
      <w:r>
        <w:rPr>
          <w:rFonts w:cs="Times New Roman"/>
        </w:rPr>
        <w:t>residuo de Solow</w:t>
      </w:r>
      <w:r w:rsidRPr="002A1373">
        <w:rPr>
          <w:rFonts w:cs="Times New Roman"/>
        </w:rPr>
        <w:t>»</w:t>
      </w:r>
      <w:r w:rsidR="005A2142">
        <w:t xml:space="preserve"> hace referencia a maná caído del cielo.</w:t>
      </w:r>
    </w:p>
    <w:p w14:paraId="6A60AFE3" w14:textId="708D7FD1" w:rsidR="003C7D80" w:rsidRPr="00AE448A" w:rsidRDefault="005A2142">
      <w:pPr>
        <w:pStyle w:val="Nivel4"/>
        <w:ind w:left="1474"/>
      </w:pPr>
      <w:r w:rsidRPr="005A2142">
        <w:rPr>
          <w:smallCaps/>
        </w:rPr>
        <w:lastRenderedPageBreak/>
        <w:t>Abramovitz</w:t>
      </w:r>
      <w:r>
        <w:t xml:space="preserve"> añade que es difícil dar sustento teórico a la idea de un aumento no costoso de la eficiencia de los factores productivos. Por tanto, </w:t>
      </w:r>
      <w:r>
        <w:rPr>
          <w:smallCaps/>
        </w:rPr>
        <w:t>Abramovitz</w:t>
      </w:r>
      <w:r>
        <w:t xml:space="preserve"> concluyó que el </w:t>
      </w:r>
      <w:r w:rsidRPr="002A1373">
        <w:rPr>
          <w:rFonts w:cs="Times New Roman"/>
        </w:rPr>
        <w:t>«</w:t>
      </w:r>
      <w:r>
        <w:rPr>
          <w:rFonts w:cs="Times New Roman"/>
        </w:rPr>
        <w:t>residuo de Solow</w:t>
      </w:r>
      <w:r w:rsidRPr="002A1373">
        <w:rPr>
          <w:rFonts w:cs="Times New Roman"/>
        </w:rPr>
        <w:t>»</w:t>
      </w:r>
      <w:r>
        <w:t xml:space="preserve"> es una </w:t>
      </w:r>
      <w:r w:rsidRPr="002A1373">
        <w:rPr>
          <w:rFonts w:cs="Times New Roman"/>
        </w:rPr>
        <w:t>«</w:t>
      </w:r>
      <w:r>
        <w:rPr>
          <w:rFonts w:cs="Times New Roman"/>
        </w:rPr>
        <w:t>medida de nuestra ignorancia</w:t>
      </w:r>
      <w:r w:rsidRPr="002A1373">
        <w:rPr>
          <w:rFonts w:cs="Times New Roman"/>
        </w:rPr>
        <w:t>»</w:t>
      </w:r>
      <w:r w:rsidR="001260E2">
        <w:rPr>
          <w:rStyle w:val="Refdenotaalpie"/>
          <w:rFonts w:cs="Times New Roman"/>
        </w:rPr>
        <w:footnoteReference w:id="16"/>
      </w:r>
      <w:r>
        <w:t>.</w:t>
      </w:r>
    </w:p>
    <w:p w14:paraId="34E5C03E" w14:textId="0BEDF029" w:rsidR="00AE448A" w:rsidRDefault="00AE448A" w:rsidP="00504506">
      <w:pPr>
        <w:pStyle w:val="Ttulo3"/>
      </w:pPr>
      <w:bookmarkStart w:id="31" w:name="_Toc129716204"/>
      <w:r>
        <w:t>Enfoque dual (</w:t>
      </w:r>
      <w:r>
        <w:rPr>
          <w:smallCaps/>
        </w:rPr>
        <w:t>Hsieh, 2002</w:t>
      </w:r>
      <w:r>
        <w:t>)</w:t>
      </w:r>
      <w:bookmarkEnd w:id="31"/>
    </w:p>
    <w:p w14:paraId="42231DF3" w14:textId="04CF28F7" w:rsidR="009C4133" w:rsidRPr="009C4133" w:rsidRDefault="009C4133" w:rsidP="005D51CF">
      <w:pPr>
        <w:pStyle w:val="Ttulo6"/>
        <w:spacing w:before="0"/>
      </w:pPr>
      <w:bookmarkStart w:id="32" w:name="_Toc129716205"/>
      <w:r>
        <w:t>Idea</w:t>
      </w:r>
      <w:bookmarkEnd w:id="32"/>
    </w:p>
    <w:p w14:paraId="43E33B99" w14:textId="4096F57A" w:rsidR="001260E2" w:rsidRDefault="001260E2" w:rsidP="005D51CF">
      <w:pPr>
        <w:pStyle w:val="Nivel1SM"/>
        <w:keepNext/>
        <w:spacing w:before="0" w:after="0"/>
      </w:pPr>
      <w:r w:rsidRPr="001260E2">
        <w:rPr>
          <w:smallCaps/>
        </w:rPr>
        <w:t>Hsieh</w:t>
      </w:r>
      <w:r>
        <w:t xml:space="preserve"> (2002) pretende explicar el gran crecimiento de los tigres asiáticos mediante un enfoque alternativo para el cálculo de </w:t>
      </w:r>
      <w:r w:rsidRPr="009C4133">
        <w:rPr>
          <w:smallCaps/>
        </w:rPr>
        <w:t>Solow</w:t>
      </w:r>
      <w:r>
        <w:t>. En lugar de buscar medir la contribución</w:t>
      </w:r>
      <w:r w:rsidR="009C4133">
        <w:t xml:space="preserve"> al crecimiento de los factores, </w:t>
      </w:r>
      <w:r w:rsidR="009C4133">
        <w:rPr>
          <w:smallCaps/>
        </w:rPr>
        <w:t>Hsieh</w:t>
      </w:r>
      <w:r w:rsidR="009C4133">
        <w:t xml:space="preserve"> calcula el </w:t>
      </w:r>
      <w:r w:rsidR="009C4133" w:rsidRPr="002A1373">
        <w:rPr>
          <w:rFonts w:cs="Times New Roman"/>
        </w:rPr>
        <w:t>«</w:t>
      </w:r>
      <w:r w:rsidR="009C4133">
        <w:rPr>
          <w:rFonts w:cs="Times New Roman"/>
        </w:rPr>
        <w:t>residuo de Solow</w:t>
      </w:r>
      <w:r w:rsidR="009C4133" w:rsidRPr="002A1373">
        <w:rPr>
          <w:rFonts w:cs="Times New Roman"/>
        </w:rPr>
        <w:t>»</w:t>
      </w:r>
      <w:r w:rsidR="009C4133">
        <w:rPr>
          <w:rFonts w:cs="Times New Roman"/>
        </w:rPr>
        <w:t xml:space="preserve"> a partir de las tasas de crecimiento de los factores productivos y busca hacerlo reduciendo el número de supuestos de </w:t>
      </w:r>
      <w:r w:rsidR="009C4133" w:rsidRPr="009C4133">
        <w:rPr>
          <w:rFonts w:cs="Times New Roman"/>
          <w:smallCaps/>
        </w:rPr>
        <w:t>Solow</w:t>
      </w:r>
      <w:r w:rsidR="009C4133">
        <w:rPr>
          <w:rFonts w:cs="Times New Roman"/>
        </w:rPr>
        <w:t xml:space="preserve"> al mínimo.</w:t>
      </w:r>
    </w:p>
    <w:p w14:paraId="03E905B7" w14:textId="77777777" w:rsidR="009C4133" w:rsidRDefault="009C4133" w:rsidP="009C4133">
      <w:pPr>
        <w:pStyle w:val="Ttulo6"/>
      </w:pPr>
      <w:bookmarkStart w:id="33" w:name="_Toc129716206"/>
      <w:r>
        <w:t>Modelo</w:t>
      </w:r>
      <w:bookmarkEnd w:id="33"/>
    </w:p>
    <w:p w14:paraId="1FA29D1D" w14:textId="7A541F7C" w:rsidR="009C4133" w:rsidRDefault="009C4133" w:rsidP="005D51CF">
      <w:pPr>
        <w:pStyle w:val="Ttulo7"/>
        <w:spacing w:before="0"/>
      </w:pPr>
      <w:r>
        <w:t>Supuestos</w:t>
      </w:r>
    </w:p>
    <w:p w14:paraId="0848D3E8" w14:textId="01223C5A" w:rsidR="009C4133" w:rsidRDefault="00502EC8" w:rsidP="005D51CF">
      <w:pPr>
        <w:pStyle w:val="Nivel1SM"/>
        <w:keepNext/>
        <w:spacing w:before="0" w:after="0"/>
      </w:pPr>
      <w:r>
        <w:t xml:space="preserve">Requiere menos supuestos que el enfoque de </w:t>
      </w:r>
      <w:r>
        <w:rPr>
          <w:smallCaps/>
        </w:rPr>
        <w:t>Solow</w:t>
      </w:r>
      <w:r>
        <w:t>, concretamente:</w:t>
      </w:r>
    </w:p>
    <w:p w14:paraId="19720A56" w14:textId="17D5B1D1" w:rsidR="00502EC8" w:rsidRPr="0092193E" w:rsidRDefault="00502EC8">
      <w:pPr>
        <w:pStyle w:val="Nivel2SM"/>
        <w:keepNext/>
        <w:spacing w:after="0"/>
      </w:pPr>
      <w:r w:rsidRPr="0092193E">
        <w:t>En relación a la función de producción agregada, mantiene el supuesto de agotamiento del producto (i.e. función de producción con rendimientos constantes a escala)</w:t>
      </w:r>
      <w:r w:rsidR="004A4DA9" w:rsidRPr="0092193E">
        <w:t xml:space="preserve"> de modo que</w:t>
      </w:r>
      <w:r w:rsidRPr="0092193E">
        <w:t xml:space="preserve"> la renta se destina íntegramente a remunerar los factores productivos:</w:t>
      </w:r>
    </w:p>
    <w:p w14:paraId="771CE477" w14:textId="1D4D4E28" w:rsidR="00502EC8" w:rsidRPr="00502EC8" w:rsidRDefault="00502EC8" w:rsidP="00502EC8">
      <w:pPr>
        <w:spacing w:after="0"/>
        <w:rPr>
          <w:rFonts w:eastAsiaTheme="minorEastAsia"/>
          <w:i/>
          <w:iCs/>
        </w:rPr>
      </w:pPr>
      <m:oMathPara>
        <m:oMath>
          <m:r>
            <m:rPr>
              <m:nor/>
            </m:rPr>
            <w:rPr>
              <w:i/>
              <w:iCs/>
            </w:rPr>
            <m:t>Y</m:t>
          </m:r>
          <m:r>
            <w:rPr>
              <w:rFonts w:ascii="Cambria Math" w:hAnsi="Cambria Math"/>
            </w:rPr>
            <m:t>=</m:t>
          </m:r>
          <m:r>
            <m:rPr>
              <m:nor/>
            </m:rPr>
            <w:rPr>
              <w:i/>
              <w:iCs/>
            </w:rPr>
            <m:t>r</m:t>
          </m:r>
          <m:r>
            <w:rPr>
              <w:rFonts w:ascii="Cambria Math" w:eastAsiaTheme="minorEastAsia" w:hAnsi="Cambria Math"/>
            </w:rPr>
            <m:t>∙</m:t>
          </m:r>
          <m:r>
            <m:rPr>
              <m:nor/>
            </m:rPr>
            <w:rPr>
              <w:i/>
              <w:iCs/>
            </w:rPr>
            <m:t>K</m:t>
          </m:r>
          <m:r>
            <w:rPr>
              <w:rFonts w:ascii="Cambria Math" w:hAnsi="Cambria Math"/>
            </w:rPr>
            <m:t>+</m:t>
          </m:r>
          <m:r>
            <m:rPr>
              <m:nor/>
            </m:rPr>
            <w:rPr>
              <w:i/>
              <w:iCs/>
            </w:rPr>
            <m:t>w</m:t>
          </m:r>
          <m:r>
            <w:rPr>
              <w:rFonts w:ascii="Cambria Math" w:eastAsiaTheme="minorEastAsia" w:hAnsi="Cambria Math"/>
            </w:rPr>
            <m:t>∙</m:t>
          </m:r>
          <m:r>
            <m:rPr>
              <m:nor/>
            </m:rPr>
            <w:rPr>
              <w:i/>
              <w:iCs/>
            </w:rPr>
            <m:t>L</m:t>
          </m:r>
        </m:oMath>
      </m:oMathPara>
    </w:p>
    <w:p w14:paraId="6DDFAA3D" w14:textId="77777777" w:rsidR="00502EC8" w:rsidRDefault="00502EC8">
      <w:pPr>
        <w:pStyle w:val="Nivel2SM"/>
        <w:keepNext/>
        <w:spacing w:after="0"/>
      </w:pPr>
      <w:r>
        <w:t>Sin embargo, ya no es necesario asumir:</w:t>
      </w:r>
    </w:p>
    <w:p w14:paraId="0DBEF1FC" w14:textId="0060C1D3" w:rsidR="00502EC8" w:rsidRDefault="00502EC8">
      <w:pPr>
        <w:pStyle w:val="Nivel3SM"/>
      </w:pPr>
      <w:r>
        <w:t>Ni ningún tipo de forma funcional de la función de producción agregada,</w:t>
      </w:r>
    </w:p>
    <w:p w14:paraId="7BB09CCB" w14:textId="256468E5" w:rsidR="00502EC8" w:rsidRDefault="00502EC8">
      <w:pPr>
        <w:pStyle w:val="Nivel3SM"/>
      </w:pPr>
      <w:r>
        <w:t>Ni ningún tipo de progreso técnico,</w:t>
      </w:r>
    </w:p>
    <w:p w14:paraId="22DBE886" w14:textId="637B4AEF" w:rsidR="00502EC8" w:rsidRDefault="00502EC8">
      <w:pPr>
        <w:pStyle w:val="Nivel3SM"/>
      </w:pPr>
      <w:r>
        <w:t>Ni competencia perfecta en los mercados de factores productivos.</w:t>
      </w:r>
    </w:p>
    <w:p w14:paraId="30626249" w14:textId="246E4A27" w:rsidR="009C4133" w:rsidRPr="001260E2" w:rsidRDefault="009C4133" w:rsidP="009C4133">
      <w:pPr>
        <w:pStyle w:val="Ttulo7"/>
      </w:pPr>
      <w:r>
        <w:t>Desarrollo</w:t>
      </w:r>
    </w:p>
    <w:p w14:paraId="44DC1972" w14:textId="34D4963A" w:rsidR="00502EC8" w:rsidRPr="00502EC8" w:rsidRDefault="00AE448A" w:rsidP="00451F61">
      <w:pPr>
        <w:pStyle w:val="Nivel1SM"/>
        <w:keepNext/>
        <w:spacing w:before="0" w:after="0"/>
        <w:rPr>
          <w:rFonts w:eastAsiaTheme="minorEastAsia"/>
        </w:rPr>
      </w:pPr>
      <w:r>
        <w:rPr>
          <w:smallCaps/>
        </w:rPr>
        <w:t>Hsieh</w:t>
      </w:r>
      <w:r>
        <w:t xml:space="preserve"> (2002) </w:t>
      </w:r>
      <w:r w:rsidR="00502EC8">
        <w:t xml:space="preserve">parte de la igualdad entre la producción y las rentas de los factores, </w:t>
      </w:r>
      <m:oMath>
        <m:r>
          <m:rPr>
            <m:nor/>
          </m:rPr>
          <w:rPr>
            <w:i/>
            <w:iCs/>
          </w:rPr>
          <m:t>Y</m:t>
        </m:r>
        <m:r>
          <w:rPr>
            <w:rFonts w:ascii="Cambria Math" w:hAnsi="Cambria Math"/>
          </w:rPr>
          <m:t>=</m:t>
        </m:r>
        <m:r>
          <m:rPr>
            <m:nor/>
          </m:rPr>
          <w:rPr>
            <w:i/>
            <w:iCs/>
          </w:rPr>
          <m:t>r</m:t>
        </m:r>
        <m:r>
          <w:rPr>
            <w:rFonts w:ascii="Cambria Math" w:eastAsiaTheme="minorEastAsia" w:hAnsi="Cambria Math"/>
          </w:rPr>
          <m:t>∙</m:t>
        </m:r>
        <m:r>
          <m:rPr>
            <m:nor/>
          </m:rPr>
          <w:rPr>
            <w:i/>
            <w:iCs/>
          </w:rPr>
          <m:t>K</m:t>
        </m:r>
        <m:r>
          <w:rPr>
            <w:rFonts w:ascii="Cambria Math" w:hAnsi="Cambria Math"/>
          </w:rPr>
          <m:t>+</m:t>
        </m:r>
        <m:r>
          <m:rPr>
            <m:nor/>
          </m:rPr>
          <w:rPr>
            <w:i/>
            <w:iCs/>
          </w:rPr>
          <m:t>w</m:t>
        </m:r>
        <m:r>
          <w:rPr>
            <w:rFonts w:ascii="Cambria Math" w:eastAsiaTheme="minorEastAsia" w:hAnsi="Cambria Math"/>
          </w:rPr>
          <m:t>∙</m:t>
        </m:r>
        <m:r>
          <m:rPr>
            <m:nor/>
          </m:rPr>
          <w:rPr>
            <w:i/>
            <w:iCs/>
          </w:rPr>
          <m:t>L</m:t>
        </m:r>
      </m:oMath>
      <w:r w:rsidR="00502EC8">
        <w:rPr>
          <w:rFonts w:eastAsiaTheme="minorEastAsia"/>
          <w:iCs/>
        </w:rPr>
        <w:t xml:space="preserve">, y procede de forma similar a </w:t>
      </w:r>
      <w:r w:rsidR="00502EC8" w:rsidRPr="00502EC8">
        <w:rPr>
          <w:rFonts w:eastAsiaTheme="minorEastAsia"/>
          <w:iCs/>
          <w:smallCaps/>
        </w:rPr>
        <w:t>Solow</w:t>
      </w:r>
      <w:r w:rsidR="00502EC8">
        <w:rPr>
          <w:rFonts w:eastAsiaTheme="minorEastAsia"/>
          <w:iCs/>
        </w:rPr>
        <w:t>:</w:t>
      </w:r>
    </w:p>
    <w:p w14:paraId="673D04D1" w14:textId="747BD413" w:rsidR="00502EC8" w:rsidRDefault="00637B29">
      <w:pPr>
        <w:pStyle w:val="Nivel2SM"/>
        <w:keepNext/>
        <w:spacing w:after="0"/>
        <w:rPr>
          <w:rFonts w:eastAsiaTheme="minorEastAsia"/>
        </w:rPr>
      </w:pPr>
      <w:r>
        <w:rPr>
          <w:rFonts w:eastAsiaTheme="minorEastAsia"/>
        </w:rPr>
        <w:t>D</w:t>
      </w:r>
      <w:r w:rsidR="00502EC8">
        <w:rPr>
          <w:rFonts w:eastAsiaTheme="minorEastAsia"/>
        </w:rPr>
        <w:t>eriva</w:t>
      </w:r>
      <w:r>
        <w:rPr>
          <w:rFonts w:eastAsiaTheme="minorEastAsia"/>
        </w:rPr>
        <w:t>mos</w:t>
      </w:r>
      <w:r w:rsidR="00502EC8">
        <w:rPr>
          <w:rFonts w:eastAsiaTheme="minorEastAsia"/>
        </w:rPr>
        <w:t xml:space="preserve"> con respecto al tiempo:</w:t>
      </w:r>
    </w:p>
    <w:p w14:paraId="332FF2FE" w14:textId="620002B0" w:rsidR="00502EC8" w:rsidRPr="00637B29" w:rsidRDefault="00000000" w:rsidP="00502EC8">
      <w:pPr>
        <w:spacing w:after="0"/>
        <w:rPr>
          <w:rFonts w:eastAsiaTheme="minorEastAsia"/>
          <w:i/>
          <w:iCs/>
          <w:lang w:val="en-US"/>
        </w:rPr>
      </w:pPr>
      <m:oMathPara>
        <m:oMath>
          <m:acc>
            <m:accPr>
              <m:chr m:val="̇"/>
              <m:ctrlPr>
                <w:rPr>
                  <w:rFonts w:ascii="Cambria Math" w:hAnsi="Cambria Math"/>
                  <w:i/>
                </w:rPr>
              </m:ctrlPr>
            </m:accPr>
            <m:e>
              <m:r>
                <m:rPr>
                  <m:nor/>
                </m:rPr>
                <w:rPr>
                  <w:i/>
                  <w:lang w:val="en-US"/>
                </w:rPr>
                <m:t>Y</m:t>
              </m:r>
            </m:e>
          </m:acc>
          <m:r>
            <w:rPr>
              <w:rFonts w:ascii="Cambria Math" w:hAnsi="Cambria Math"/>
              <w:lang w:val="en-US"/>
            </w:rPr>
            <m:t>=</m:t>
          </m:r>
          <m:d>
            <m:dPr>
              <m:ctrlPr>
                <w:rPr>
                  <w:rFonts w:ascii="Cambria Math" w:hAnsi="Cambria Math"/>
                  <w:i/>
                </w:rPr>
              </m:ctrlPr>
            </m:dPr>
            <m:e>
              <m:acc>
                <m:accPr>
                  <m:chr m:val="̇"/>
                  <m:ctrlPr>
                    <w:rPr>
                      <w:rFonts w:ascii="Cambria Math" w:hAnsi="Cambria Math"/>
                      <w:i/>
                    </w:rPr>
                  </m:ctrlPr>
                </m:accPr>
                <m:e>
                  <m:r>
                    <m:rPr>
                      <m:nor/>
                    </m:rPr>
                    <w:rPr>
                      <w:i/>
                      <w:lang w:val="en-US"/>
                    </w:rPr>
                    <m:t>r</m:t>
                  </m:r>
                </m:e>
              </m:acc>
              <m:r>
                <w:rPr>
                  <w:rFonts w:ascii="Cambria Math" w:eastAsiaTheme="minorEastAsia" w:hAnsi="Cambria Math"/>
                  <w:lang w:val="en-US"/>
                </w:rPr>
                <m:t>∙</m:t>
              </m:r>
              <m:r>
                <m:rPr>
                  <m:nor/>
                </m:rPr>
                <w:rPr>
                  <w:i/>
                  <w:lang w:val="en-US"/>
                </w:rPr>
                <m:t>K</m:t>
              </m:r>
              <m:r>
                <w:rPr>
                  <w:rFonts w:ascii="Cambria Math" w:hAnsi="Cambria Math"/>
                  <w:lang w:val="en-US"/>
                </w:rPr>
                <m:t>+</m:t>
              </m:r>
              <m:r>
                <m:rPr>
                  <m:nor/>
                </m:rPr>
                <w:rPr>
                  <w:i/>
                  <w:lang w:val="en-US"/>
                </w:rPr>
                <m:t>r</m:t>
              </m:r>
              <m:r>
                <w:rPr>
                  <w:rFonts w:ascii="Cambria Math" w:eastAsiaTheme="minorEastAsia" w:hAnsi="Cambria Math"/>
                  <w:lang w:val="en-US"/>
                </w:rPr>
                <m:t>∙</m:t>
              </m:r>
              <m:acc>
                <m:accPr>
                  <m:chr m:val="̇"/>
                  <m:ctrlPr>
                    <w:rPr>
                      <w:rFonts w:ascii="Cambria Math" w:hAnsi="Cambria Math"/>
                      <w:i/>
                    </w:rPr>
                  </m:ctrlPr>
                </m:accPr>
                <m:e>
                  <m:r>
                    <m:rPr>
                      <m:nor/>
                    </m:rPr>
                    <w:rPr>
                      <w:i/>
                      <w:lang w:val="en-US"/>
                    </w:rPr>
                    <m:t>K</m:t>
                  </m:r>
                </m:e>
              </m:acc>
            </m:e>
          </m:d>
          <m:r>
            <w:rPr>
              <w:rFonts w:ascii="Cambria Math" w:hAnsi="Cambria Math"/>
              <w:lang w:val="en-US"/>
            </w:rPr>
            <m:t>+</m:t>
          </m:r>
          <m:d>
            <m:dPr>
              <m:ctrlPr>
                <w:rPr>
                  <w:rFonts w:ascii="Cambria Math" w:hAnsi="Cambria Math"/>
                  <w:i/>
                </w:rPr>
              </m:ctrlPr>
            </m:dPr>
            <m:e>
              <m:acc>
                <m:accPr>
                  <m:chr m:val="̇"/>
                  <m:ctrlPr>
                    <w:rPr>
                      <w:rFonts w:ascii="Cambria Math" w:hAnsi="Cambria Math"/>
                      <w:i/>
                    </w:rPr>
                  </m:ctrlPr>
                </m:accPr>
                <m:e>
                  <m:r>
                    <m:rPr>
                      <m:nor/>
                    </m:rPr>
                    <w:rPr>
                      <w:i/>
                      <w:lang w:val="en-US"/>
                    </w:rPr>
                    <m:t>w</m:t>
                  </m:r>
                </m:e>
              </m:acc>
              <m:r>
                <w:rPr>
                  <w:rFonts w:ascii="Cambria Math" w:eastAsiaTheme="minorEastAsia" w:hAnsi="Cambria Math"/>
                  <w:lang w:val="en-US"/>
                </w:rPr>
                <m:t>∙</m:t>
              </m:r>
              <m:r>
                <m:rPr>
                  <m:nor/>
                </m:rPr>
                <w:rPr>
                  <w:i/>
                  <w:lang w:val="en-US"/>
                </w:rPr>
                <m:t>L</m:t>
              </m:r>
              <m:r>
                <w:rPr>
                  <w:rFonts w:ascii="Cambria Math" w:hAnsi="Cambria Math"/>
                  <w:lang w:val="en-US"/>
                </w:rPr>
                <m:t>+</m:t>
              </m:r>
              <m:r>
                <m:rPr>
                  <m:nor/>
                </m:rPr>
                <w:rPr>
                  <w:i/>
                  <w:lang w:val="en-US"/>
                </w:rPr>
                <m:t>w</m:t>
              </m:r>
              <m:r>
                <w:rPr>
                  <w:rFonts w:ascii="Cambria Math" w:eastAsiaTheme="minorEastAsia" w:hAnsi="Cambria Math"/>
                  <w:lang w:val="en-US"/>
                </w:rPr>
                <m:t>∙</m:t>
              </m:r>
              <m:acc>
                <m:accPr>
                  <m:chr m:val="̇"/>
                  <m:ctrlPr>
                    <w:rPr>
                      <w:rFonts w:ascii="Cambria Math" w:hAnsi="Cambria Math"/>
                      <w:i/>
                    </w:rPr>
                  </m:ctrlPr>
                </m:accPr>
                <m:e>
                  <m:r>
                    <m:rPr>
                      <m:nor/>
                    </m:rPr>
                    <w:rPr>
                      <w:i/>
                      <w:lang w:val="en-US"/>
                    </w:rPr>
                    <m:t>L</m:t>
                  </m:r>
                </m:e>
              </m:acc>
            </m:e>
          </m:d>
        </m:oMath>
      </m:oMathPara>
    </w:p>
    <w:p w14:paraId="2AA3312D" w14:textId="53EA6623" w:rsidR="00AE448A" w:rsidRDefault="00637B29">
      <w:pPr>
        <w:pStyle w:val="Nivel2SM"/>
        <w:keepNext/>
        <w:spacing w:after="0"/>
        <w:rPr>
          <w:rFonts w:eastAsiaTheme="minorEastAsia"/>
        </w:rPr>
      </w:pPr>
      <w:r>
        <w:rPr>
          <w:rFonts w:eastAsiaTheme="minorEastAsia"/>
        </w:rPr>
        <w:t>D</w:t>
      </w:r>
      <w:r w:rsidR="00AE448A">
        <w:rPr>
          <w:rFonts w:eastAsiaTheme="minorEastAsia"/>
        </w:rPr>
        <w:t>ividi</w:t>
      </w:r>
      <w:r>
        <w:rPr>
          <w:rFonts w:eastAsiaTheme="minorEastAsia"/>
        </w:rPr>
        <w:t>mos</w:t>
      </w:r>
      <w:r w:rsidR="00AE448A">
        <w:rPr>
          <w:rFonts w:eastAsiaTheme="minorEastAsia"/>
        </w:rPr>
        <w:t xml:space="preserve"> por </w:t>
      </w:r>
      <w:r w:rsidR="00AE448A">
        <w:rPr>
          <w:rFonts w:eastAsiaTheme="minorEastAsia"/>
          <w:i/>
          <w:iCs/>
        </w:rPr>
        <w:t>Y</w:t>
      </w:r>
      <w:r w:rsidR="00AE448A">
        <w:rPr>
          <w:rFonts w:eastAsiaTheme="minorEastAsia"/>
        </w:rPr>
        <w:t xml:space="preserve"> </w:t>
      </w:r>
      <w:r>
        <w:rPr>
          <w:rFonts w:eastAsiaTheme="minorEastAsia"/>
        </w:rPr>
        <w:t>en ambos lados</w:t>
      </w:r>
      <w:r w:rsidR="00AE448A">
        <w:rPr>
          <w:rFonts w:eastAsiaTheme="minorEastAsia"/>
        </w:rPr>
        <w:t>:</w:t>
      </w:r>
    </w:p>
    <w:p w14:paraId="51A254DA" w14:textId="07103312" w:rsidR="00AE448A" w:rsidRPr="00637B29" w:rsidRDefault="00000000" w:rsidP="00AE448A">
      <w:pPr>
        <w:rPr>
          <w:rFonts w:eastAsiaTheme="minorEastAsia"/>
          <w:i/>
        </w:rPr>
      </w:pPr>
      <m:oMathPara>
        <m:oMath>
          <m:f>
            <m:fPr>
              <m:ctrlPr>
                <w:rPr>
                  <w:rFonts w:ascii="Cambria Math" w:hAnsi="Cambria Math"/>
                  <w:i/>
                </w:rPr>
              </m:ctrlPr>
            </m:fPr>
            <m:num>
              <m:acc>
                <m:accPr>
                  <m:chr m:val="̇"/>
                  <m:ctrlPr>
                    <w:rPr>
                      <w:rFonts w:ascii="Cambria Math" w:hAnsi="Cambria Math"/>
                      <w:i/>
                    </w:rPr>
                  </m:ctrlPr>
                </m:accPr>
                <m:e>
                  <m:r>
                    <m:rPr>
                      <m:nor/>
                    </m:rPr>
                    <w:rPr>
                      <w:i/>
                    </w:rPr>
                    <m:t>Y</m:t>
                  </m:r>
                </m:e>
              </m:acc>
            </m:num>
            <m:den>
              <m:r>
                <m:rPr>
                  <m:nor/>
                </m:rPr>
                <w:rPr>
                  <w:i/>
                </w:rPr>
                <m:t>Y</m:t>
              </m:r>
            </m:den>
          </m:f>
          <m:r>
            <w:rPr>
              <w:rFonts w:ascii="Cambria Math" w:hAnsi="Cambria Math"/>
            </w:rPr>
            <m:t>=</m:t>
          </m:r>
          <m:d>
            <m:dPr>
              <m:ctrlPr>
                <w:rPr>
                  <w:rFonts w:ascii="Cambria Math" w:hAnsi="Cambria Math"/>
                  <w:i/>
                </w:rPr>
              </m:ctrlPr>
            </m:dPr>
            <m:e>
              <m:acc>
                <m:accPr>
                  <m:chr m:val="̇"/>
                  <m:ctrlPr>
                    <w:rPr>
                      <w:rFonts w:ascii="Cambria Math" w:hAnsi="Cambria Math"/>
                      <w:i/>
                    </w:rPr>
                  </m:ctrlPr>
                </m:accPr>
                <m:e>
                  <m:r>
                    <m:rPr>
                      <m:nor/>
                    </m:rPr>
                    <w:rPr>
                      <w:i/>
                    </w:rPr>
                    <m:t>r</m:t>
                  </m:r>
                </m:e>
              </m:acc>
              <m:r>
                <w:rPr>
                  <w:rFonts w:ascii="Cambria Math" w:eastAsiaTheme="minorEastAsia" w:hAnsi="Cambria Math"/>
                </w:rPr>
                <m:t>∙</m:t>
              </m:r>
              <m:f>
                <m:fPr>
                  <m:ctrlPr>
                    <w:rPr>
                      <w:rFonts w:ascii="Cambria Math" w:hAnsi="Cambria Math"/>
                      <w:i/>
                    </w:rPr>
                  </m:ctrlPr>
                </m:fPr>
                <m:num>
                  <m:r>
                    <m:rPr>
                      <m:nor/>
                    </m:rPr>
                    <w:rPr>
                      <w:i/>
                    </w:rPr>
                    <m:t>K</m:t>
                  </m:r>
                </m:num>
                <m:den>
                  <m:r>
                    <m:rPr>
                      <m:nor/>
                    </m:rPr>
                    <w:rPr>
                      <w:i/>
                    </w:rPr>
                    <m:t>Y</m:t>
                  </m:r>
                </m:den>
              </m:f>
              <m:r>
                <w:rPr>
                  <w:rFonts w:ascii="Cambria Math" w:hAnsi="Cambria Math"/>
                </w:rPr>
                <m:t>+</m:t>
              </m:r>
              <m:f>
                <m:fPr>
                  <m:ctrlPr>
                    <w:rPr>
                      <w:rFonts w:ascii="Cambria Math" w:hAnsi="Cambria Math"/>
                      <w:i/>
                    </w:rPr>
                  </m:ctrlPr>
                </m:fPr>
                <m:num>
                  <m:r>
                    <m:rPr>
                      <m:nor/>
                    </m:rPr>
                    <w:rPr>
                      <w:i/>
                    </w:rPr>
                    <m:t>r</m:t>
                  </m:r>
                </m:num>
                <m:den>
                  <m:r>
                    <m:rPr>
                      <m:nor/>
                    </m:rPr>
                    <w:rPr>
                      <w:i/>
                    </w:rPr>
                    <m:t>Y</m:t>
                  </m:r>
                </m:den>
              </m:f>
              <m:r>
                <w:rPr>
                  <w:rFonts w:ascii="Cambria Math" w:eastAsiaTheme="minorEastAsia" w:hAnsi="Cambria Math"/>
                </w:rPr>
                <m:t>∙</m:t>
              </m:r>
              <m:acc>
                <m:accPr>
                  <m:chr m:val="̇"/>
                  <m:ctrlPr>
                    <w:rPr>
                      <w:rFonts w:ascii="Cambria Math" w:hAnsi="Cambria Math"/>
                      <w:i/>
                    </w:rPr>
                  </m:ctrlPr>
                </m:accPr>
                <m:e>
                  <m:r>
                    <m:rPr>
                      <m:nor/>
                    </m:rPr>
                    <w:rPr>
                      <w:i/>
                    </w:rPr>
                    <m:t>K</m:t>
                  </m:r>
                </m:e>
              </m:acc>
            </m:e>
          </m:d>
          <m:r>
            <w:rPr>
              <w:rFonts w:ascii="Cambria Math" w:hAnsi="Cambria Math"/>
            </w:rPr>
            <m:t>+</m:t>
          </m:r>
          <m:d>
            <m:dPr>
              <m:ctrlPr>
                <w:rPr>
                  <w:rFonts w:ascii="Cambria Math" w:hAnsi="Cambria Math"/>
                  <w:i/>
                </w:rPr>
              </m:ctrlPr>
            </m:dPr>
            <m:e>
              <m:acc>
                <m:accPr>
                  <m:chr m:val="̇"/>
                  <m:ctrlPr>
                    <w:rPr>
                      <w:rFonts w:ascii="Cambria Math" w:hAnsi="Cambria Math"/>
                      <w:i/>
                    </w:rPr>
                  </m:ctrlPr>
                </m:accPr>
                <m:e>
                  <m:r>
                    <m:rPr>
                      <m:nor/>
                    </m:rPr>
                    <w:rPr>
                      <w:i/>
                    </w:rPr>
                    <m:t>w</m:t>
                  </m:r>
                </m:e>
              </m:acc>
              <m:r>
                <w:rPr>
                  <w:rFonts w:ascii="Cambria Math" w:eastAsiaTheme="minorEastAsia" w:hAnsi="Cambria Math"/>
                </w:rPr>
                <m:t>∙</m:t>
              </m:r>
              <m:f>
                <m:fPr>
                  <m:ctrlPr>
                    <w:rPr>
                      <w:rFonts w:ascii="Cambria Math" w:hAnsi="Cambria Math"/>
                      <w:i/>
                    </w:rPr>
                  </m:ctrlPr>
                </m:fPr>
                <m:num>
                  <m:r>
                    <m:rPr>
                      <m:nor/>
                    </m:rPr>
                    <w:rPr>
                      <w:i/>
                    </w:rPr>
                    <m:t>L</m:t>
                  </m:r>
                </m:num>
                <m:den>
                  <m:r>
                    <m:rPr>
                      <m:nor/>
                    </m:rPr>
                    <w:rPr>
                      <w:i/>
                    </w:rPr>
                    <m:t>Y</m:t>
                  </m:r>
                </m:den>
              </m:f>
              <m:r>
                <w:rPr>
                  <w:rFonts w:ascii="Cambria Math" w:hAnsi="Cambria Math"/>
                </w:rPr>
                <m:t>+</m:t>
              </m:r>
              <m:f>
                <m:fPr>
                  <m:ctrlPr>
                    <w:rPr>
                      <w:rFonts w:ascii="Cambria Math" w:hAnsi="Cambria Math"/>
                      <w:i/>
                    </w:rPr>
                  </m:ctrlPr>
                </m:fPr>
                <m:num>
                  <m:r>
                    <m:rPr>
                      <m:nor/>
                    </m:rPr>
                    <w:rPr>
                      <w:i/>
                    </w:rPr>
                    <m:t>w</m:t>
                  </m:r>
                </m:num>
                <m:den>
                  <m:r>
                    <m:rPr>
                      <m:nor/>
                    </m:rPr>
                    <w:rPr>
                      <w:i/>
                    </w:rPr>
                    <m:t>Y</m:t>
                  </m:r>
                </m:den>
              </m:f>
              <m:r>
                <w:rPr>
                  <w:rFonts w:ascii="Cambria Math" w:eastAsiaTheme="minorEastAsia" w:hAnsi="Cambria Math"/>
                </w:rPr>
                <m:t>∙</m:t>
              </m:r>
              <m:acc>
                <m:accPr>
                  <m:chr m:val="̇"/>
                  <m:ctrlPr>
                    <w:rPr>
                      <w:rFonts w:ascii="Cambria Math" w:hAnsi="Cambria Math"/>
                      <w:i/>
                    </w:rPr>
                  </m:ctrlPr>
                </m:accPr>
                <m:e>
                  <m:r>
                    <m:rPr>
                      <m:nor/>
                    </m:rPr>
                    <w:rPr>
                      <w:i/>
                    </w:rPr>
                    <m:t>L</m:t>
                  </m:r>
                </m:e>
              </m:acc>
            </m:e>
          </m:d>
        </m:oMath>
      </m:oMathPara>
    </w:p>
    <w:p w14:paraId="1383DE42" w14:textId="0AACC3D7" w:rsidR="00637B29" w:rsidRPr="00AD2BD3" w:rsidRDefault="00637B29">
      <w:pPr>
        <w:pStyle w:val="Nivel2SM"/>
      </w:pPr>
      <w:r>
        <w:t xml:space="preserve">Dividimos y multiplicamos entre </w:t>
      </w:r>
      <m:oMath>
        <m:r>
          <m:rPr>
            <m:nor/>
          </m:rPr>
          <w:rPr>
            <w:i/>
          </w:rPr>
          <m:t>r</m:t>
        </m:r>
      </m:oMath>
      <w:r>
        <w:t xml:space="preserve">, </w:t>
      </w:r>
      <m:oMath>
        <m:r>
          <m:rPr>
            <m:nor/>
          </m:rPr>
          <w:rPr>
            <w:i/>
          </w:rPr>
          <m:t>K</m:t>
        </m:r>
      </m:oMath>
      <w:r w:rsidR="00AD2BD3">
        <w:rPr>
          <w:rFonts w:eastAsiaTheme="minorEastAsia"/>
        </w:rPr>
        <w:t xml:space="preserve">, </w:t>
      </w:r>
      <m:oMath>
        <m:r>
          <m:rPr>
            <m:nor/>
          </m:rPr>
          <w:rPr>
            <w:i/>
          </w:rPr>
          <m:t>w</m:t>
        </m:r>
      </m:oMath>
      <w:r w:rsidR="00AD2BD3">
        <w:rPr>
          <w:rFonts w:eastAsiaTheme="minorEastAsia"/>
        </w:rPr>
        <w:t xml:space="preserve"> y </w:t>
      </w:r>
      <m:oMath>
        <m:r>
          <m:rPr>
            <m:nor/>
          </m:rPr>
          <w:rPr>
            <w:i/>
          </w:rPr>
          <m:t>L</m:t>
        </m:r>
      </m:oMath>
      <w:r w:rsidR="00AD2BD3">
        <w:rPr>
          <w:rFonts w:eastAsiaTheme="minorEastAsia"/>
        </w:rPr>
        <w:t>:</w:t>
      </w:r>
    </w:p>
    <w:p w14:paraId="20E1C488" w14:textId="59480559" w:rsidR="00AD2BD3" w:rsidRPr="00AD2BD3" w:rsidRDefault="00000000" w:rsidP="00AD2BD3">
      <w:pPr>
        <w:pStyle w:val="Nivel2SM"/>
        <w:numPr>
          <w:ilvl w:val="0"/>
          <w:numId w:val="0"/>
        </w:numPr>
        <w:ind w:left="567"/>
        <w:rPr>
          <w:rFonts w:eastAsiaTheme="minorEastAsia"/>
        </w:rPr>
      </w:pPr>
      <m:oMathPara>
        <m:oMath>
          <m:f>
            <m:fPr>
              <m:ctrlPr>
                <w:rPr>
                  <w:rFonts w:ascii="Cambria Math" w:hAnsi="Cambria Math"/>
                  <w:i/>
                </w:rPr>
              </m:ctrlPr>
            </m:fPr>
            <m:num>
              <m:acc>
                <m:accPr>
                  <m:chr m:val="̇"/>
                  <m:ctrlPr>
                    <w:rPr>
                      <w:rFonts w:ascii="Cambria Math" w:hAnsi="Cambria Math"/>
                      <w:i/>
                    </w:rPr>
                  </m:ctrlPr>
                </m:accPr>
                <m:e>
                  <m:r>
                    <m:rPr>
                      <m:nor/>
                    </m:rPr>
                    <w:rPr>
                      <w:i/>
                    </w:rPr>
                    <m:t>Y</m:t>
                  </m:r>
                </m:e>
              </m:acc>
            </m:num>
            <m:den>
              <m:r>
                <m:rPr>
                  <m:nor/>
                </m:rPr>
                <w:rPr>
                  <w:i/>
                </w:rPr>
                <m:t>Y</m:t>
              </m:r>
            </m:den>
          </m:f>
          <m:r>
            <w:rPr>
              <w:rFonts w:ascii="Cambria Math" w:hAnsi="Cambria Math"/>
            </w:rPr>
            <m:t>=</m:t>
          </m:r>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m:rPr>
                          <m:nor/>
                        </m:rPr>
                        <w:rPr>
                          <w:i/>
                        </w:rPr>
                        <m:t>r</m:t>
                      </m:r>
                    </m:e>
                  </m:acc>
                </m:num>
                <m:den>
                  <m:r>
                    <m:rPr>
                      <m:nor/>
                    </m:rPr>
                    <w:rPr>
                      <w:i/>
                    </w:rPr>
                    <m:t>r</m:t>
                  </m:r>
                </m:den>
              </m:f>
              <m:r>
                <w:rPr>
                  <w:rFonts w:ascii="Cambria Math" w:eastAsiaTheme="minorEastAsia" w:hAnsi="Cambria Math"/>
                </w:rPr>
                <m:t>∙</m:t>
              </m:r>
              <m:f>
                <m:fPr>
                  <m:ctrlPr>
                    <w:rPr>
                      <w:rFonts w:ascii="Cambria Math" w:hAnsi="Cambria Math"/>
                      <w:i/>
                    </w:rPr>
                  </m:ctrlPr>
                </m:fPr>
                <m:num>
                  <m:r>
                    <m:rPr>
                      <m:nor/>
                    </m:rPr>
                    <w:rPr>
                      <w:i/>
                    </w:rPr>
                    <m:t>r</m:t>
                  </m:r>
                  <m:r>
                    <w:rPr>
                      <w:rFonts w:ascii="Cambria Math" w:eastAsiaTheme="minorEastAsia" w:hAnsi="Cambria Math"/>
                    </w:rPr>
                    <m:t>∙</m:t>
                  </m:r>
                  <m:r>
                    <m:rPr>
                      <m:nor/>
                    </m:rPr>
                    <w:rPr>
                      <w:i/>
                    </w:rPr>
                    <m:t>K</m:t>
                  </m:r>
                </m:num>
                <m:den>
                  <m:r>
                    <m:rPr>
                      <m:nor/>
                    </m:rPr>
                    <w:rPr>
                      <w:i/>
                    </w:rPr>
                    <m:t>Y</m:t>
                  </m:r>
                </m:den>
              </m:f>
              <m:r>
                <w:rPr>
                  <w:rFonts w:ascii="Cambria Math" w:hAnsi="Cambria Math"/>
                </w:rPr>
                <m:t>+</m:t>
              </m:r>
              <m:f>
                <m:fPr>
                  <m:ctrlPr>
                    <w:rPr>
                      <w:rFonts w:ascii="Cambria Math" w:hAnsi="Cambria Math"/>
                      <w:i/>
                    </w:rPr>
                  </m:ctrlPr>
                </m:fPr>
                <m:num>
                  <m:r>
                    <m:rPr>
                      <m:nor/>
                    </m:rPr>
                    <w:rPr>
                      <w:i/>
                    </w:rPr>
                    <m:t>r</m:t>
                  </m:r>
                  <m:r>
                    <w:rPr>
                      <w:rFonts w:ascii="Cambria Math" w:eastAsiaTheme="minorEastAsia" w:hAnsi="Cambria Math"/>
                    </w:rPr>
                    <m:t>∙</m:t>
                  </m:r>
                  <m:r>
                    <m:rPr>
                      <m:nor/>
                    </m:rPr>
                    <w:rPr>
                      <w:i/>
                    </w:rPr>
                    <m:t>K</m:t>
                  </m:r>
                </m:num>
                <m:den>
                  <m:r>
                    <m:rPr>
                      <m:nor/>
                    </m:rPr>
                    <w:rPr>
                      <w:i/>
                    </w:rPr>
                    <m:t>Y</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K</m:t>
                      </m:r>
                    </m:e>
                  </m:acc>
                </m:num>
                <m:den>
                  <m:r>
                    <m:rPr>
                      <m:nor/>
                    </m:rPr>
                    <w:rPr>
                      <w:i/>
                    </w:rPr>
                    <m:t>K</m:t>
                  </m:r>
                </m:den>
              </m:f>
            </m:e>
          </m:d>
          <m:r>
            <w:rPr>
              <w:rFonts w:ascii="Cambria Math" w:hAnsi="Cambria Math"/>
            </w:rPr>
            <m:t>+</m:t>
          </m:r>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m:rPr>
                          <m:nor/>
                        </m:rPr>
                        <w:rPr>
                          <w:i/>
                        </w:rPr>
                        <m:t>w</m:t>
                      </m:r>
                    </m:e>
                  </m:acc>
                </m:num>
                <m:den>
                  <m:r>
                    <m:rPr>
                      <m:nor/>
                    </m:rPr>
                    <w:rPr>
                      <w:i/>
                    </w:rPr>
                    <m:t>w</m:t>
                  </m:r>
                </m:den>
              </m:f>
              <m:r>
                <w:rPr>
                  <w:rFonts w:ascii="Cambria Math" w:eastAsiaTheme="minorEastAsia" w:hAnsi="Cambria Math"/>
                </w:rPr>
                <m:t>∙</m:t>
              </m:r>
              <m:f>
                <m:fPr>
                  <m:ctrlPr>
                    <w:rPr>
                      <w:rFonts w:ascii="Cambria Math" w:hAnsi="Cambria Math"/>
                      <w:i/>
                    </w:rPr>
                  </m:ctrlPr>
                </m:fPr>
                <m:num>
                  <m:r>
                    <m:rPr>
                      <m:nor/>
                    </m:rPr>
                    <w:rPr>
                      <w:i/>
                    </w:rPr>
                    <m:t>w</m:t>
                  </m:r>
                  <m:r>
                    <w:rPr>
                      <w:rFonts w:ascii="Cambria Math" w:eastAsiaTheme="minorEastAsia" w:hAnsi="Cambria Math"/>
                    </w:rPr>
                    <m:t>∙</m:t>
                  </m:r>
                  <m:r>
                    <m:rPr>
                      <m:nor/>
                    </m:rPr>
                    <w:rPr>
                      <w:i/>
                    </w:rPr>
                    <m:t>L</m:t>
                  </m:r>
                </m:num>
                <m:den>
                  <m:r>
                    <m:rPr>
                      <m:nor/>
                    </m:rPr>
                    <w:rPr>
                      <w:i/>
                    </w:rPr>
                    <m:t>Y</m:t>
                  </m:r>
                </m:den>
              </m:f>
              <m:r>
                <w:rPr>
                  <w:rFonts w:ascii="Cambria Math" w:hAnsi="Cambria Math"/>
                </w:rPr>
                <m:t>+</m:t>
              </m:r>
              <m:f>
                <m:fPr>
                  <m:ctrlPr>
                    <w:rPr>
                      <w:rFonts w:ascii="Cambria Math" w:hAnsi="Cambria Math"/>
                      <w:i/>
                    </w:rPr>
                  </m:ctrlPr>
                </m:fPr>
                <m:num>
                  <m:r>
                    <m:rPr>
                      <m:nor/>
                    </m:rPr>
                    <w:rPr>
                      <w:i/>
                    </w:rPr>
                    <m:t>w</m:t>
                  </m:r>
                  <m:r>
                    <w:rPr>
                      <w:rFonts w:ascii="Cambria Math" w:eastAsiaTheme="minorEastAsia" w:hAnsi="Cambria Math"/>
                    </w:rPr>
                    <m:t>∙</m:t>
                  </m:r>
                  <m:r>
                    <m:rPr>
                      <m:nor/>
                    </m:rPr>
                    <w:rPr>
                      <w:i/>
                    </w:rPr>
                    <m:t>L</m:t>
                  </m:r>
                </m:num>
                <m:den>
                  <m:r>
                    <m:rPr>
                      <m:nor/>
                    </m:rPr>
                    <w:rPr>
                      <w:i/>
                    </w:rPr>
                    <m:t>Y</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L</m:t>
                      </m:r>
                    </m:e>
                  </m:acc>
                </m:num>
                <m:den>
                  <m:r>
                    <m:rPr>
                      <m:nor/>
                    </m:rPr>
                    <w:rPr>
                      <w:i/>
                    </w:rPr>
                    <m:t>L</m:t>
                  </m:r>
                </m:den>
              </m:f>
            </m:e>
          </m:d>
          <m:r>
            <m:rPr>
              <m:sty m:val="p"/>
            </m:rPr>
            <w:rPr>
              <w:rFonts w:ascii="Cambria Math" w:hAnsi="Cambria Math"/>
            </w:rPr>
            <w:br/>
          </m:r>
        </m:oMath>
        <m:oMath>
          <m:f>
            <m:fPr>
              <m:ctrlPr>
                <w:rPr>
                  <w:rFonts w:ascii="Cambria Math" w:hAnsi="Cambria Math"/>
                  <w:i/>
                </w:rPr>
              </m:ctrlPr>
            </m:fPr>
            <m:num>
              <m:acc>
                <m:accPr>
                  <m:chr m:val="̇"/>
                  <m:ctrlPr>
                    <w:rPr>
                      <w:rFonts w:ascii="Cambria Math" w:hAnsi="Cambria Math"/>
                      <w:i/>
                    </w:rPr>
                  </m:ctrlPr>
                </m:accPr>
                <m:e>
                  <m:r>
                    <m:rPr>
                      <m:nor/>
                    </m:rPr>
                    <w:rPr>
                      <w:i/>
                    </w:rPr>
                    <m:t>Y</m:t>
                  </m:r>
                </m:e>
              </m:acc>
            </m:num>
            <m:den>
              <m:r>
                <m:rPr>
                  <m:nor/>
                </m:rPr>
                <w:rPr>
                  <w:i/>
                </w:rPr>
                <m:t>Y</m:t>
              </m:r>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r</m:t>
                      </m:r>
                      <m:r>
                        <w:rPr>
                          <w:rFonts w:ascii="Cambria Math" w:eastAsiaTheme="minorEastAsia" w:hAnsi="Cambria Math"/>
                        </w:rPr>
                        <m:t>∙</m:t>
                      </m:r>
                      <m:r>
                        <m:rPr>
                          <m:nor/>
                        </m:rPr>
                        <w:rPr>
                          <w:i/>
                        </w:rPr>
                        <m:t>K</m:t>
                      </m:r>
                    </m:num>
                    <m:den>
                      <m:r>
                        <m:rPr>
                          <m:nor/>
                        </m:rPr>
                        <w:rPr>
                          <w:i/>
                        </w:rPr>
                        <m:t>Y</m:t>
                      </m:r>
                    </m:den>
                  </m:f>
                </m:e>
              </m:groupChr>
            </m:e>
            <m:lim>
              <m:sSub>
                <m:sSubPr>
                  <m:ctrlPr>
                    <w:rPr>
                      <w:rFonts w:ascii="Cambria Math" w:hAnsi="Cambria Math"/>
                      <w:i/>
                    </w:rPr>
                  </m:ctrlPr>
                </m:sSubPr>
                <m:e>
                  <m:r>
                    <m:rPr>
                      <m:nor/>
                    </m:rPr>
                    <w:rPr>
                      <w:rFonts w:eastAsiaTheme="minorEastAsia"/>
                      <w:i/>
                    </w:rPr>
                    <m:t>α</m:t>
                  </m:r>
                </m:e>
                <m:sub>
                  <m:r>
                    <m:rPr>
                      <m:nor/>
                    </m:rPr>
                    <w:rPr>
                      <w:rFonts w:eastAsiaTheme="minorEastAsia"/>
                      <w:i/>
                    </w:rPr>
                    <m:t>K</m:t>
                  </m:r>
                </m:sub>
              </m:sSub>
            </m:lim>
          </m:limLow>
          <m:r>
            <w:rPr>
              <w:rFonts w:ascii="Cambria Math" w:eastAsiaTheme="minorEastAsia" w:hAnsi="Cambria Math"/>
            </w:rPr>
            <m:t>∙</m:t>
          </m:r>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m:rPr>
                          <m:nor/>
                        </m:rPr>
                        <w:rPr>
                          <w:i/>
                        </w:rPr>
                        <m:t>r</m:t>
                      </m:r>
                    </m:e>
                  </m:acc>
                </m:num>
                <m:den>
                  <m:r>
                    <m:rPr>
                      <m:nor/>
                    </m:rPr>
                    <w:rPr>
                      <w:i/>
                    </w:rPr>
                    <m:t>r</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K</m:t>
                      </m:r>
                    </m:e>
                  </m:acc>
                </m:num>
                <m:den>
                  <m:r>
                    <m:rPr>
                      <m:nor/>
                    </m:rPr>
                    <w:rPr>
                      <w:i/>
                    </w:rPr>
                    <m:t>K</m:t>
                  </m:r>
                </m:den>
              </m:f>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w</m:t>
                      </m:r>
                      <m:r>
                        <w:rPr>
                          <w:rFonts w:ascii="Cambria Math" w:eastAsiaTheme="minorEastAsia" w:hAnsi="Cambria Math"/>
                        </w:rPr>
                        <m:t>∙</m:t>
                      </m:r>
                      <m:r>
                        <m:rPr>
                          <m:nor/>
                        </m:rPr>
                        <w:rPr>
                          <w:i/>
                        </w:rPr>
                        <m:t>L</m:t>
                      </m:r>
                    </m:num>
                    <m:den>
                      <m:r>
                        <m:rPr>
                          <m:nor/>
                        </m:rPr>
                        <w:rPr>
                          <w:i/>
                        </w:rPr>
                        <m:t>Y</m:t>
                      </m:r>
                    </m:den>
                  </m:f>
                </m:e>
              </m:groupChr>
            </m:e>
            <m:lim>
              <m:sSub>
                <m:sSubPr>
                  <m:ctrlPr>
                    <w:rPr>
                      <w:rFonts w:ascii="Cambria Math" w:hAnsi="Cambria Math"/>
                      <w:i/>
                    </w:rPr>
                  </m:ctrlPr>
                </m:sSubPr>
                <m:e>
                  <m:r>
                    <m:rPr>
                      <m:nor/>
                    </m:rPr>
                    <w:rPr>
                      <w:rFonts w:eastAsiaTheme="minorEastAsia"/>
                      <w:i/>
                    </w:rPr>
                    <m:t>α</m:t>
                  </m:r>
                </m:e>
                <m:sub>
                  <m:r>
                    <m:rPr>
                      <m:nor/>
                    </m:rPr>
                    <w:rPr>
                      <w:rFonts w:eastAsiaTheme="minorEastAsia"/>
                      <w:i/>
                    </w:rPr>
                    <m:t>L</m:t>
                  </m:r>
                </m:sub>
              </m:sSub>
            </m:lim>
          </m:limLow>
          <m:r>
            <w:rPr>
              <w:rFonts w:ascii="Cambria Math" w:eastAsiaTheme="minorEastAsia" w:hAnsi="Cambria Math"/>
            </w:rPr>
            <m:t>∙</m:t>
          </m:r>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m:rPr>
                          <m:nor/>
                        </m:rPr>
                        <w:rPr>
                          <w:i/>
                        </w:rPr>
                        <m:t>w</m:t>
                      </m:r>
                    </m:e>
                  </m:acc>
                </m:num>
                <m:den>
                  <m:r>
                    <m:rPr>
                      <m:nor/>
                    </m:rPr>
                    <w:rPr>
                      <w:i/>
                    </w:rPr>
                    <m:t>w</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L</m:t>
                      </m:r>
                    </m:e>
                  </m:acc>
                </m:num>
                <m:den>
                  <m:r>
                    <m:rPr>
                      <m:nor/>
                    </m:rPr>
                    <w:rPr>
                      <w:i/>
                    </w:rPr>
                    <m:t>L</m:t>
                  </m:r>
                </m:den>
              </m:f>
            </m:e>
          </m:d>
        </m:oMath>
      </m:oMathPara>
    </w:p>
    <w:p w14:paraId="5B9E104D" w14:textId="1604C8E6" w:rsidR="00AE448A" w:rsidRDefault="00AE448A">
      <w:pPr>
        <w:pStyle w:val="Nivel1SM"/>
        <w:keepNext/>
        <w:spacing w:after="0"/>
      </w:pPr>
      <w:r>
        <w:t>Y teniendo en cuenta que el residuo de Solow es el crecimiento que no se puede explicar por la acumulación de los factores productivos</w:t>
      </w:r>
      <w:r w:rsidR="00AD2BD3">
        <w:t>, despejamos y obtenemos</w:t>
      </w:r>
      <w:r>
        <w:t>:</w:t>
      </w:r>
    </w:p>
    <w:p w14:paraId="59E44365" w14:textId="63918913" w:rsidR="00AE448A" w:rsidRPr="00AD2BD3" w:rsidRDefault="00AD2BD3" w:rsidP="00AE448A">
      <w:pPr>
        <w:rPr>
          <w:rFonts w:eastAsiaTheme="minorEastAsia"/>
          <w:i/>
        </w:rPr>
      </w:pPr>
      <m:oMathPara>
        <m:oMath>
          <m:r>
            <w:rPr>
              <w:rFonts w:ascii="Cambria Math" w:eastAsiaTheme="minorEastAsia" w:hAnsi="Cambria Math"/>
            </w:rPr>
            <m:t xml:space="preserve"> </m:t>
          </m:r>
          <m:r>
            <m:rPr>
              <m:nor/>
            </m:rPr>
            <w:rPr>
              <w:rFonts w:eastAsiaTheme="minorEastAsia"/>
              <w:i/>
              <w:iCs/>
            </w:rPr>
            <m:t>Residuo de Solow</m:t>
          </m:r>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acc>
                        <m:accPr>
                          <m:chr m:val="̇"/>
                          <m:ctrlPr>
                            <w:rPr>
                              <w:rFonts w:ascii="Cambria Math" w:hAnsi="Cambria Math"/>
                              <w:i/>
                            </w:rPr>
                          </m:ctrlPr>
                        </m:accPr>
                        <m:e>
                          <m:r>
                            <m:rPr>
                              <m:nor/>
                            </m:rPr>
                            <w:rPr>
                              <w:i/>
                            </w:rPr>
                            <m:t>Y</m:t>
                          </m:r>
                        </m:e>
                      </m:acc>
                    </m:num>
                    <m:den>
                      <m:r>
                        <m:rPr>
                          <m:nor/>
                        </m:rPr>
                        <w:rPr>
                          <w:i/>
                        </w:rPr>
                        <m:t>Y</m:t>
                      </m:r>
                    </m:den>
                  </m:f>
                  <m:r>
                    <w:rPr>
                      <w:rFonts w:ascii="Cambria Math" w:hAnsi="Cambria Math"/>
                    </w:rPr>
                    <m:t>-</m:t>
                  </m:r>
                  <m:r>
                    <m:rPr>
                      <m:nor/>
                    </m:rPr>
                    <w:rPr>
                      <w:i/>
                    </w:rPr>
                    <m:t xml:space="preserve"> </m:t>
                  </m:r>
                  <m:f>
                    <m:fPr>
                      <m:ctrlPr>
                        <w:rPr>
                          <w:rFonts w:ascii="Cambria Math" w:hAnsi="Cambria Math"/>
                          <w:i/>
                        </w:rPr>
                      </m:ctrlPr>
                    </m:fPr>
                    <m:num>
                      <m:r>
                        <m:rPr>
                          <m:nor/>
                        </m:rPr>
                        <w:rPr>
                          <w:i/>
                        </w:rPr>
                        <m:t>r</m:t>
                      </m:r>
                      <m:r>
                        <w:rPr>
                          <w:rFonts w:ascii="Cambria Math" w:eastAsiaTheme="minorEastAsia" w:hAnsi="Cambria Math"/>
                        </w:rPr>
                        <m:t>∙</m:t>
                      </m:r>
                      <m:r>
                        <m:rPr>
                          <m:nor/>
                        </m:rPr>
                        <w:rPr>
                          <w:i/>
                        </w:rPr>
                        <m:t>K</m:t>
                      </m:r>
                    </m:num>
                    <m:den>
                      <m:r>
                        <m:rPr>
                          <m:nor/>
                        </m:rPr>
                        <w:rPr>
                          <w:i/>
                        </w:rPr>
                        <m:t>Y</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K</m:t>
                          </m:r>
                        </m:e>
                      </m:acc>
                    </m:num>
                    <m:den>
                      <m:r>
                        <m:rPr>
                          <m:nor/>
                        </m:rPr>
                        <w:rPr>
                          <w:i/>
                        </w:rPr>
                        <m:t>K</m:t>
                      </m:r>
                    </m:den>
                  </m:f>
                  <m:r>
                    <w:rPr>
                      <w:rFonts w:ascii="Cambria Math" w:hAnsi="Cambria Math"/>
                    </w:rPr>
                    <m:t>-</m:t>
                  </m:r>
                  <m:f>
                    <m:fPr>
                      <m:ctrlPr>
                        <w:rPr>
                          <w:rFonts w:ascii="Cambria Math" w:hAnsi="Cambria Math"/>
                          <w:i/>
                        </w:rPr>
                      </m:ctrlPr>
                    </m:fPr>
                    <m:num>
                      <m:r>
                        <m:rPr>
                          <m:nor/>
                        </m:rPr>
                        <w:rPr>
                          <w:i/>
                        </w:rPr>
                        <m:t>w</m:t>
                      </m:r>
                      <m:r>
                        <w:rPr>
                          <w:rFonts w:ascii="Cambria Math" w:eastAsiaTheme="minorEastAsia" w:hAnsi="Cambria Math"/>
                        </w:rPr>
                        <m:t>∙</m:t>
                      </m:r>
                      <m:r>
                        <m:rPr>
                          <m:nor/>
                        </m:rPr>
                        <w:rPr>
                          <w:i/>
                        </w:rPr>
                        <m:t>L</m:t>
                      </m:r>
                    </m:num>
                    <m:den>
                      <m:r>
                        <m:rPr>
                          <m:nor/>
                        </m:rPr>
                        <w:rPr>
                          <w:i/>
                        </w:rPr>
                        <m:t>Y</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L</m:t>
                          </m:r>
                        </m:e>
                      </m:acc>
                    </m:num>
                    <m:den>
                      <m:r>
                        <m:rPr>
                          <m:nor/>
                        </m:rPr>
                        <w:rPr>
                          <w:i/>
                        </w:rPr>
                        <m:t>L</m:t>
                      </m:r>
                    </m:den>
                  </m:f>
                </m:e>
              </m:groupChr>
            </m:e>
            <m:lim>
              <m:r>
                <m:rPr>
                  <m:nor/>
                </m:rPr>
                <w:rPr>
                  <w:i/>
                  <w:iCs/>
                </w:rPr>
                <m:t>Enfoque primal</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r</m:t>
                      </m:r>
                      <m:r>
                        <w:rPr>
                          <w:rFonts w:ascii="Cambria Math" w:eastAsiaTheme="minorEastAsia" w:hAnsi="Cambria Math"/>
                        </w:rPr>
                        <m:t>∙</m:t>
                      </m:r>
                      <m:r>
                        <m:rPr>
                          <m:nor/>
                        </m:rPr>
                        <w:rPr>
                          <w:i/>
                        </w:rPr>
                        <m:t>K</m:t>
                      </m:r>
                    </m:num>
                    <m:den>
                      <m:r>
                        <m:rPr>
                          <m:nor/>
                        </m:rPr>
                        <w:rPr>
                          <w:i/>
                        </w:rPr>
                        <m:t>Y</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r</m:t>
                          </m:r>
                        </m:e>
                      </m:acc>
                    </m:num>
                    <m:den>
                      <m:r>
                        <m:rPr>
                          <m:nor/>
                        </m:rPr>
                        <w:rPr>
                          <w:i/>
                        </w:rPr>
                        <m:t>r</m:t>
                      </m:r>
                    </m:den>
                  </m:f>
                  <m:r>
                    <w:rPr>
                      <w:rFonts w:ascii="Cambria Math" w:hAnsi="Cambria Math"/>
                    </w:rPr>
                    <m:t>+</m:t>
                  </m:r>
                  <m:f>
                    <m:fPr>
                      <m:ctrlPr>
                        <w:rPr>
                          <w:rFonts w:ascii="Cambria Math" w:hAnsi="Cambria Math"/>
                          <w:i/>
                        </w:rPr>
                      </m:ctrlPr>
                    </m:fPr>
                    <m:num>
                      <m:r>
                        <m:rPr>
                          <m:nor/>
                        </m:rPr>
                        <w:rPr>
                          <w:i/>
                        </w:rPr>
                        <m:t>w</m:t>
                      </m:r>
                      <m:r>
                        <w:rPr>
                          <w:rFonts w:ascii="Cambria Math" w:eastAsiaTheme="minorEastAsia" w:hAnsi="Cambria Math"/>
                        </w:rPr>
                        <m:t>∙</m:t>
                      </m:r>
                      <m:r>
                        <m:rPr>
                          <m:nor/>
                        </m:rPr>
                        <w:rPr>
                          <w:i/>
                        </w:rPr>
                        <m:t>L</m:t>
                      </m:r>
                    </m:num>
                    <m:den>
                      <m:r>
                        <m:rPr>
                          <m:nor/>
                        </m:rPr>
                        <w:rPr>
                          <w:i/>
                        </w:rPr>
                        <m:t>Y</m:t>
                      </m:r>
                    </m:den>
                  </m:f>
                  <m:r>
                    <w:rPr>
                      <w:rFonts w:ascii="Cambria Math" w:eastAsiaTheme="minorEastAsia" w:hAnsi="Cambria Math"/>
                    </w:rPr>
                    <m:t>∙</m:t>
                  </m:r>
                  <m:f>
                    <m:fPr>
                      <m:ctrlPr>
                        <w:rPr>
                          <w:rFonts w:ascii="Cambria Math" w:hAnsi="Cambria Math"/>
                          <w:i/>
                        </w:rPr>
                      </m:ctrlPr>
                    </m:fPr>
                    <m:num>
                      <m:acc>
                        <m:accPr>
                          <m:chr m:val="̇"/>
                          <m:ctrlPr>
                            <w:rPr>
                              <w:rFonts w:ascii="Cambria Math" w:hAnsi="Cambria Math"/>
                              <w:i/>
                            </w:rPr>
                          </m:ctrlPr>
                        </m:accPr>
                        <m:e>
                          <m:r>
                            <m:rPr>
                              <m:nor/>
                            </m:rPr>
                            <w:rPr>
                              <w:i/>
                            </w:rPr>
                            <m:t>w</m:t>
                          </m:r>
                        </m:e>
                      </m:acc>
                    </m:num>
                    <m:den>
                      <m:r>
                        <m:rPr>
                          <m:nor/>
                        </m:rPr>
                        <w:rPr>
                          <w:i/>
                        </w:rPr>
                        <m:t>w</m:t>
                      </m:r>
                    </m:den>
                  </m:f>
                </m:e>
              </m:groupChr>
            </m:e>
            <m:lim>
              <m:r>
                <m:rPr>
                  <m:nor/>
                </m:rPr>
                <w:rPr>
                  <w:i/>
                  <w:iCs/>
                </w:rPr>
                <m:t>Enfoque dual</m:t>
              </m:r>
            </m:lim>
          </m:limLow>
        </m:oMath>
      </m:oMathPara>
    </w:p>
    <w:p w14:paraId="21B9AC04" w14:textId="7CAFAE70" w:rsidR="00426653" w:rsidRDefault="001815A5">
      <w:pPr>
        <w:pStyle w:val="Nivel2SM"/>
      </w:pPr>
      <w:r>
        <w:lastRenderedPageBreak/>
        <w:t xml:space="preserve">En esta ecuación se aprecia la equivalencia entre los </w:t>
      </w:r>
      <w:r w:rsidR="006265A2">
        <w:t>2 </w:t>
      </w:r>
      <w:r>
        <w:t xml:space="preserve">enfoques de estimación del residuo de Solow, correspondiendo la expresión de la izquierda al </w:t>
      </w:r>
      <w:r w:rsidRPr="006265A2">
        <w:rPr>
          <w:i/>
          <w:iCs/>
        </w:rPr>
        <w:t>enfoque primal</w:t>
      </w:r>
      <w:r>
        <w:t xml:space="preserve"> y la expresión de la derecha al </w:t>
      </w:r>
      <w:r w:rsidRPr="006265A2">
        <w:rPr>
          <w:i/>
          <w:iCs/>
        </w:rPr>
        <w:t>enfoque dual</w:t>
      </w:r>
      <w:r w:rsidR="00426653">
        <w:rPr>
          <w:rStyle w:val="Refdenotaalpie"/>
        </w:rPr>
        <w:footnoteReference w:id="17"/>
      </w:r>
      <w:r>
        <w:t>.</w:t>
      </w:r>
    </w:p>
    <w:p w14:paraId="614481A1" w14:textId="2F31BA02" w:rsidR="00AD2BD3" w:rsidRDefault="001815A5" w:rsidP="00426653">
      <w:pPr>
        <w:pStyle w:val="Nivel2SM"/>
        <w:keepNext/>
        <w:spacing w:after="0"/>
      </w:pPr>
      <w:r w:rsidRPr="0012485E">
        <w:rPr>
          <w:i/>
          <w:iCs/>
        </w:rPr>
        <w:t xml:space="preserve">El enfoque dual obtiene el </w:t>
      </w:r>
      <w:r w:rsidR="0012485E" w:rsidRPr="0012485E">
        <w:rPr>
          <w:rFonts w:cs="Times New Roman"/>
          <w:i/>
          <w:iCs/>
        </w:rPr>
        <w:t>«residuo de Solow»</w:t>
      </w:r>
      <w:r w:rsidRPr="0012485E">
        <w:rPr>
          <w:i/>
          <w:iCs/>
        </w:rPr>
        <w:t xml:space="preserve"> como una media ponderada de las tasas de crecimiento de los precios de los factores productivos</w:t>
      </w:r>
      <w:r>
        <w:t>.</w:t>
      </w:r>
    </w:p>
    <w:p w14:paraId="7FD47583" w14:textId="77777777" w:rsidR="0012485E" w:rsidRDefault="001815A5" w:rsidP="00426653">
      <w:pPr>
        <w:pStyle w:val="Nivel3SM"/>
        <w:keepNext/>
      </w:pPr>
      <w:r>
        <w:t xml:space="preserve">La </w:t>
      </w:r>
      <w:r w:rsidRPr="0012485E">
        <w:rPr>
          <w:i/>
          <w:iCs/>
        </w:rPr>
        <w:t>intuición</w:t>
      </w:r>
      <w:r>
        <w:t xml:space="preserve"> que hay detrás de este resultado es que</w:t>
      </w:r>
      <w:r w:rsidR="0012485E">
        <w:t>:</w:t>
      </w:r>
    </w:p>
    <w:p w14:paraId="7592BF89" w14:textId="77777777" w:rsidR="0012485E" w:rsidRDefault="0012485E" w:rsidP="00426653">
      <w:pPr>
        <w:pStyle w:val="Nivel4"/>
        <w:ind w:left="1474"/>
      </w:pPr>
      <w:r>
        <w:t>S</w:t>
      </w:r>
      <w:r w:rsidR="001815A5">
        <w:t>i el producto crece gracias a la acumulación de capital físico, la ley de rendimientos decrecientes del capital reducirá el producto marginal del capital y, con él, el precio del capital físico. Sin embargo, al ser el capital físico complementario del trabajo, el salario subirá.</w:t>
      </w:r>
    </w:p>
    <w:p w14:paraId="434D4E5C" w14:textId="4D809A27" w:rsidR="001815A5" w:rsidRDefault="001815A5" w:rsidP="00426653">
      <w:pPr>
        <w:pStyle w:val="Nivel4"/>
        <w:ind w:left="1474"/>
      </w:pPr>
      <w:r>
        <w:t xml:space="preserve">Si el producto crece gracias a la acumulación de trabajo, entonces el salario </w:t>
      </w:r>
      <w:r w:rsidR="0012485E">
        <w:t>se reducirá y el precio del capital subirá.</w:t>
      </w:r>
    </w:p>
    <w:p w14:paraId="59A6AF18" w14:textId="61B6807D" w:rsidR="0012485E" w:rsidRPr="009C4133" w:rsidRDefault="0012485E" w:rsidP="00426653">
      <w:pPr>
        <w:pStyle w:val="Nivel4"/>
        <w:ind w:left="1474"/>
      </w:pPr>
      <w:r>
        <w:t xml:space="preserve">Para que los pagos a los </w:t>
      </w:r>
      <w:r w:rsidR="00A97842">
        <w:t>2 </w:t>
      </w:r>
      <w:r>
        <w:t>factores productivos puedan crecer es necesario que aumente la productividad total de los factores.</w:t>
      </w:r>
    </w:p>
    <w:p w14:paraId="6F060161" w14:textId="25F54AC0" w:rsidR="009C4133" w:rsidRDefault="009C4133" w:rsidP="009C4133">
      <w:pPr>
        <w:pStyle w:val="Ttulo7"/>
        <w:rPr>
          <w:rFonts w:eastAsiaTheme="minorEastAsia"/>
        </w:rPr>
      </w:pPr>
      <w:r>
        <w:rPr>
          <w:rFonts w:eastAsiaTheme="minorEastAsia"/>
        </w:rPr>
        <w:t>Implicaciones</w:t>
      </w:r>
    </w:p>
    <w:p w14:paraId="3F0A5293" w14:textId="77777777" w:rsidR="00D43F40" w:rsidRDefault="00D43F40" w:rsidP="00D43F40">
      <w:pPr>
        <w:pStyle w:val="Nivel1SM"/>
        <w:keepNext/>
        <w:spacing w:before="0" w:after="0"/>
      </w:pPr>
      <w:r>
        <w:t xml:space="preserve">En el trabajo de </w:t>
      </w:r>
      <w:r>
        <w:rPr>
          <w:smallCaps/>
        </w:rPr>
        <w:t>Hsieh</w:t>
      </w:r>
      <w:r>
        <w:t xml:space="preserve">, se lleva a cabo una </w:t>
      </w:r>
      <w:r w:rsidRPr="00163188">
        <w:rPr>
          <w:b/>
          <w:bCs/>
        </w:rPr>
        <w:t xml:space="preserve">comparación de los </w:t>
      </w:r>
      <w:r>
        <w:rPr>
          <w:b/>
          <w:bCs/>
        </w:rPr>
        <w:t>2 </w:t>
      </w:r>
      <w:r w:rsidRPr="00163188">
        <w:rPr>
          <w:b/>
          <w:bCs/>
        </w:rPr>
        <w:t>enfoques</w:t>
      </w:r>
      <w:r>
        <w:t>.</w:t>
      </w:r>
    </w:p>
    <w:p w14:paraId="0A0EAF11" w14:textId="77777777" w:rsidR="00D43F40" w:rsidRDefault="00D43F40" w:rsidP="00D43F40">
      <w:pPr>
        <w:pStyle w:val="Nivel2SM"/>
        <w:keepNext/>
        <w:spacing w:after="0"/>
      </w:pPr>
      <w:r>
        <w:t>La principal implicación del ejercicio es que, para algunos países existen diferencias en los resultados obtenidos usando el enfoque clásico (usando las cuentas nacionales) y el enfoque dual (en el que se utilizan datos sobre los precios de los factores).</w:t>
      </w:r>
    </w:p>
    <w:p w14:paraId="705ED499" w14:textId="77777777" w:rsidR="00D43F40" w:rsidRDefault="00D43F40" w:rsidP="00D43F40">
      <w:pPr>
        <w:pStyle w:val="Nivel3SM"/>
      </w:pPr>
      <w:r>
        <w:t>Esta diferencia sugiere que los datos disponibles sobre los precios de los factores no son consistentes con los precios de los factores que uno inferiría usando las cuentas nacionales.</w:t>
      </w:r>
    </w:p>
    <w:p w14:paraId="6C34A4B2" w14:textId="1C9EB239" w:rsidR="009C4133" w:rsidRPr="009C4133" w:rsidRDefault="009C4133" w:rsidP="001B447B">
      <w:pPr>
        <w:pStyle w:val="Ttulo6"/>
        <w:spacing w:before="0"/>
      </w:pPr>
      <w:bookmarkStart w:id="34" w:name="_Toc129716207"/>
      <w:r>
        <w:t>Valoración</w:t>
      </w:r>
      <w:bookmarkEnd w:id="34"/>
    </w:p>
    <w:p w14:paraId="2E71084D" w14:textId="598A7699" w:rsidR="0012485E" w:rsidRDefault="0012485E" w:rsidP="00D43F40">
      <w:pPr>
        <w:pStyle w:val="Nivel1SM"/>
        <w:keepNext/>
        <w:spacing w:before="0" w:after="0"/>
      </w:pPr>
      <w:r>
        <w:t xml:space="preserve">El enfoque de </w:t>
      </w:r>
      <w:r>
        <w:rPr>
          <w:smallCaps/>
        </w:rPr>
        <w:t>Hsieh</w:t>
      </w:r>
      <w:r>
        <w:t xml:space="preserve"> presenta una serie de </w:t>
      </w:r>
      <w:r w:rsidRPr="0012485E">
        <w:rPr>
          <w:b/>
          <w:bCs/>
        </w:rPr>
        <w:t>ventajas</w:t>
      </w:r>
      <w:r>
        <w:t xml:space="preserve"> sobre el modelo de </w:t>
      </w:r>
      <w:r>
        <w:rPr>
          <w:smallCaps/>
        </w:rPr>
        <w:t>Solow</w:t>
      </w:r>
      <w:r>
        <w:t>:</w:t>
      </w:r>
    </w:p>
    <w:p w14:paraId="2FF4C0EC" w14:textId="222C8F7D" w:rsidR="0012485E" w:rsidRDefault="0012485E">
      <w:pPr>
        <w:pStyle w:val="Nivel2SM"/>
      </w:pPr>
      <w:r>
        <w:t xml:space="preserve">Parte de </w:t>
      </w:r>
      <w:r w:rsidRPr="001655C0">
        <w:rPr>
          <w:i/>
          <w:iCs/>
          <w:u w:val="single"/>
        </w:rPr>
        <w:t>supuestos menos restrictivos</w:t>
      </w:r>
      <w:r>
        <w:t>.</w:t>
      </w:r>
    </w:p>
    <w:p w14:paraId="2289797E" w14:textId="50128D33" w:rsidR="0012485E" w:rsidRDefault="0012485E">
      <w:pPr>
        <w:pStyle w:val="Nivel2SM"/>
      </w:pPr>
      <w:r w:rsidRPr="0012485E">
        <w:rPr>
          <w:smallCaps/>
        </w:rPr>
        <w:t>Hsieh</w:t>
      </w:r>
      <w:r>
        <w:t xml:space="preserve"> argumenta que </w:t>
      </w:r>
      <w:r w:rsidRPr="001655C0">
        <w:rPr>
          <w:i/>
          <w:iCs/>
          <w:u w:val="single"/>
        </w:rPr>
        <w:t>calcular precios siempre es más sencillo que calcular cantidades</w:t>
      </w:r>
      <w:r>
        <w:t>.</w:t>
      </w:r>
    </w:p>
    <w:p w14:paraId="7EFAF0E9" w14:textId="57945959" w:rsidR="0012485E" w:rsidRDefault="0012485E">
      <w:pPr>
        <w:pStyle w:val="Nivel1SM"/>
        <w:keepNext/>
        <w:spacing w:after="0"/>
      </w:pPr>
      <w:r>
        <w:t xml:space="preserve">Sin embargo, también presenta </w:t>
      </w:r>
      <w:r w:rsidR="004B1AAD">
        <w:rPr>
          <w:b/>
          <w:bCs/>
        </w:rPr>
        <w:t>limitacione</w:t>
      </w:r>
      <w:r>
        <w:rPr>
          <w:b/>
          <w:bCs/>
        </w:rPr>
        <w:t>s</w:t>
      </w:r>
      <w:r>
        <w:t>:</w:t>
      </w:r>
    </w:p>
    <w:p w14:paraId="040CAA1C" w14:textId="6CD62D58" w:rsidR="0012485E" w:rsidRDefault="0012485E">
      <w:pPr>
        <w:pStyle w:val="Nivel2SM"/>
        <w:keepNext/>
        <w:spacing w:after="0"/>
      </w:pPr>
      <w:r>
        <w:t xml:space="preserve">Cuando se estima la productividad total de factores empleando ambos enfoques </w:t>
      </w:r>
      <w:r w:rsidRPr="0012485E">
        <w:rPr>
          <w:i/>
          <w:iCs/>
          <w:u w:val="single"/>
        </w:rPr>
        <w:t>existe</w:t>
      </w:r>
      <w:r>
        <w:rPr>
          <w:i/>
          <w:iCs/>
          <w:u w:val="single"/>
        </w:rPr>
        <w:t>n</w:t>
      </w:r>
      <w:r w:rsidRPr="0012485E">
        <w:rPr>
          <w:i/>
          <w:iCs/>
          <w:u w:val="single"/>
        </w:rPr>
        <w:t xml:space="preserve"> disparidades</w:t>
      </w:r>
      <w:r>
        <w:t>. Por ejemplo, en el caso de Singapur:</w:t>
      </w:r>
    </w:p>
    <w:p w14:paraId="0DF0A2D6" w14:textId="77777777" w:rsidR="0012485E" w:rsidRDefault="0012485E">
      <w:pPr>
        <w:pStyle w:val="Nivel3SM"/>
      </w:pPr>
      <w:r>
        <w:t>Con el primal, se estima un crecimiento de la productividad cercano a cero.</w:t>
      </w:r>
    </w:p>
    <w:p w14:paraId="6F966A4C" w14:textId="0012E7FF" w:rsidR="0012485E" w:rsidRDefault="0012485E">
      <w:pPr>
        <w:pStyle w:val="Nivel3SM"/>
      </w:pPr>
      <w:r>
        <w:t>Con el dual, en cambio, se estima un crecimiento de la productividad muy positivo.</w:t>
      </w:r>
    </w:p>
    <w:p w14:paraId="5E047FC1" w14:textId="70148140" w:rsidR="0012485E" w:rsidRDefault="0012485E" w:rsidP="0012485E">
      <w:pPr>
        <w:pStyle w:val="Nivel2SM"/>
        <w:keepNext/>
        <w:numPr>
          <w:ilvl w:val="0"/>
          <w:numId w:val="0"/>
        </w:numPr>
        <w:spacing w:after="0"/>
        <w:ind w:left="567"/>
      </w:pPr>
      <w:r>
        <w:t xml:space="preserve">En principio, la contabilidad de Singapur, muestra un crecimiento notable del factor capital a lo largo del tiempo, con lo que la remuneración del capital debería </w:t>
      </w:r>
      <w:r w:rsidR="000B2783">
        <w:t>haber</w:t>
      </w:r>
      <w:r>
        <w:t xml:space="preserve"> registrado una notable reducción. Sin embargo, las estimaciones directas de estas variables, basadas en las rentabilidades observadas en los mercados financieros son relativamente estables a lo largo del tiempo. Según </w:t>
      </w:r>
      <w:r>
        <w:rPr>
          <w:smallCaps/>
        </w:rPr>
        <w:t>Sala-i-Martí</w:t>
      </w:r>
      <w:r w:rsidR="008E2B0F">
        <w:rPr>
          <w:smallCaps/>
        </w:rPr>
        <w:t>n</w:t>
      </w:r>
      <w:r>
        <w:t>, esto puede ser debido a distintos motivos:</w:t>
      </w:r>
    </w:p>
    <w:p w14:paraId="430BA959" w14:textId="65FAA3BE" w:rsidR="0012485E" w:rsidRDefault="0012485E">
      <w:pPr>
        <w:pStyle w:val="Nivel3SM"/>
      </w:pPr>
      <w:r w:rsidRPr="009778E9">
        <w:rPr>
          <w:i/>
          <w:iCs/>
        </w:rPr>
        <w:t>Fallos de cálculo</w:t>
      </w:r>
      <w:r>
        <w:t>.</w:t>
      </w:r>
    </w:p>
    <w:p w14:paraId="5B68AA01" w14:textId="3E3F4CF7" w:rsidR="0012485E" w:rsidRDefault="0012485E">
      <w:pPr>
        <w:pStyle w:val="Nivel3SM"/>
      </w:pPr>
      <w:r w:rsidRPr="009778E9">
        <w:rPr>
          <w:i/>
          <w:iCs/>
        </w:rPr>
        <w:t>Los líderes políticos</w:t>
      </w:r>
      <w:r w:rsidR="0009015C" w:rsidRPr="009778E9">
        <w:rPr>
          <w:i/>
          <w:iCs/>
        </w:rPr>
        <w:t xml:space="preserve"> hinchaban las cantidades de capital físico con el objetivo de aparentar mayores logros en sus programas de inversión</w:t>
      </w:r>
      <w:r w:rsidR="0009015C">
        <w:t xml:space="preserve">. Sin embargo, dichos políticos no podían manipular los precios de mercado de los factores productivos, por lo que sus mentiras estadísticas aparecen cuando </w:t>
      </w:r>
      <w:r w:rsidR="009778E9">
        <w:t>se</w:t>
      </w:r>
      <w:r w:rsidR="0009015C">
        <w:t xml:space="preserve"> usa metodología primal.</w:t>
      </w:r>
    </w:p>
    <w:p w14:paraId="479DC520" w14:textId="77777777" w:rsidR="009778E9" w:rsidRDefault="0012485E">
      <w:pPr>
        <w:pStyle w:val="Nivel3SM"/>
        <w:keepNext/>
      </w:pPr>
      <w:r>
        <w:t xml:space="preserve">Una tercera posibilidad, apuntada por </w:t>
      </w:r>
      <w:r>
        <w:rPr>
          <w:smallCaps/>
        </w:rPr>
        <w:t>Young</w:t>
      </w:r>
      <w:r>
        <w:t xml:space="preserve"> (1998)</w:t>
      </w:r>
      <w:r w:rsidR="0009015C">
        <w:t xml:space="preserve">, señala que </w:t>
      </w:r>
      <w:r w:rsidR="009778E9" w:rsidRPr="009778E9">
        <w:rPr>
          <w:i/>
          <w:iCs/>
        </w:rPr>
        <w:t xml:space="preserve">el estudio de </w:t>
      </w:r>
      <w:r w:rsidR="009778E9" w:rsidRPr="009778E9">
        <w:rPr>
          <w:i/>
          <w:iCs/>
          <w:smallCaps/>
        </w:rPr>
        <w:t>Hsieh</w:t>
      </w:r>
      <w:r w:rsidR="009778E9" w:rsidRPr="009778E9">
        <w:rPr>
          <w:i/>
          <w:iCs/>
        </w:rPr>
        <w:t xml:space="preserve"> no trata correctamente los impuestos sobre el capital</w:t>
      </w:r>
      <w:r w:rsidR="009778E9">
        <w:t>.</w:t>
      </w:r>
    </w:p>
    <w:p w14:paraId="36FB5C23" w14:textId="00BC01CD" w:rsidR="009778E9" w:rsidRPr="009778E9" w:rsidRDefault="009778E9">
      <w:pPr>
        <w:pStyle w:val="Nivel4"/>
        <w:ind w:left="1474"/>
        <w:rPr>
          <w:spacing w:val="-4"/>
        </w:rPr>
      </w:pPr>
      <w:r w:rsidRPr="009778E9">
        <w:rPr>
          <w:spacing w:val="-4"/>
        </w:rPr>
        <w:t xml:space="preserve">Según </w:t>
      </w:r>
      <w:r w:rsidRPr="009778E9">
        <w:rPr>
          <w:smallCaps/>
          <w:spacing w:val="-4"/>
        </w:rPr>
        <w:t>Young</w:t>
      </w:r>
      <w:r w:rsidRPr="009778E9">
        <w:rPr>
          <w:spacing w:val="-4"/>
        </w:rPr>
        <w:t xml:space="preserve">, </w:t>
      </w:r>
      <w:r w:rsidR="0009015C" w:rsidRPr="009778E9">
        <w:rPr>
          <w:spacing w:val="-4"/>
        </w:rPr>
        <w:t>en los países asiáticos</w:t>
      </w:r>
      <w:r w:rsidRPr="009778E9">
        <w:rPr>
          <w:spacing w:val="-4"/>
        </w:rPr>
        <w:t>,</w:t>
      </w:r>
      <w:r w:rsidR="0009015C" w:rsidRPr="009778E9">
        <w:rPr>
          <w:spacing w:val="-4"/>
        </w:rPr>
        <w:t xml:space="preserve"> el crecimiento se debió en gran parte a la acumulación de capital y trabajo</w:t>
      </w:r>
      <w:r w:rsidRPr="009778E9">
        <w:rPr>
          <w:spacing w:val="-4"/>
        </w:rPr>
        <w:t xml:space="preserve"> </w:t>
      </w:r>
      <w:r w:rsidRPr="009778E9">
        <w:rPr>
          <w:spacing w:val="-4"/>
          <w:sz w:val="19"/>
          <w:szCs w:val="19"/>
        </w:rPr>
        <w:t xml:space="preserve">(i.e. el </w:t>
      </w:r>
      <w:r w:rsidRPr="009778E9">
        <w:rPr>
          <w:rFonts w:cs="Times New Roman"/>
          <w:spacing w:val="-4"/>
          <w:sz w:val="19"/>
          <w:szCs w:val="19"/>
        </w:rPr>
        <w:t>«residuo de Solow»</w:t>
      </w:r>
      <w:r w:rsidRPr="009778E9">
        <w:rPr>
          <w:spacing w:val="-4"/>
          <w:sz w:val="19"/>
          <w:szCs w:val="19"/>
        </w:rPr>
        <w:t xml:space="preserve"> sería reducido tal y como predice el </w:t>
      </w:r>
      <w:r w:rsidRPr="009778E9">
        <w:rPr>
          <w:spacing w:val="-4"/>
          <w:sz w:val="19"/>
          <w:szCs w:val="19"/>
        </w:rPr>
        <w:lastRenderedPageBreak/>
        <w:t>enfoque primal)</w:t>
      </w:r>
      <w:r w:rsidR="0009015C" w:rsidRPr="009778E9">
        <w:rPr>
          <w:spacing w:val="-4"/>
        </w:rPr>
        <w:t xml:space="preserve">. De este modo, para </w:t>
      </w:r>
      <w:r w:rsidR="0009015C" w:rsidRPr="009778E9">
        <w:rPr>
          <w:smallCaps/>
          <w:spacing w:val="-4"/>
        </w:rPr>
        <w:t>Young</w:t>
      </w:r>
      <w:r w:rsidR="0009015C" w:rsidRPr="009778E9">
        <w:rPr>
          <w:spacing w:val="-4"/>
        </w:rPr>
        <w:t xml:space="preserve"> </w:t>
      </w:r>
      <w:r w:rsidR="001F2C96" w:rsidRPr="009778E9">
        <w:rPr>
          <w:spacing w:val="-4"/>
        </w:rPr>
        <w:t xml:space="preserve">la estimación correcta es la del enfoque primal y </w:t>
      </w:r>
      <w:r w:rsidR="0009015C" w:rsidRPr="009778E9">
        <w:rPr>
          <w:spacing w:val="-4"/>
        </w:rPr>
        <w:t>habría que buscar los errores en la medición de los precios de los factores productivos.</w:t>
      </w:r>
    </w:p>
    <w:p w14:paraId="2A6F3B14" w14:textId="2CF13076" w:rsidR="0012485E" w:rsidRPr="0043553F" w:rsidRDefault="009778E9">
      <w:pPr>
        <w:pStyle w:val="Nivel4"/>
        <w:ind w:left="1474"/>
      </w:pPr>
      <w:r>
        <w:t>Por lo tanto</w:t>
      </w:r>
      <w:r w:rsidR="0009015C">
        <w:t xml:space="preserve">, </w:t>
      </w:r>
      <w:r w:rsidR="0009015C">
        <w:rPr>
          <w:smallCaps/>
        </w:rPr>
        <w:t>Young</w:t>
      </w:r>
      <w:r w:rsidR="0009015C">
        <w:t xml:space="preserve"> argumenta que </w:t>
      </w:r>
      <w:r w:rsidR="0009015C" w:rsidRPr="009778E9">
        <w:t xml:space="preserve">el estudio de </w:t>
      </w:r>
      <w:r w:rsidR="0009015C" w:rsidRPr="009778E9">
        <w:rPr>
          <w:smallCaps/>
        </w:rPr>
        <w:t>Hsieh</w:t>
      </w:r>
      <w:r w:rsidR="0009015C" w:rsidRPr="009778E9">
        <w:t xml:space="preserve"> no trata correctamente los impuestos sobre el capital</w:t>
      </w:r>
      <w:r>
        <w:t>.</w:t>
      </w:r>
      <w:r w:rsidR="0009015C">
        <w:t xml:space="preserve"> </w:t>
      </w:r>
      <w:r>
        <w:t>S</w:t>
      </w:r>
      <w:r w:rsidR="0009015C">
        <w:t xml:space="preserve">i bien es cierto que la tasa de retorno del capital, </w:t>
      </w:r>
      <m:oMath>
        <m:r>
          <m:rPr>
            <m:nor/>
          </m:rPr>
          <w:rPr>
            <w:i/>
          </w:rPr>
          <m:t>r</m:t>
        </m:r>
      </m:oMath>
      <w:r w:rsidR="0009015C">
        <w:t xml:space="preserve">, ha crecido mucho si se mide antes de impuestos, una vez se incorporan éstos se observa un decrecimiento de la </w:t>
      </w:r>
      <m:oMath>
        <m:r>
          <m:rPr>
            <m:nor/>
          </m:rPr>
          <w:rPr>
            <w:i/>
          </w:rPr>
          <m:t>r</m:t>
        </m:r>
      </m:oMath>
      <w:r w:rsidR="00C15DBD">
        <w:rPr>
          <w:rFonts w:eastAsiaTheme="minorEastAsia"/>
        </w:rPr>
        <w:t> </w:t>
      </w:r>
      <w:r w:rsidR="0009015C">
        <w:rPr>
          <w:rFonts w:eastAsiaTheme="minorEastAsia"/>
        </w:rPr>
        <w:t>neta, debido a los sucesivos aumentos impositivos experimentados por economías como la de Singapur.</w:t>
      </w:r>
    </w:p>
    <w:p w14:paraId="27A7E15C" w14:textId="1C25F76B" w:rsidR="0043553F" w:rsidRDefault="0043553F" w:rsidP="0043553F">
      <w:pPr>
        <w:pStyle w:val="Nivel1SM"/>
      </w:pPr>
      <w:r>
        <w:t>Dadas las limitaciones del enfoque clásico de la contabilidad del crecimiento económico, que parece depender fundamentalmente del residuo de Solow, se han desarrollado nuevas ampliaciones que tratan de determinar qu</w:t>
      </w:r>
      <w:r w:rsidR="00FF4D51">
        <w:t>é</w:t>
      </w:r>
      <w:r>
        <w:t xml:space="preserve"> otros factores determinan el crecimiento económico.</w:t>
      </w:r>
    </w:p>
    <w:p w14:paraId="07DE120A" w14:textId="77777777" w:rsidR="0072019A" w:rsidRDefault="0072019A">
      <w:pPr>
        <w:pStyle w:val="Ttulo2"/>
      </w:pPr>
      <w:bookmarkStart w:id="35" w:name="_Toc129716208"/>
      <w:r>
        <w:t>Enfoque econométrico</w:t>
      </w:r>
      <w:bookmarkEnd w:id="35"/>
    </w:p>
    <w:p w14:paraId="033E3052" w14:textId="438470DB" w:rsidR="0072019A" w:rsidRDefault="0072019A" w:rsidP="001B447B">
      <w:pPr>
        <w:pStyle w:val="Ttulo6"/>
        <w:spacing w:before="0"/>
      </w:pPr>
      <w:bookmarkStart w:id="36" w:name="_Toc129716209"/>
      <w:r>
        <w:t>Idea</w:t>
      </w:r>
      <w:bookmarkEnd w:id="36"/>
    </w:p>
    <w:p w14:paraId="40EC6174" w14:textId="591469E9" w:rsidR="0072019A" w:rsidRDefault="0072019A" w:rsidP="001B447B">
      <w:pPr>
        <w:pStyle w:val="Nivel1SM"/>
        <w:spacing w:before="0"/>
      </w:pPr>
      <w:r>
        <w:t>La idea de este enfoque es estimar el</w:t>
      </w:r>
      <w:r w:rsidRPr="0072019A">
        <w:t xml:space="preserve"> </w:t>
      </w:r>
      <w:r w:rsidRPr="0072019A">
        <w:rPr>
          <w:rFonts w:cs="Times New Roman"/>
          <w:spacing w:val="-4"/>
        </w:rPr>
        <w:t>«residuo de Solow»</w:t>
      </w:r>
      <w:r>
        <w:t xml:space="preserve"> mediante una regresión de la tasa de crecimiento del PIB sobre la tasa de crecimiento de los factores de producción.</w:t>
      </w:r>
    </w:p>
    <w:p w14:paraId="0A3F4FAE" w14:textId="654DF717" w:rsidR="0072019A" w:rsidRDefault="0072019A" w:rsidP="0072019A">
      <w:pPr>
        <w:pStyle w:val="Ttulo6"/>
      </w:pPr>
      <w:bookmarkStart w:id="37" w:name="_Toc129716210"/>
      <w:r>
        <w:t>Desarrollo</w:t>
      </w:r>
      <w:bookmarkEnd w:id="37"/>
    </w:p>
    <w:p w14:paraId="7B0D17C0" w14:textId="0FE62F02" w:rsidR="0072019A" w:rsidRDefault="0072019A" w:rsidP="001B447B">
      <w:pPr>
        <w:pStyle w:val="Nivel1SM"/>
        <w:keepNext/>
        <w:spacing w:before="0" w:after="0"/>
      </w:pPr>
      <w:r>
        <w:t>Estimamos una regresión de sección cruzada en la que la tasa de crecimiento del PIB será nuestra variable dependiente en función de la tasa de crecimiento de los factores productivos:</w:t>
      </w:r>
    </w:p>
    <w:p w14:paraId="0CA6203E" w14:textId="5F18DCDC" w:rsidR="0072019A" w:rsidRPr="0072019A" w:rsidRDefault="00000000" w:rsidP="00BF7D27">
      <w:pPr>
        <w:pStyle w:val="Nivel1SM"/>
        <w:numPr>
          <w:ilvl w:val="0"/>
          <w:numId w:val="0"/>
        </w:numPr>
        <w:spacing w:before="0"/>
      </w:pPr>
      <m:oMathPara>
        <m:oMath>
          <m:borderBox>
            <m:borderBoxPr>
              <m:ctrlPr>
                <w:rPr>
                  <w:rFonts w:ascii="Cambria Math" w:hAnsi="Cambria Math"/>
                  <w:i/>
                  <w:lang w:val="en-US"/>
                </w:rPr>
              </m:ctrlPr>
            </m:borderBoxPr>
            <m:e>
              <m:sSub>
                <m:sSubPr>
                  <m:ctrlPr>
                    <w:rPr>
                      <w:rFonts w:ascii="Cambria Math" w:hAnsi="Cambria Math"/>
                      <w:i/>
                      <w:lang w:val="en-US"/>
                    </w:rPr>
                  </m:ctrlPr>
                </m:sSubPr>
                <m:e>
                  <m:r>
                    <m:rPr>
                      <m:nor/>
                    </m:rPr>
                    <w:rPr>
                      <w:i/>
                      <w:iCs/>
                      <w:lang w:val="en-US"/>
                    </w:rPr>
                    <m:t>γ</m:t>
                  </m:r>
                </m:e>
                <m:sub>
                  <m:r>
                    <m:rPr>
                      <m:nor/>
                    </m:rPr>
                    <w:rPr>
                      <w:i/>
                    </w:rPr>
                    <m:t>Y</m:t>
                  </m:r>
                </m:sub>
              </m:sSub>
              <m:r>
                <w:rPr>
                  <w:rFonts w:ascii="Cambria Math" w:hAnsi="Cambria Math"/>
                </w:rPr>
                <m:t>=</m:t>
              </m:r>
              <m:r>
                <m:rPr>
                  <m:nor/>
                </m:rPr>
                <w:rPr>
                  <w:i/>
                  <w:iCs/>
                </w:rPr>
                <m:t>RS</m:t>
              </m:r>
              <m:r>
                <w:rPr>
                  <w:rFonts w:ascii="Cambria Math" w:eastAsiaTheme="minorEastAsia" w:hAnsi="Cambria Math"/>
                </w:rPr>
                <m:t>+</m:t>
              </m:r>
              <m:sSub>
                <m:sSubPr>
                  <m:ctrlPr>
                    <w:rPr>
                      <w:rFonts w:ascii="Cambria Math" w:hAnsi="Cambria Math"/>
                      <w:i/>
                    </w:rPr>
                  </m:ctrlPr>
                </m:sSubPr>
                <m:e>
                  <m:r>
                    <m:rPr>
                      <m:nor/>
                    </m:rPr>
                    <w:rPr>
                      <w:i/>
                      <w:iCs/>
                    </w:rPr>
                    <m:t>α</m:t>
                  </m:r>
                </m:e>
                <m:sub>
                  <m:r>
                    <m:rPr>
                      <m:nor/>
                    </m:rPr>
                    <w:rPr>
                      <w:i/>
                    </w:rPr>
                    <m:t>K</m:t>
                  </m:r>
                </m:sub>
              </m:sSub>
              <m:r>
                <w:rPr>
                  <w:rFonts w:ascii="Cambria Math" w:eastAsiaTheme="minorEastAsia" w:hAnsi="Cambria Math"/>
                </w:rPr>
                <m:t>∙</m:t>
              </m:r>
              <m:sSub>
                <m:sSubPr>
                  <m:ctrlPr>
                    <w:rPr>
                      <w:rFonts w:ascii="Cambria Math" w:hAnsi="Cambria Math"/>
                      <w:i/>
                      <w:lang w:val="en-US"/>
                    </w:rPr>
                  </m:ctrlPr>
                </m:sSubPr>
                <m:e>
                  <m:r>
                    <m:rPr>
                      <m:nor/>
                    </m:rPr>
                    <w:rPr>
                      <w:i/>
                      <w:iCs/>
                      <w:lang w:val="en-US"/>
                    </w:rPr>
                    <m:t>γ</m:t>
                  </m:r>
                </m:e>
                <m:sub>
                  <m:r>
                    <m:rPr>
                      <m:nor/>
                    </m:rPr>
                    <w:rPr>
                      <w:i/>
                    </w:rPr>
                    <m:t>K</m:t>
                  </m:r>
                </m:sub>
              </m:sSub>
              <m:r>
                <w:rPr>
                  <w:rFonts w:ascii="Cambria Math" w:eastAsiaTheme="minorEastAsia" w:hAnsi="Cambria Math"/>
                </w:rPr>
                <m:t>+</m:t>
              </m:r>
              <m:sSub>
                <m:sSubPr>
                  <m:ctrlPr>
                    <w:rPr>
                      <w:rFonts w:ascii="Cambria Math" w:hAnsi="Cambria Math"/>
                      <w:i/>
                    </w:rPr>
                  </m:ctrlPr>
                </m:sSubPr>
                <m:e>
                  <m:r>
                    <m:rPr>
                      <m:nor/>
                    </m:rPr>
                    <w:rPr>
                      <w:i/>
                      <w:iCs/>
                    </w:rPr>
                    <m:t>α</m:t>
                  </m:r>
                </m:e>
                <m:sub>
                  <m:r>
                    <m:rPr>
                      <m:nor/>
                    </m:rPr>
                    <w:rPr>
                      <w:i/>
                    </w:rPr>
                    <m:t>L</m:t>
                  </m:r>
                </m:sub>
              </m:sSub>
              <m:r>
                <w:rPr>
                  <w:rFonts w:ascii="Cambria Math" w:eastAsiaTheme="minorEastAsia" w:hAnsi="Cambria Math"/>
                </w:rPr>
                <m:t>∙</m:t>
              </m:r>
              <m:sSub>
                <m:sSubPr>
                  <m:ctrlPr>
                    <w:rPr>
                      <w:rFonts w:ascii="Cambria Math" w:hAnsi="Cambria Math"/>
                      <w:i/>
                      <w:lang w:val="en-US"/>
                    </w:rPr>
                  </m:ctrlPr>
                </m:sSubPr>
                <m:e>
                  <m:r>
                    <m:rPr>
                      <m:nor/>
                    </m:rPr>
                    <w:rPr>
                      <w:i/>
                      <w:iCs/>
                      <w:lang w:val="en-US"/>
                    </w:rPr>
                    <m:t>γ</m:t>
                  </m:r>
                </m:e>
                <m:sub>
                  <m:r>
                    <m:rPr>
                      <m:nor/>
                    </m:rPr>
                    <w:rPr>
                      <w:i/>
                    </w:rPr>
                    <m:t>L</m:t>
                  </m:r>
                </m:sub>
              </m:sSub>
              <m:r>
                <w:rPr>
                  <w:rFonts w:ascii="Cambria Math" w:eastAsiaTheme="minorEastAsia" w:hAnsi="Cambria Math"/>
                </w:rPr>
                <m:t>+</m:t>
              </m:r>
              <m:r>
                <m:rPr>
                  <m:nor/>
                </m:rPr>
                <w:rPr>
                  <w:i/>
                </w:rPr>
                <m:t>ε</m:t>
              </m:r>
            </m:e>
          </m:borderBox>
          <m:r>
            <m:rPr>
              <m:sty m:val="p"/>
            </m:rPr>
            <w:rPr>
              <w:rFonts w:eastAsiaTheme="minorEastAsia"/>
            </w:rPr>
            <w:br/>
          </m:r>
        </m:oMath>
      </m:oMathPara>
      <w:r w:rsidR="0072019A">
        <w:rPr>
          <w:rFonts w:eastAsiaTheme="minorEastAsia"/>
        </w:rPr>
        <w:t>donde obtenemos como parámetros las elasticidades</w:t>
      </w:r>
      <w:r w:rsidR="00C15DBD">
        <w:rPr>
          <w:rFonts w:eastAsiaTheme="minorEastAsia"/>
        </w:rPr>
        <w:t>-</w:t>
      </w:r>
      <w:r w:rsidR="0072019A">
        <w:rPr>
          <w:rFonts w:eastAsiaTheme="minorEastAsia"/>
        </w:rPr>
        <w:t>producto (</w:t>
      </w:r>
      <m:oMath>
        <m:sSub>
          <m:sSubPr>
            <m:ctrlPr>
              <w:rPr>
                <w:rFonts w:ascii="Cambria Math" w:hAnsi="Cambria Math"/>
                <w:i/>
              </w:rPr>
            </m:ctrlPr>
          </m:sSubPr>
          <m:e>
            <m:r>
              <m:rPr>
                <m:nor/>
              </m:rPr>
              <w:rPr>
                <w:i/>
                <w:iCs/>
              </w:rPr>
              <m:t>α</m:t>
            </m:r>
          </m:e>
          <m:sub>
            <m:r>
              <m:rPr>
                <m:nor/>
              </m:rPr>
              <w:rPr>
                <w:i/>
              </w:rPr>
              <m:t>K</m:t>
            </m:r>
          </m:sub>
        </m:sSub>
      </m:oMath>
      <w:r w:rsidR="0072019A">
        <w:rPr>
          <w:rFonts w:eastAsiaTheme="minorEastAsia"/>
        </w:rPr>
        <w:t xml:space="preserve"> y </w:t>
      </w:r>
      <m:oMath>
        <m:sSub>
          <m:sSubPr>
            <m:ctrlPr>
              <w:rPr>
                <w:rFonts w:ascii="Cambria Math" w:hAnsi="Cambria Math"/>
                <w:i/>
              </w:rPr>
            </m:ctrlPr>
          </m:sSubPr>
          <m:e>
            <m:r>
              <m:rPr>
                <m:nor/>
              </m:rPr>
              <w:rPr>
                <w:i/>
                <w:iCs/>
              </w:rPr>
              <m:t>α</m:t>
            </m:r>
          </m:e>
          <m:sub>
            <m:r>
              <m:rPr>
                <m:nor/>
              </m:rPr>
              <w:rPr>
                <w:i/>
              </w:rPr>
              <m:t>L</m:t>
            </m:r>
          </m:sub>
        </m:sSub>
      </m:oMath>
      <w:r w:rsidR="0072019A">
        <w:rPr>
          <w:rFonts w:eastAsiaTheme="minorEastAsia"/>
        </w:rPr>
        <w:t xml:space="preserve">) y como intercepto (i.e. la constante/ordenada en el origen) obtenemos el </w:t>
      </w:r>
      <w:r w:rsidR="0072019A" w:rsidRPr="0072019A">
        <w:rPr>
          <w:rFonts w:cs="Times New Roman"/>
          <w:spacing w:val="-4"/>
        </w:rPr>
        <w:t>«residuo de Solow»</w:t>
      </w:r>
      <w:r w:rsidR="0072019A">
        <w:rPr>
          <w:rFonts w:eastAsiaTheme="minorEastAsia"/>
        </w:rPr>
        <w:t>.</w:t>
      </w:r>
    </w:p>
    <w:p w14:paraId="48F75561" w14:textId="58C7454D" w:rsidR="0072019A" w:rsidRDefault="0072019A" w:rsidP="0072019A">
      <w:pPr>
        <w:pStyle w:val="Ttulo6"/>
      </w:pPr>
      <w:bookmarkStart w:id="38" w:name="_Toc129716211"/>
      <w:r>
        <w:t>Valoración</w:t>
      </w:r>
      <w:bookmarkEnd w:id="38"/>
    </w:p>
    <w:p w14:paraId="6FBA8C43" w14:textId="30EBBDD9" w:rsidR="0072019A" w:rsidRDefault="0072019A" w:rsidP="001B447B">
      <w:pPr>
        <w:pStyle w:val="Nivel1SM"/>
        <w:spacing w:before="0"/>
      </w:pPr>
      <w:r>
        <w:t xml:space="preserve">La principal </w:t>
      </w:r>
      <w:r>
        <w:rPr>
          <w:b/>
          <w:bCs/>
        </w:rPr>
        <w:t>ventaja</w:t>
      </w:r>
      <w:r w:rsidRPr="00BF7D27">
        <w:t xml:space="preserve"> de este enfoque</w:t>
      </w:r>
      <w:r>
        <w:t xml:space="preserve"> es que no presupone igualdad de precios de los factores con sus productividades marginales. Es decir, se desprende de un supuesto de los de </w:t>
      </w:r>
      <w:r>
        <w:rPr>
          <w:smallCaps/>
        </w:rPr>
        <w:t>Solow</w:t>
      </w:r>
      <w:r>
        <w:t>.</w:t>
      </w:r>
    </w:p>
    <w:p w14:paraId="5EDEEC8C" w14:textId="58FCD2EF" w:rsidR="0072019A" w:rsidRDefault="0072019A">
      <w:pPr>
        <w:pStyle w:val="Nivel1SM"/>
        <w:keepNext/>
        <w:spacing w:after="0"/>
      </w:pPr>
      <w:r>
        <w:t xml:space="preserve">Sin embargo, los datos temporales utilizados como sección cruzada plantean </w:t>
      </w:r>
      <w:r>
        <w:rPr>
          <w:b/>
          <w:bCs/>
        </w:rPr>
        <w:t>problemas</w:t>
      </w:r>
      <w:r>
        <w:t>:</w:t>
      </w:r>
    </w:p>
    <w:p w14:paraId="0AF58D4F" w14:textId="1F1484EB" w:rsidR="0072019A" w:rsidRDefault="003E2EBA">
      <w:pPr>
        <w:pStyle w:val="Nivel2SM"/>
      </w:pPr>
      <w:r>
        <w:rPr>
          <w:i/>
          <w:iCs/>
        </w:rPr>
        <w:t>Se estiman elasticidades</w:t>
      </w:r>
      <w:r w:rsidR="00BF7D27">
        <w:rPr>
          <w:i/>
          <w:iCs/>
        </w:rPr>
        <w:t>-</w:t>
      </w:r>
      <w:r>
        <w:rPr>
          <w:i/>
          <w:iCs/>
        </w:rPr>
        <w:t>producto que en realidad evolucionan</w:t>
      </w:r>
      <w:r>
        <w:t>:</w:t>
      </w:r>
      <w:r w:rsidR="00702008">
        <w:t xml:space="preserve"> Las elasticidades no son un parámetro, es decir, pueden variar en economías que sufran grandes transformaciones (p.ej. en las economías emergentes del sudeste asiático el peso relativo de los factores ha variado intensamente en un corto período de tiempo). Por ello, se critica el uso de datos temporales en un ejercicio de sección cruzada.</w:t>
      </w:r>
    </w:p>
    <w:p w14:paraId="63909245" w14:textId="3FC3E3A5" w:rsidR="003E2EBA" w:rsidRPr="00702008" w:rsidRDefault="003E2EBA">
      <w:pPr>
        <w:pStyle w:val="Nivel2SM"/>
      </w:pPr>
      <w:r>
        <w:rPr>
          <w:i/>
          <w:iCs/>
        </w:rPr>
        <w:t>Variables no estimadas pueden sesgar</w:t>
      </w:r>
      <w:r w:rsidR="00702008">
        <w:t xml:space="preserve">: </w:t>
      </w:r>
      <w:r w:rsidR="00F76A6C">
        <w:t>S</w:t>
      </w:r>
      <w:r w:rsidR="00F76A6C" w:rsidRPr="00702008">
        <w:t>iguiendo este enfoque</w:t>
      </w:r>
      <w:r w:rsidR="00F76A6C">
        <w:t xml:space="preserve">, </w:t>
      </w:r>
      <w:r w:rsidR="00702008" w:rsidRPr="00702008">
        <w:rPr>
          <w:smallCaps/>
        </w:rPr>
        <w:t>Hall</w:t>
      </w:r>
      <w:r w:rsidR="00702008" w:rsidRPr="00702008">
        <w:t xml:space="preserve"> observa que el </w:t>
      </w:r>
      <w:r w:rsidR="00702008" w:rsidRPr="00702008">
        <w:rPr>
          <w:rFonts w:cs="Times New Roman"/>
        </w:rPr>
        <w:t>«residuo de Solow» no es exógeno sino que se relaciona positivamente con factores como el gasto militar, el precio del petróleo o incluso el partido político del gobierno, con lo que el «residuo de Solow» no captura fidedignamente la productividad.</w:t>
      </w:r>
    </w:p>
    <w:p w14:paraId="23C30FAE" w14:textId="4EDB0303" w:rsidR="003E2EBA" w:rsidRDefault="00702008">
      <w:pPr>
        <w:pStyle w:val="Nivel2SM"/>
      </w:pPr>
      <w:r w:rsidRPr="00702008">
        <w:rPr>
          <w:i/>
          <w:iCs/>
        </w:rPr>
        <w:t>Medición errónea de K y L</w:t>
      </w:r>
      <w:r>
        <w:rPr>
          <w:i/>
          <w:iCs/>
        </w:rPr>
        <w:t xml:space="preserve"> introduce sesgo</w:t>
      </w:r>
      <w:r>
        <w:t xml:space="preserve">: Tal y como dijo </w:t>
      </w:r>
      <w:r>
        <w:rPr>
          <w:smallCaps/>
        </w:rPr>
        <w:t>Friedman</w:t>
      </w:r>
      <w:r>
        <w:t>, es difícil aislar las variaciones de</w:t>
      </w:r>
      <w:r w:rsidR="00F76A6C">
        <w:t xml:space="preserve"> </w:t>
      </w:r>
      <w:r>
        <w:t>los factores de las variaciones de la productividad total de los factores.</w:t>
      </w:r>
    </w:p>
    <w:p w14:paraId="227C6B22" w14:textId="26954EA8" w:rsidR="00AE448A" w:rsidRDefault="00AE448A">
      <w:pPr>
        <w:pStyle w:val="Ttulo2"/>
      </w:pPr>
      <w:bookmarkStart w:id="39" w:name="_Toc129716212"/>
      <w:r>
        <w:t>Enfoque moderno de la contabilidad del crecimiento</w:t>
      </w:r>
      <w:bookmarkEnd w:id="39"/>
    </w:p>
    <w:p w14:paraId="40375D50" w14:textId="77777777" w:rsidR="00AE448A" w:rsidRDefault="00AE448A" w:rsidP="00D9531E">
      <w:pPr>
        <w:keepNext/>
        <w:spacing w:after="0"/>
      </w:pPr>
      <w:r>
        <w:t>De acuerdo a este enfoque, la renta per cápita en una economía en un momento dado se expresa como:</w:t>
      </w:r>
    </w:p>
    <w:p w14:paraId="2703921E" w14:textId="54B67780" w:rsidR="00AE448A" w:rsidRPr="004A7F79" w:rsidRDefault="00AE448A" w:rsidP="00AE448A">
      <w:pPr>
        <w:rPr>
          <w:rFonts w:eastAsiaTheme="minorEastAsia"/>
          <w:i/>
        </w:rPr>
      </w:pPr>
      <m:oMathPara>
        <m:oMath>
          <m:r>
            <m:rPr>
              <m:nor/>
            </m:rPr>
            <w:rPr>
              <w:i/>
            </w:rPr>
            <m:t>y</m:t>
          </m:r>
          <m:r>
            <w:rPr>
              <w:rFonts w:ascii="Cambria Math" w:hAnsi="Cambria Math"/>
            </w:rPr>
            <m:t>=</m:t>
          </m:r>
          <m:r>
            <m:rPr>
              <m:nor/>
            </m:rPr>
            <w:rPr>
              <w:i/>
            </w:rPr>
            <m:t>A</m:t>
          </m:r>
          <m:r>
            <w:rPr>
              <w:rFonts w:ascii="Cambria Math" w:hAnsi="Cambria Math"/>
            </w:rPr>
            <m:t>∙</m:t>
          </m:r>
          <m:sSup>
            <m:sSupPr>
              <m:ctrlPr>
                <w:rPr>
                  <w:rFonts w:ascii="Cambria Math" w:hAnsi="Cambria Math"/>
                  <w:i/>
                </w:rPr>
              </m:ctrlPr>
            </m:sSupPr>
            <m:e>
              <m:r>
                <m:rPr>
                  <m:nor/>
                </m:rPr>
                <w:rPr>
                  <w:i/>
                </w:rPr>
                <m:t>k</m:t>
              </m:r>
            </m:e>
            <m:sup>
              <m:r>
                <m:rPr>
                  <m:nor/>
                </m:rPr>
                <w:rPr>
                  <w:iCs/>
                </w:rPr>
                <m:t>α</m:t>
              </m:r>
            </m:sup>
          </m:sSup>
          <m:r>
            <w:rPr>
              <w:rFonts w:ascii="Cambria Math" w:hAnsi="Cambria Math"/>
            </w:rPr>
            <m:t>∙</m:t>
          </m:r>
          <m:sSup>
            <m:sSupPr>
              <m:ctrlPr>
                <w:rPr>
                  <w:rFonts w:ascii="Cambria Math" w:hAnsi="Cambria Math"/>
                  <w:i/>
                </w:rPr>
              </m:ctrlPr>
            </m:sSupPr>
            <m:e>
              <m:r>
                <m:rPr>
                  <m:nor/>
                </m:rPr>
                <w:rPr>
                  <w:rFonts w:cs="Times New Roman"/>
                  <w:i/>
                </w:rPr>
                <m:t>h</m:t>
              </m:r>
            </m:e>
            <m:sup>
              <m:r>
                <m:rPr>
                  <m:nor/>
                </m:rPr>
                <w:rPr>
                  <w:iCs/>
                </w:rPr>
                <m:t>1-α</m:t>
              </m:r>
            </m:sup>
          </m:sSup>
        </m:oMath>
      </m:oMathPara>
    </w:p>
    <w:p w14:paraId="403EB1CA" w14:textId="77777777" w:rsidR="00AE448A" w:rsidRPr="00AE448A" w:rsidRDefault="00AE448A" w:rsidP="00AE448A"/>
    <w:p w14:paraId="3D93DBEC" w14:textId="77777777" w:rsidR="002C0C14" w:rsidRDefault="002C0C14" w:rsidP="00641776">
      <w:pPr>
        <w:pStyle w:val="Ttulo3"/>
      </w:pPr>
      <w:bookmarkStart w:id="40" w:name="_Toc129716213"/>
      <w:r>
        <w:t xml:space="preserve">El modelo de </w:t>
      </w:r>
      <w:r>
        <w:rPr>
          <w:smallCaps/>
        </w:rPr>
        <w:t>Mankiw</w:t>
      </w:r>
      <w:r>
        <w:t xml:space="preserve">, </w:t>
      </w:r>
      <w:r>
        <w:rPr>
          <w:smallCaps/>
        </w:rPr>
        <w:t>Romer</w:t>
      </w:r>
      <w:r>
        <w:t xml:space="preserve"> y </w:t>
      </w:r>
      <w:r>
        <w:rPr>
          <w:smallCaps/>
        </w:rPr>
        <w:t>Weil</w:t>
      </w:r>
      <w:r>
        <w:t xml:space="preserve"> (1992)</w:t>
      </w:r>
      <w:bookmarkEnd w:id="40"/>
    </w:p>
    <w:p w14:paraId="408A309E" w14:textId="3B5A4422" w:rsidR="00233160" w:rsidRDefault="00233160" w:rsidP="002C0C14">
      <w:r>
        <w:t>Ejercicio 1</w:t>
      </w:r>
    </w:p>
    <w:p w14:paraId="6AA0D7C7" w14:textId="3FABE558" w:rsidR="00233160" w:rsidRDefault="00233160" w:rsidP="002C0C14">
      <w:r>
        <w:rPr>
          <w:noProof/>
        </w:rPr>
        <w:lastRenderedPageBreak/>
        <w:drawing>
          <wp:inline distT="0" distB="0" distL="0" distR="0" wp14:anchorId="147827E2" wp14:editId="609ED4C7">
            <wp:extent cx="3981450" cy="36480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81450" cy="3648075"/>
                    </a:xfrm>
                    <a:prstGeom prst="rect">
                      <a:avLst/>
                    </a:prstGeom>
                  </pic:spPr>
                </pic:pic>
              </a:graphicData>
            </a:graphic>
          </wp:inline>
        </w:drawing>
      </w:r>
    </w:p>
    <w:p w14:paraId="1318F641" w14:textId="77777777" w:rsidR="00233160" w:rsidRDefault="00233160" w:rsidP="002C0C14">
      <w:r>
        <w:t>Ejercicio 2</w:t>
      </w:r>
    </w:p>
    <w:p w14:paraId="6C68C3B9" w14:textId="1FEAF07F" w:rsidR="002C0C14" w:rsidRPr="002C0C14" w:rsidRDefault="00233160" w:rsidP="002C0C14">
      <w:r>
        <w:rPr>
          <w:noProof/>
        </w:rPr>
        <w:drawing>
          <wp:inline distT="0" distB="0" distL="0" distR="0" wp14:anchorId="6B8DB89A" wp14:editId="36EFD31F">
            <wp:extent cx="3981450" cy="45053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81450" cy="4505325"/>
                    </a:xfrm>
                    <a:prstGeom prst="rect">
                      <a:avLst/>
                    </a:prstGeom>
                  </pic:spPr>
                </pic:pic>
              </a:graphicData>
            </a:graphic>
          </wp:inline>
        </w:drawing>
      </w:r>
    </w:p>
    <w:p w14:paraId="0A298BFE" w14:textId="77777777" w:rsidR="002C0C14" w:rsidRDefault="002C0C14" w:rsidP="00641776">
      <w:pPr>
        <w:pStyle w:val="Ttulo3"/>
      </w:pPr>
      <w:bookmarkStart w:id="41" w:name="_Toc129716214"/>
      <w:r>
        <w:lastRenderedPageBreak/>
        <w:t xml:space="preserve">El trabajo de </w:t>
      </w:r>
      <w:r>
        <w:rPr>
          <w:smallCaps/>
        </w:rPr>
        <w:t>Hall</w:t>
      </w:r>
      <w:r>
        <w:t xml:space="preserve"> y </w:t>
      </w:r>
      <w:r>
        <w:rPr>
          <w:smallCaps/>
        </w:rPr>
        <w:t>Jones</w:t>
      </w:r>
      <w:r>
        <w:t xml:space="preserve"> (1999)</w:t>
      </w:r>
      <w:bookmarkEnd w:id="41"/>
    </w:p>
    <w:p w14:paraId="76EC4572" w14:textId="7656B19D" w:rsidR="002C0C14" w:rsidRDefault="00233160" w:rsidP="002C0C14">
      <w:r>
        <w:rPr>
          <w:noProof/>
        </w:rPr>
        <w:drawing>
          <wp:inline distT="0" distB="0" distL="0" distR="0" wp14:anchorId="074F3660" wp14:editId="533D6BA0">
            <wp:extent cx="3295323" cy="2486891"/>
            <wp:effectExtent l="0" t="0" r="63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07524" cy="2496099"/>
                    </a:xfrm>
                    <a:prstGeom prst="rect">
                      <a:avLst/>
                    </a:prstGeom>
                  </pic:spPr>
                </pic:pic>
              </a:graphicData>
            </a:graphic>
          </wp:inline>
        </w:drawing>
      </w:r>
    </w:p>
    <w:p w14:paraId="7B825446" w14:textId="71667071" w:rsidR="00390E8B" w:rsidRDefault="00192070" w:rsidP="00192070">
      <w:r>
        <w:t xml:space="preserve">Del enfoque de </w:t>
      </w:r>
      <w:r>
        <w:rPr>
          <w:smallCaps/>
        </w:rPr>
        <w:t>Hall</w:t>
      </w:r>
      <w:r>
        <w:t xml:space="preserve"> y </w:t>
      </w:r>
      <w:r>
        <w:rPr>
          <w:smallCaps/>
        </w:rPr>
        <w:t>Jones</w:t>
      </w:r>
      <w:r>
        <w:t xml:space="preserve"> me leí lo de </w:t>
      </w:r>
      <w:r w:rsidRPr="00B06692">
        <w:rPr>
          <w:smallCaps/>
        </w:rPr>
        <w:t>Campante</w:t>
      </w:r>
      <w:r>
        <w:t xml:space="preserve"> y </w:t>
      </w:r>
      <w:r w:rsidRPr="00B06692">
        <w:rPr>
          <w:smallCaps/>
        </w:rPr>
        <w:t>Velasco</w:t>
      </w:r>
      <w:r>
        <w:t xml:space="preserve"> y entendí que </w:t>
      </w:r>
      <w:r w:rsidR="00013D2C">
        <w:t xml:space="preserve">usando </w:t>
      </w:r>
      <w:r w:rsidR="00013D2C" w:rsidRPr="00F30739">
        <w:rPr>
          <w:i/>
          <w:iCs/>
        </w:rPr>
        <w:t>calibración</w:t>
      </w:r>
      <w:r w:rsidR="00013D2C">
        <w:t xml:space="preserve"> </w:t>
      </w:r>
      <w:r>
        <w:t>lo que estudian son las diferencias de renta entre países para ver cu</w:t>
      </w:r>
      <w:r w:rsidR="00CE2E8E">
        <w:t>á</w:t>
      </w:r>
      <w:r>
        <w:t>nto podía ser explicado por factores que no fueran la tecnología.</w:t>
      </w:r>
    </w:p>
    <w:p w14:paraId="76E8CD31" w14:textId="2EA54C2E" w:rsidR="00192070" w:rsidRPr="00192070" w:rsidRDefault="00390E8B" w:rsidP="00192070">
      <w:r>
        <w:rPr>
          <w:noProof/>
        </w:rPr>
        <w:drawing>
          <wp:inline distT="0" distB="0" distL="0" distR="0" wp14:anchorId="1AA9AD3A" wp14:editId="01E6B338">
            <wp:extent cx="6120130" cy="3038475"/>
            <wp:effectExtent l="0" t="0" r="0" b="9525"/>
            <wp:docPr id="23" name="Imagen 2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exto&#10;&#10;Descripción generada automáticamente"/>
                    <pic:cNvPicPr/>
                  </pic:nvPicPr>
                  <pic:blipFill>
                    <a:blip r:embed="rId17"/>
                    <a:stretch>
                      <a:fillRect/>
                    </a:stretch>
                  </pic:blipFill>
                  <pic:spPr>
                    <a:xfrm>
                      <a:off x="0" y="0"/>
                      <a:ext cx="6120130" cy="3038475"/>
                    </a:xfrm>
                    <a:prstGeom prst="rect">
                      <a:avLst/>
                    </a:prstGeom>
                  </pic:spPr>
                </pic:pic>
              </a:graphicData>
            </a:graphic>
          </wp:inline>
        </w:drawing>
      </w:r>
    </w:p>
    <w:p w14:paraId="61310CC4" w14:textId="77777777" w:rsidR="00606E13" w:rsidRDefault="002C0C14" w:rsidP="00641776">
      <w:pPr>
        <w:pStyle w:val="Ttulo3"/>
      </w:pPr>
      <w:bookmarkStart w:id="42" w:name="_Toc129716215"/>
      <w:r>
        <w:t xml:space="preserve">El trabajo de </w:t>
      </w:r>
      <w:r w:rsidRPr="00390E8B">
        <w:rPr>
          <w:smallCaps/>
        </w:rPr>
        <w:t>Caselli</w:t>
      </w:r>
      <w:r>
        <w:rPr>
          <w:smallCaps/>
        </w:rPr>
        <w:t xml:space="preserve"> </w:t>
      </w:r>
      <w:r>
        <w:t>(2005)</w:t>
      </w:r>
      <w:bookmarkEnd w:id="42"/>
    </w:p>
    <w:p w14:paraId="31C399D7" w14:textId="77777777" w:rsidR="002C0C14" w:rsidRPr="002C0C14" w:rsidRDefault="002C0C14" w:rsidP="002C0C14"/>
    <w:p w14:paraId="0CB0EAE3" w14:textId="197663EA" w:rsidR="00702008" w:rsidRPr="00702008" w:rsidRDefault="00702008">
      <w:pPr>
        <w:pStyle w:val="Ttulo2"/>
      </w:pPr>
      <w:bookmarkStart w:id="43" w:name="_Toc129716216"/>
      <w:r>
        <w:lastRenderedPageBreak/>
        <w:t>Problemas de la contabilidad del crecimiento</w:t>
      </w:r>
      <w:bookmarkEnd w:id="43"/>
    </w:p>
    <w:p w14:paraId="5CBFC97C" w14:textId="7B48C658" w:rsidR="00702008" w:rsidRDefault="00D81F87" w:rsidP="001B447B">
      <w:pPr>
        <w:pStyle w:val="Ttulo3"/>
        <w:spacing w:before="0"/>
      </w:pPr>
      <w:bookmarkStart w:id="44" w:name="_Toc129716217"/>
      <w:r>
        <w:t>Problemas en la medición de los inputs (</w:t>
      </w:r>
      <w:r>
        <w:rPr>
          <w:smallCaps/>
        </w:rPr>
        <w:t>Jorgenson</w:t>
      </w:r>
      <w:r>
        <w:t xml:space="preserve"> y </w:t>
      </w:r>
      <w:r>
        <w:rPr>
          <w:smallCaps/>
        </w:rPr>
        <w:t>Griliches</w:t>
      </w:r>
      <w:r>
        <w:t>, 1967)</w:t>
      </w:r>
      <w:bookmarkEnd w:id="44"/>
    </w:p>
    <w:p w14:paraId="31EE0FC9" w14:textId="033499C6" w:rsidR="00D81F87" w:rsidRDefault="00D81F87" w:rsidP="00EC2559">
      <w:pPr>
        <w:pStyle w:val="Nivel1SM"/>
        <w:keepNext/>
        <w:spacing w:before="0"/>
      </w:pPr>
      <w:r>
        <w:rPr>
          <w:smallCaps/>
        </w:rPr>
        <w:t>Jorgenson</w:t>
      </w:r>
      <w:r>
        <w:t xml:space="preserve"> y </w:t>
      </w:r>
      <w:r>
        <w:rPr>
          <w:smallCaps/>
        </w:rPr>
        <w:t>Griliches</w:t>
      </w:r>
      <w:r>
        <w:t xml:space="preserve"> (1967) señalan que la precisión con la que podemos medir las principales variables no es del todo satisfactoria.</w:t>
      </w:r>
    </w:p>
    <w:p w14:paraId="1A2A2EF5" w14:textId="1049B2D1" w:rsidR="00D81F87" w:rsidRDefault="00D81F87" w:rsidP="005129DF">
      <w:pPr>
        <w:pStyle w:val="Ttulo6"/>
        <w:spacing w:before="80" w:after="40"/>
      </w:pPr>
      <w:bookmarkStart w:id="45" w:name="_Toc129716218"/>
      <w:r>
        <w:t>Errores en la medida de</w:t>
      </w:r>
      <w:r w:rsidR="002F4873">
        <w:t xml:space="preserve"> </w:t>
      </w:r>
      <w:r>
        <w:t>l</w:t>
      </w:r>
      <w:r w:rsidR="002F4873">
        <w:t>os niveles de</w:t>
      </w:r>
      <w:r>
        <w:t xml:space="preserve"> capital</w:t>
      </w:r>
      <w:bookmarkEnd w:id="45"/>
    </w:p>
    <w:p w14:paraId="7D284C3F" w14:textId="02828034" w:rsidR="00D81F87" w:rsidRDefault="00D81F87" w:rsidP="002F4873">
      <w:pPr>
        <w:pStyle w:val="Nivel1SM"/>
        <w:keepNext/>
        <w:spacing w:before="0" w:after="0"/>
      </w:pPr>
      <w:r>
        <w:t xml:space="preserve">El enfoque más extendido para la medición del capital es el denominado </w:t>
      </w:r>
      <w:r>
        <w:rPr>
          <w:i/>
          <w:iCs/>
          <w:u w:val="single"/>
        </w:rPr>
        <w:t>método de inventario permanente</w:t>
      </w:r>
      <w:r>
        <w:t>. Este método construye el capital físico a partir de la acumulación de inversión bruta en capital físico y de la estimación de la depreciación del stock de capital existente.</w:t>
      </w:r>
    </w:p>
    <w:p w14:paraId="6D27195A" w14:textId="23F8744E" w:rsidR="00C83B8A" w:rsidRPr="00C83B8A" w:rsidRDefault="002F4873" w:rsidP="002F4873">
      <w:pPr>
        <w:pStyle w:val="Nivel2SM"/>
        <w:keepNext/>
        <w:spacing w:after="0"/>
      </w:pPr>
      <w:r>
        <w:t>Sin embargo, a</w:t>
      </w:r>
      <w:r w:rsidR="00C83B8A" w:rsidRPr="00C83B8A">
        <w:t xml:space="preserve">l ser la producción a lo largo de un periodo una magnitud flujo, la variable de capital debería medirse como variable flujo. </w:t>
      </w:r>
      <w:r>
        <w:t>En cualquier caso</w:t>
      </w:r>
      <w:r w:rsidR="00C83B8A">
        <w:t>,</w:t>
      </w:r>
      <w:r w:rsidR="00C83B8A" w:rsidRPr="00C83B8A">
        <w:t xml:space="preserve"> los datos disponibles ofrecen información del capital como variable stock.</w:t>
      </w:r>
    </w:p>
    <w:p w14:paraId="64052F18" w14:textId="6932191F" w:rsidR="00C83B8A" w:rsidRDefault="00D81F87" w:rsidP="00C83B8A">
      <w:pPr>
        <w:pStyle w:val="Nivel3SM"/>
      </w:pPr>
      <w:r>
        <w:t xml:space="preserve">Es decir, la cantidad de factor capital utilizado en la producción del período </w:t>
      </w:r>
      <w:r w:rsidRPr="00D81F87">
        <w:rPr>
          <w:i/>
          <w:iCs/>
        </w:rPr>
        <w:t>t</w:t>
      </w:r>
      <w:r>
        <w:t xml:space="preserve"> vendría dada por la cantidad de horas de maquinaria empleadas en la producción en el período.</w:t>
      </w:r>
    </w:p>
    <w:p w14:paraId="4F5AC52F" w14:textId="7890BF3B" w:rsidR="00D81F87" w:rsidRDefault="00D81F87" w:rsidP="00C83B8A">
      <w:pPr>
        <w:pStyle w:val="Nivel3SM"/>
      </w:pPr>
      <w:r>
        <w:t>Los datos disponibles no proporcionan esa magnitud, por lo que el procedimiento convencional consiste en calcular el stock de cada categoría de capital físico y luego asumir que el flujo de servicios de producción es proporcional al mismo.</w:t>
      </w:r>
    </w:p>
    <w:p w14:paraId="168D1960" w14:textId="26862D5F" w:rsidR="00580F95" w:rsidRDefault="00580F95" w:rsidP="00580F95">
      <w:pPr>
        <w:pStyle w:val="Nivel2SM"/>
      </w:pPr>
      <w:r>
        <w:t>Además, el capital es heterogéneo (con distintas vidas útiles y depreciaciones).</w:t>
      </w:r>
    </w:p>
    <w:p w14:paraId="13FBE20D" w14:textId="6E5151B1" w:rsidR="00D81F87" w:rsidRDefault="00D81F87" w:rsidP="005129DF">
      <w:pPr>
        <w:pStyle w:val="Ttulo6"/>
        <w:spacing w:before="80" w:after="40"/>
      </w:pPr>
      <w:bookmarkStart w:id="46" w:name="_Toc129716219"/>
      <w:r>
        <w:t>Errores en la medida de</w:t>
      </w:r>
      <w:r w:rsidR="002F4873">
        <w:t xml:space="preserve"> </w:t>
      </w:r>
      <w:r>
        <w:t>l</w:t>
      </w:r>
      <w:r w:rsidR="002F4873">
        <w:t>as horas</w:t>
      </w:r>
      <w:r>
        <w:t xml:space="preserve"> trabaj</w:t>
      </w:r>
      <w:bookmarkEnd w:id="46"/>
      <w:r w:rsidR="002F4873">
        <w:t>adas</w:t>
      </w:r>
    </w:p>
    <w:p w14:paraId="4D356627" w14:textId="77777777" w:rsidR="00895340" w:rsidRDefault="00D81F87" w:rsidP="002F4873">
      <w:pPr>
        <w:pStyle w:val="Nivel1SM"/>
        <w:keepNext/>
        <w:spacing w:before="0" w:after="0"/>
      </w:pPr>
      <w:r>
        <w:t>La cantidad de trabajo aumenta cuando lo hace el número de horas trabajadas.</w:t>
      </w:r>
    </w:p>
    <w:p w14:paraId="3E2BF840" w14:textId="11EAE317" w:rsidR="00D81F87" w:rsidRPr="007325C2" w:rsidRDefault="00895340" w:rsidP="002F4873">
      <w:pPr>
        <w:pStyle w:val="Nivel2SM"/>
        <w:rPr>
          <w:spacing w:val="-1"/>
        </w:rPr>
      </w:pPr>
      <w:r w:rsidRPr="007325C2">
        <w:rPr>
          <w:spacing w:val="-1"/>
        </w:rPr>
        <w:t>Sin embargo, esto también presenta problemas</w:t>
      </w:r>
      <w:r w:rsidR="002F4873" w:rsidRPr="007325C2">
        <w:rPr>
          <w:spacing w:val="-1"/>
        </w:rPr>
        <w:t>, ya que n</w:t>
      </w:r>
      <w:r w:rsidR="00D81F87" w:rsidRPr="007325C2">
        <w:rPr>
          <w:spacing w:val="-1"/>
        </w:rPr>
        <w:t>o es tan fácil medir horas en la práctica.</w:t>
      </w:r>
    </w:p>
    <w:p w14:paraId="3683C778" w14:textId="14DA8935" w:rsidR="00EC2559" w:rsidRDefault="00EC2559" w:rsidP="002F4873">
      <w:pPr>
        <w:pStyle w:val="Nivel2SM"/>
      </w:pPr>
      <w:r>
        <w:t>Además, también existen diferencias en la calidad de las horas trabajadas.</w:t>
      </w:r>
    </w:p>
    <w:p w14:paraId="15ABAB6C" w14:textId="73420169" w:rsidR="00D81F87" w:rsidRDefault="00D81F87" w:rsidP="005129DF">
      <w:pPr>
        <w:pStyle w:val="Ttulo6"/>
        <w:spacing w:before="80" w:after="40"/>
      </w:pPr>
      <w:bookmarkStart w:id="47" w:name="_Toc129716220"/>
      <w:r>
        <w:t>La calidad de los inputs</w:t>
      </w:r>
      <w:bookmarkEnd w:id="47"/>
    </w:p>
    <w:p w14:paraId="79A38332" w14:textId="77777777" w:rsidR="00D93E4A" w:rsidRPr="00D93E4A" w:rsidRDefault="00D81F87" w:rsidP="001B447B">
      <w:pPr>
        <w:pStyle w:val="Nivel1SM"/>
        <w:keepNext/>
        <w:spacing w:before="0" w:after="0"/>
      </w:pPr>
      <w:r>
        <w:rPr>
          <w:smallCaps/>
        </w:rPr>
        <w:t>Jorgenson</w:t>
      </w:r>
      <w:r>
        <w:t xml:space="preserve"> </w:t>
      </w:r>
      <w:r w:rsidRPr="00D93E4A">
        <w:t xml:space="preserve">y </w:t>
      </w:r>
      <w:r w:rsidRPr="00D93E4A">
        <w:rPr>
          <w:smallCaps/>
        </w:rPr>
        <w:t>Griliches</w:t>
      </w:r>
      <w:r w:rsidRPr="00D93E4A">
        <w:t xml:space="preserve"> mostraron que una parte importante del </w:t>
      </w:r>
      <w:r w:rsidRPr="00D93E4A">
        <w:rPr>
          <w:rFonts w:cs="Times New Roman"/>
        </w:rPr>
        <w:t>«residuo de Solow»</w:t>
      </w:r>
      <w:r w:rsidR="00D93E4A" w:rsidRPr="00D93E4A">
        <w:rPr>
          <w:rFonts w:cs="Times New Roman"/>
        </w:rPr>
        <w:t xml:space="preserve"> podía ser explicada por cambios en la calidad de los factores productivos.</w:t>
      </w:r>
    </w:p>
    <w:p w14:paraId="08F886D9" w14:textId="7FD1D69F" w:rsidR="002F4873" w:rsidRDefault="00D93E4A" w:rsidP="002F4873">
      <w:pPr>
        <w:pStyle w:val="Nivel2SM"/>
        <w:keepNext/>
        <w:spacing w:after="0"/>
      </w:pPr>
      <w:r>
        <w:t>P</w:t>
      </w:r>
      <w:r w:rsidRPr="00D93E4A">
        <w:t>ara medir</w:t>
      </w:r>
      <w:r>
        <w:t xml:space="preserve"> la calidad del </w:t>
      </w:r>
      <w:r>
        <w:rPr>
          <w:u w:val="single"/>
        </w:rPr>
        <w:t>trabajo</w:t>
      </w:r>
      <w:r>
        <w:t xml:space="preserve">, </w:t>
      </w:r>
      <w:r w:rsidR="002F4873">
        <w:t xml:space="preserve">una posible solución para medir la productividad es hacer uso de ecuaciones similares a la propuesta por </w:t>
      </w:r>
      <w:r w:rsidR="002F4873" w:rsidRPr="00AB3758">
        <w:rPr>
          <w:smallCaps/>
        </w:rPr>
        <w:t>Mincer</w:t>
      </w:r>
      <w:r w:rsidR="002F4873">
        <w:t xml:space="preserve"> (1971), que utilizan proxies convencionales tales como el número medio de años de </w:t>
      </w:r>
      <w:r w:rsidR="002F4873" w:rsidRPr="00AB3758">
        <w:rPr>
          <w:i/>
          <w:iCs/>
        </w:rPr>
        <w:t>escolarización</w:t>
      </w:r>
      <w:r w:rsidR="002F4873">
        <w:t xml:space="preserve"> de la población en edad de trabajar o la proporción de población activa con </w:t>
      </w:r>
      <w:r w:rsidR="002F4873" w:rsidRPr="00AB3758">
        <w:rPr>
          <w:i/>
          <w:iCs/>
        </w:rPr>
        <w:t>formación universitaria</w:t>
      </w:r>
      <w:r w:rsidR="002F4873">
        <w:t>.</w:t>
      </w:r>
    </w:p>
    <w:p w14:paraId="4159DFE7" w14:textId="77777777" w:rsidR="002F4873" w:rsidRDefault="002F4873" w:rsidP="002F4873">
      <w:pPr>
        <w:pStyle w:val="Nivel3SM"/>
      </w:pPr>
      <w:r>
        <w:t>No obstante, son medidas que no reflejan completamente las diferencias de calidad de la educación entre países.</w:t>
      </w:r>
    </w:p>
    <w:p w14:paraId="706094F7" w14:textId="70BBE350" w:rsidR="002F4873" w:rsidRDefault="00D93E4A" w:rsidP="00E50325">
      <w:pPr>
        <w:pStyle w:val="Nivel2SM"/>
        <w:keepNext/>
        <w:spacing w:after="0"/>
      </w:pPr>
      <w:r>
        <w:t xml:space="preserve">En cuanto al </w:t>
      </w:r>
      <w:r w:rsidRPr="002F4873">
        <w:rPr>
          <w:u w:val="single"/>
        </w:rPr>
        <w:t>capital</w:t>
      </w:r>
      <w:r>
        <w:t xml:space="preserve">, </w:t>
      </w:r>
      <w:r w:rsidR="002F4873">
        <w:t>e</w:t>
      </w:r>
      <w:r w:rsidR="002F4873" w:rsidRPr="00AC331F">
        <w:t>l hecho de que coexistan en la economía unidades de capital heterogéneas, hace imposible un tratamiento del capital agregado.</w:t>
      </w:r>
      <w:r w:rsidR="002F4873">
        <w:t xml:space="preserve"> En otras palabras, el capital es heterogéneo, ya que cada tipo de capital cuenta con distintas productividades (i.e. calidades) y distintas vidas útiles (existiendo además incertidumbre en medir la vida útil).</w:t>
      </w:r>
    </w:p>
    <w:p w14:paraId="443FB5A6" w14:textId="77777777" w:rsidR="002F4873" w:rsidRDefault="002F4873" w:rsidP="002F4873">
      <w:pPr>
        <w:pStyle w:val="Nivel3SM"/>
        <w:keepNext/>
      </w:pPr>
      <w:r>
        <w:t xml:space="preserve">Como solución, </w:t>
      </w:r>
      <w:r w:rsidRPr="00AC331F">
        <w:rPr>
          <w:smallCaps/>
        </w:rPr>
        <w:t>Oulton</w:t>
      </w:r>
      <w:r>
        <w:t xml:space="preserve"> y </w:t>
      </w:r>
      <w:r w:rsidRPr="00AC331F">
        <w:rPr>
          <w:smallCaps/>
        </w:rPr>
        <w:t>Srinivasan</w:t>
      </w:r>
      <w:r>
        <w:t xml:space="preserve"> proponen 2 métodos alternativos:</w:t>
      </w:r>
    </w:p>
    <w:p w14:paraId="5B288D20" w14:textId="77777777" w:rsidR="002F4873" w:rsidRDefault="002F4873" w:rsidP="002F4873">
      <w:pPr>
        <w:pStyle w:val="Nivel4"/>
        <w:ind w:left="1474"/>
      </w:pPr>
      <w:r w:rsidRPr="00AC331F">
        <w:rPr>
          <w:i/>
          <w:iCs/>
        </w:rPr>
        <w:t>Índice del volumen de los servicios de capital</w:t>
      </w:r>
      <w:r>
        <w:t>: Agrega capitales heterogéneos mediante ponderaciones basadas en el coste de arrendamiento de cada tipo de capital.</w:t>
      </w:r>
    </w:p>
    <w:p w14:paraId="3DBAED13" w14:textId="77777777" w:rsidR="002F4873" w:rsidRDefault="002F4873" w:rsidP="002F4873">
      <w:pPr>
        <w:pStyle w:val="Nivel4"/>
        <w:ind w:left="1474"/>
      </w:pPr>
      <w:r w:rsidRPr="00AC331F">
        <w:rPr>
          <w:i/>
          <w:iCs/>
        </w:rPr>
        <w:t>Índice de capital-riqueza</w:t>
      </w:r>
      <w:r>
        <w:t>: Agrega capitales heterogéneos mediante ponderaciones basadas en el coste de adquisición de cada tipo de capital.</w:t>
      </w:r>
    </w:p>
    <w:p w14:paraId="5CB8B671" w14:textId="2C80DC34" w:rsidR="002F4873" w:rsidRPr="002F4873" w:rsidRDefault="00D93E4A" w:rsidP="002F4873">
      <w:pPr>
        <w:pStyle w:val="Nivel1SM"/>
        <w:keepNext/>
        <w:spacing w:after="0"/>
        <w:rPr>
          <w:spacing w:val="-1"/>
        </w:rPr>
      </w:pPr>
      <w:r w:rsidRPr="002F4873">
        <w:rPr>
          <w:rFonts w:cs="Times New Roman"/>
          <w:spacing w:val="-1"/>
        </w:rPr>
        <w:t>La idea</w:t>
      </w:r>
      <w:r w:rsidR="002F4873" w:rsidRPr="002F4873">
        <w:rPr>
          <w:rFonts w:cs="Times New Roman"/>
          <w:spacing w:val="-1"/>
        </w:rPr>
        <w:t xml:space="preserve"> de la contribución de </w:t>
      </w:r>
      <w:r w:rsidR="002F4873" w:rsidRPr="002F4873">
        <w:rPr>
          <w:rFonts w:cs="Times New Roman"/>
          <w:smallCaps/>
          <w:spacing w:val="-1"/>
        </w:rPr>
        <w:t>Jorgenson</w:t>
      </w:r>
      <w:r w:rsidR="002F4873" w:rsidRPr="002F4873">
        <w:rPr>
          <w:rFonts w:cs="Times New Roman"/>
          <w:spacing w:val="-1"/>
        </w:rPr>
        <w:t xml:space="preserve"> y </w:t>
      </w:r>
      <w:r w:rsidR="002F4873" w:rsidRPr="002F4873">
        <w:rPr>
          <w:rFonts w:cs="Times New Roman"/>
          <w:smallCaps/>
          <w:spacing w:val="-1"/>
        </w:rPr>
        <w:t>Griliches</w:t>
      </w:r>
      <w:r w:rsidRPr="002F4873">
        <w:rPr>
          <w:rFonts w:cs="Times New Roman"/>
          <w:spacing w:val="-1"/>
        </w:rPr>
        <w:t xml:space="preserve"> es que, dadas las horas de trabajo y los servicios de producción del capital, las mejoras en la calidad de los factores tienden a aumentar la producción.</w:t>
      </w:r>
    </w:p>
    <w:p w14:paraId="5F3684B6" w14:textId="77777777" w:rsidR="002F4873" w:rsidRDefault="00D93E4A" w:rsidP="002F4873">
      <w:pPr>
        <w:pStyle w:val="Nivel2SM"/>
      </w:pPr>
      <w:r w:rsidRPr="00D93E4A">
        <w:t>Sin embargo, si existen dificultades para medir</w:t>
      </w:r>
      <w:r>
        <w:t xml:space="preserve"> la calidad de los factores productivos, entonces la parte no medida de la mejora en calidad se manifiesta en un mayor crecimiento de la productividad total de los factores.</w:t>
      </w:r>
    </w:p>
    <w:p w14:paraId="40C83270" w14:textId="2F1BF944" w:rsidR="00D81F87" w:rsidRPr="00D93E4A" w:rsidRDefault="00D93E4A" w:rsidP="002F4873">
      <w:pPr>
        <w:pStyle w:val="Nivel2SM"/>
      </w:pPr>
      <w:r>
        <w:t>Al corregir los errores de medida, el 96,7 % del crecimiento del PIB viene explicado por los factores productivos.</w:t>
      </w:r>
    </w:p>
    <w:p w14:paraId="399F611E" w14:textId="77A7086E" w:rsidR="00702008" w:rsidRDefault="00702008">
      <w:pPr>
        <w:pStyle w:val="Ttulo3"/>
      </w:pPr>
      <w:bookmarkStart w:id="48" w:name="_Toc129716221"/>
      <w:r>
        <w:lastRenderedPageBreak/>
        <w:t>Producción total o valor añadido</w:t>
      </w:r>
      <w:bookmarkEnd w:id="48"/>
    </w:p>
    <w:p w14:paraId="5DFB6D4E" w14:textId="5A17755D" w:rsidR="00D93E4A" w:rsidRPr="00D93E4A" w:rsidRDefault="00D93E4A" w:rsidP="00D93E4A">
      <w:r>
        <w:rPr>
          <w:noProof/>
        </w:rPr>
        <w:drawing>
          <wp:inline distT="0" distB="0" distL="0" distR="0" wp14:anchorId="50FE4501" wp14:editId="348ED50C">
            <wp:extent cx="2160000" cy="1285989"/>
            <wp:effectExtent l="0" t="0" r="0" b="0"/>
            <wp:docPr id="27" name="Imagen 2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Imagen que contiene Texto&#10;&#10;Descripción generada automáticamente"/>
                    <pic:cNvPicPr/>
                  </pic:nvPicPr>
                  <pic:blipFill>
                    <a:blip r:embed="rId18"/>
                    <a:stretch>
                      <a:fillRect/>
                    </a:stretch>
                  </pic:blipFill>
                  <pic:spPr>
                    <a:xfrm>
                      <a:off x="0" y="0"/>
                      <a:ext cx="2160000" cy="1285989"/>
                    </a:xfrm>
                    <a:prstGeom prst="rect">
                      <a:avLst/>
                    </a:prstGeom>
                  </pic:spPr>
                </pic:pic>
              </a:graphicData>
            </a:graphic>
          </wp:inline>
        </w:drawing>
      </w:r>
    </w:p>
    <w:p w14:paraId="7C76F28D" w14:textId="119D213B" w:rsidR="00702008" w:rsidRDefault="00702008">
      <w:pPr>
        <w:pStyle w:val="Ttulo3"/>
      </w:pPr>
      <w:bookmarkStart w:id="49" w:name="_Toc129716222"/>
      <w:r>
        <w:t>Contabilidad frente a causalidad</w:t>
      </w:r>
      <w:bookmarkEnd w:id="49"/>
    </w:p>
    <w:p w14:paraId="54108A62" w14:textId="668FEB19" w:rsidR="00D93E4A" w:rsidRDefault="00D93E4A" w:rsidP="00D93E4A">
      <w:r>
        <w:rPr>
          <w:noProof/>
        </w:rPr>
        <w:drawing>
          <wp:inline distT="0" distB="0" distL="0" distR="0" wp14:anchorId="1C5F3F43" wp14:editId="3EA322E9">
            <wp:extent cx="2160000" cy="1891289"/>
            <wp:effectExtent l="0" t="0" r="0" b="0"/>
            <wp:docPr id="28" name="Imagen 2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Texto&#10;&#10;Descripción generada automáticamente"/>
                    <pic:cNvPicPr/>
                  </pic:nvPicPr>
                  <pic:blipFill>
                    <a:blip r:embed="rId19"/>
                    <a:stretch>
                      <a:fillRect/>
                    </a:stretch>
                  </pic:blipFill>
                  <pic:spPr>
                    <a:xfrm>
                      <a:off x="0" y="0"/>
                      <a:ext cx="2160000" cy="1891289"/>
                    </a:xfrm>
                    <a:prstGeom prst="rect">
                      <a:avLst/>
                    </a:prstGeom>
                  </pic:spPr>
                </pic:pic>
              </a:graphicData>
            </a:graphic>
          </wp:inline>
        </w:drawing>
      </w:r>
    </w:p>
    <w:p w14:paraId="4E60820B" w14:textId="77777777" w:rsidR="00D93E4A" w:rsidRDefault="00D93E4A">
      <w:pPr>
        <w:pStyle w:val="Ttulo2"/>
      </w:pPr>
      <w:bookmarkStart w:id="50" w:name="_Toc129716223"/>
      <w:r>
        <w:t>Evidencia empírica</w:t>
      </w:r>
      <w:bookmarkEnd w:id="50"/>
    </w:p>
    <w:p w14:paraId="6C55090D" w14:textId="3F3B8693" w:rsidR="00D93E4A" w:rsidRDefault="00D93E4A">
      <w:pPr>
        <w:pStyle w:val="Ttulo3"/>
      </w:pPr>
      <w:bookmarkStart w:id="51" w:name="_Toc129716224"/>
      <w:r>
        <w:t>Participación de los factores productivos en la renta</w:t>
      </w:r>
      <w:bookmarkEnd w:id="51"/>
    </w:p>
    <w:p w14:paraId="138CEDB0" w14:textId="77777777" w:rsidR="00853B2B" w:rsidRPr="00853B2B" w:rsidRDefault="00D93E4A" w:rsidP="001B447B">
      <w:pPr>
        <w:pStyle w:val="Nivel1SM"/>
        <w:spacing w:before="0"/>
        <w:rPr>
          <w:spacing w:val="-2"/>
        </w:rPr>
      </w:pPr>
      <w:r w:rsidRPr="00853B2B">
        <w:rPr>
          <w:spacing w:val="-2"/>
        </w:rPr>
        <w:t xml:space="preserve">La participación del capital, </w:t>
      </w:r>
      <m:oMath>
        <m:r>
          <m:rPr>
            <m:nor/>
          </m:rPr>
          <w:rPr>
            <w:i/>
            <w:iCs/>
            <w:spacing w:val="-2"/>
          </w:rPr>
          <m:t>α</m:t>
        </m:r>
      </m:oMath>
      <w:r w:rsidRPr="00853B2B">
        <w:rPr>
          <w:spacing w:val="-2"/>
        </w:rPr>
        <w:t xml:space="preserve">, se </w:t>
      </w:r>
      <w:r w:rsidR="00853B2B" w:rsidRPr="00853B2B">
        <w:rPr>
          <w:spacing w:val="-2"/>
        </w:rPr>
        <w:t>encontraba</w:t>
      </w:r>
      <w:r w:rsidRPr="00853B2B">
        <w:rPr>
          <w:spacing w:val="-2"/>
        </w:rPr>
        <w:t xml:space="preserve"> entre </w:t>
      </w:r>
      <w:r w:rsidR="00853B2B" w:rsidRPr="00853B2B">
        <w:rPr>
          <w:spacing w:val="-2"/>
        </w:rPr>
        <w:t xml:space="preserve">0,2 y 0,5 </w:t>
      </w:r>
      <w:r w:rsidRPr="00853B2B">
        <w:rPr>
          <w:spacing w:val="-2"/>
        </w:rPr>
        <w:t xml:space="preserve">en los países desarrollados </w:t>
      </w:r>
      <w:r w:rsidR="00853B2B" w:rsidRPr="00853B2B">
        <w:rPr>
          <w:spacing w:val="-2"/>
          <w:sz w:val="19"/>
          <w:szCs w:val="19"/>
        </w:rPr>
        <w:t>(entre 1960 y 2020)</w:t>
      </w:r>
      <w:r w:rsidR="00853B2B" w:rsidRPr="00853B2B">
        <w:rPr>
          <w:spacing w:val="-2"/>
        </w:rPr>
        <w:t>.</w:t>
      </w:r>
    </w:p>
    <w:p w14:paraId="69A691F0" w14:textId="6CFFF411" w:rsidR="00D93E4A" w:rsidRDefault="00853B2B">
      <w:pPr>
        <w:pStyle w:val="Nivel1SM"/>
      </w:pPr>
      <w:r>
        <w:t>En relación a la evolución temporal, se mantiene relativamente estable con una leve tendencia a reducir la participación del factor trabajo</w:t>
      </w:r>
      <w:r>
        <w:rPr>
          <w:rStyle w:val="Refdenotaalpie"/>
        </w:rPr>
        <w:footnoteReference w:id="18"/>
      </w:r>
      <w:r>
        <w:t>.</w:t>
      </w:r>
    </w:p>
    <w:p w14:paraId="74B2BDFE" w14:textId="5467C4A5" w:rsidR="00D93E4A" w:rsidRDefault="00D93E4A">
      <w:pPr>
        <w:pStyle w:val="Ttulo3"/>
      </w:pPr>
      <w:bookmarkStart w:id="52" w:name="_Toc129716225"/>
      <w:r>
        <w:t>Contribución de los factores productivos y de la productividad total de los factores</w:t>
      </w:r>
      <w:bookmarkEnd w:id="52"/>
    </w:p>
    <w:p w14:paraId="2BEFD5CB" w14:textId="76995133" w:rsidR="00853B2B" w:rsidRDefault="00853B2B" w:rsidP="001B447B">
      <w:pPr>
        <w:pStyle w:val="Nivel1SM"/>
        <w:keepNext/>
        <w:spacing w:before="0" w:after="0"/>
      </w:pPr>
      <w:r>
        <w:t>Entre los años 1960 y 2000, el crecimiento promedio mundial fue del 4 % (con un crecimiento del PIB per cápita del 2,3 %). Según el enfoque derivado de la contabilidad del crecimiento, podemos descomponer este crecimiento de modo que:</w:t>
      </w:r>
    </w:p>
    <w:p w14:paraId="72CD08F6" w14:textId="5CAD2F78" w:rsidR="00853B2B" w:rsidRDefault="00853B2B">
      <w:pPr>
        <w:pStyle w:val="Nivel2SM"/>
      </w:pPr>
      <w:r>
        <w:t>La acumulación de capital físico, es responsable del 40 % del total.</w:t>
      </w:r>
    </w:p>
    <w:p w14:paraId="7B02F372" w14:textId="0B19CE28" w:rsidR="00853B2B" w:rsidRDefault="00853B2B">
      <w:pPr>
        <w:pStyle w:val="Nivel2SM"/>
      </w:pPr>
      <w:r>
        <w:t>La acumulación de capital humano del 10 %</w:t>
      </w:r>
      <w:r w:rsidR="0073263F">
        <w:t>.</w:t>
      </w:r>
    </w:p>
    <w:p w14:paraId="7CD22049" w14:textId="5DBAE0FD" w:rsidR="00853B2B" w:rsidRDefault="00853B2B">
      <w:pPr>
        <w:pStyle w:val="Nivel2SM"/>
      </w:pPr>
      <w:r>
        <w:t xml:space="preserve">El crecimiento de la productividad total de los factores (i.e. </w:t>
      </w:r>
      <w:r>
        <w:rPr>
          <w:rFonts w:cs="Times New Roman"/>
        </w:rPr>
        <w:t>«residuo de Solow»</w:t>
      </w:r>
      <w:r>
        <w:t>) ser</w:t>
      </w:r>
      <w:r w:rsidR="00DC30A9">
        <w:t>ía</w:t>
      </w:r>
      <w:r>
        <w:t xml:space="preserve"> el responsable del 50 % restante.</w:t>
      </w:r>
    </w:p>
    <w:p w14:paraId="05D8B82F" w14:textId="5C3B719C" w:rsidR="00853B2B" w:rsidRPr="0073263F" w:rsidRDefault="00853B2B">
      <w:pPr>
        <w:pStyle w:val="Nivel1SM"/>
      </w:pPr>
      <w:r>
        <w:rPr>
          <w:smallCaps/>
        </w:rPr>
        <w:t>Jorgenson</w:t>
      </w:r>
      <w:r>
        <w:t xml:space="preserve"> </w:t>
      </w:r>
      <w:r w:rsidR="00082B0C">
        <w:t xml:space="preserve">(1995) </w:t>
      </w:r>
      <w:r>
        <w:t xml:space="preserve">encuentra que </w:t>
      </w:r>
      <w:r w:rsidRPr="00853B2B">
        <w:rPr>
          <w:b/>
          <w:bCs/>
        </w:rPr>
        <w:t>los estudios que no estiman el capital humano sobrevaloran la productividad total de los factores</w:t>
      </w:r>
      <w:r>
        <w:t xml:space="preserve"> y muestra que en los países de la OCDE el capital humano y el capital físico contribuyen más y el </w:t>
      </w:r>
      <w:r>
        <w:rPr>
          <w:rFonts w:cs="Times New Roman"/>
        </w:rPr>
        <w:t>«residuo de Solow» es menor.</w:t>
      </w:r>
    </w:p>
    <w:p w14:paraId="2F2C146C" w14:textId="2A23CFF7" w:rsidR="0073263F" w:rsidRPr="00853B2B" w:rsidRDefault="0073263F" w:rsidP="0073263F">
      <w:pPr>
        <w:pStyle w:val="Ttulo3"/>
      </w:pPr>
      <w:r>
        <w:t>Desaceleración de la productividad</w:t>
      </w:r>
    </w:p>
    <w:p w14:paraId="20E709A0" w14:textId="658CDB7E" w:rsidR="00853B2B" w:rsidRDefault="00853B2B" w:rsidP="0073263F">
      <w:pPr>
        <w:pStyle w:val="Nivel1SM"/>
        <w:keepNext/>
        <w:spacing w:before="0" w:after="0"/>
      </w:pPr>
      <w:r w:rsidRPr="00853B2B">
        <w:t xml:space="preserve">Desde la </w:t>
      </w:r>
      <w:r>
        <w:t xml:space="preserve">década de 1970 se produce una </w:t>
      </w:r>
      <w:r w:rsidRPr="00853B2B">
        <w:rPr>
          <w:b/>
          <w:bCs/>
        </w:rPr>
        <w:t>desaceleración de la productividad</w:t>
      </w:r>
      <w:r>
        <w:t xml:space="preserve">. </w:t>
      </w:r>
      <w:r>
        <w:rPr>
          <w:smallCaps/>
        </w:rPr>
        <w:t>Denison</w:t>
      </w:r>
      <w:r>
        <w:t xml:space="preserve"> (1985) es un autor pionero en documentar esta situación para el caso de Estados Unidos y posteriormente ha sido confirmado en otro países. Este fenómeno se puede explicar por distintos factores:</w:t>
      </w:r>
    </w:p>
    <w:p w14:paraId="734086CB" w14:textId="3AC9F8A8" w:rsidR="00082B0C" w:rsidRPr="00082B0C" w:rsidRDefault="00082B0C">
      <w:pPr>
        <w:pStyle w:val="Nivel2SM"/>
      </w:pPr>
      <w:r>
        <w:rPr>
          <w:i/>
          <w:iCs/>
        </w:rPr>
        <w:t>Subida del precio del petróleo</w:t>
      </w:r>
      <w:r>
        <w:t>: Sin embargo, esta explicación es poco satisfactoria ya que la PTF no crece cuando el petróleo cae.</w:t>
      </w:r>
    </w:p>
    <w:p w14:paraId="67CD539A" w14:textId="6F824290" w:rsidR="00853B2B" w:rsidRDefault="00853B2B">
      <w:pPr>
        <w:pStyle w:val="Nivel2SM"/>
      </w:pPr>
      <w:r>
        <w:rPr>
          <w:i/>
          <w:iCs/>
        </w:rPr>
        <w:lastRenderedPageBreak/>
        <w:t>Errores de medición</w:t>
      </w:r>
      <w:r>
        <w:t>: Por ejemplo, existen muchas tecnologías de precios bajos o nulos</w:t>
      </w:r>
      <w:r w:rsidR="001D7D94">
        <w:t xml:space="preserve"> que provocan errores de medición, ya que aunque estas tecnologías generen mucho valor económico, al tener precios nulos no aparecen en las estadísticas económicas </w:t>
      </w:r>
      <w:r>
        <w:t>(</w:t>
      </w:r>
      <w:r w:rsidR="001D7D94">
        <w:t>p.ej. WhatsApp</w:t>
      </w:r>
      <w:r>
        <w:t>)</w:t>
      </w:r>
      <w:r w:rsidR="001D7D94">
        <w:t>. Sin embargo, esta explicación se ha descartado. La reducción del crecimiento de la productividad se ha producido prácticamente en todos los sectores independientemente del uso de TIC en ellos.</w:t>
      </w:r>
    </w:p>
    <w:p w14:paraId="2EB2C919" w14:textId="1909619E" w:rsidR="001D7D94" w:rsidRPr="00082B0C" w:rsidRDefault="001D7D94">
      <w:pPr>
        <w:pStyle w:val="Nivel2SM"/>
      </w:pPr>
      <w:r w:rsidRPr="00082B0C">
        <w:rPr>
          <w:i/>
          <w:iCs/>
        </w:rPr>
        <w:t xml:space="preserve">Cambio estructural </w:t>
      </w:r>
      <w:r w:rsidR="0005285D">
        <w:rPr>
          <w:i/>
          <w:iCs/>
        </w:rPr>
        <w:t>hacia</w:t>
      </w:r>
      <w:r w:rsidRPr="00082B0C">
        <w:rPr>
          <w:i/>
          <w:iCs/>
        </w:rPr>
        <w:t xml:space="preserve"> servicios</w:t>
      </w:r>
      <w:r w:rsidR="0005285D">
        <w:t>: Los servicios tienen</w:t>
      </w:r>
      <w:r w:rsidR="0005285D" w:rsidRPr="0005285D">
        <w:t xml:space="preserve"> </w:t>
      </w:r>
      <w:r w:rsidR="00082B0C" w:rsidRPr="0005285D">
        <w:t>menor crecimiento de la productividad total</w:t>
      </w:r>
      <w:r w:rsidR="00082B0C" w:rsidRPr="00082B0C">
        <w:rPr>
          <w:i/>
          <w:iCs/>
        </w:rPr>
        <w:t xml:space="preserve"> </w:t>
      </w:r>
      <w:r w:rsidR="00082B0C" w:rsidRPr="0005285D">
        <w:t>de los factores</w:t>
      </w:r>
      <w:r w:rsidR="0005285D">
        <w:t>. A partir de los 70 aumenta enormemente el peso del sector servicio</w:t>
      </w:r>
      <w:r w:rsidR="00557054">
        <w:t>s</w:t>
      </w:r>
      <w:r w:rsidR="0005285D">
        <w:t xml:space="preserve"> y las</w:t>
      </w:r>
      <w:r w:rsidR="00082B0C" w:rsidRPr="00082B0C">
        <w:t xml:space="preserve"> mejoras en</w:t>
      </w:r>
      <w:r w:rsidR="0005285D">
        <w:t xml:space="preserve"> las</w:t>
      </w:r>
      <w:r w:rsidR="00082B0C" w:rsidRPr="00082B0C">
        <w:t xml:space="preserve"> TIC toda</w:t>
      </w:r>
      <w:r w:rsidR="00082B0C">
        <w:t>v</w:t>
      </w:r>
      <w:r w:rsidR="00082B0C" w:rsidRPr="00082B0C">
        <w:t xml:space="preserve">ía no se habían producido. </w:t>
      </w:r>
      <w:r w:rsidR="00082B0C">
        <w:t xml:space="preserve">En los </w:t>
      </w:r>
      <w:r w:rsidR="00082B0C" w:rsidRPr="00082B0C">
        <w:t xml:space="preserve">90 </w:t>
      </w:r>
      <w:r w:rsidR="00082B0C">
        <w:t xml:space="preserve">se produce un </w:t>
      </w:r>
      <w:r w:rsidR="00082B0C" w:rsidRPr="00082B0C">
        <w:t>ligero repunte de la productividad total de los factores que se achaca al despegue de las TIC.</w:t>
      </w:r>
    </w:p>
    <w:p w14:paraId="746F00F1" w14:textId="1E94FC00" w:rsidR="001D7D94" w:rsidRPr="001D7D94" w:rsidRDefault="001D7D94">
      <w:pPr>
        <w:pStyle w:val="Nivel2SM"/>
      </w:pPr>
      <w:r>
        <w:rPr>
          <w:i/>
          <w:iCs/>
        </w:rPr>
        <w:t>Mero efecto estadístico debido al mayor control por capital humano en las mediciones</w:t>
      </w:r>
      <w:r w:rsidRPr="001D7D94">
        <w:t>.</w:t>
      </w:r>
    </w:p>
    <w:p w14:paraId="77DF3D51" w14:textId="078C2DC5" w:rsidR="001D7D94" w:rsidRPr="00853B2B" w:rsidRDefault="00082B0C">
      <w:pPr>
        <w:pStyle w:val="Nivel2SM"/>
      </w:pPr>
      <w:r>
        <w:rPr>
          <w:i/>
          <w:iCs/>
        </w:rPr>
        <w:t>El aumento de la productividad no se ha producido a pesar de las innovaciones tecnológicas pero se producirá</w:t>
      </w:r>
      <w:r w:rsidRPr="00082B0C">
        <w:t>. Aunque la inte</w:t>
      </w:r>
      <w:r>
        <w:t>ligencia artificial esté generando grandes innovaciones, su uso para mejorar la producción no se ha producido aún. Si esta hipótesis es correcta, significa que estamos a punto de experimentar un boom en la productividad.</w:t>
      </w:r>
    </w:p>
    <w:p w14:paraId="3A3B11B2" w14:textId="2ABC70CD" w:rsidR="00D93E4A" w:rsidRDefault="000C38F7" w:rsidP="000C38F7">
      <w:pPr>
        <w:pStyle w:val="Ttulo2"/>
      </w:pPr>
      <w:bookmarkStart w:id="53" w:name="_Toc129716226"/>
      <w:r>
        <w:t>Resumen de las conclusiones del apartado (</w:t>
      </w:r>
      <w:r w:rsidR="00D5332E">
        <w:t>Link</w:t>
      </w:r>
      <w:bookmarkEnd w:id="53"/>
      <w:r>
        <w:t>)</w:t>
      </w:r>
    </w:p>
    <w:p w14:paraId="4F87A0FA" w14:textId="77777777" w:rsidR="000C38F7" w:rsidRDefault="00082B0C" w:rsidP="000C38F7">
      <w:pPr>
        <w:pStyle w:val="Nivel1SM"/>
        <w:keepNext/>
        <w:spacing w:before="0" w:after="0"/>
      </w:pPr>
      <w:r>
        <w:t>La contabilidad del crecimie</w:t>
      </w:r>
      <w:r w:rsidR="00D5332E">
        <w:t>nto ha tratado de medir en qué medida el crecimiento viene explicado por la acumulación de factores productivos y por aumentos en la productividad total de los factores.</w:t>
      </w:r>
    </w:p>
    <w:p w14:paraId="1E72C72D" w14:textId="28408DAB" w:rsidR="00082B0C" w:rsidRDefault="00D5332E" w:rsidP="000C38F7">
      <w:pPr>
        <w:pStyle w:val="Nivel2SM"/>
      </w:pPr>
      <w:r>
        <w:t xml:space="preserve">Desde el trabajo de </w:t>
      </w:r>
      <w:r>
        <w:rPr>
          <w:smallCaps/>
        </w:rPr>
        <w:t>Solow</w:t>
      </w:r>
      <w:r>
        <w:t xml:space="preserve"> (1957), los estudios sobre contabilidad del crecimiento han reducido considerablemente la importancia de la productividad total de los factores, el más notorio el de </w:t>
      </w:r>
      <w:r>
        <w:rPr>
          <w:smallCaps/>
        </w:rPr>
        <w:t>Jorgenson</w:t>
      </w:r>
      <w:r>
        <w:t xml:space="preserve"> y </w:t>
      </w:r>
      <w:r>
        <w:rPr>
          <w:smallCaps/>
        </w:rPr>
        <w:t>Griliches</w:t>
      </w:r>
      <w:r>
        <w:t xml:space="preserve"> (1967), entre un gran debate sobre la medición de los factores productivos.</w:t>
      </w:r>
    </w:p>
    <w:p w14:paraId="26A503F1" w14:textId="30F7FFDE" w:rsidR="00D5332E" w:rsidRDefault="00D5332E" w:rsidP="000C38F7">
      <w:pPr>
        <w:pStyle w:val="Nivel2SM"/>
      </w:pPr>
      <w:r w:rsidRPr="00D5332E">
        <w:rPr>
          <w:smallCaps/>
        </w:rPr>
        <w:t>Hsieh</w:t>
      </w:r>
      <w:r w:rsidRPr="00D5332E">
        <w:t xml:space="preserve"> busc</w:t>
      </w:r>
      <w:r>
        <w:t>a simplificar el análisis</w:t>
      </w:r>
      <w:r w:rsidR="002E2B8D">
        <w:t>,</w:t>
      </w:r>
      <w:r>
        <w:t xml:space="preserve"> pero ello trae nuevas controversias sobre las explicaciones de las discrepancias entre el enfoque de </w:t>
      </w:r>
      <w:r>
        <w:rPr>
          <w:smallCaps/>
        </w:rPr>
        <w:t>Solow</w:t>
      </w:r>
      <w:r>
        <w:t xml:space="preserve"> y su enfoque.</w:t>
      </w:r>
    </w:p>
    <w:p w14:paraId="09513416" w14:textId="0A5CB122" w:rsidR="00D5332E" w:rsidRPr="005129DF" w:rsidRDefault="00D5332E" w:rsidP="000C38F7">
      <w:pPr>
        <w:pStyle w:val="Nivel1SM"/>
        <w:keepNext/>
        <w:spacing w:after="0"/>
        <w:rPr>
          <w:spacing w:val="-2"/>
        </w:rPr>
      </w:pPr>
      <w:r w:rsidRPr="005129DF">
        <w:rPr>
          <w:spacing w:val="-2"/>
        </w:rPr>
        <w:t>En cualquier caso, hay que matizar que la contabilidad del crecimiento no es una teoría del crecimiento en sí misma, en la medida en que no explica cómo los cambios en los factores productivos y las mejoras en la productividad total de los factores y mejoras en la productividad total de los factores se relacionan con aspectos como las preferencias, la tecnología o las políticas económicas.</w:t>
      </w:r>
    </w:p>
    <w:p w14:paraId="418217F8" w14:textId="09235F14" w:rsidR="00D5332E" w:rsidRPr="00D5332E" w:rsidRDefault="00D5332E" w:rsidP="000C38F7">
      <w:pPr>
        <w:pStyle w:val="Nivel2SM"/>
      </w:pPr>
      <w:r>
        <w:t>Por tanto, la contabilidad del crecimiento es simplemente un primer paso para explicar la descomposición del crecimiento del PIB entre acumulación de factores productivos y aumentos de la productividad total de los factores.</w:t>
      </w:r>
    </w:p>
    <w:p w14:paraId="6CA9828F" w14:textId="71F91A68" w:rsidR="00692E40" w:rsidRDefault="002C0C14">
      <w:pPr>
        <w:pStyle w:val="Ttulo1"/>
      </w:pPr>
      <w:bookmarkStart w:id="54" w:name="_Toc129716227"/>
      <w:r>
        <w:t>EVIDENCIA EMPÍRICA SOBRE LA CONVERGENCIA</w:t>
      </w:r>
      <w:bookmarkEnd w:id="54"/>
    </w:p>
    <w:p w14:paraId="0F48B5F8" w14:textId="37352167" w:rsidR="00803CC6" w:rsidRDefault="00803CC6">
      <w:pPr>
        <w:pStyle w:val="Ttulo2"/>
      </w:pPr>
      <w:bookmarkStart w:id="55" w:name="_Toc129716228"/>
      <w:r>
        <w:t>Definiciones de convergencia</w:t>
      </w:r>
      <w:bookmarkEnd w:id="55"/>
    </w:p>
    <w:p w14:paraId="5433B298" w14:textId="57985283" w:rsidR="00803CC6" w:rsidRDefault="00803CC6" w:rsidP="001B447B">
      <w:pPr>
        <w:pStyle w:val="Ttulo3"/>
        <w:spacing w:before="0"/>
      </w:pPr>
      <w:bookmarkStart w:id="56" w:name="_Toc129716229"/>
      <w:r>
        <w:t>Idea</w:t>
      </w:r>
      <w:bookmarkEnd w:id="56"/>
    </w:p>
    <w:p w14:paraId="2D7A6174" w14:textId="77777777" w:rsidR="007B4A24" w:rsidRDefault="007B4A24" w:rsidP="001B447B">
      <w:pPr>
        <w:pStyle w:val="Nivel1SM"/>
        <w:keepNext/>
        <w:spacing w:before="0" w:after="0"/>
      </w:pPr>
      <w:r>
        <w:t>Hasta ahora hemos analizado las implicaciones del modelo neoclásico de crecimiento sobre las diferencias en renta per cápita entre países, cómo descomponer dichas diferencias y cuáles son los determinantes de las diferencias de la renta per cápita y, por tanto, de crecimiento entre países.</w:t>
      </w:r>
    </w:p>
    <w:p w14:paraId="0A64FCA2" w14:textId="1C14F1FC" w:rsidR="007B4A24" w:rsidRDefault="007B4A24" w:rsidP="00F5107B">
      <w:pPr>
        <w:pStyle w:val="Nivel2SM"/>
      </w:pPr>
      <w:r>
        <w:t>El punto de partida de esta exposición era el hecho de que el modelo neoclásico de crecimiento predice que las economías convergen a un estado estacionario en que el crecimiento es equilibrado.</w:t>
      </w:r>
      <w:r w:rsidR="006477E3">
        <w:t xml:space="preserve"> </w:t>
      </w:r>
      <w:r>
        <w:t>En esta sección estudiaremos empíricamente las implicaciones del modelo sobre la naturaleza de dicha convergencia.</w:t>
      </w:r>
    </w:p>
    <w:p w14:paraId="67BE589A" w14:textId="7D7387FC" w:rsidR="008E2B0F" w:rsidRDefault="008E2B0F">
      <w:pPr>
        <w:pStyle w:val="Nivel1SM"/>
      </w:pPr>
      <w:r>
        <w:t xml:space="preserve">El objetivo de la literatura de convergencia es dilucidar si el proceso de crecimiento económico incorpora una </w:t>
      </w:r>
      <w:r w:rsidRPr="006477E3">
        <w:rPr>
          <w:b/>
          <w:bCs/>
        </w:rPr>
        <w:t>tendencia a largo plazo al acercamiento de rentas entre países</w:t>
      </w:r>
      <w:r>
        <w:t>. Se trata de uno de los temas centrales de la literatura empírica de crecimiento económico. Trabajamos con convergencia real (i.e. convergencia en el PIB real, no en el PIB nominal).</w:t>
      </w:r>
    </w:p>
    <w:p w14:paraId="0569AA8E" w14:textId="59E3AB8F" w:rsidR="00E45274" w:rsidRPr="00E45274" w:rsidRDefault="00E45274" w:rsidP="00E45274">
      <w:pPr>
        <w:pStyle w:val="Ttuloimagen"/>
        <w:rPr>
          <w:smallCaps w:val="0"/>
        </w:rPr>
      </w:pPr>
      <w:r>
        <w:lastRenderedPageBreak/>
        <w:t>Imagen</w:t>
      </w:r>
      <w:r w:rsidR="00451F61">
        <w:t> </w:t>
      </w:r>
      <w:r>
        <w:fldChar w:fldCharType="begin"/>
      </w:r>
      <w:r>
        <w:instrText xml:space="preserve"> SEQ Ilustración \* ARABIC </w:instrText>
      </w:r>
      <w:r>
        <w:fldChar w:fldCharType="separate"/>
      </w:r>
      <w:r w:rsidR="007846DF">
        <w:t>1</w:t>
      </w:r>
      <w:r>
        <w:fldChar w:fldCharType="end"/>
      </w:r>
      <w:r>
        <w:rPr>
          <w:smallCaps w:val="0"/>
        </w:rPr>
        <w:t xml:space="preserve">.– </w:t>
      </w:r>
      <w:r>
        <w:rPr>
          <w:i/>
          <w:iCs/>
          <w:smallCaps w:val="0"/>
        </w:rPr>
        <w:t>Tipos de convergencia</w:t>
      </w:r>
    </w:p>
    <w:p w14:paraId="7636B9AA" w14:textId="5D5498A9" w:rsidR="00EB1287" w:rsidRDefault="00B05D17" w:rsidP="00E45274">
      <w:pPr>
        <w:pStyle w:val="Imagen"/>
      </w:pPr>
      <w:r w:rsidRPr="00B05D17">
        <w:drawing>
          <wp:inline distT="0" distB="0" distL="0" distR="0" wp14:anchorId="32BD83D5" wp14:editId="459BE819">
            <wp:extent cx="3163116" cy="2160000"/>
            <wp:effectExtent l="0" t="0" r="0" b="0"/>
            <wp:docPr id="35" name="Imagen 3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Diagrama&#10;&#10;Descripción generada automáticamente"/>
                    <pic:cNvPicPr/>
                  </pic:nvPicPr>
                  <pic:blipFill rotWithShape="1">
                    <a:blip r:embed="rId20"/>
                    <a:srcRect t="7338" b="5465"/>
                    <a:stretch/>
                  </pic:blipFill>
                  <pic:spPr bwMode="auto">
                    <a:xfrm>
                      <a:off x="0" y="0"/>
                      <a:ext cx="3163116" cy="2160000"/>
                    </a:xfrm>
                    <a:prstGeom prst="rect">
                      <a:avLst/>
                    </a:prstGeom>
                    <a:ln>
                      <a:noFill/>
                    </a:ln>
                    <a:extLst>
                      <a:ext uri="{53640926-AAD7-44D8-BBD7-CCE9431645EC}">
                        <a14:shadowObscured xmlns:a14="http://schemas.microsoft.com/office/drawing/2010/main"/>
                      </a:ext>
                    </a:extLst>
                  </pic:spPr>
                </pic:pic>
              </a:graphicData>
            </a:graphic>
          </wp:inline>
        </w:drawing>
      </w:r>
    </w:p>
    <w:p w14:paraId="7625598D" w14:textId="2E4531BC" w:rsidR="00E45274" w:rsidRDefault="00E45274" w:rsidP="00E45274">
      <w:pPr>
        <w:pStyle w:val="PiedeImagen"/>
        <w:rPr>
          <w:rStyle w:val="Hipervnculo"/>
          <w:i w:val="0"/>
          <w:iCs/>
        </w:rPr>
      </w:pPr>
      <w:r>
        <w:t>Fuente</w:t>
      </w:r>
      <w:r>
        <w:rPr>
          <w:i w:val="0"/>
          <w:iCs/>
        </w:rPr>
        <w:t>:</w:t>
      </w:r>
      <w:r w:rsidR="00BA1D0F">
        <w:rPr>
          <w:i w:val="0"/>
          <w:iCs/>
        </w:rPr>
        <w:t xml:space="preserve"> </w:t>
      </w:r>
      <w:r w:rsidR="00BA1D0F" w:rsidRPr="00BA1D0F">
        <w:rPr>
          <w:i w:val="0"/>
          <w:iCs/>
        </w:rPr>
        <w:t xml:space="preserve">del Río Casasola, A. (2018). </w:t>
      </w:r>
      <w:r w:rsidR="00BA1D0F" w:rsidRPr="00B05D17">
        <w:t>Análisis centro-periferia en la UE-20 (1995-2014)</w:t>
      </w:r>
      <w:r w:rsidR="00B05D17">
        <w:rPr>
          <w:i w:val="0"/>
          <w:iCs/>
        </w:rPr>
        <w:t>. Universidad Complutense de Madrid</w:t>
      </w:r>
      <w:r w:rsidR="00BA1D0F" w:rsidRPr="00BA1D0F">
        <w:rPr>
          <w:i w:val="0"/>
          <w:iCs/>
        </w:rPr>
        <w:t>.</w:t>
      </w:r>
      <w:r w:rsidR="00BA1D0F">
        <w:rPr>
          <w:i w:val="0"/>
          <w:iCs/>
        </w:rPr>
        <w:t xml:space="preserve"> </w:t>
      </w:r>
      <w:hyperlink r:id="rId21" w:history="1">
        <w:r w:rsidR="00BA1D0F" w:rsidRPr="00FF0FF0">
          <w:rPr>
            <w:rStyle w:val="Hipervnculo"/>
            <w:i w:val="0"/>
            <w:iCs/>
          </w:rPr>
          <w:t>https://eprints.ucm.es/id/eprint/55279/1/T41082.pdf</w:t>
        </w:r>
      </w:hyperlink>
    </w:p>
    <w:p w14:paraId="6059DDF0" w14:textId="0233AC83" w:rsidR="002E2B8D" w:rsidRDefault="002E2B8D" w:rsidP="002E2B8D">
      <w:pPr>
        <w:pStyle w:val="Nivel1SM"/>
        <w:keepNext/>
        <w:spacing w:before="0" w:after="0"/>
      </w:pPr>
      <w:r>
        <w:t>También es importante destacar que la manera de analizar la convergencia ha evolucionado.</w:t>
      </w:r>
    </w:p>
    <w:p w14:paraId="091E4EBA" w14:textId="35357F1A" w:rsidR="002E2B8D" w:rsidRDefault="002E2B8D" w:rsidP="002E2B8D">
      <w:pPr>
        <w:pStyle w:val="Nivel2SM"/>
      </w:pPr>
      <w:r w:rsidRPr="002E2B8D">
        <w:rPr>
          <w:i/>
          <w:iCs/>
        </w:rPr>
        <w:t>Connotación en los años 50 y 60</w:t>
      </w:r>
      <w:r>
        <w:t>: Tendencia hacia la igualdad entre occidente capitalista y países comunistas.</w:t>
      </w:r>
    </w:p>
    <w:p w14:paraId="2F91D828" w14:textId="76A50ECB" w:rsidR="002E2B8D" w:rsidRPr="002E2B8D" w:rsidRDefault="002E2B8D" w:rsidP="002E2B8D">
      <w:pPr>
        <w:pStyle w:val="Nivel2SM"/>
      </w:pPr>
      <w:r w:rsidRPr="002E2B8D">
        <w:rPr>
          <w:i/>
          <w:iCs/>
        </w:rPr>
        <w:t>Sentido moderno</w:t>
      </w:r>
      <w:r>
        <w:t>: Persistencia/desaparición de diferencias en PIB per cápita entre unidades económicas (países, regiones…). Ocasionalmente también hace referencia a la persistencia/desaparición de diferencias en desempleo o productividad.</w:t>
      </w:r>
    </w:p>
    <w:p w14:paraId="30CFE453" w14:textId="423864CA" w:rsidR="00803CC6" w:rsidRDefault="00803CC6">
      <w:pPr>
        <w:pStyle w:val="Ttulo3"/>
      </w:pPr>
      <w:bookmarkStart w:id="57" w:name="_Toc129716230"/>
      <w:r>
        <w:t>Definiciones (</w:t>
      </w:r>
      <w:r>
        <w:rPr>
          <w:smallCaps/>
        </w:rPr>
        <w:t>Sala-i-Martín</w:t>
      </w:r>
      <w:r>
        <w:t>)</w:t>
      </w:r>
      <w:bookmarkEnd w:id="57"/>
    </w:p>
    <w:p w14:paraId="04ADCF7F" w14:textId="33A2312C" w:rsidR="008E2B0F" w:rsidRDefault="008E2B0F" w:rsidP="00451F61">
      <w:pPr>
        <w:pStyle w:val="Nivel1SM"/>
        <w:keepNext/>
        <w:spacing w:before="0" w:after="0"/>
      </w:pPr>
      <w:r>
        <w:t xml:space="preserve">Las definiciones de </w:t>
      </w:r>
      <w:r w:rsidRPr="00E223AC">
        <w:rPr>
          <w:b/>
          <w:bCs/>
        </w:rPr>
        <w:t>convergencia</w:t>
      </w:r>
      <w:r>
        <w:t xml:space="preserve"> fueron introducidas en la literatura por </w:t>
      </w:r>
      <w:r>
        <w:rPr>
          <w:smallCaps/>
        </w:rPr>
        <w:t>Sala-i-Martín</w:t>
      </w:r>
      <w:r w:rsidR="008A2B8E">
        <w:t xml:space="preserve"> (1990)</w:t>
      </w:r>
      <w:r>
        <w:t>:</w:t>
      </w:r>
    </w:p>
    <w:p w14:paraId="3270445E" w14:textId="1FA31922" w:rsidR="008E2B0F" w:rsidRDefault="008E2B0F">
      <w:pPr>
        <w:pStyle w:val="Nivel2SM"/>
        <w:keepNext/>
        <w:spacing w:after="0"/>
      </w:pPr>
      <w:bookmarkStart w:id="58" w:name="_Hlk146737324"/>
      <w:r>
        <w:t xml:space="preserve">Se dice que existe </w:t>
      </w:r>
      <w:r w:rsidRPr="00E223AC">
        <w:rPr>
          <w:i/>
          <w:iCs/>
          <w:u w:val="single"/>
        </w:rPr>
        <w:t>β</w:t>
      </w:r>
      <w:r w:rsidR="00882671" w:rsidRPr="00882671">
        <w:rPr>
          <w:i/>
          <w:iCs/>
          <w:sz w:val="2"/>
          <w:szCs w:val="2"/>
          <w:u w:val="single"/>
        </w:rPr>
        <w:t> </w:t>
      </w:r>
      <w:r w:rsidR="00882671" w:rsidRPr="00882671">
        <w:rPr>
          <w:i/>
          <w:iCs/>
          <w:u w:val="single"/>
        </w:rPr>
        <w:t>-</w:t>
      </w:r>
      <w:r w:rsidR="00882671" w:rsidRPr="00882671">
        <w:rPr>
          <w:i/>
          <w:iCs/>
          <w:sz w:val="2"/>
          <w:szCs w:val="2"/>
          <w:u w:val="single"/>
        </w:rPr>
        <w:t> </w:t>
      </w:r>
      <w:r w:rsidRPr="00E223AC">
        <w:rPr>
          <w:i/>
          <w:iCs/>
          <w:u w:val="single"/>
        </w:rPr>
        <w:t>convergencia</w:t>
      </w:r>
      <w:r>
        <w:t xml:space="preserve"> si las economías con menor renta per cápita crecen más que las economías con mayor renta per cápita.</w:t>
      </w:r>
    </w:p>
    <w:p w14:paraId="2CF3D5AB" w14:textId="51471F70" w:rsidR="008E2B0F" w:rsidRDefault="008E2B0F">
      <w:pPr>
        <w:pStyle w:val="Nivel3SM"/>
      </w:pPr>
      <w:r>
        <w:t>La tasa de</w:t>
      </w:r>
      <w:r w:rsidR="0026308C">
        <w:t xml:space="preserve"> crecimiento es por tanto una función negativa del nivel de renta inicial.</w:t>
      </w:r>
    </w:p>
    <w:p w14:paraId="308DDEDC" w14:textId="24DC09A1" w:rsidR="0026308C" w:rsidRDefault="0026308C">
      <w:pPr>
        <w:pStyle w:val="Nivel3SM"/>
        <w:keepNext/>
      </w:pPr>
      <w:r>
        <w:t>La tasa de crecimiento se podría escribir como:</w:t>
      </w:r>
    </w:p>
    <w:p w14:paraId="286A337E" w14:textId="635CFD64" w:rsidR="0026308C" w:rsidRPr="0026308C" w:rsidRDefault="00000000" w:rsidP="0026308C">
      <w:pPr>
        <w:pStyle w:val="Nivel3SM"/>
        <w:numPr>
          <w:ilvl w:val="0"/>
          <w:numId w:val="0"/>
        </w:numPr>
        <w:ind w:left="963"/>
        <w:rPr>
          <w:rFonts w:eastAsiaTheme="minorEastAsia"/>
          <w:i/>
          <w:lang w:val="fr-FR"/>
        </w:rPr>
      </w:pPr>
      <m:oMathPara>
        <m:oMath>
          <m:borderBox>
            <m:borderBoxPr>
              <m:ctrlPr>
                <w:rPr>
                  <w:rFonts w:ascii="Cambria Math" w:hAnsi="Cambria Math"/>
                  <w:i/>
                </w:rPr>
              </m:ctrlPr>
            </m:borderBoxPr>
            <m:e>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m:rPr>
                              <m:sty m:val="p"/>
                            </m:rPr>
                            <w:rPr>
                              <w:rFonts w:ascii="Cambria Math" w:hAnsi="Cambria Math"/>
                              <w:lang w:val="fr-FR"/>
                            </w:rPr>
                            <m:t>-</m:t>
                          </m:r>
                          <m:r>
                            <m:rPr>
                              <m:nor/>
                            </m:rPr>
                            <w:rPr>
                              <w:i/>
                              <w:lang w:val="fr-FR"/>
                            </w:rPr>
                            <m:t>1</m:t>
                          </m:r>
                        </m:sub>
                      </m:sSub>
                    </m:e>
                  </m:d>
                </m:e>
              </m:fun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e>
          </m:borderBox>
        </m:oMath>
      </m:oMathPara>
    </w:p>
    <w:p w14:paraId="316FD0B2" w14:textId="7BF8FC66" w:rsidR="0026308C" w:rsidRPr="00563C01" w:rsidRDefault="0026308C">
      <w:pPr>
        <w:pStyle w:val="Nivel3SM"/>
        <w:rPr>
          <w:spacing w:val="-2"/>
        </w:rPr>
      </w:pPr>
      <w:r w:rsidRPr="00563C01">
        <w:rPr>
          <w:spacing w:val="-2"/>
        </w:rPr>
        <w:t>Existirá β</w:t>
      </w:r>
      <w:r w:rsidR="00882671" w:rsidRPr="00776AEE">
        <w:rPr>
          <w:sz w:val="2"/>
          <w:szCs w:val="2"/>
        </w:rPr>
        <w:t> </w:t>
      </w:r>
      <w:r w:rsidR="00882671" w:rsidRPr="0026308C">
        <w:t>-</w:t>
      </w:r>
      <w:r w:rsidR="00882671" w:rsidRPr="00776AEE">
        <w:rPr>
          <w:sz w:val="2"/>
          <w:szCs w:val="2"/>
        </w:rPr>
        <w:t> </w:t>
      </w:r>
      <w:r w:rsidRPr="00563C01">
        <w:rPr>
          <w:spacing w:val="-2"/>
        </w:rPr>
        <w:t xml:space="preserve">convergencia si el valor del parámetro </w:t>
      </w:r>
      <m:oMath>
        <m:sSub>
          <m:sSubPr>
            <m:ctrlPr>
              <w:rPr>
                <w:rFonts w:ascii="Cambria Math" w:hAnsi="Cambria Math"/>
                <w:i/>
                <w:spacing w:val="-2"/>
              </w:rPr>
            </m:ctrlPr>
          </m:sSubPr>
          <m:e>
            <m:r>
              <m:rPr>
                <m:nor/>
              </m:rPr>
              <w:rPr>
                <w:i/>
                <w:spacing w:val="-2"/>
              </w:rPr>
              <m:t>β</m:t>
            </m:r>
          </m:e>
          <m:sub>
            <m:r>
              <m:rPr>
                <m:nor/>
              </m:rPr>
              <w:rPr>
                <w:i/>
                <w:spacing w:val="-2"/>
              </w:rPr>
              <m:t>1</m:t>
            </m:r>
          </m:sub>
        </m:sSub>
      </m:oMath>
      <w:r w:rsidRPr="00563C01">
        <w:rPr>
          <w:rFonts w:eastAsiaTheme="minorEastAsia"/>
          <w:spacing w:val="-2"/>
        </w:rPr>
        <w:t xml:space="preserve"> es menor que cero y es est</w:t>
      </w:r>
      <w:r w:rsidR="00563C01" w:rsidRPr="00563C01">
        <w:rPr>
          <w:rFonts w:eastAsiaTheme="minorEastAsia"/>
          <w:spacing w:val="-2"/>
        </w:rPr>
        <w:t>adístic</w:t>
      </w:r>
      <w:r w:rsidRPr="00563C01">
        <w:rPr>
          <w:rFonts w:eastAsiaTheme="minorEastAsia"/>
          <w:spacing w:val="-2"/>
        </w:rPr>
        <w:t>amente significativo.</w:t>
      </w:r>
    </w:p>
    <w:p w14:paraId="30ABDECF" w14:textId="2DA05273" w:rsidR="00E223AC" w:rsidRPr="00E223AC" w:rsidRDefault="0026308C">
      <w:pPr>
        <w:pStyle w:val="Nivel2SM"/>
        <w:keepNext/>
        <w:spacing w:after="0"/>
      </w:pPr>
      <w:r>
        <w:t xml:space="preserve">Se dice que existe </w:t>
      </w:r>
      <w:r w:rsidRPr="00E223AC">
        <w:rPr>
          <w:i/>
          <w:iCs/>
          <w:u w:val="single"/>
        </w:rPr>
        <w:t>σ</w:t>
      </w:r>
      <w:r w:rsidR="00882671" w:rsidRPr="00882671">
        <w:rPr>
          <w:i/>
          <w:iCs/>
          <w:sz w:val="2"/>
          <w:szCs w:val="2"/>
          <w:u w:val="single"/>
        </w:rPr>
        <w:t> </w:t>
      </w:r>
      <w:r w:rsidR="00882671" w:rsidRPr="00882671">
        <w:rPr>
          <w:i/>
          <w:iCs/>
          <w:u w:val="single"/>
        </w:rPr>
        <w:t>-</w:t>
      </w:r>
      <w:r w:rsidR="00882671" w:rsidRPr="00882671">
        <w:rPr>
          <w:i/>
          <w:iCs/>
          <w:sz w:val="2"/>
          <w:szCs w:val="2"/>
          <w:u w:val="single"/>
        </w:rPr>
        <w:t> </w:t>
      </w:r>
      <w:r w:rsidRPr="00E223AC">
        <w:rPr>
          <w:i/>
          <w:iCs/>
          <w:u w:val="single"/>
        </w:rPr>
        <w:t>convergencia</w:t>
      </w:r>
      <w:r>
        <w:t xml:space="preserve"> </w:t>
      </w:r>
      <w:r w:rsidR="00E223AC">
        <w:t>si la dispersión (medida, p.ej. con la varianza) de sus niveles de renta per cápita en términos reales tiende a reducirse a lo largo del tiempo. Es decir:</w:t>
      </w:r>
    </w:p>
    <w:p w14:paraId="05B362E2" w14:textId="022F65E0" w:rsidR="00E223AC" w:rsidRPr="00E223AC" w:rsidRDefault="00000000" w:rsidP="00E223AC">
      <w:pPr>
        <w:pStyle w:val="Nivel3SM"/>
        <w:numPr>
          <w:ilvl w:val="0"/>
          <w:numId w:val="0"/>
        </w:numPr>
        <w:ind w:left="963"/>
        <w:rPr>
          <w:rFonts w:eastAsiaTheme="minorEastAsia"/>
          <w:i/>
          <w:lang w:val="fr-FR"/>
        </w:rPr>
      </w:pPr>
      <m:oMathPara>
        <m:oMath>
          <m:borderBox>
            <m:borderBoxPr>
              <m:ctrlPr>
                <w:rPr>
                  <w:rFonts w:ascii="Cambria Math" w:hAnsi="Cambria Math"/>
                  <w:i/>
                </w:rPr>
              </m:ctrlPr>
            </m:borderBoxPr>
            <m:e>
              <m:sSubSup>
                <m:sSubSupPr>
                  <m:ctrlPr>
                    <w:rPr>
                      <w:rFonts w:ascii="Cambria Math" w:hAnsi="Cambria Math"/>
                      <w:i/>
                      <w:lang w:val="fr-FR"/>
                    </w:rPr>
                  </m:ctrlPr>
                </m:sSubSupPr>
                <m:e>
                  <m:r>
                    <m:rPr>
                      <m:nor/>
                    </m:rPr>
                    <w:rPr>
                      <w:i/>
                      <w:u w:val="single"/>
                    </w:rPr>
                    <m:t>σ</m:t>
                  </m:r>
                </m:e>
                <m:sub>
                  <m:r>
                    <m:rPr>
                      <m:nor/>
                    </m:rPr>
                    <w:rPr>
                      <w:i/>
                      <w:lang w:val="fr-FR"/>
                    </w:rPr>
                    <m:t>y,t</m:t>
                  </m:r>
                  <m:r>
                    <m:rPr>
                      <m:sty m:val="p"/>
                    </m:rPr>
                    <w:rPr>
                      <w:rFonts w:ascii="Cambria Math" w:hAnsi="Cambria Math"/>
                      <w:lang w:val="fr-FR"/>
                    </w:rPr>
                    <m:t>-</m:t>
                  </m:r>
                  <m:r>
                    <m:rPr>
                      <m:nor/>
                    </m:rPr>
                    <w:rPr>
                      <w:i/>
                      <w:lang w:val="fr-FR"/>
                    </w:rPr>
                    <m:t>1</m:t>
                  </m:r>
                </m:sub>
                <m:sup>
                  <m:r>
                    <m:rPr>
                      <m:nor/>
                    </m:rPr>
                    <w:rPr>
                      <w:i/>
                      <w:u w:val="single"/>
                      <w:lang w:val="fr-FR"/>
                    </w:rPr>
                    <m:t>2</m:t>
                  </m:r>
                </m:sup>
              </m:sSubSup>
              <m:r>
                <w:rPr>
                  <w:rFonts w:ascii="Cambria Math" w:hAnsi="Cambria Math"/>
                  <w:lang w:val="fr-FR"/>
                </w:rPr>
                <m:t>&gt;</m:t>
              </m:r>
              <m:sSubSup>
                <m:sSubSupPr>
                  <m:ctrlPr>
                    <w:rPr>
                      <w:rFonts w:ascii="Cambria Math" w:hAnsi="Cambria Math"/>
                      <w:i/>
                      <w:lang w:val="fr-FR"/>
                    </w:rPr>
                  </m:ctrlPr>
                </m:sSubSupPr>
                <m:e>
                  <m:r>
                    <m:rPr>
                      <m:nor/>
                    </m:rPr>
                    <w:rPr>
                      <w:i/>
                      <w:u w:val="single"/>
                    </w:rPr>
                    <m:t>σ</m:t>
                  </m:r>
                </m:e>
                <m:sub>
                  <m:r>
                    <m:rPr>
                      <m:nor/>
                    </m:rPr>
                    <w:rPr>
                      <w:i/>
                      <w:lang w:val="fr-FR"/>
                    </w:rPr>
                    <m:t>y,t</m:t>
                  </m:r>
                </m:sub>
                <m:sup>
                  <m:r>
                    <m:rPr>
                      <m:nor/>
                    </m:rPr>
                    <w:rPr>
                      <w:i/>
                      <w:u w:val="single"/>
                      <w:lang w:val="fr-FR"/>
                    </w:rPr>
                    <m:t>2</m:t>
                  </m:r>
                </m:sup>
              </m:sSubSup>
            </m:e>
          </m:borderBox>
        </m:oMath>
      </m:oMathPara>
    </w:p>
    <w:p w14:paraId="4476C516" w14:textId="337EF43F" w:rsidR="00E45274" w:rsidRDefault="00E223AC" w:rsidP="00E44366">
      <w:pPr>
        <w:pStyle w:val="Nivel1SM"/>
        <w:keepNext/>
        <w:spacing w:after="0"/>
      </w:pPr>
      <w:bookmarkStart w:id="59" w:name="_Hlk146737367"/>
      <w:bookmarkEnd w:id="58"/>
      <w:r>
        <w:t xml:space="preserve">Los conceptos de </w:t>
      </w:r>
      <w:r w:rsidRPr="0026308C">
        <w:t>β</w:t>
      </w:r>
      <w:r w:rsidR="00882671" w:rsidRPr="00776AEE">
        <w:rPr>
          <w:sz w:val="2"/>
          <w:szCs w:val="2"/>
        </w:rPr>
        <w:t> </w:t>
      </w:r>
      <w:r w:rsidR="00882671" w:rsidRPr="0026308C">
        <w:t>-</w:t>
      </w:r>
      <w:r w:rsidR="00882671" w:rsidRPr="00776AEE">
        <w:rPr>
          <w:sz w:val="2"/>
          <w:szCs w:val="2"/>
        </w:rPr>
        <w:t> </w:t>
      </w:r>
      <w:r w:rsidRPr="0026308C">
        <w:t>convergencia</w:t>
      </w:r>
      <w:r>
        <w:t xml:space="preserve"> y</w:t>
      </w:r>
      <w:r w:rsidRPr="00E223AC">
        <w:t xml:space="preserve"> σ</w:t>
      </w:r>
      <w:r w:rsidR="00881D78" w:rsidRPr="00776AEE">
        <w:rPr>
          <w:sz w:val="2"/>
          <w:szCs w:val="2"/>
        </w:rPr>
        <w:t> </w:t>
      </w:r>
      <w:r w:rsidR="00881D78" w:rsidRPr="0026308C">
        <w:t>-</w:t>
      </w:r>
      <w:r w:rsidR="00881D78" w:rsidRPr="00776AEE">
        <w:rPr>
          <w:sz w:val="2"/>
          <w:szCs w:val="2"/>
        </w:rPr>
        <w:t> </w:t>
      </w:r>
      <w:r w:rsidRPr="00E223AC">
        <w:t>convergencia</w:t>
      </w:r>
      <w:r>
        <w:t xml:space="preserve"> están estrechamente relacionados. Es fácil entender que si los niveles de PIB se acercan con el paso del tiempo (</w:t>
      </w:r>
      <w:r w:rsidRPr="00E223AC">
        <w:t>σ</w:t>
      </w:r>
      <w:r w:rsidR="00881D78" w:rsidRPr="00776AEE">
        <w:rPr>
          <w:sz w:val="2"/>
          <w:szCs w:val="2"/>
        </w:rPr>
        <w:t> </w:t>
      </w:r>
      <w:r w:rsidR="00881D78" w:rsidRPr="0026308C">
        <w:t>-</w:t>
      </w:r>
      <w:r w:rsidR="00881D78" w:rsidRPr="00776AEE">
        <w:rPr>
          <w:sz w:val="2"/>
          <w:szCs w:val="2"/>
        </w:rPr>
        <w:t> </w:t>
      </w:r>
      <w:r w:rsidRPr="00E223AC">
        <w:t>convergencia</w:t>
      </w:r>
      <w:r>
        <w:t>), la economía pobre deberá habrá crecido más rápidamente que la rica (</w:t>
      </w:r>
      <w:r w:rsidRPr="0026308C">
        <w:t>β</w:t>
      </w:r>
      <w:r w:rsidR="00882671" w:rsidRPr="00776AEE">
        <w:rPr>
          <w:sz w:val="2"/>
          <w:szCs w:val="2"/>
        </w:rPr>
        <w:t> </w:t>
      </w:r>
      <w:r w:rsidR="00882671" w:rsidRPr="0026308C">
        <w:t>-</w:t>
      </w:r>
      <w:r w:rsidR="00882671" w:rsidRPr="00776AEE">
        <w:rPr>
          <w:sz w:val="2"/>
          <w:szCs w:val="2"/>
        </w:rPr>
        <w:t> </w:t>
      </w:r>
      <w:r w:rsidRPr="0026308C">
        <w:t>convergencia</w:t>
      </w:r>
      <w:r>
        <w:t xml:space="preserve">). De hecho, la </w:t>
      </w:r>
      <w:r w:rsidRPr="0026308C">
        <w:t>β</w:t>
      </w:r>
      <w:r w:rsidR="00882671" w:rsidRPr="00776AEE">
        <w:rPr>
          <w:sz w:val="2"/>
          <w:szCs w:val="2"/>
        </w:rPr>
        <w:t> </w:t>
      </w:r>
      <w:r w:rsidR="00882671" w:rsidRPr="0026308C">
        <w:t>-</w:t>
      </w:r>
      <w:r w:rsidR="00882671" w:rsidRPr="00776AEE">
        <w:rPr>
          <w:sz w:val="2"/>
          <w:szCs w:val="2"/>
        </w:rPr>
        <w:t> </w:t>
      </w:r>
      <w:r w:rsidRPr="0026308C">
        <w:t>convergencia</w:t>
      </w:r>
      <w:r>
        <w:t xml:space="preserve"> es una condición necesaria de </w:t>
      </w:r>
      <w:r w:rsidRPr="00E223AC">
        <w:t>σ-convergencia</w:t>
      </w:r>
      <w:r>
        <w:t>. Es decir:</w:t>
      </w:r>
    </w:p>
    <w:p w14:paraId="11E6DD19" w14:textId="53042F5F" w:rsidR="00E45274" w:rsidRPr="00E223AC" w:rsidRDefault="00E223AC" w:rsidP="00E44366">
      <w:pPr>
        <w:pStyle w:val="Nivel1SM"/>
        <w:numPr>
          <w:ilvl w:val="0"/>
          <w:numId w:val="0"/>
        </w:numPr>
        <w:spacing w:before="0"/>
        <w:rPr>
          <w:rFonts w:eastAsiaTheme="minorEastAsia"/>
          <w:iCs/>
        </w:rPr>
      </w:pPr>
      <m:oMathPara>
        <m:oMath>
          <m:r>
            <m:rPr>
              <m:nor/>
            </m:rPr>
            <w:rPr>
              <w:i/>
              <w:iCs/>
            </w:rPr>
            <m:t>β-convergencia</m:t>
          </m:r>
          <m:r>
            <m:rPr>
              <m:nor/>
            </m:rPr>
            <w:rPr>
              <w:rFonts w:ascii="Cambria Math"/>
              <w:i/>
              <w:iCs/>
            </w:rPr>
            <m:t xml:space="preserve">  </m:t>
          </m:r>
          <m:m>
            <m:mPr>
              <m:mcs>
                <m:mc>
                  <m:mcPr>
                    <m:count m:val="1"/>
                    <m:mcJc m:val="center"/>
                  </m:mcPr>
                </m:mc>
              </m:mcs>
              <m:ctrlPr>
                <w:rPr>
                  <w:rFonts w:ascii="Cambria Math" w:hAnsi="Cambria Math"/>
                </w:rPr>
              </m:ctrlPr>
            </m:mPr>
            <m:mr>
              <m:e>
                <m:r>
                  <m:rPr>
                    <m:sty m:val="p"/>
                  </m:rPr>
                  <w:rPr>
                    <w:rFonts w:ascii="Cambria Math" w:hAnsi="Cambria Math"/>
                  </w:rPr>
                  <m:t>⇏</m:t>
                </m:r>
              </m:e>
            </m:mr>
            <m:mr>
              <m:e>
                <m:r>
                  <m:rPr>
                    <m:sty m:val="p"/>
                  </m:rPr>
                  <w:rPr>
                    <w:rFonts w:ascii="Cambria Math" w:hAnsi="Cambria Math"/>
                  </w:rPr>
                  <m:t>⇐</m:t>
                </m:r>
              </m:e>
            </m:mr>
          </m:m>
          <m:r>
            <m:rPr>
              <m:nor/>
            </m:rPr>
            <w:rPr>
              <w:rFonts w:ascii="Cambria Math"/>
              <w:i/>
              <w:iCs/>
            </w:rPr>
            <m:t xml:space="preserve">  </m:t>
          </m:r>
          <m:r>
            <m:rPr>
              <m:nor/>
            </m:rPr>
            <w:rPr>
              <w:i/>
              <w:iCs/>
            </w:rPr>
            <m:t>σ-convergencia</m:t>
          </m:r>
        </m:oMath>
      </m:oMathPara>
    </w:p>
    <w:p w14:paraId="629A1F62" w14:textId="1B71ED26" w:rsidR="00E223AC" w:rsidRDefault="00E44366">
      <w:pPr>
        <w:pStyle w:val="Nivel1SM"/>
        <w:keepNext/>
        <w:spacing w:after="0"/>
      </w:pPr>
      <w:r>
        <w:lastRenderedPageBreak/>
        <w:t>Así</w:t>
      </w:r>
      <w:r w:rsidR="00E223AC">
        <w:t>, se pueden dar 3</w:t>
      </w:r>
      <w:r w:rsidR="006477E3">
        <w:t> </w:t>
      </w:r>
      <w:r w:rsidR="00E223AC">
        <w:t>casos</w:t>
      </w:r>
      <w:r w:rsidR="00FF662C">
        <w:t xml:space="preserve"> </w:t>
      </w:r>
      <w:r w:rsidR="00FF662C" w:rsidRPr="00E44366">
        <w:rPr>
          <w:sz w:val="19"/>
          <w:szCs w:val="19"/>
        </w:rPr>
        <w:t xml:space="preserve">(que ilustraremos suponiendo </w:t>
      </w:r>
      <w:r w:rsidR="00837006" w:rsidRPr="00E44366">
        <w:rPr>
          <w:sz w:val="19"/>
          <w:szCs w:val="19"/>
        </w:rPr>
        <w:t>2 </w:t>
      </w:r>
      <w:r w:rsidR="00FF662C" w:rsidRPr="00E44366">
        <w:rPr>
          <w:sz w:val="19"/>
          <w:szCs w:val="19"/>
        </w:rPr>
        <w:t>países por simplicidad</w:t>
      </w:r>
      <w:r w:rsidR="00837006" w:rsidRPr="00E44366">
        <w:rPr>
          <w:sz w:val="19"/>
          <w:szCs w:val="19"/>
        </w:rPr>
        <w:t xml:space="preserve"> (</w:t>
      </w:r>
      <w:r w:rsidR="00837006" w:rsidRPr="00E44366">
        <w:rPr>
          <w:color w:val="00B0F0"/>
          <w:sz w:val="19"/>
          <w:szCs w:val="19"/>
        </w:rPr>
        <w:t>economía </w:t>
      </w:r>
      <w:r w:rsidR="00837006" w:rsidRPr="00E44366">
        <w:rPr>
          <w:i/>
          <w:iCs/>
          <w:color w:val="00B0F0"/>
          <w:sz w:val="19"/>
          <w:szCs w:val="19"/>
        </w:rPr>
        <w:t>A</w:t>
      </w:r>
      <w:r w:rsidR="00837006" w:rsidRPr="00E44366">
        <w:rPr>
          <w:sz w:val="19"/>
          <w:szCs w:val="19"/>
        </w:rPr>
        <w:t xml:space="preserve"> y </w:t>
      </w:r>
      <w:r w:rsidR="00837006" w:rsidRPr="00E44366">
        <w:rPr>
          <w:color w:val="5F2987"/>
          <w:sz w:val="19"/>
          <w:szCs w:val="19"/>
        </w:rPr>
        <w:t>economía </w:t>
      </w:r>
      <w:r w:rsidR="00837006" w:rsidRPr="00E44366">
        <w:rPr>
          <w:i/>
          <w:iCs/>
          <w:color w:val="5F2987"/>
          <w:sz w:val="19"/>
          <w:szCs w:val="19"/>
        </w:rPr>
        <w:t>B</w:t>
      </w:r>
      <w:r w:rsidR="00837006" w:rsidRPr="00E44366">
        <w:rPr>
          <w:sz w:val="19"/>
          <w:szCs w:val="19"/>
        </w:rPr>
        <w:t>)</w:t>
      </w:r>
      <w:r w:rsidR="00FF662C" w:rsidRPr="00E44366">
        <w:rPr>
          <w:sz w:val="19"/>
          <w:szCs w:val="19"/>
        </w:rPr>
        <w:t>)</w:t>
      </w:r>
      <w:r w:rsidR="00E223AC">
        <w:t>:</w:t>
      </w:r>
    </w:p>
    <w:p w14:paraId="579B028C" w14:textId="10B74B31" w:rsidR="00803CC6" w:rsidRDefault="00803CC6" w:rsidP="00803CC6">
      <w:pPr>
        <w:pStyle w:val="Ttuloimagen"/>
        <w:rPr>
          <w:i/>
          <w:iCs/>
          <w:smallCaps w:val="0"/>
        </w:rPr>
      </w:pPr>
      <w:r>
        <w:t>Imagen</w:t>
      </w:r>
      <w:r w:rsidR="00451F61">
        <w:t> </w:t>
      </w:r>
      <w:r>
        <w:fldChar w:fldCharType="begin"/>
      </w:r>
      <w:r>
        <w:instrText xml:space="preserve"> SEQ Ilustración \* ARABIC </w:instrText>
      </w:r>
      <w:r>
        <w:fldChar w:fldCharType="separate"/>
      </w:r>
      <w:r w:rsidR="007846DF">
        <w:t>2</w:t>
      </w:r>
      <w:r>
        <w:fldChar w:fldCharType="end"/>
      </w:r>
      <w:r w:rsidRPr="00803CC6">
        <w:rPr>
          <w:smallCaps w:val="0"/>
        </w:rPr>
        <w:t>.–</w:t>
      </w:r>
      <w:r>
        <w:rPr>
          <w:smallCaps w:val="0"/>
        </w:rPr>
        <w:t xml:space="preserve"> </w:t>
      </w:r>
      <w:r>
        <w:rPr>
          <w:i/>
          <w:iCs/>
          <w:smallCaps w:val="0"/>
        </w:rPr>
        <w:t xml:space="preserve">Relación entre </w:t>
      </w:r>
      <w:r w:rsidRPr="00803CC6">
        <w:rPr>
          <w:i/>
          <w:iCs/>
          <w:smallCaps w:val="0"/>
        </w:rPr>
        <w:t>β-convergencia y σ-convergencia</w:t>
      </w:r>
    </w:p>
    <w:p w14:paraId="0BC50CAF" w14:textId="010C3628" w:rsidR="00803CC6" w:rsidRDefault="0030058C" w:rsidP="00803CC6">
      <w:pPr>
        <w:pStyle w:val="Imagen"/>
      </w:pPr>
      <w:r>
        <w:drawing>
          <wp:inline distT="0" distB="0" distL="0" distR="0" wp14:anchorId="3F75E307" wp14:editId="08FD0B04">
            <wp:extent cx="1647737" cy="1440000"/>
            <wp:effectExtent l="0" t="0" r="0" b="825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22"/>
                    <a:srcRect l="17818" r="17818"/>
                    <a:stretch>
                      <a:fillRect/>
                    </a:stretch>
                  </pic:blipFill>
                  <pic:spPr bwMode="auto">
                    <a:xfrm>
                      <a:off x="0" y="0"/>
                      <a:ext cx="1647737" cy="1440000"/>
                    </a:xfrm>
                    <a:prstGeom prst="rect">
                      <a:avLst/>
                    </a:prstGeom>
                    <a:ln>
                      <a:noFill/>
                    </a:ln>
                    <a:extLst>
                      <a:ext uri="{53640926-AAD7-44D8-BBD7-CCE9431645EC}">
                        <a14:shadowObscured xmlns:a14="http://schemas.microsoft.com/office/drawing/2010/main"/>
                      </a:ext>
                    </a:extLst>
                  </pic:spPr>
                </pic:pic>
              </a:graphicData>
            </a:graphic>
          </wp:inline>
        </w:drawing>
      </w:r>
      <w:r w:rsidR="00DE4B34">
        <w:drawing>
          <wp:inline distT="0" distB="0" distL="0" distR="0" wp14:anchorId="13BCF9C6" wp14:editId="21B778E2">
            <wp:extent cx="1628087" cy="1440000"/>
            <wp:effectExtent l="0" t="0" r="0" b="825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a:blip r:embed="rId23"/>
                    <a:srcRect l="18201" r="18201"/>
                    <a:stretch>
                      <a:fillRect/>
                    </a:stretch>
                  </pic:blipFill>
                  <pic:spPr bwMode="auto">
                    <a:xfrm>
                      <a:off x="0" y="0"/>
                      <a:ext cx="1628087" cy="1440000"/>
                    </a:xfrm>
                    <a:prstGeom prst="rect">
                      <a:avLst/>
                    </a:prstGeom>
                    <a:ln>
                      <a:noFill/>
                    </a:ln>
                    <a:extLst>
                      <a:ext uri="{53640926-AAD7-44D8-BBD7-CCE9431645EC}">
                        <a14:shadowObscured xmlns:a14="http://schemas.microsoft.com/office/drawing/2010/main"/>
                      </a:ext>
                    </a:extLst>
                  </pic:spPr>
                </pic:pic>
              </a:graphicData>
            </a:graphic>
          </wp:inline>
        </w:drawing>
      </w:r>
      <w:r w:rsidR="006360F4">
        <w:drawing>
          <wp:inline distT="0" distB="0" distL="0" distR="0" wp14:anchorId="08C27C55" wp14:editId="5DE4AEA3">
            <wp:extent cx="1618295" cy="1440000"/>
            <wp:effectExtent l="0" t="0" r="1270" b="825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4"/>
                    <a:srcRect l="18393" r="18393"/>
                    <a:stretch>
                      <a:fillRect/>
                    </a:stretch>
                  </pic:blipFill>
                  <pic:spPr bwMode="auto">
                    <a:xfrm>
                      <a:off x="0" y="0"/>
                      <a:ext cx="1618295" cy="1440000"/>
                    </a:xfrm>
                    <a:prstGeom prst="rect">
                      <a:avLst/>
                    </a:prstGeom>
                    <a:ln>
                      <a:noFill/>
                    </a:ln>
                    <a:extLst>
                      <a:ext uri="{53640926-AAD7-44D8-BBD7-CCE9431645EC}">
                        <a14:shadowObscured xmlns:a14="http://schemas.microsoft.com/office/drawing/2010/main"/>
                      </a:ext>
                    </a:extLst>
                  </pic:spPr>
                </pic:pic>
              </a:graphicData>
            </a:graphic>
          </wp:inline>
        </w:drawing>
      </w:r>
    </w:p>
    <w:p w14:paraId="6AF90922" w14:textId="7F4B4CF3" w:rsidR="00803CC6" w:rsidRPr="00803CC6" w:rsidRDefault="00803CC6" w:rsidP="00803CC6">
      <w:pPr>
        <w:pStyle w:val="PiedeImagen"/>
        <w:rPr>
          <w:i w:val="0"/>
          <w:iCs/>
        </w:rPr>
      </w:pPr>
      <w:r>
        <w:t>Fuente</w:t>
      </w:r>
      <w:r>
        <w:rPr>
          <w:i w:val="0"/>
          <w:iCs/>
        </w:rPr>
        <w:t xml:space="preserve">: </w:t>
      </w:r>
      <w:r w:rsidR="0030058C">
        <w:rPr>
          <w:i w:val="0"/>
          <w:iCs/>
        </w:rPr>
        <w:t>Elaboración propia</w:t>
      </w:r>
    </w:p>
    <w:p w14:paraId="61194C76" w14:textId="3A42EE16" w:rsidR="00FF662C" w:rsidRDefault="00E223AC">
      <w:pPr>
        <w:pStyle w:val="Prrafodelista"/>
        <w:keepNext/>
        <w:numPr>
          <w:ilvl w:val="0"/>
          <w:numId w:val="20"/>
        </w:numPr>
        <w:spacing w:after="0"/>
        <w:ind w:left="568" w:hanging="284"/>
      </w:pPr>
      <w:bookmarkStart w:id="60" w:name="_Hlk119778574"/>
      <w:bookmarkEnd w:id="59"/>
      <w:r w:rsidRPr="0026308C">
        <w:t>β</w:t>
      </w:r>
      <w:r w:rsidR="00776AEE" w:rsidRPr="00776AEE">
        <w:rPr>
          <w:sz w:val="2"/>
          <w:szCs w:val="2"/>
        </w:rPr>
        <w:t> </w:t>
      </w:r>
      <w:r w:rsidR="00776AEE" w:rsidRPr="0026308C">
        <w:t>-</w:t>
      </w:r>
      <w:r w:rsidR="00776AEE" w:rsidRPr="00776AEE">
        <w:rPr>
          <w:sz w:val="2"/>
          <w:szCs w:val="2"/>
        </w:rPr>
        <w:t> </w:t>
      </w:r>
      <w:r w:rsidRPr="0026308C">
        <w:t>convergencia</w:t>
      </w:r>
      <w:r>
        <w:t xml:space="preserve"> y</w:t>
      </w:r>
      <w:r w:rsidRPr="00E223AC">
        <w:t xml:space="preserve"> σ</w:t>
      </w:r>
      <w:r w:rsidR="00776AEE" w:rsidRPr="00776AEE">
        <w:rPr>
          <w:sz w:val="2"/>
          <w:szCs w:val="2"/>
        </w:rPr>
        <w:t> </w:t>
      </w:r>
      <w:r w:rsidR="00776AEE" w:rsidRPr="0026308C">
        <w:t>-</w:t>
      </w:r>
      <w:r w:rsidR="00776AEE" w:rsidRPr="00776AEE">
        <w:rPr>
          <w:sz w:val="2"/>
          <w:szCs w:val="2"/>
        </w:rPr>
        <w:t> </w:t>
      </w:r>
      <w:r w:rsidRPr="00E223AC">
        <w:t>convergencia</w:t>
      </w:r>
      <w:bookmarkEnd w:id="60"/>
      <w:r w:rsidR="00FF662C">
        <w:t>:</w:t>
      </w:r>
    </w:p>
    <w:p w14:paraId="3717EBD3" w14:textId="13AFF421" w:rsidR="00E223AC" w:rsidRDefault="00FF662C">
      <w:pPr>
        <w:pStyle w:val="Nivel3SM"/>
      </w:pPr>
      <w:r>
        <w:t>La economía</w:t>
      </w:r>
      <w:r w:rsidR="00837006">
        <w:t> </w:t>
      </w:r>
      <w:r w:rsidRPr="00FF662C">
        <w:rPr>
          <w:i/>
          <w:iCs/>
        </w:rPr>
        <w:t>B</w:t>
      </w:r>
      <w:r>
        <w:t xml:space="preserve"> parte de una situación de menor renta per cápita y crece a una tasa mayor que </w:t>
      </w:r>
      <w:r>
        <w:rPr>
          <w:i/>
          <w:iCs/>
        </w:rPr>
        <w:t>A</w:t>
      </w:r>
      <w:r>
        <w:t xml:space="preserve"> (i.e. hay </w:t>
      </w:r>
      <w:r w:rsidRPr="0026308C">
        <w:t>β</w:t>
      </w:r>
      <w:r w:rsidR="00776AEE" w:rsidRPr="00776AEE">
        <w:rPr>
          <w:sz w:val="2"/>
          <w:szCs w:val="2"/>
        </w:rPr>
        <w:t> </w:t>
      </w:r>
      <w:r w:rsidRPr="0026308C">
        <w:t>-</w:t>
      </w:r>
      <w:r w:rsidR="00776AEE" w:rsidRPr="00776AEE">
        <w:rPr>
          <w:sz w:val="2"/>
          <w:szCs w:val="2"/>
        </w:rPr>
        <w:t> </w:t>
      </w:r>
      <w:r w:rsidRPr="0026308C">
        <w:t>convergencia</w:t>
      </w:r>
      <w:r>
        <w:t>).</w:t>
      </w:r>
    </w:p>
    <w:p w14:paraId="3B441234" w14:textId="27D5A7AE" w:rsidR="00803CC6" w:rsidRDefault="00803CC6">
      <w:pPr>
        <w:pStyle w:val="Nivel3SM"/>
      </w:pPr>
      <w:r>
        <w:t xml:space="preserve">En el período final, vemos como ha disminuido la dispersión de la renta (i.e. hay </w:t>
      </w:r>
      <w:r w:rsidRPr="00E223AC">
        <w:t>σ</w:t>
      </w:r>
      <w:r w:rsidR="00776AEE" w:rsidRPr="00776AEE">
        <w:rPr>
          <w:sz w:val="2"/>
          <w:szCs w:val="2"/>
        </w:rPr>
        <w:t> </w:t>
      </w:r>
      <w:r w:rsidR="00776AEE" w:rsidRPr="0026308C">
        <w:t>-</w:t>
      </w:r>
      <w:r w:rsidR="00776AEE" w:rsidRPr="00776AEE">
        <w:rPr>
          <w:sz w:val="2"/>
          <w:szCs w:val="2"/>
        </w:rPr>
        <w:t> </w:t>
      </w:r>
      <w:r w:rsidRPr="0026308C">
        <w:t>convergencia</w:t>
      </w:r>
      <w:r>
        <w:t>).</w:t>
      </w:r>
    </w:p>
    <w:p w14:paraId="614784BF" w14:textId="265C66F7" w:rsidR="00E223AC" w:rsidRDefault="00E223AC">
      <w:pPr>
        <w:pStyle w:val="Prrafodelista"/>
        <w:keepNext/>
        <w:numPr>
          <w:ilvl w:val="0"/>
          <w:numId w:val="20"/>
        </w:numPr>
        <w:spacing w:after="0"/>
        <w:ind w:left="568" w:hanging="284"/>
      </w:pPr>
      <w:r>
        <w:t xml:space="preserve">Ni </w:t>
      </w:r>
      <w:r w:rsidRPr="0026308C">
        <w:t>β</w:t>
      </w:r>
      <w:r w:rsidR="00776AEE" w:rsidRPr="00776AEE">
        <w:rPr>
          <w:sz w:val="2"/>
          <w:szCs w:val="2"/>
        </w:rPr>
        <w:t> </w:t>
      </w:r>
      <w:r w:rsidR="00776AEE" w:rsidRPr="0026308C">
        <w:t>-</w:t>
      </w:r>
      <w:r w:rsidR="00776AEE" w:rsidRPr="00776AEE">
        <w:rPr>
          <w:sz w:val="2"/>
          <w:szCs w:val="2"/>
        </w:rPr>
        <w:t> </w:t>
      </w:r>
      <w:r w:rsidRPr="0026308C">
        <w:t>convergencia</w:t>
      </w:r>
      <w:r>
        <w:t xml:space="preserve"> ni</w:t>
      </w:r>
      <w:r w:rsidRPr="00E223AC">
        <w:t xml:space="preserve"> σ</w:t>
      </w:r>
      <w:r w:rsidR="00776AEE" w:rsidRPr="00776AEE">
        <w:rPr>
          <w:sz w:val="2"/>
          <w:szCs w:val="2"/>
        </w:rPr>
        <w:t> </w:t>
      </w:r>
      <w:r w:rsidR="00776AEE" w:rsidRPr="0026308C">
        <w:t>-</w:t>
      </w:r>
      <w:r w:rsidR="00776AEE" w:rsidRPr="00776AEE">
        <w:rPr>
          <w:sz w:val="2"/>
          <w:szCs w:val="2"/>
        </w:rPr>
        <w:t> </w:t>
      </w:r>
      <w:r w:rsidRPr="00E223AC">
        <w:t>convergencia</w:t>
      </w:r>
    </w:p>
    <w:p w14:paraId="31E84C1B" w14:textId="6D8A5039" w:rsidR="00FF662C" w:rsidRDefault="00FF662C">
      <w:pPr>
        <w:pStyle w:val="Nivel3SM"/>
      </w:pPr>
      <w:r>
        <w:t>La economía</w:t>
      </w:r>
      <w:r w:rsidR="00837006">
        <w:t> </w:t>
      </w:r>
      <w:r w:rsidRPr="00FF662C">
        <w:rPr>
          <w:i/>
          <w:iCs/>
        </w:rPr>
        <w:t>B</w:t>
      </w:r>
      <w:r>
        <w:t xml:space="preserve"> parte de una situación de menor renta per cápita y crece a una tasa m</w:t>
      </w:r>
      <w:r w:rsidR="00803CC6">
        <w:t>en</w:t>
      </w:r>
      <w:r>
        <w:t xml:space="preserve">or que </w:t>
      </w:r>
      <w:r>
        <w:rPr>
          <w:i/>
          <w:iCs/>
        </w:rPr>
        <w:t>A</w:t>
      </w:r>
      <w:r>
        <w:t xml:space="preserve"> (i.e. </w:t>
      </w:r>
      <w:r w:rsidR="00803CC6">
        <w:t xml:space="preserve">no </w:t>
      </w:r>
      <w:r>
        <w:t xml:space="preserve">hay </w:t>
      </w:r>
      <w:r w:rsidRPr="0026308C">
        <w:t>β</w:t>
      </w:r>
      <w:r w:rsidR="00776AEE" w:rsidRPr="00776AEE">
        <w:rPr>
          <w:sz w:val="2"/>
          <w:szCs w:val="2"/>
        </w:rPr>
        <w:t> </w:t>
      </w:r>
      <w:r w:rsidR="00776AEE" w:rsidRPr="0026308C">
        <w:t>-</w:t>
      </w:r>
      <w:r w:rsidR="00776AEE" w:rsidRPr="00776AEE">
        <w:rPr>
          <w:sz w:val="2"/>
          <w:szCs w:val="2"/>
        </w:rPr>
        <w:t> </w:t>
      </w:r>
      <w:r w:rsidRPr="0026308C">
        <w:t>convergencia</w:t>
      </w:r>
      <w:r>
        <w:t>).</w:t>
      </w:r>
    </w:p>
    <w:p w14:paraId="67212890" w14:textId="75D0F260" w:rsidR="00803CC6" w:rsidRDefault="00803CC6">
      <w:pPr>
        <w:pStyle w:val="Nivel3SM"/>
      </w:pPr>
      <w:r>
        <w:t xml:space="preserve">En el período final, vemos como ha aumentado la dispersión de la renta (i.e. no hay </w:t>
      </w:r>
      <w:r w:rsidRPr="00E223AC">
        <w:t>σ</w:t>
      </w:r>
      <w:r w:rsidR="00776AEE" w:rsidRPr="00776AEE">
        <w:rPr>
          <w:sz w:val="2"/>
          <w:szCs w:val="2"/>
        </w:rPr>
        <w:t> </w:t>
      </w:r>
      <w:r w:rsidR="00776AEE" w:rsidRPr="0026308C">
        <w:t>-</w:t>
      </w:r>
      <w:r w:rsidR="00776AEE" w:rsidRPr="00776AEE">
        <w:rPr>
          <w:sz w:val="2"/>
          <w:szCs w:val="2"/>
        </w:rPr>
        <w:t> </w:t>
      </w:r>
      <w:r w:rsidRPr="0026308C">
        <w:t>convergencia</w:t>
      </w:r>
      <w:r>
        <w:t>).</w:t>
      </w:r>
    </w:p>
    <w:p w14:paraId="12082B68" w14:textId="7D6DBF28" w:rsidR="00E223AC" w:rsidRDefault="00E223AC">
      <w:pPr>
        <w:pStyle w:val="Prrafodelista"/>
        <w:keepNext/>
        <w:numPr>
          <w:ilvl w:val="0"/>
          <w:numId w:val="20"/>
        </w:numPr>
        <w:spacing w:after="0"/>
        <w:ind w:left="568" w:hanging="284"/>
      </w:pPr>
      <w:r w:rsidRPr="0026308C">
        <w:t>β</w:t>
      </w:r>
      <w:r w:rsidR="00776AEE" w:rsidRPr="00776AEE">
        <w:rPr>
          <w:sz w:val="2"/>
          <w:szCs w:val="2"/>
        </w:rPr>
        <w:t> </w:t>
      </w:r>
      <w:r w:rsidR="00776AEE" w:rsidRPr="0026308C">
        <w:t>-</w:t>
      </w:r>
      <w:r w:rsidR="00776AEE" w:rsidRPr="00776AEE">
        <w:rPr>
          <w:sz w:val="2"/>
          <w:szCs w:val="2"/>
        </w:rPr>
        <w:t> </w:t>
      </w:r>
      <w:r w:rsidRPr="0026308C">
        <w:t>convergencia</w:t>
      </w:r>
      <w:r>
        <w:t>, pero no</w:t>
      </w:r>
      <w:r w:rsidRPr="00E223AC">
        <w:t xml:space="preserve"> σ</w:t>
      </w:r>
      <w:r w:rsidR="00776AEE" w:rsidRPr="00776AEE">
        <w:rPr>
          <w:sz w:val="2"/>
          <w:szCs w:val="2"/>
        </w:rPr>
        <w:t> </w:t>
      </w:r>
      <w:r w:rsidR="00776AEE" w:rsidRPr="0026308C">
        <w:t>-</w:t>
      </w:r>
      <w:r w:rsidR="00776AEE" w:rsidRPr="00776AEE">
        <w:rPr>
          <w:sz w:val="2"/>
          <w:szCs w:val="2"/>
        </w:rPr>
        <w:t> </w:t>
      </w:r>
      <w:r w:rsidRPr="00E223AC">
        <w:t>convergencia</w:t>
      </w:r>
    </w:p>
    <w:p w14:paraId="68ED9AE9" w14:textId="5B5296D6" w:rsidR="00FF662C" w:rsidRDefault="00FF662C">
      <w:pPr>
        <w:pStyle w:val="Nivel3SM"/>
      </w:pPr>
      <w:r>
        <w:t xml:space="preserve">La economía </w:t>
      </w:r>
      <w:r w:rsidRPr="00FF662C">
        <w:rPr>
          <w:i/>
          <w:iCs/>
        </w:rPr>
        <w:t>B</w:t>
      </w:r>
      <w:r>
        <w:t xml:space="preserve"> parte de una situación de menor renta per cápita y crece a una tasa mayor que </w:t>
      </w:r>
      <w:r>
        <w:rPr>
          <w:i/>
          <w:iCs/>
        </w:rPr>
        <w:t>A</w:t>
      </w:r>
      <w:r>
        <w:t xml:space="preserve"> (i.e. hay </w:t>
      </w:r>
      <w:r w:rsidRPr="0026308C">
        <w:t>β</w:t>
      </w:r>
      <w:r w:rsidR="00776AEE" w:rsidRPr="00776AEE">
        <w:rPr>
          <w:sz w:val="2"/>
          <w:szCs w:val="2"/>
        </w:rPr>
        <w:t> </w:t>
      </w:r>
      <w:r w:rsidR="00776AEE" w:rsidRPr="0026308C">
        <w:t>-</w:t>
      </w:r>
      <w:r w:rsidR="00776AEE" w:rsidRPr="00776AEE">
        <w:rPr>
          <w:sz w:val="2"/>
          <w:szCs w:val="2"/>
        </w:rPr>
        <w:t> </w:t>
      </w:r>
      <w:r w:rsidRPr="0026308C">
        <w:t>convergencia</w:t>
      </w:r>
      <w:r>
        <w:t>).</w:t>
      </w:r>
    </w:p>
    <w:p w14:paraId="28E00391" w14:textId="5B3756AF" w:rsidR="00803CC6" w:rsidRDefault="00803CC6">
      <w:pPr>
        <w:pStyle w:val="Nivel3SM"/>
      </w:pPr>
      <w:r>
        <w:t>En el período final, vemos como ha aumentado la dispersión de la renta ya que la economía</w:t>
      </w:r>
      <w:r w:rsidR="00837006">
        <w:t> </w:t>
      </w:r>
      <w:r>
        <w:rPr>
          <w:i/>
          <w:iCs/>
        </w:rPr>
        <w:t>B</w:t>
      </w:r>
      <w:r>
        <w:t xml:space="preserve"> ha sobrepasado a la economía</w:t>
      </w:r>
      <w:r w:rsidR="00837006">
        <w:t> </w:t>
      </w:r>
      <w:r>
        <w:rPr>
          <w:i/>
          <w:iCs/>
        </w:rPr>
        <w:t>A</w:t>
      </w:r>
      <w:r>
        <w:t xml:space="preserve"> con un margen mayor que el margen inicial por el cual la economía de </w:t>
      </w:r>
      <w:r>
        <w:rPr>
          <w:i/>
          <w:iCs/>
        </w:rPr>
        <w:t>A</w:t>
      </w:r>
      <w:r>
        <w:t xml:space="preserve"> sobre pasaba a </w:t>
      </w:r>
      <w:r>
        <w:rPr>
          <w:i/>
          <w:iCs/>
        </w:rPr>
        <w:t>B</w:t>
      </w:r>
      <w:r w:rsidRPr="00803CC6">
        <w:t xml:space="preserve"> </w:t>
      </w:r>
      <w:r>
        <w:t xml:space="preserve">(i.e. no hay </w:t>
      </w:r>
      <w:r w:rsidRPr="00E223AC">
        <w:t>σ</w:t>
      </w:r>
      <w:r w:rsidR="00776AEE" w:rsidRPr="00776AEE">
        <w:rPr>
          <w:sz w:val="2"/>
          <w:szCs w:val="2"/>
        </w:rPr>
        <w:t> </w:t>
      </w:r>
      <w:r w:rsidR="00776AEE" w:rsidRPr="0026308C">
        <w:t>-</w:t>
      </w:r>
      <w:r w:rsidR="00776AEE" w:rsidRPr="00776AEE">
        <w:rPr>
          <w:sz w:val="2"/>
          <w:szCs w:val="2"/>
        </w:rPr>
        <w:t> </w:t>
      </w:r>
      <w:r w:rsidRPr="0026308C">
        <w:t>convergencia</w:t>
      </w:r>
      <w:r>
        <w:t>).</w:t>
      </w:r>
    </w:p>
    <w:p w14:paraId="1C462573" w14:textId="6E70C580" w:rsidR="00803CC6" w:rsidRDefault="00803CC6">
      <w:pPr>
        <w:pStyle w:val="Ttulo3"/>
      </w:pPr>
      <w:bookmarkStart w:id="61" w:name="_Toc129716231"/>
      <w:r>
        <w:t>¿Cuál usar?</w:t>
      </w:r>
      <w:bookmarkEnd w:id="61"/>
    </w:p>
    <w:p w14:paraId="505566C6" w14:textId="6435CAC7" w:rsidR="00803CC6" w:rsidRDefault="00803CC6" w:rsidP="001B447B">
      <w:pPr>
        <w:pStyle w:val="Nivel1SM"/>
        <w:keepNext/>
        <w:spacing w:before="0" w:after="0"/>
      </w:pPr>
      <w:bookmarkStart w:id="62" w:name="_Hlk146737415"/>
      <w:r>
        <w:t>En la práctica, este último caso es más extraño porque requiere no sólo que un país sobrepase en renta per cápita a otro, sino que lo haga por un margen considerable.</w:t>
      </w:r>
      <w:r w:rsidR="00842442">
        <w:t xml:space="preserve"> Por ello, habitualmente, ambos conceptos apuntan en la misma dirección. En cualquier caso, ambos conceptos son relevantes:</w:t>
      </w:r>
    </w:p>
    <w:p w14:paraId="7755AB52" w14:textId="2205BCCE" w:rsidR="00803CC6" w:rsidRDefault="00842442">
      <w:pPr>
        <w:pStyle w:val="Nivel2SM"/>
      </w:pPr>
      <w:r>
        <w:t xml:space="preserve">La </w:t>
      </w:r>
      <w:r w:rsidR="00803CC6" w:rsidRPr="00E223AC">
        <w:t>σ</w:t>
      </w:r>
      <w:r w:rsidR="00882671" w:rsidRPr="00776AEE">
        <w:rPr>
          <w:sz w:val="2"/>
          <w:szCs w:val="2"/>
        </w:rPr>
        <w:t> </w:t>
      </w:r>
      <w:r w:rsidR="00882671" w:rsidRPr="0026308C">
        <w:t>-</w:t>
      </w:r>
      <w:r w:rsidR="00882671" w:rsidRPr="00776AEE">
        <w:rPr>
          <w:sz w:val="2"/>
          <w:szCs w:val="2"/>
        </w:rPr>
        <w:t> </w:t>
      </w:r>
      <w:r w:rsidR="00803CC6" w:rsidRPr="0026308C">
        <w:t>convergencia</w:t>
      </w:r>
      <w:r w:rsidR="00803CC6">
        <w:t xml:space="preserve"> capturaría el elemento que nos interesa analizar: si las rentas reales per cápita de las distintas economías se acercan con el paso </w:t>
      </w:r>
      <w:r>
        <w:t>del tiempo</w:t>
      </w:r>
      <w:r w:rsidR="00803CC6">
        <w:t>.</w:t>
      </w:r>
    </w:p>
    <w:p w14:paraId="1E3CE49C" w14:textId="6343FC5D" w:rsidR="00803CC6" w:rsidRDefault="00842442">
      <w:pPr>
        <w:pStyle w:val="Nivel2SM"/>
      </w:pPr>
      <w:r>
        <w:t>L</w:t>
      </w:r>
      <w:r w:rsidR="00803CC6">
        <w:t xml:space="preserve">a </w:t>
      </w:r>
      <w:r w:rsidR="00803CC6" w:rsidRPr="0026308C">
        <w:t>β</w:t>
      </w:r>
      <w:r w:rsidR="00882671" w:rsidRPr="00776AEE">
        <w:rPr>
          <w:sz w:val="2"/>
          <w:szCs w:val="2"/>
        </w:rPr>
        <w:t> </w:t>
      </w:r>
      <w:r w:rsidR="00882671" w:rsidRPr="0026308C">
        <w:t>-</w:t>
      </w:r>
      <w:r w:rsidR="00882671" w:rsidRPr="00776AEE">
        <w:rPr>
          <w:sz w:val="2"/>
          <w:szCs w:val="2"/>
        </w:rPr>
        <w:t> </w:t>
      </w:r>
      <w:r w:rsidR="00803CC6" w:rsidRPr="0026308C">
        <w:t>convergencia</w:t>
      </w:r>
      <w:r w:rsidR="00803CC6">
        <w:t xml:space="preserve"> es interesante para ver la rapidez con la que el país pobre promedio se puede convertir en un país rico.</w:t>
      </w:r>
    </w:p>
    <w:p w14:paraId="33667B94" w14:textId="29A9E3B5" w:rsidR="007B4A24" w:rsidRPr="007B4A24" w:rsidRDefault="007B4A24" w:rsidP="007B4A24">
      <w:pPr>
        <w:pStyle w:val="Ttuloimagen"/>
        <w:rPr>
          <w:smallCaps w:val="0"/>
        </w:rPr>
      </w:pPr>
      <w:r>
        <w:t>Imagen</w:t>
      </w:r>
      <w:r w:rsidR="00451F61">
        <w:t> </w:t>
      </w:r>
      <w:r>
        <w:fldChar w:fldCharType="begin"/>
      </w:r>
      <w:r>
        <w:instrText xml:space="preserve"> SEQ Ilustración \* ARABIC </w:instrText>
      </w:r>
      <w:r>
        <w:fldChar w:fldCharType="separate"/>
      </w:r>
      <w:r w:rsidR="007846DF">
        <w:t>3</w:t>
      </w:r>
      <w:r>
        <w:fldChar w:fldCharType="end"/>
      </w:r>
      <w:r>
        <w:rPr>
          <w:smallCaps w:val="0"/>
        </w:rPr>
        <w:t xml:space="preserve">.– </w:t>
      </w:r>
      <w:r>
        <w:rPr>
          <w:i/>
          <w:iCs/>
          <w:smallCaps w:val="0"/>
        </w:rPr>
        <w:t>Tabla comparativa de las teorías del crecimiento económico en función de sus fundamentos y las predicciones en cuanto a convergencia</w:t>
      </w:r>
    </w:p>
    <w:p w14:paraId="2ABFECD2" w14:textId="534C5BB1" w:rsidR="007B4A24" w:rsidRDefault="007B4A24" w:rsidP="007B4A24">
      <w:pPr>
        <w:pStyle w:val="Imagen"/>
      </w:pPr>
      <w:r>
        <w:drawing>
          <wp:inline distT="0" distB="0" distL="0" distR="0" wp14:anchorId="6238B132" wp14:editId="2BD119B8">
            <wp:extent cx="2504820" cy="1980000"/>
            <wp:effectExtent l="0" t="0" r="0" b="1270"/>
            <wp:docPr id="8" name="Picture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a&#10;&#10;Descripción generada automáticamente"/>
                    <pic:cNvPicPr/>
                  </pic:nvPicPr>
                  <pic:blipFill rotWithShape="1">
                    <a:blip r:embed="rId25"/>
                    <a:srcRect t="8441"/>
                    <a:stretch/>
                  </pic:blipFill>
                  <pic:spPr bwMode="auto">
                    <a:xfrm>
                      <a:off x="0" y="0"/>
                      <a:ext cx="2504820" cy="1980000"/>
                    </a:xfrm>
                    <a:prstGeom prst="rect">
                      <a:avLst/>
                    </a:prstGeom>
                    <a:ln>
                      <a:noFill/>
                    </a:ln>
                    <a:extLst>
                      <a:ext uri="{53640926-AAD7-44D8-BBD7-CCE9431645EC}">
                        <a14:shadowObscured xmlns:a14="http://schemas.microsoft.com/office/drawing/2010/main"/>
                      </a:ext>
                    </a:extLst>
                  </pic:spPr>
                </pic:pic>
              </a:graphicData>
            </a:graphic>
          </wp:inline>
        </w:drawing>
      </w:r>
    </w:p>
    <w:p w14:paraId="73339E35" w14:textId="5C1175E9" w:rsidR="007B4A24" w:rsidRPr="007B4A24" w:rsidRDefault="007B4A24" w:rsidP="007B4A24">
      <w:pPr>
        <w:pStyle w:val="PiedeImagen"/>
        <w:rPr>
          <w:i w:val="0"/>
          <w:iCs/>
        </w:rPr>
      </w:pPr>
      <w:r>
        <w:t>Fuente</w:t>
      </w:r>
      <w:r>
        <w:rPr>
          <w:i w:val="0"/>
          <w:iCs/>
        </w:rPr>
        <w:t xml:space="preserve">: </w:t>
      </w:r>
      <w:r w:rsidR="00B05D17" w:rsidRPr="00BA1D0F">
        <w:rPr>
          <w:i w:val="0"/>
          <w:iCs/>
        </w:rPr>
        <w:t xml:space="preserve">del Río Casasola, A. (2018). </w:t>
      </w:r>
      <w:r w:rsidR="00B05D17" w:rsidRPr="00B05D17">
        <w:t>Análisis centro-periferia en la UE-20 (1995-2014)</w:t>
      </w:r>
      <w:r w:rsidR="00B05D17">
        <w:rPr>
          <w:i w:val="0"/>
          <w:iCs/>
        </w:rPr>
        <w:t>. Universidad Complutense de Madrid</w:t>
      </w:r>
      <w:r w:rsidR="00B05D17" w:rsidRPr="00BA1D0F">
        <w:rPr>
          <w:i w:val="0"/>
          <w:iCs/>
        </w:rPr>
        <w:t>.</w:t>
      </w:r>
      <w:r w:rsidR="00B05D17">
        <w:rPr>
          <w:i w:val="0"/>
          <w:iCs/>
        </w:rPr>
        <w:t xml:space="preserve"> </w:t>
      </w:r>
      <w:hyperlink r:id="rId26" w:history="1">
        <w:r w:rsidR="00B05D17" w:rsidRPr="00FF0FF0">
          <w:rPr>
            <w:rStyle w:val="Hipervnculo"/>
            <w:i w:val="0"/>
            <w:iCs/>
          </w:rPr>
          <w:t>https://eprints.ucm.es/id/eprint/55279/1/T41082.pdf</w:t>
        </w:r>
      </w:hyperlink>
    </w:p>
    <w:p w14:paraId="456B7E06" w14:textId="239F856C" w:rsidR="00563C01" w:rsidRDefault="00563C01">
      <w:pPr>
        <w:pStyle w:val="Ttulo2"/>
      </w:pPr>
      <w:bookmarkStart w:id="63" w:name="_Toc129716232"/>
      <w:bookmarkEnd w:id="62"/>
      <w:r>
        <w:lastRenderedPageBreak/>
        <w:t>Evidencia empírica sobre la convergencia</w:t>
      </w:r>
      <w:bookmarkEnd w:id="63"/>
    </w:p>
    <w:p w14:paraId="729A8629" w14:textId="37BD2ECB" w:rsidR="00563C01" w:rsidRDefault="00563C01" w:rsidP="001B447B">
      <w:pPr>
        <w:pStyle w:val="Ttulo3"/>
        <w:spacing w:before="0"/>
      </w:pPr>
      <w:bookmarkStart w:id="64" w:name="_Toc129716233"/>
      <w:r>
        <w:t>Origen de la literatura y primeros resultados (rechazo a la hipótesis de convergencia absoluta)</w:t>
      </w:r>
      <w:bookmarkEnd w:id="64"/>
    </w:p>
    <w:p w14:paraId="4388279E" w14:textId="6CF90A00" w:rsidR="00DE3AB8" w:rsidRDefault="00DE3AB8" w:rsidP="00E44366">
      <w:pPr>
        <w:pStyle w:val="Nivel1SM"/>
        <w:keepNext/>
        <w:spacing w:before="0" w:after="0"/>
      </w:pPr>
      <w:r>
        <w:t xml:space="preserve">El florecimiento de la abundante literatura de convergencia económica a mediados de los 80 responde básicamente a </w:t>
      </w:r>
      <w:r w:rsidR="008D0E60">
        <w:t>2 </w:t>
      </w:r>
      <w:r>
        <w:t>razones:</w:t>
      </w:r>
    </w:p>
    <w:p w14:paraId="61EA0F20" w14:textId="77777777" w:rsidR="00DE3AB8" w:rsidRDefault="00DE3AB8">
      <w:pPr>
        <w:pStyle w:val="Prrafodelista"/>
        <w:numPr>
          <w:ilvl w:val="0"/>
          <w:numId w:val="24"/>
        </w:numPr>
        <w:spacing w:after="100"/>
        <w:ind w:left="568" w:hanging="284"/>
      </w:pPr>
      <w:r>
        <w:t xml:space="preserve">En primer lugar, por la elaboración de bases de datos relativamente completas para analizar las características del crecimiento económico (p.ej. </w:t>
      </w:r>
      <w:r w:rsidRPr="004A1FE6">
        <w:rPr>
          <w:smallCaps/>
        </w:rPr>
        <w:t>Maddison</w:t>
      </w:r>
      <w:r>
        <w:t xml:space="preserve">, </w:t>
      </w:r>
      <w:r w:rsidRPr="004A1FE6">
        <w:rPr>
          <w:smallCaps/>
        </w:rPr>
        <w:t>Summers</w:t>
      </w:r>
      <w:r>
        <w:t>).</w:t>
      </w:r>
    </w:p>
    <w:p w14:paraId="780ECDB5" w14:textId="631F6D6A" w:rsidR="00DE3AB8" w:rsidRDefault="00DE3AB8">
      <w:pPr>
        <w:pStyle w:val="Prrafodelista"/>
        <w:numPr>
          <w:ilvl w:val="0"/>
          <w:numId w:val="24"/>
        </w:numPr>
        <w:spacing w:after="100"/>
        <w:ind w:left="568" w:hanging="284"/>
      </w:pPr>
      <w:r>
        <w:t>En segundo lugar, desde su aparición en la literatura, la convergencia se propuso como test fundamental que permitía decidir cuál de los dos paradigmas (teoría del crecimiento económico exógeno o endógeno) representaba mejor la realidad.</w:t>
      </w:r>
    </w:p>
    <w:p w14:paraId="30A40232" w14:textId="179E6B28" w:rsidR="001C23CD" w:rsidRPr="001C23CD" w:rsidRDefault="001C23CD">
      <w:pPr>
        <w:pStyle w:val="Nivel1SM"/>
        <w:keepNext/>
        <w:spacing w:after="0"/>
        <w:rPr>
          <w:rFonts w:eastAsiaTheme="minorEastAsia"/>
          <w:szCs w:val="20"/>
        </w:rPr>
      </w:pPr>
      <w:r>
        <w:t xml:space="preserve">Inicialmente, el análisis empírico se centró inicialmente en estudiar si </w:t>
      </w:r>
      <w:r w:rsidRPr="001C23CD">
        <w:rPr>
          <w:b/>
          <w:bCs/>
        </w:rPr>
        <w:t>los países pobres crecen más rápido</w:t>
      </w:r>
      <w:r>
        <w:t xml:space="preserve">. Sin embargo, la evidencia empírica obtenida de estos análisis no concuerda con la </w:t>
      </w:r>
      <w:r w:rsidRPr="001C23CD">
        <w:rPr>
          <w:b/>
          <w:bCs/>
        </w:rPr>
        <w:t>convergencia absoluta</w:t>
      </w:r>
      <w:r>
        <w:t>.</w:t>
      </w:r>
    </w:p>
    <w:p w14:paraId="40DC0032" w14:textId="61829E3A" w:rsidR="00DE3AB8" w:rsidRDefault="001C23CD" w:rsidP="004A1FE6">
      <w:pPr>
        <w:pStyle w:val="Nivel2SM"/>
        <w:keepNext/>
        <w:spacing w:after="0"/>
      </w:pPr>
      <w:r>
        <w:t>A</w:t>
      </w:r>
      <w:r w:rsidR="002E6205">
        <w:t>sí, e</w:t>
      </w:r>
      <w:r w:rsidR="00DE3AB8">
        <w:t>n los años</w:t>
      </w:r>
      <w:r w:rsidR="00882671">
        <w:t> </w:t>
      </w:r>
      <w:r w:rsidR="00DE3AB8">
        <w:t xml:space="preserve">80, </w:t>
      </w:r>
      <w:r w:rsidR="00DE3AB8" w:rsidRPr="002E6205">
        <w:rPr>
          <w:b/>
          <w:bCs/>
          <w:smallCaps/>
        </w:rPr>
        <w:t>Heston</w:t>
      </w:r>
      <w:r w:rsidR="00DE3AB8" w:rsidRPr="002E6205">
        <w:rPr>
          <w:b/>
          <w:bCs/>
        </w:rPr>
        <w:t xml:space="preserve"> y </w:t>
      </w:r>
      <w:r w:rsidR="00DE3AB8" w:rsidRPr="002E6205">
        <w:rPr>
          <w:b/>
          <w:bCs/>
          <w:smallCaps/>
        </w:rPr>
        <w:t>Summers</w:t>
      </w:r>
      <w:r w:rsidR="00DE3AB8">
        <w:t xml:space="preserve"> publicaron un conjunto de datos que documentaba el nivel de producto en más de 130</w:t>
      </w:r>
      <w:r w:rsidR="001B447B">
        <w:t> </w:t>
      </w:r>
      <w:r w:rsidR="00DE3AB8">
        <w:t>países de todo el mundo. Los datos, que eran anuales y que empezaban en 1960 para casi todos los países, ajustaban el nivel del PIB para cada paí</w:t>
      </w:r>
      <w:r w:rsidR="002E6205">
        <w:t>s</w:t>
      </w:r>
      <w:r w:rsidR="00DE3AB8">
        <w:t xml:space="preserve"> a las diferencias de precios y de niveles de vida. De esta manera, se dispuso por primera </w:t>
      </w:r>
      <w:r w:rsidR="001B447B">
        <w:t>vez</w:t>
      </w:r>
      <w:r w:rsidR="00DE3AB8">
        <w:t xml:space="preserve"> de un conjunto de datos que permitía comparar niveles de actividad reales entre diferentes países sin preocuparse por los precios o los tipos de cambio.</w:t>
      </w:r>
    </w:p>
    <w:p w14:paraId="417E9524" w14:textId="20D39074" w:rsidR="002E6205" w:rsidRDefault="002E6205" w:rsidP="004A1FE6">
      <w:pPr>
        <w:pStyle w:val="Nivel3SM"/>
      </w:pPr>
      <w:r>
        <w:t xml:space="preserve">Así, hallaron que </w:t>
      </w:r>
      <w:r w:rsidRPr="002E6205">
        <w:rPr>
          <w:i/>
          <w:iCs/>
          <w:u w:val="single"/>
        </w:rPr>
        <w:t>no existe β</w:t>
      </w:r>
      <w:r w:rsidR="00E33EC1" w:rsidRPr="00E33EC1">
        <w:rPr>
          <w:i/>
          <w:iCs/>
          <w:sz w:val="2"/>
          <w:szCs w:val="2"/>
          <w:u w:val="single"/>
        </w:rPr>
        <w:t> </w:t>
      </w:r>
      <w:r w:rsidR="00E33EC1" w:rsidRPr="00E33EC1">
        <w:rPr>
          <w:i/>
          <w:iCs/>
          <w:u w:val="single"/>
        </w:rPr>
        <w:t>-</w:t>
      </w:r>
      <w:r w:rsidR="00E33EC1" w:rsidRPr="00E33EC1">
        <w:rPr>
          <w:i/>
          <w:iCs/>
          <w:sz w:val="2"/>
          <w:szCs w:val="2"/>
          <w:u w:val="single"/>
        </w:rPr>
        <w:t> </w:t>
      </w:r>
      <w:r w:rsidRPr="002E6205">
        <w:rPr>
          <w:i/>
          <w:iCs/>
          <w:u w:val="single"/>
        </w:rPr>
        <w:t>convergencia</w:t>
      </w:r>
      <w:r>
        <w:t>. De hecho, el coeficiente de correlación entre la tasa de crecimiento anual per cápita entre 1960 y 1985 y el logaritmo del nivel de renta per cápita es positivo, aunque no significativo.</w:t>
      </w:r>
    </w:p>
    <w:p w14:paraId="7B8A8182" w14:textId="64BE3F07" w:rsidR="002E6205" w:rsidRDefault="002E6205" w:rsidP="004A1FE6">
      <w:pPr>
        <w:pStyle w:val="Nivel3SM"/>
        <w:keepNext/>
      </w:pPr>
      <w:r>
        <w:t xml:space="preserve">Además, comprueban que </w:t>
      </w:r>
      <w:r w:rsidRPr="002E6205">
        <w:rPr>
          <w:i/>
          <w:iCs/>
          <w:u w:val="single"/>
        </w:rPr>
        <w:t>tampoco existe σ</w:t>
      </w:r>
      <w:r w:rsidR="00E33EC1" w:rsidRPr="00E33EC1">
        <w:rPr>
          <w:i/>
          <w:iCs/>
          <w:sz w:val="2"/>
          <w:szCs w:val="2"/>
          <w:u w:val="single"/>
        </w:rPr>
        <w:t> </w:t>
      </w:r>
      <w:r w:rsidR="00E33EC1" w:rsidRPr="00E33EC1">
        <w:rPr>
          <w:i/>
          <w:iCs/>
          <w:u w:val="single"/>
        </w:rPr>
        <w:t>-</w:t>
      </w:r>
      <w:r w:rsidR="00E33EC1" w:rsidRPr="00E33EC1">
        <w:rPr>
          <w:i/>
          <w:iCs/>
          <w:sz w:val="2"/>
          <w:szCs w:val="2"/>
          <w:u w:val="single"/>
        </w:rPr>
        <w:t> </w:t>
      </w:r>
      <w:r w:rsidRPr="002E6205">
        <w:rPr>
          <w:i/>
          <w:iCs/>
          <w:u w:val="single"/>
        </w:rPr>
        <w:t>convergencia</w:t>
      </w:r>
      <w:r>
        <w:t xml:space="preserve"> (i.e. la dispersión aumenta durante estos 25</w:t>
      </w:r>
      <w:r w:rsidR="004A1FE6">
        <w:t> </w:t>
      </w:r>
      <w:r>
        <w:t>años).</w:t>
      </w:r>
    </w:p>
    <w:p w14:paraId="253421BB" w14:textId="313752EC" w:rsidR="002E6205" w:rsidRDefault="002E6205" w:rsidP="004A1FE6">
      <w:pPr>
        <w:pStyle w:val="Nivel4"/>
        <w:ind w:left="1474"/>
      </w:pPr>
      <w:r>
        <w:t xml:space="preserve">Por tanto, la conclusión a la que se llegó después de analizar los datos de </w:t>
      </w:r>
      <w:r>
        <w:rPr>
          <w:smallCaps/>
        </w:rPr>
        <w:t>Summers</w:t>
      </w:r>
      <w:r>
        <w:t xml:space="preserve"> y </w:t>
      </w:r>
      <w:r>
        <w:rPr>
          <w:smallCaps/>
        </w:rPr>
        <w:t>Heston</w:t>
      </w:r>
      <w:r>
        <w:t xml:space="preserve"> era que los países no convergen ni en el sentido </w:t>
      </w:r>
      <w:r w:rsidRPr="002E6205">
        <w:t>β</w:t>
      </w:r>
      <w:r>
        <w:t xml:space="preserve"> ni en el sentido </w:t>
      </w:r>
      <w:r w:rsidRPr="00E223AC">
        <w:t>σ</w:t>
      </w:r>
      <w:r>
        <w:t>.</w:t>
      </w:r>
    </w:p>
    <w:p w14:paraId="6B7387C3" w14:textId="77777777" w:rsidR="004A1FE6" w:rsidRPr="001C23CD" w:rsidRDefault="004A1FE6" w:rsidP="004A1FE6">
      <w:pPr>
        <w:pStyle w:val="Nivel2SM"/>
        <w:keepNext/>
        <w:spacing w:after="0"/>
        <w:rPr>
          <w:rFonts w:eastAsiaTheme="minorEastAsia"/>
          <w:szCs w:val="20"/>
        </w:rPr>
      </w:pPr>
      <w:r>
        <w:t>En principio, esto parece contradecir a una de las principales implicaciones del modelo neoclásico, ¿por qué los países pobres no crecen más rápido que los ricos tal y como predecía el modelo neoclásico?</w:t>
      </w:r>
    </w:p>
    <w:p w14:paraId="1BFAF9F7" w14:textId="216CC19F" w:rsidR="008B06A0" w:rsidRDefault="002E6205" w:rsidP="004A1FE6">
      <w:pPr>
        <w:pStyle w:val="Nivel3SM"/>
        <w:keepNext/>
      </w:pPr>
      <w:r>
        <w:t xml:space="preserve">Esto se tomó como </w:t>
      </w:r>
      <w:r w:rsidRPr="002E6205">
        <w:rPr>
          <w:i/>
          <w:iCs/>
        </w:rPr>
        <w:t>evidencia a favor de los modelos de crecimiento endógeno</w:t>
      </w:r>
      <w:r>
        <w:t>, en detrimento de los modelos neoclásicos</w:t>
      </w:r>
      <w:r w:rsidR="008B06A0">
        <w:t>.</w:t>
      </w:r>
    </w:p>
    <w:p w14:paraId="43D926C1" w14:textId="77777777" w:rsidR="008B06A0" w:rsidRDefault="008B06A0" w:rsidP="004A1FE6">
      <w:pPr>
        <w:pStyle w:val="Nivel4"/>
        <w:ind w:left="1474"/>
      </w:pPr>
      <w:r>
        <w:t>Los</w:t>
      </w:r>
      <w:r w:rsidR="002E6205">
        <w:t xml:space="preserve"> rendimientos decrecientes del capital</w:t>
      </w:r>
      <w:r>
        <w:t xml:space="preserve"> llevaban al modelo neoclásico a predecir convergencia entre naciones.</w:t>
      </w:r>
    </w:p>
    <w:p w14:paraId="3A60C44A" w14:textId="3F1C3130" w:rsidR="002E6205" w:rsidRDefault="008B06A0" w:rsidP="004A1FE6">
      <w:pPr>
        <w:pStyle w:val="Nivel4"/>
        <w:ind w:left="1474"/>
      </w:pPr>
      <w:r>
        <w:t>Por el contrario, los rendimientos no</w:t>
      </w:r>
      <w:r w:rsidR="00E33EC1">
        <w:t> </w:t>
      </w:r>
      <w:r>
        <w:t>decrecientes del capital subyacentes en los modelos de crecimiento endógeno comportan la predicción de no</w:t>
      </w:r>
      <w:r w:rsidR="00E33EC1">
        <w:t> </w:t>
      </w:r>
      <w:r>
        <w:t>convergencia.</w:t>
      </w:r>
    </w:p>
    <w:p w14:paraId="40A30B68" w14:textId="05C301CE" w:rsidR="002E6205" w:rsidRDefault="002E6205" w:rsidP="004A1FE6">
      <w:pPr>
        <w:pStyle w:val="Nivel3SM"/>
      </w:pPr>
      <w:r>
        <w:t xml:space="preserve">De hecho, el aparente fracaso empírico de los modelos neoclásicos fue </w:t>
      </w:r>
      <w:r w:rsidRPr="002E6205">
        <w:t>una de las causas determinantes del extraordinario éxito que los modelos endógenos</w:t>
      </w:r>
      <w:r>
        <w:t xml:space="preserve"> cosecharon durante las décadas de los 80 y 90.</w:t>
      </w:r>
    </w:p>
    <w:p w14:paraId="78C29F3D" w14:textId="0FA07588" w:rsidR="00563C01" w:rsidRPr="00216C79" w:rsidRDefault="00563C01" w:rsidP="00563C01">
      <w:pPr>
        <w:pStyle w:val="Ttuloimagen"/>
        <w:rPr>
          <w:i/>
          <w:iCs/>
          <w:smallCaps w:val="0"/>
        </w:rPr>
      </w:pPr>
      <w:r>
        <w:t>Imagen</w:t>
      </w:r>
      <w:r w:rsidR="00451F61">
        <w:t> </w:t>
      </w:r>
      <w:r>
        <w:fldChar w:fldCharType="begin"/>
      </w:r>
      <w:r>
        <w:instrText xml:space="preserve"> SEQ Ilustración \* ARABIC </w:instrText>
      </w:r>
      <w:r>
        <w:fldChar w:fldCharType="separate"/>
      </w:r>
      <w:r w:rsidR="007846DF">
        <w:t>4</w:t>
      </w:r>
      <w:r>
        <w:fldChar w:fldCharType="end"/>
      </w:r>
      <w:r>
        <w:rPr>
          <w:smallCaps w:val="0"/>
        </w:rPr>
        <w:t>.</w:t>
      </w:r>
      <w:r w:rsidRPr="00216C79">
        <w:rPr>
          <w:smallCaps w:val="0"/>
        </w:rPr>
        <w:t>–</w:t>
      </w:r>
      <w:r>
        <w:rPr>
          <w:smallCaps w:val="0"/>
        </w:rPr>
        <w:t xml:space="preserve"> </w:t>
      </w:r>
      <w:r>
        <w:rPr>
          <w:i/>
          <w:iCs/>
          <w:smallCaps w:val="0"/>
        </w:rPr>
        <w:t>Ausencia de convergencia absoluta</w:t>
      </w:r>
    </w:p>
    <w:p w14:paraId="5D63DAC6" w14:textId="77777777" w:rsidR="00563C01" w:rsidRDefault="00563C01" w:rsidP="00563C01">
      <w:pPr>
        <w:pStyle w:val="Imagen"/>
      </w:pPr>
      <w:r>
        <w:drawing>
          <wp:inline distT="0" distB="0" distL="0" distR="0" wp14:anchorId="7C454021" wp14:editId="36B55F05">
            <wp:extent cx="2929371" cy="1656000"/>
            <wp:effectExtent l="0" t="0" r="4445" b="1905"/>
            <wp:docPr id="20" name="Picture 20" descr="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áfico de dispersión&#10;&#10;Descripción generada automáticamente"/>
                    <pic:cNvPicPr/>
                  </pic:nvPicPr>
                  <pic:blipFill rotWithShape="1">
                    <a:blip r:embed="rId27"/>
                    <a:srcRect l="3558" r="3570" b="9328"/>
                    <a:stretch/>
                  </pic:blipFill>
                  <pic:spPr bwMode="auto">
                    <a:xfrm>
                      <a:off x="0" y="0"/>
                      <a:ext cx="2929371" cy="1656000"/>
                    </a:xfrm>
                    <a:prstGeom prst="rect">
                      <a:avLst/>
                    </a:prstGeom>
                    <a:ln>
                      <a:noFill/>
                    </a:ln>
                    <a:extLst>
                      <a:ext uri="{53640926-AAD7-44D8-BBD7-CCE9431645EC}">
                        <a14:shadowObscured xmlns:a14="http://schemas.microsoft.com/office/drawing/2010/main"/>
                      </a:ext>
                    </a:extLst>
                  </pic:spPr>
                </pic:pic>
              </a:graphicData>
            </a:graphic>
          </wp:inline>
        </w:drawing>
      </w:r>
    </w:p>
    <w:p w14:paraId="5ACCC242" w14:textId="77777777" w:rsidR="00563C01" w:rsidRPr="00216C79" w:rsidRDefault="00563C01" w:rsidP="00563C01">
      <w:pPr>
        <w:pStyle w:val="PiedeImagen"/>
        <w:rPr>
          <w:i w:val="0"/>
          <w:iCs/>
        </w:rPr>
      </w:pPr>
      <w:r w:rsidRPr="00E45274">
        <w:rPr>
          <w:lang w:val="en-US"/>
        </w:rPr>
        <w:t>Fuente</w:t>
      </w:r>
      <w:r w:rsidRPr="00E45274">
        <w:rPr>
          <w:i w:val="0"/>
          <w:iCs/>
          <w:lang w:val="en-US"/>
        </w:rPr>
        <w:t xml:space="preserve">: Jones, C. I. (2016). The Facts of Economic Growth. En </w:t>
      </w:r>
      <w:r w:rsidRPr="00E45274">
        <w:rPr>
          <w:lang w:val="en-US"/>
        </w:rPr>
        <w:t>Handbook of Macroeconomics</w:t>
      </w:r>
      <w:r w:rsidRPr="00E45274">
        <w:rPr>
          <w:i w:val="0"/>
          <w:iCs/>
          <w:lang w:val="en-US"/>
        </w:rPr>
        <w:t xml:space="preserve"> (Vol. 2, pp. 3-69). </w:t>
      </w:r>
      <w:r w:rsidRPr="00E45274">
        <w:rPr>
          <w:i w:val="0"/>
          <w:iCs/>
        </w:rPr>
        <w:t xml:space="preserve">Elsevier. </w:t>
      </w:r>
      <w:hyperlink r:id="rId28" w:history="1">
        <w:r w:rsidRPr="006F4D2A">
          <w:rPr>
            <w:rStyle w:val="Hipervnculo"/>
            <w:i w:val="0"/>
            <w:iCs/>
          </w:rPr>
          <w:t>https://doi.org/10.1016/bs.hesmac.2016.03.002</w:t>
        </w:r>
      </w:hyperlink>
    </w:p>
    <w:p w14:paraId="7429289E" w14:textId="0CC187E2" w:rsidR="00563C01" w:rsidRDefault="00563C01">
      <w:pPr>
        <w:pStyle w:val="Ttulo3"/>
      </w:pPr>
      <w:bookmarkStart w:id="65" w:name="_Toc129716234"/>
      <w:r>
        <w:lastRenderedPageBreak/>
        <w:t>La contrarrevolución neoclásica en la década de 1990 y la convergencia condicional</w:t>
      </w:r>
      <w:bookmarkEnd w:id="65"/>
    </w:p>
    <w:p w14:paraId="50E2C45B" w14:textId="553B124A" w:rsidR="00563C01" w:rsidRPr="00563C01" w:rsidRDefault="00563C01" w:rsidP="001B447B">
      <w:pPr>
        <w:pStyle w:val="Nivel1SM"/>
        <w:keepNext/>
        <w:spacing w:before="0" w:after="0"/>
        <w:rPr>
          <w:rFonts w:eastAsiaTheme="minorEastAsia"/>
          <w:spacing w:val="-3"/>
          <w:szCs w:val="20"/>
        </w:rPr>
      </w:pPr>
      <w:r w:rsidRPr="00563C01">
        <w:rPr>
          <w:spacing w:val="-3"/>
        </w:rPr>
        <w:t xml:space="preserve">Sin embargo, recordemos que en el modelo neoclásico de crecimiento, el nivel de capital y por tanto el nivel de renta en estado estacionario dependen crucialmente de parámetros como la tasa de crecimiento de la productividad </w:t>
      </w:r>
      <m:oMath>
        <m:sSub>
          <m:sSubPr>
            <m:ctrlPr>
              <w:rPr>
                <w:rFonts w:ascii="Cambria Math" w:eastAsiaTheme="minorEastAsia" w:hAnsi="Cambria Math"/>
                <w:i/>
                <w:spacing w:val="-3"/>
                <w:szCs w:val="20"/>
              </w:rPr>
            </m:ctrlPr>
          </m:sSubPr>
          <m:e>
            <m:r>
              <m:rPr>
                <m:nor/>
              </m:rPr>
              <w:rPr>
                <w:rFonts w:eastAsiaTheme="minorEastAsia"/>
                <w:i/>
                <w:spacing w:val="-3"/>
                <w:szCs w:val="20"/>
              </w:rPr>
              <m:t>γ</m:t>
            </m:r>
          </m:e>
          <m:sub>
            <m:r>
              <m:rPr>
                <m:nor/>
              </m:rPr>
              <w:rPr>
                <w:rFonts w:eastAsiaTheme="minorEastAsia"/>
                <w:i/>
                <w:spacing w:val="-3"/>
                <w:szCs w:val="20"/>
              </w:rPr>
              <m:t>A</m:t>
            </m:r>
          </m:sub>
        </m:sSub>
      </m:oMath>
      <w:r w:rsidRPr="00563C01">
        <w:rPr>
          <w:rFonts w:eastAsiaTheme="minorEastAsia"/>
          <w:spacing w:val="-3"/>
          <w:szCs w:val="20"/>
        </w:rPr>
        <w:t xml:space="preserve">, dada por el cambio tecnológico exógeno, la tasa de depreciación </w:t>
      </w:r>
      <m:oMath>
        <m:r>
          <m:rPr>
            <m:nor/>
          </m:rPr>
          <w:rPr>
            <w:i/>
            <w:iCs/>
            <w:spacing w:val="-3"/>
            <w:szCs w:val="20"/>
          </w:rPr>
          <m:t>δ</m:t>
        </m:r>
      </m:oMath>
      <w:r w:rsidRPr="00563C01">
        <w:rPr>
          <w:rFonts w:eastAsiaTheme="minorEastAsia"/>
          <w:iCs/>
          <w:spacing w:val="-3"/>
          <w:szCs w:val="20"/>
        </w:rPr>
        <w:t>, etc.</w:t>
      </w:r>
    </w:p>
    <w:p w14:paraId="2693C428" w14:textId="77777777" w:rsidR="00563C01" w:rsidRDefault="00563C01">
      <w:pPr>
        <w:pStyle w:val="Nivel2SM"/>
      </w:pPr>
      <w:r>
        <w:t xml:space="preserve">Algo que podría estar sucediendo en la realidad es que distintos países convergen a distintos estados estacionarios. En pocas palabras, distintos países tienen distintos valores de </w:t>
      </w:r>
      <m:oMath>
        <m:r>
          <m:rPr>
            <m:nor/>
          </m:rPr>
          <w:rPr>
            <w:i/>
          </w:rPr>
          <m:t>δ</m:t>
        </m:r>
      </m:oMath>
      <w:r>
        <w:t xml:space="preserve">, </w:t>
      </w:r>
      <m:oMath>
        <m:sSub>
          <m:sSubPr>
            <m:ctrlPr>
              <w:rPr>
                <w:rFonts w:ascii="Cambria Math" w:hAnsi="Cambria Math"/>
                <w:i/>
              </w:rPr>
            </m:ctrlPr>
          </m:sSubPr>
          <m:e>
            <m:r>
              <m:rPr>
                <m:nor/>
              </m:rPr>
              <w:rPr>
                <w:i/>
              </w:rPr>
              <m:t>γ</m:t>
            </m:r>
          </m:e>
          <m:sub>
            <m:r>
              <m:rPr>
                <m:nor/>
              </m:rPr>
              <w:rPr>
                <w:i/>
              </w:rPr>
              <m:t>A</m:t>
            </m:r>
          </m:sub>
        </m:sSub>
      </m:oMath>
      <w:r>
        <w:t>, etc.</w:t>
      </w:r>
    </w:p>
    <w:p w14:paraId="0DD8F7FE" w14:textId="77777777" w:rsidR="00563C01" w:rsidRDefault="00563C01">
      <w:pPr>
        <w:pStyle w:val="Nivel2SM"/>
      </w:pPr>
      <w:r>
        <w:t xml:space="preserve">Si esto es así, por tanto, el modelo neoclásico implicaría que las economías acumularían más capital y crecerían más rápido cuanto más alejadas estén de su propio estado estacionario. Este tipo de convergencia se conoce como </w:t>
      </w:r>
      <w:r>
        <w:rPr>
          <w:b/>
          <w:bCs/>
        </w:rPr>
        <w:t>convergencia condicional</w:t>
      </w:r>
      <w:r>
        <w:t>.</w:t>
      </w:r>
    </w:p>
    <w:p w14:paraId="771A932C" w14:textId="5907ACF3" w:rsidR="002E6205" w:rsidRDefault="002E6205">
      <w:pPr>
        <w:pStyle w:val="Nivel1SM"/>
        <w:keepNext/>
        <w:spacing w:after="0"/>
      </w:pPr>
      <w:r>
        <w:t xml:space="preserve">A principios de los 90, </w:t>
      </w:r>
      <w:r w:rsidRPr="002E6205">
        <w:rPr>
          <w:b/>
          <w:bCs/>
        </w:rPr>
        <w:t>los</w:t>
      </w:r>
      <w:r>
        <w:t xml:space="preserve"> </w:t>
      </w:r>
      <w:r w:rsidRPr="002E6205">
        <w:rPr>
          <w:b/>
          <w:bCs/>
        </w:rPr>
        <w:t>economistas neoclásicos hicieron su propia contrarrevolución</w:t>
      </w:r>
      <w:r>
        <w:t xml:space="preserve"> (</w:t>
      </w:r>
      <w:r>
        <w:rPr>
          <w:smallCaps/>
        </w:rPr>
        <w:t>Mankiw</w:t>
      </w:r>
      <w:r w:rsidR="00EF4F04">
        <w:t xml:space="preserve">, </w:t>
      </w:r>
      <w:r w:rsidR="00EF4F04" w:rsidRPr="00EF4F04">
        <w:rPr>
          <w:smallCaps/>
        </w:rPr>
        <w:t>Romer</w:t>
      </w:r>
      <w:r w:rsidR="00EF4F04">
        <w:t xml:space="preserve"> y </w:t>
      </w:r>
      <w:r w:rsidR="00EF4F04" w:rsidRPr="00EF4F04">
        <w:rPr>
          <w:smallCaps/>
        </w:rPr>
        <w:t>Weil</w:t>
      </w:r>
      <w:r w:rsidR="00EF4F04">
        <w:t xml:space="preserve"> </w:t>
      </w:r>
      <w:r>
        <w:t xml:space="preserve">(1992) y </w:t>
      </w:r>
      <w:r>
        <w:rPr>
          <w:smallCaps/>
        </w:rPr>
        <w:t>Barro</w:t>
      </w:r>
      <w:r>
        <w:t xml:space="preserve"> y </w:t>
      </w:r>
      <w:r>
        <w:rPr>
          <w:smallCaps/>
        </w:rPr>
        <w:t>Sala-i-Martín</w:t>
      </w:r>
      <w:r w:rsidRPr="002E6205">
        <w:t xml:space="preserve"> (</w:t>
      </w:r>
      <w:r>
        <w:t>1995</w:t>
      </w:r>
      <w:r w:rsidRPr="002E6205">
        <w:t>)</w:t>
      </w:r>
      <w:r>
        <w:t>)</w:t>
      </w:r>
      <w:r w:rsidR="008B06A0">
        <w:t xml:space="preserve"> negaron el hecho de que el modelo neoclásico hiciera la predicción de convergencia </w:t>
      </w:r>
      <w:r w:rsidR="00E33EC1">
        <w:t xml:space="preserve">(absoluta) </w:t>
      </w:r>
      <w:r w:rsidR="008B06A0">
        <w:t>y negaron, por lo tanto, que la evidencia presentada hasta entonces pudiera ser usada contra el modelo neoclásico.</w:t>
      </w:r>
      <w:r w:rsidR="00B40FB4">
        <w:t xml:space="preserve"> El modelo neoclásico de </w:t>
      </w:r>
      <w:r w:rsidR="00B40FB4">
        <w:rPr>
          <w:smallCaps/>
        </w:rPr>
        <w:t>Solow</w:t>
      </w:r>
      <w:r w:rsidR="00B40FB4">
        <w:t xml:space="preserve"> predice convergencia si los países tienen los mismos parámetros (i.e. tasa de ahorro, tecnología de producción, crecimiento de la población y tasa de depreciación). Por lo tanto, el modelo de </w:t>
      </w:r>
      <w:r w:rsidR="00B40FB4" w:rsidRPr="00B40FB4">
        <w:t>Solow</w:t>
      </w:r>
      <w:r w:rsidR="00B40FB4">
        <w:t xml:space="preserve"> no predice convergencia absoluta sino </w:t>
      </w:r>
      <w:r w:rsidR="00B40FB4" w:rsidRPr="00B40FB4">
        <w:rPr>
          <w:b/>
          <w:bCs/>
        </w:rPr>
        <w:t>convergencia condici</w:t>
      </w:r>
      <w:r w:rsidR="00B40FB4">
        <w:rPr>
          <w:b/>
          <w:bCs/>
        </w:rPr>
        <w:t>o</w:t>
      </w:r>
      <w:r w:rsidR="00B40FB4" w:rsidRPr="00B40FB4">
        <w:rPr>
          <w:b/>
          <w:bCs/>
        </w:rPr>
        <w:t>nal</w:t>
      </w:r>
      <w:r w:rsidR="00B40FB4">
        <w:t xml:space="preserve"> (i.e. convergencia condicionada a contar con los mismos parámetros).</w:t>
      </w:r>
    </w:p>
    <w:p w14:paraId="291E954A" w14:textId="7580C682" w:rsidR="00B40FB4" w:rsidRDefault="00B40FB4">
      <w:pPr>
        <w:pStyle w:val="Nivel2SM"/>
      </w:pPr>
      <w:r>
        <w:t>Por lo tanto, para verificar el modelo neoclásico no habría que comprobar la convergencia absoluta, sino la convergencia condicional.</w:t>
      </w:r>
    </w:p>
    <w:p w14:paraId="684C6275" w14:textId="49A2FFCF" w:rsidR="00B40FB4" w:rsidRDefault="00B40FB4">
      <w:pPr>
        <w:pStyle w:val="Nivel2SM"/>
        <w:keepNext/>
        <w:spacing w:after="0"/>
      </w:pPr>
      <w:r>
        <w:t xml:space="preserve">Hay </w:t>
      </w:r>
      <w:r w:rsidR="00BE7A46">
        <w:t>2 </w:t>
      </w:r>
      <w:r>
        <w:t>enfoques para condicionar los datos:</w:t>
      </w:r>
    </w:p>
    <w:p w14:paraId="19EA8689" w14:textId="7965C7CA" w:rsidR="00B40FB4" w:rsidRPr="00B40FB4" w:rsidRDefault="00B40FB4">
      <w:pPr>
        <w:pStyle w:val="Prrafodelista"/>
        <w:keepNext/>
        <w:numPr>
          <w:ilvl w:val="2"/>
          <w:numId w:val="20"/>
        </w:numPr>
        <w:spacing w:after="0"/>
        <w:ind w:left="992" w:hanging="113"/>
      </w:pPr>
      <w:r w:rsidRPr="00B40FB4">
        <w:rPr>
          <w:i/>
          <w:iCs/>
        </w:rPr>
        <w:t>Regresiones ampliadas incluyendo más parámetros</w:t>
      </w:r>
      <w:r>
        <w:t xml:space="preserve">. Con respecto a la </w:t>
      </w:r>
      <w:r w:rsidRPr="00B40FB4">
        <w:t>β</w:t>
      </w:r>
      <w:r w:rsidR="0077068B" w:rsidRPr="00776AEE">
        <w:rPr>
          <w:sz w:val="2"/>
          <w:szCs w:val="2"/>
        </w:rPr>
        <w:t> </w:t>
      </w:r>
      <w:r w:rsidR="0077068B" w:rsidRPr="0026308C">
        <w:t>-</w:t>
      </w:r>
      <w:r w:rsidR="0077068B" w:rsidRPr="00776AEE">
        <w:rPr>
          <w:sz w:val="2"/>
          <w:szCs w:val="2"/>
        </w:rPr>
        <w:t> </w:t>
      </w:r>
      <w:r w:rsidRPr="00B40FB4">
        <w:t>convergencia</w:t>
      </w:r>
      <w:r>
        <w:t xml:space="preserve">, jay que añadir un vector de parámetros </w:t>
      </w:r>
      <m:oMath>
        <m:acc>
          <m:accPr>
            <m:chr m:val="⃗"/>
            <m:ctrlPr>
              <w:rPr>
                <w:rFonts w:ascii="Cambria Math" w:hAnsi="Cambria Math"/>
                <w:i/>
              </w:rPr>
            </m:ctrlPr>
          </m:accPr>
          <m:e>
            <m:r>
              <m:rPr>
                <m:nor/>
              </m:rPr>
              <w:rPr>
                <w:i/>
              </w:rPr>
              <m:t>z</m:t>
            </m:r>
          </m:e>
        </m:acc>
      </m:oMath>
      <w:r>
        <w:rPr>
          <w:rFonts w:eastAsiaTheme="minorEastAsia"/>
        </w:rPr>
        <w:t xml:space="preserve">, en especial que incluyan aquellos señalados por </w:t>
      </w:r>
      <w:r>
        <w:rPr>
          <w:rFonts w:eastAsiaTheme="minorEastAsia"/>
          <w:smallCaps/>
        </w:rPr>
        <w:t>Solow</w:t>
      </w:r>
      <w:r>
        <w:rPr>
          <w:rFonts w:eastAsiaTheme="minorEastAsia"/>
        </w:rPr>
        <w:t>. Esto permite controlar por estos parámetros y aislar el efecto de la convergencia.</w:t>
      </w:r>
    </w:p>
    <w:p w14:paraId="722C1AE3" w14:textId="32A90E8C" w:rsidR="00EF08D0" w:rsidRDefault="00B40FB4">
      <w:pPr>
        <w:pStyle w:val="Nivel4"/>
        <w:ind w:left="1474"/>
      </w:pPr>
      <w:r w:rsidRPr="00EF08D0">
        <w:rPr>
          <w:smallCaps/>
        </w:rPr>
        <w:t>Mankiw</w:t>
      </w:r>
      <w:r>
        <w:t xml:space="preserve">, </w:t>
      </w:r>
      <w:r w:rsidRPr="00EF08D0">
        <w:rPr>
          <w:smallCaps/>
        </w:rPr>
        <w:t>Romer</w:t>
      </w:r>
      <w:r>
        <w:t xml:space="preserve"> y </w:t>
      </w:r>
      <w:r w:rsidRPr="00EF08D0">
        <w:rPr>
          <w:smallCaps/>
        </w:rPr>
        <w:t>Weil</w:t>
      </w:r>
      <w:r>
        <w:t xml:space="preserve"> (1992) realizan estos análisis. Para comprobar cómo afecta la consideración de estos parámetros </w:t>
      </w:r>
      <w:r w:rsidR="00EF08D0">
        <w:t xml:space="preserve">parten del análisis de </w:t>
      </w:r>
      <w:r w:rsidR="00EF08D0" w:rsidRPr="0026308C">
        <w:t>β</w:t>
      </w:r>
      <w:r w:rsidR="0077068B" w:rsidRPr="00776AEE">
        <w:rPr>
          <w:sz w:val="2"/>
          <w:szCs w:val="2"/>
        </w:rPr>
        <w:t> </w:t>
      </w:r>
      <w:r w:rsidR="0077068B" w:rsidRPr="0026308C">
        <w:t>-</w:t>
      </w:r>
      <w:r w:rsidR="0077068B" w:rsidRPr="00776AEE">
        <w:rPr>
          <w:sz w:val="2"/>
          <w:szCs w:val="2"/>
        </w:rPr>
        <w:t> </w:t>
      </w:r>
      <w:r w:rsidR="00EF08D0" w:rsidRPr="0026308C">
        <w:t>convergencia</w:t>
      </w:r>
      <w:r w:rsidR="00EF08D0">
        <w:t xml:space="preserve"> habitual:</w:t>
      </w:r>
    </w:p>
    <w:p w14:paraId="7C56F284" w14:textId="710D3EF8" w:rsidR="00EF08D0" w:rsidRPr="00EF08D0" w:rsidRDefault="00000000" w:rsidP="00EF08D0">
      <w:pPr>
        <w:pStyle w:val="Nivel4"/>
        <w:numPr>
          <w:ilvl w:val="0"/>
          <w:numId w:val="0"/>
        </w:numPr>
        <w:ind w:left="1474"/>
        <w:rPr>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m:rPr>
                          <m:sty m:val="p"/>
                        </m:rPr>
                        <w:rPr>
                          <w:rFonts w:ascii="Cambria Math" w:hAnsi="Cambria Math"/>
                          <w:lang w:val="fr-FR"/>
                        </w:rPr>
                        <m:t>-</m:t>
                      </m:r>
                      <m:r>
                        <m:rPr>
                          <m:nor/>
                        </m:rPr>
                        <w:rPr>
                          <w:i/>
                          <w:lang w:val="fr-FR"/>
                        </w:rPr>
                        <m:t>1</m:t>
                      </m:r>
                    </m:sub>
                  </m:sSub>
                </m:e>
              </m:d>
            </m:e>
          </m:fun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58C81B0D" w14:textId="0FEAAAE4" w:rsidR="00B40FB4" w:rsidRDefault="00EF08D0" w:rsidP="00EF08D0">
      <w:pPr>
        <w:pStyle w:val="Nivel4"/>
        <w:numPr>
          <w:ilvl w:val="0"/>
          <w:numId w:val="0"/>
        </w:numPr>
        <w:ind w:left="1474"/>
        <w:rPr>
          <w:rFonts w:eastAsiaTheme="minorEastAsia"/>
        </w:rPr>
      </w:pPr>
      <w:r w:rsidRPr="00EF08D0">
        <w:rPr>
          <w:rFonts w:eastAsiaTheme="minorEastAsia"/>
        </w:rPr>
        <w:t xml:space="preserve">En la parte izquierda de la expresión aparece la tasa de crecimiento económico de cada país, y en la derecha, el nivel de renta per cápita inicial (correspondiente al primer año del período muestral para el que se disponen los datos) más </w:t>
      </w:r>
      <w:r>
        <w:rPr>
          <w:rFonts w:eastAsiaTheme="minorEastAsia"/>
        </w:rPr>
        <w:t>u</w:t>
      </w:r>
      <w:r w:rsidRPr="00EF08D0">
        <w:rPr>
          <w:rFonts w:eastAsiaTheme="minorEastAsia"/>
        </w:rPr>
        <w:t>n t</w:t>
      </w:r>
      <w:r>
        <w:t>é</w:t>
      </w:r>
      <w:r w:rsidRPr="00EF08D0">
        <w:t>rmino de error</w:t>
      </w:r>
      <w:r>
        <w:t xml:space="preserve">, </w:t>
      </w:r>
      <m:oMath>
        <m:sSub>
          <m:sSubPr>
            <m:ctrlPr>
              <w:rPr>
                <w:rFonts w:ascii="Cambria Math" w:hAnsi="Cambria Math"/>
                <w:i/>
              </w:rPr>
            </m:ctrlPr>
          </m:sSubPr>
          <m:e>
            <m:r>
              <m:rPr>
                <m:nor/>
              </m:rPr>
              <w:rPr>
                <w:i/>
              </w:rPr>
              <m:t>u</m:t>
            </m:r>
          </m:e>
          <m:sub>
            <m:r>
              <m:rPr>
                <m:nor/>
              </m:rPr>
              <w:rPr>
                <w:i/>
              </w:rPr>
              <m:t>t</m:t>
            </m:r>
          </m:sub>
        </m:sSub>
      </m:oMath>
      <w:r>
        <w:t xml:space="preserve"> (i.e. un shock estocástico que recoge las perturbaciones transitorias de algunos factores)</w:t>
      </w:r>
      <w:r w:rsidRPr="00EF08D0">
        <w:rPr>
          <w:rFonts w:eastAsiaTheme="minorEastAsia"/>
        </w:rPr>
        <w:t>.</w:t>
      </w:r>
    </w:p>
    <w:p w14:paraId="38AAB702" w14:textId="266EC77C" w:rsidR="00EF08D0" w:rsidRPr="00EF08D0" w:rsidRDefault="00EF08D0" w:rsidP="00EF08D0">
      <w:pPr>
        <w:pStyle w:val="Nivel4"/>
        <w:numPr>
          <w:ilvl w:val="0"/>
          <w:numId w:val="0"/>
        </w:numPr>
        <w:ind w:left="1474"/>
      </w:pPr>
      <w:r>
        <w:rPr>
          <w:rFonts w:eastAsiaTheme="minorEastAsia"/>
        </w:rPr>
        <w:t>Para una muestra de 98</w:t>
      </w:r>
      <w:r w:rsidR="00D82F61">
        <w:rPr>
          <w:rFonts w:eastAsiaTheme="minorEastAsia"/>
        </w:rPr>
        <w:t> </w:t>
      </w:r>
      <w:r>
        <w:rPr>
          <w:rFonts w:eastAsiaTheme="minorEastAsia"/>
        </w:rPr>
        <w:t xml:space="preserve">países estiman una </w:t>
      </w:r>
      <m:oMath>
        <m:sSub>
          <m:sSubPr>
            <m:ctrlPr>
              <w:rPr>
                <w:rFonts w:ascii="Cambria Math" w:hAnsi="Cambria Math"/>
                <w:i/>
              </w:rPr>
            </m:ctrlPr>
          </m:sSubPr>
          <m:e>
            <m:r>
              <m:rPr>
                <m:nor/>
              </m:rPr>
              <w:rPr>
                <w:i/>
              </w:rPr>
              <m:t>β</m:t>
            </m:r>
          </m:e>
          <m:sub>
            <m:r>
              <m:rPr>
                <m:nor/>
              </m:rPr>
              <w:rPr>
                <w:i/>
              </w:rPr>
              <m:t>1</m:t>
            </m:r>
          </m:sub>
        </m:sSub>
      </m:oMath>
      <w:r>
        <w:rPr>
          <w:rFonts w:eastAsiaTheme="minorEastAsia"/>
        </w:rPr>
        <w:t xml:space="preserve"> positiva pero no significativa (i.e. se descarta la hipótesis de convergencia).</w:t>
      </w:r>
    </w:p>
    <w:p w14:paraId="77FDC409" w14:textId="71219B2B" w:rsidR="00EF08D0" w:rsidRPr="00EF08D0" w:rsidRDefault="00EF08D0">
      <w:pPr>
        <w:pStyle w:val="Nivel4"/>
        <w:keepNext/>
        <w:ind w:left="1474"/>
      </w:pPr>
      <w:r>
        <w:t>Posteriormente, amplían su análisis para controlar por otros parámetros, y estiman la siguiente regresión:</w:t>
      </w:r>
    </w:p>
    <w:p w14:paraId="09B86070" w14:textId="5A03C5ED" w:rsidR="00EF08D0" w:rsidRPr="00EF08D0" w:rsidRDefault="00000000" w:rsidP="00EF08D0">
      <w:pPr>
        <w:pStyle w:val="Nivel4"/>
        <w:numPr>
          <w:ilvl w:val="0"/>
          <w:numId w:val="0"/>
        </w:numPr>
        <w:ind w:left="1474"/>
        <w:rPr>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acc>
            <m:accPr>
              <m:chr m:val="⃗"/>
              <m:ctrlPr>
                <w:rPr>
                  <w:rFonts w:ascii="Cambria Math" w:hAnsi="Cambria Math"/>
                  <w:i/>
                </w:rPr>
              </m:ctrlPr>
            </m:accPr>
            <m:e>
              <m:r>
                <m:rPr>
                  <m:nor/>
                </m:rPr>
                <w:rPr>
                  <w:i/>
                </w:rPr>
                <m:t>η</m:t>
              </m:r>
            </m:e>
          </m:acc>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z</m:t>
                  </m:r>
                </m:e>
                <m:sub>
                  <m:r>
                    <m:rPr>
                      <m:nor/>
                    </m:rPr>
                    <w:rPr>
                      <w:i/>
                      <w:lang w:val="fr-FR"/>
                    </w:rPr>
                    <m:t>t</m:t>
                  </m:r>
                  <m:r>
                    <w:rPr>
                      <w:rFonts w:ascii="Cambria Math" w:hAnsi="Cambria Math"/>
                      <w:lang w:val="fr-FR"/>
                    </w:rPr>
                    <m:t>-</m:t>
                  </m:r>
                  <m:r>
                    <m:rPr>
                      <m:nor/>
                    </m:rPr>
                    <w:rPr>
                      <w:i/>
                      <w:iCs/>
                      <w:lang w:val="fr-FR"/>
                    </w:rPr>
                    <m:t>1</m:t>
                  </m:r>
                </m:sub>
              </m:sSub>
            </m:e>
          </m:ac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3D42930A" w14:textId="7A475FF3" w:rsidR="00EF08D0" w:rsidRDefault="00EF08D0" w:rsidP="00EF08D0">
      <w:pPr>
        <w:pStyle w:val="Nivel4"/>
        <w:numPr>
          <w:ilvl w:val="0"/>
          <w:numId w:val="0"/>
        </w:numPr>
        <w:ind w:left="1474"/>
      </w:pPr>
      <w:r w:rsidRPr="00EF08D0">
        <w:t>En este análisis se t</w:t>
      </w:r>
      <w:r>
        <w:t xml:space="preserve">ienen en cuenta otros factores relevantes (como </w:t>
      </w:r>
      <m:oMath>
        <m:r>
          <m:rPr>
            <m:nor/>
          </m:rPr>
          <w:rPr>
            <w:i/>
          </w:rPr>
          <m:t>s</m:t>
        </m:r>
      </m:oMath>
      <w:r>
        <w:rPr>
          <w:rFonts w:eastAsiaTheme="minorEastAsia"/>
        </w:rPr>
        <w:t xml:space="preserve"> y </w:t>
      </w:r>
      <m:oMath>
        <m:r>
          <m:rPr>
            <m:nor/>
          </m:rPr>
          <w:rPr>
            <w:i/>
          </w:rPr>
          <m:t>n</m:t>
        </m:r>
      </m:oMath>
      <w:r>
        <w:t>).</w:t>
      </w:r>
    </w:p>
    <w:p w14:paraId="1F38DB93" w14:textId="053A4BD5" w:rsidR="00EF08D0" w:rsidRPr="00EF08D0" w:rsidRDefault="00EF08D0" w:rsidP="00EF08D0">
      <w:pPr>
        <w:pStyle w:val="Nivel4"/>
        <w:numPr>
          <w:ilvl w:val="0"/>
          <w:numId w:val="0"/>
        </w:numPr>
        <w:ind w:left="1474"/>
      </w:pPr>
      <w:r>
        <w:t xml:space="preserve">En este caso, la </w:t>
      </w:r>
      <m:oMath>
        <m:sSub>
          <m:sSubPr>
            <m:ctrlPr>
              <w:rPr>
                <w:rFonts w:ascii="Cambria Math" w:hAnsi="Cambria Math"/>
                <w:i/>
              </w:rPr>
            </m:ctrlPr>
          </m:sSubPr>
          <m:e>
            <m:r>
              <m:rPr>
                <m:nor/>
              </m:rPr>
              <w:rPr>
                <w:i/>
              </w:rPr>
              <m:t>β</m:t>
            </m:r>
          </m:e>
          <m:sub>
            <m:r>
              <m:rPr>
                <m:nor/>
              </m:rPr>
              <w:rPr>
                <w:i/>
              </w:rPr>
              <m:t>1</m:t>
            </m:r>
          </m:sub>
        </m:sSub>
      </m:oMath>
      <w:r>
        <w:t xml:space="preserve"> estimada es de </w:t>
      </w:r>
      <m:oMath>
        <m:r>
          <w:rPr>
            <w:rFonts w:ascii="Cambria Math" w:hAnsi="Cambria Math"/>
          </w:rPr>
          <m:t>-</m:t>
        </m:r>
        <m:r>
          <m:rPr>
            <m:nor/>
          </m:rPr>
          <w:rPr>
            <w:i/>
          </w:rPr>
          <m:t>0,14</m:t>
        </m:r>
      </m:oMath>
      <w:r>
        <w:rPr>
          <w:rFonts w:eastAsiaTheme="minorEastAsia"/>
        </w:rPr>
        <w:t xml:space="preserve"> y significativa, lo que significa que se puede aceptar la hipótesis de convergencia condicional.</w:t>
      </w:r>
    </w:p>
    <w:p w14:paraId="647E18F3" w14:textId="77777777" w:rsidR="00B40FB4" w:rsidRDefault="00B40FB4">
      <w:pPr>
        <w:pStyle w:val="Prrafodelista"/>
        <w:keepNext/>
        <w:numPr>
          <w:ilvl w:val="2"/>
          <w:numId w:val="20"/>
        </w:numPr>
        <w:spacing w:after="0"/>
        <w:ind w:left="992" w:hanging="113"/>
      </w:pPr>
      <w:r w:rsidRPr="00B40FB4">
        <w:rPr>
          <w:i/>
          <w:iCs/>
        </w:rPr>
        <w:t>Sólo incluir economías parecidas</w:t>
      </w:r>
      <w:r>
        <w:t>. Otra forma de condicionar los datos es limitar el análisis a conjuntos de economías parecidas (i.e. economías con parámetros similares).</w:t>
      </w:r>
    </w:p>
    <w:p w14:paraId="7DAE54C9" w14:textId="0CDEE1A5" w:rsidR="00391F7B" w:rsidRPr="00563C01" w:rsidRDefault="00B40FB4">
      <w:pPr>
        <w:pStyle w:val="Nivel4"/>
        <w:ind w:left="1474"/>
        <w:rPr>
          <w:spacing w:val="-2"/>
        </w:rPr>
      </w:pPr>
      <w:r w:rsidRPr="00563C01">
        <w:rPr>
          <w:spacing w:val="-2"/>
        </w:rPr>
        <w:t xml:space="preserve">En otro análisis, </w:t>
      </w:r>
      <w:r w:rsidRPr="00563C01">
        <w:rPr>
          <w:smallCaps/>
          <w:spacing w:val="-2"/>
        </w:rPr>
        <w:t>Mankiw</w:t>
      </w:r>
      <w:r w:rsidRPr="00563C01">
        <w:rPr>
          <w:spacing w:val="-2"/>
        </w:rPr>
        <w:t xml:space="preserve">, </w:t>
      </w:r>
      <w:r w:rsidRPr="00563C01">
        <w:rPr>
          <w:smallCaps/>
          <w:spacing w:val="-2"/>
        </w:rPr>
        <w:t>Romer</w:t>
      </w:r>
      <w:r w:rsidRPr="00563C01">
        <w:rPr>
          <w:spacing w:val="-2"/>
        </w:rPr>
        <w:t xml:space="preserve"> y </w:t>
      </w:r>
      <w:r w:rsidRPr="00563C01">
        <w:rPr>
          <w:smallCaps/>
          <w:spacing w:val="-2"/>
        </w:rPr>
        <w:t>Weil</w:t>
      </w:r>
      <w:r w:rsidRPr="00563C01">
        <w:rPr>
          <w:spacing w:val="-2"/>
        </w:rPr>
        <w:t xml:space="preserve"> (1992) restringen su muestra a 22</w:t>
      </w:r>
      <w:r w:rsidR="00D82F61">
        <w:rPr>
          <w:spacing w:val="-2"/>
        </w:rPr>
        <w:t> </w:t>
      </w:r>
      <w:r w:rsidRPr="00563C01">
        <w:rPr>
          <w:spacing w:val="-2"/>
        </w:rPr>
        <w:t>países de la OCDE</w:t>
      </w:r>
      <w:r w:rsidR="00B012B9" w:rsidRPr="00563C01">
        <w:rPr>
          <w:spacing w:val="-2"/>
        </w:rPr>
        <w:t xml:space="preserve"> </w:t>
      </w:r>
      <w:r w:rsidR="00563C01" w:rsidRPr="00563C01">
        <w:rPr>
          <w:spacing w:val="-2"/>
        </w:rPr>
        <w:t xml:space="preserve">(de los que parece plausible pensar que tienen similares estados estacionarios) </w:t>
      </w:r>
      <w:r w:rsidR="00B012B9" w:rsidRPr="00563C01">
        <w:rPr>
          <w:spacing w:val="-2"/>
        </w:rPr>
        <w:t xml:space="preserve">y repiten la regresión sólo con PIB inicial </w:t>
      </w:r>
      <w:r w:rsidR="00B012B9" w:rsidRPr="00563C01">
        <w:rPr>
          <w:spacing w:val="-2"/>
          <w:sz w:val="19"/>
          <w:szCs w:val="19"/>
        </w:rPr>
        <w:t xml:space="preserve">(i.e. </w:t>
      </w:r>
      <m:oMath>
        <m:sSubSup>
          <m:sSubSupPr>
            <m:ctrlPr>
              <w:rPr>
                <w:rFonts w:ascii="Cambria Math" w:hAnsi="Cambria Math"/>
                <w:i/>
                <w:spacing w:val="-2"/>
                <w:sz w:val="19"/>
                <w:szCs w:val="19"/>
              </w:rPr>
            </m:ctrlPr>
          </m:sSubSupPr>
          <m:e>
            <m:r>
              <m:rPr>
                <m:nor/>
              </m:rPr>
              <w:rPr>
                <w:i/>
                <w:spacing w:val="-2"/>
                <w:sz w:val="19"/>
                <w:szCs w:val="19"/>
              </w:rPr>
              <m:t>γ</m:t>
            </m:r>
          </m:e>
          <m:sub>
            <m:r>
              <m:rPr>
                <m:nor/>
              </m:rPr>
              <w:rPr>
                <w:i/>
                <w:spacing w:val="-2"/>
                <w:sz w:val="19"/>
                <w:szCs w:val="19"/>
              </w:rPr>
              <m:t>t, t</m:t>
            </m:r>
            <m:r>
              <m:rPr>
                <m:sty m:val="p"/>
              </m:rPr>
              <w:rPr>
                <w:rFonts w:ascii="Cambria Math" w:hAnsi="Cambria Math"/>
                <w:spacing w:val="-2"/>
                <w:sz w:val="19"/>
                <w:szCs w:val="19"/>
              </w:rPr>
              <m:t>-</m:t>
            </m:r>
            <m:r>
              <m:rPr>
                <m:nor/>
              </m:rPr>
              <w:rPr>
                <w:i/>
                <w:spacing w:val="-2"/>
                <w:sz w:val="19"/>
                <w:szCs w:val="19"/>
              </w:rPr>
              <m:t>1</m:t>
            </m:r>
          </m:sub>
          <m:sup>
            <m:r>
              <m:rPr>
                <m:nor/>
              </m:rPr>
              <w:rPr>
                <w:i/>
                <w:spacing w:val="-2"/>
                <w:sz w:val="19"/>
                <w:szCs w:val="19"/>
              </w:rPr>
              <m:t>y</m:t>
            </m:r>
          </m:sup>
        </m:sSubSup>
        <m:r>
          <w:rPr>
            <w:rFonts w:ascii="Cambria Math" w:hAnsi="Cambria Math"/>
            <w:spacing w:val="-2"/>
            <w:sz w:val="19"/>
            <w:szCs w:val="19"/>
          </w:rPr>
          <m:t>=</m:t>
        </m:r>
        <m:sSub>
          <m:sSubPr>
            <m:ctrlPr>
              <w:rPr>
                <w:rFonts w:ascii="Cambria Math" w:hAnsi="Cambria Math"/>
                <w:i/>
                <w:spacing w:val="-2"/>
                <w:sz w:val="19"/>
                <w:szCs w:val="19"/>
              </w:rPr>
            </m:ctrlPr>
          </m:sSubPr>
          <m:e>
            <m:r>
              <m:rPr>
                <m:nor/>
              </m:rPr>
              <w:rPr>
                <w:i/>
                <w:spacing w:val="-2"/>
                <w:sz w:val="19"/>
                <w:szCs w:val="19"/>
              </w:rPr>
              <m:t>β</m:t>
            </m:r>
          </m:e>
          <m:sub>
            <m:r>
              <m:rPr>
                <m:nor/>
              </m:rPr>
              <w:rPr>
                <w:i/>
                <w:spacing w:val="-2"/>
                <w:sz w:val="19"/>
                <w:szCs w:val="19"/>
              </w:rPr>
              <m:t>0</m:t>
            </m:r>
          </m:sub>
        </m:sSub>
        <m:r>
          <w:rPr>
            <w:rFonts w:ascii="Cambria Math" w:hAnsi="Cambria Math"/>
            <w:spacing w:val="-2"/>
            <w:sz w:val="19"/>
            <w:szCs w:val="19"/>
          </w:rPr>
          <m:t>+</m:t>
        </m:r>
        <m:sSub>
          <m:sSubPr>
            <m:ctrlPr>
              <w:rPr>
                <w:rFonts w:ascii="Cambria Math" w:hAnsi="Cambria Math"/>
                <w:i/>
                <w:spacing w:val="-2"/>
                <w:sz w:val="19"/>
                <w:szCs w:val="19"/>
              </w:rPr>
            </m:ctrlPr>
          </m:sSubPr>
          <m:e>
            <m:r>
              <m:rPr>
                <m:nor/>
              </m:rPr>
              <w:rPr>
                <w:i/>
                <w:spacing w:val="-2"/>
                <w:sz w:val="19"/>
                <w:szCs w:val="19"/>
              </w:rPr>
              <m:t>β</m:t>
            </m:r>
          </m:e>
          <m:sub>
            <m:r>
              <m:rPr>
                <m:nor/>
              </m:rPr>
              <w:rPr>
                <w:i/>
                <w:spacing w:val="-2"/>
                <w:sz w:val="19"/>
                <w:szCs w:val="19"/>
              </w:rPr>
              <m:t>1</m:t>
            </m:r>
          </m:sub>
        </m:sSub>
        <m:r>
          <w:rPr>
            <w:rFonts w:ascii="Cambria Math" w:hAnsi="Cambria Math"/>
            <w:spacing w:val="-2"/>
            <w:sz w:val="19"/>
            <w:szCs w:val="19"/>
          </w:rPr>
          <m:t>∙</m:t>
        </m:r>
        <m:func>
          <m:funcPr>
            <m:ctrlPr>
              <w:rPr>
                <w:rFonts w:ascii="Cambria Math" w:hAnsi="Cambria Math"/>
                <w:i/>
                <w:spacing w:val="-2"/>
                <w:sz w:val="19"/>
                <w:szCs w:val="19"/>
              </w:rPr>
            </m:ctrlPr>
          </m:funcPr>
          <m:fName>
            <m:r>
              <m:rPr>
                <m:nor/>
              </m:rPr>
              <w:rPr>
                <w:i/>
                <w:spacing w:val="-2"/>
                <w:sz w:val="19"/>
                <w:szCs w:val="19"/>
              </w:rPr>
              <m:t>ln</m:t>
            </m:r>
          </m:fName>
          <m:e>
            <m:d>
              <m:dPr>
                <m:ctrlPr>
                  <w:rPr>
                    <w:rFonts w:ascii="Cambria Math" w:hAnsi="Cambria Math"/>
                    <w:i/>
                    <w:spacing w:val="-2"/>
                    <w:sz w:val="19"/>
                    <w:szCs w:val="19"/>
                  </w:rPr>
                </m:ctrlPr>
              </m:dPr>
              <m:e>
                <m:sSub>
                  <m:sSubPr>
                    <m:ctrlPr>
                      <w:rPr>
                        <w:rFonts w:ascii="Cambria Math" w:hAnsi="Cambria Math"/>
                        <w:i/>
                        <w:spacing w:val="-2"/>
                        <w:sz w:val="19"/>
                        <w:szCs w:val="19"/>
                      </w:rPr>
                    </m:ctrlPr>
                  </m:sSubPr>
                  <m:e>
                    <m:r>
                      <m:rPr>
                        <m:nor/>
                      </m:rPr>
                      <w:rPr>
                        <w:i/>
                        <w:spacing w:val="-2"/>
                        <w:sz w:val="19"/>
                        <w:szCs w:val="19"/>
                      </w:rPr>
                      <m:t>y</m:t>
                    </m:r>
                  </m:e>
                  <m:sub>
                    <m:r>
                      <m:rPr>
                        <m:nor/>
                      </m:rPr>
                      <w:rPr>
                        <w:i/>
                        <w:spacing w:val="-2"/>
                        <w:sz w:val="19"/>
                        <w:szCs w:val="19"/>
                      </w:rPr>
                      <m:t>t</m:t>
                    </m:r>
                    <m:r>
                      <m:rPr>
                        <m:sty m:val="p"/>
                      </m:rPr>
                      <w:rPr>
                        <w:rFonts w:ascii="Cambria Math" w:hAnsi="Cambria Math"/>
                        <w:spacing w:val="-2"/>
                        <w:sz w:val="19"/>
                        <w:szCs w:val="19"/>
                      </w:rPr>
                      <m:t>-</m:t>
                    </m:r>
                    <m:r>
                      <m:rPr>
                        <m:nor/>
                      </m:rPr>
                      <w:rPr>
                        <w:i/>
                        <w:spacing w:val="-2"/>
                        <w:sz w:val="19"/>
                        <w:szCs w:val="19"/>
                      </w:rPr>
                      <m:t>1</m:t>
                    </m:r>
                  </m:sub>
                </m:sSub>
              </m:e>
            </m:d>
          </m:e>
        </m:func>
        <m:r>
          <w:rPr>
            <w:rFonts w:ascii="Cambria Math" w:hAnsi="Cambria Math"/>
            <w:spacing w:val="-2"/>
            <w:sz w:val="19"/>
            <w:szCs w:val="19"/>
          </w:rPr>
          <m:t>+</m:t>
        </m:r>
        <m:sSub>
          <m:sSubPr>
            <m:ctrlPr>
              <w:rPr>
                <w:rFonts w:ascii="Cambria Math" w:hAnsi="Cambria Math"/>
                <w:i/>
                <w:spacing w:val="-2"/>
                <w:sz w:val="19"/>
                <w:szCs w:val="19"/>
              </w:rPr>
            </m:ctrlPr>
          </m:sSubPr>
          <m:e>
            <m:r>
              <m:rPr>
                <m:nor/>
              </m:rPr>
              <w:rPr>
                <w:i/>
                <w:spacing w:val="-2"/>
                <w:sz w:val="19"/>
                <w:szCs w:val="19"/>
              </w:rPr>
              <m:t>u</m:t>
            </m:r>
          </m:e>
          <m:sub>
            <m:r>
              <m:rPr>
                <m:nor/>
              </m:rPr>
              <w:rPr>
                <w:i/>
                <w:spacing w:val="-2"/>
                <w:sz w:val="19"/>
                <w:szCs w:val="19"/>
              </w:rPr>
              <m:t>t</m:t>
            </m:r>
          </m:sub>
        </m:sSub>
      </m:oMath>
      <w:r w:rsidR="00B012B9" w:rsidRPr="00563C01">
        <w:rPr>
          <w:spacing w:val="-2"/>
          <w:sz w:val="19"/>
          <w:szCs w:val="19"/>
        </w:rPr>
        <w:t>)</w:t>
      </w:r>
      <w:r w:rsidR="00B012B9" w:rsidRPr="00563C01">
        <w:rPr>
          <w:spacing w:val="-2"/>
        </w:rPr>
        <w:t>.</w:t>
      </w:r>
    </w:p>
    <w:p w14:paraId="7F18B554" w14:textId="4DD1A37E" w:rsidR="00563C01" w:rsidRPr="00563C01" w:rsidRDefault="00391F7B" w:rsidP="00563C01">
      <w:pPr>
        <w:pStyle w:val="Nivel4"/>
        <w:numPr>
          <w:ilvl w:val="0"/>
          <w:numId w:val="0"/>
        </w:numPr>
        <w:ind w:left="1474"/>
        <w:rPr>
          <w:rFonts w:eastAsiaTheme="minorEastAsia"/>
        </w:rPr>
      </w:pPr>
      <w:r>
        <w:lastRenderedPageBreak/>
        <w:t xml:space="preserve">En esta ocasión obtienen una </w:t>
      </w:r>
      <m:oMath>
        <m:sSub>
          <m:sSubPr>
            <m:ctrlPr>
              <w:rPr>
                <w:rFonts w:ascii="Cambria Math" w:hAnsi="Cambria Math"/>
                <w:i/>
              </w:rPr>
            </m:ctrlPr>
          </m:sSubPr>
          <m:e>
            <m:r>
              <m:rPr>
                <m:nor/>
              </m:rPr>
              <w:rPr>
                <w:i/>
              </w:rPr>
              <m:t>β</m:t>
            </m:r>
          </m:e>
          <m:sub>
            <m:r>
              <m:rPr>
                <m:nor/>
              </m:rPr>
              <w:rPr>
                <w:i/>
              </w:rPr>
              <m:t>1</m:t>
            </m:r>
          </m:sub>
        </m:sSub>
      </m:oMath>
      <w:r>
        <w:rPr>
          <w:rFonts w:eastAsiaTheme="minorEastAsia"/>
        </w:rPr>
        <w:t xml:space="preserve"> estimada de </w:t>
      </w:r>
      <m:oMath>
        <m:r>
          <w:rPr>
            <w:rFonts w:ascii="Cambria Math" w:hAnsi="Cambria Math"/>
          </w:rPr>
          <m:t>-</m:t>
        </m:r>
        <m:r>
          <m:rPr>
            <m:nor/>
          </m:rPr>
          <w:rPr>
            <w:i/>
          </w:rPr>
          <m:t>0,34</m:t>
        </m:r>
      </m:oMath>
      <w:r>
        <w:rPr>
          <w:rFonts w:eastAsiaTheme="minorEastAsia"/>
        </w:rPr>
        <w:t xml:space="preserve"> y significativa, lo que significa que se puede aceptar la hipótesis de convergencia condicional ya que existe convergencia cuando los países son parecidos.</w:t>
      </w:r>
    </w:p>
    <w:p w14:paraId="7B0CD429" w14:textId="29A0845A" w:rsidR="00563C01" w:rsidRPr="00216C79" w:rsidRDefault="00563C01" w:rsidP="00563C01">
      <w:pPr>
        <w:pStyle w:val="Ttuloimagen"/>
        <w:rPr>
          <w:i/>
          <w:iCs/>
          <w:smallCaps w:val="0"/>
        </w:rPr>
      </w:pPr>
      <w:r>
        <w:t>Imagen</w:t>
      </w:r>
      <w:r w:rsidR="00451F61">
        <w:t> </w:t>
      </w:r>
      <w:r>
        <w:fldChar w:fldCharType="begin"/>
      </w:r>
      <w:r>
        <w:instrText xml:space="preserve"> SEQ Ilustración \* ARABIC </w:instrText>
      </w:r>
      <w:r>
        <w:fldChar w:fldCharType="separate"/>
      </w:r>
      <w:r w:rsidR="007846DF">
        <w:t>5</w:t>
      </w:r>
      <w:r>
        <w:fldChar w:fldCharType="end"/>
      </w:r>
      <w:r>
        <w:rPr>
          <w:smallCaps w:val="0"/>
        </w:rPr>
        <w:t>.</w:t>
      </w:r>
      <w:r w:rsidRPr="00216C79">
        <w:rPr>
          <w:smallCaps w:val="0"/>
        </w:rPr>
        <w:t>–</w:t>
      </w:r>
      <w:r>
        <w:rPr>
          <w:smallCaps w:val="0"/>
        </w:rPr>
        <w:t xml:space="preserve"> </w:t>
      </w:r>
      <w:r>
        <w:rPr>
          <w:i/>
          <w:iCs/>
          <w:smallCaps w:val="0"/>
        </w:rPr>
        <w:t>Convergencia condicional en países de la OCDE</w:t>
      </w:r>
    </w:p>
    <w:p w14:paraId="36342F2B" w14:textId="080E228C" w:rsidR="00563C01" w:rsidRDefault="00563C01" w:rsidP="00563C01">
      <w:pPr>
        <w:pStyle w:val="Imagen"/>
      </w:pPr>
      <w:r w:rsidRPr="00563C01">
        <w:t xml:space="preserve"> </w:t>
      </w:r>
      <w:r>
        <w:drawing>
          <wp:inline distT="0" distB="0" distL="0" distR="0" wp14:anchorId="0545525B" wp14:editId="4C368276">
            <wp:extent cx="4542292" cy="2160000"/>
            <wp:effectExtent l="0" t="0" r="0" b="0"/>
            <wp:docPr id="21" name="Picture 2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áfico, Gráfico de dispersión&#10;&#10;Descripción generada automáticamente"/>
                    <pic:cNvPicPr/>
                  </pic:nvPicPr>
                  <pic:blipFill rotWithShape="1">
                    <a:blip r:embed="rId29"/>
                    <a:srcRect b="12759"/>
                    <a:stretch/>
                  </pic:blipFill>
                  <pic:spPr bwMode="auto">
                    <a:xfrm>
                      <a:off x="0" y="0"/>
                      <a:ext cx="4542292" cy="2160000"/>
                    </a:xfrm>
                    <a:prstGeom prst="rect">
                      <a:avLst/>
                    </a:prstGeom>
                    <a:ln>
                      <a:noFill/>
                    </a:ln>
                    <a:extLst>
                      <a:ext uri="{53640926-AAD7-44D8-BBD7-CCE9431645EC}">
                        <a14:shadowObscured xmlns:a14="http://schemas.microsoft.com/office/drawing/2010/main"/>
                      </a:ext>
                    </a:extLst>
                  </pic:spPr>
                </pic:pic>
              </a:graphicData>
            </a:graphic>
          </wp:inline>
        </w:drawing>
      </w:r>
    </w:p>
    <w:p w14:paraId="07A3F936" w14:textId="3E29348C" w:rsidR="00563C01" w:rsidRPr="00563C01" w:rsidRDefault="00563C01" w:rsidP="00563C01">
      <w:pPr>
        <w:pStyle w:val="PiedeImagen"/>
        <w:rPr>
          <w:i w:val="0"/>
          <w:iCs/>
        </w:rPr>
      </w:pPr>
      <w:r w:rsidRPr="00E45274">
        <w:rPr>
          <w:lang w:val="en-US"/>
        </w:rPr>
        <w:t>Fuente</w:t>
      </w:r>
      <w:r w:rsidRPr="00E45274">
        <w:rPr>
          <w:i w:val="0"/>
          <w:iCs/>
          <w:lang w:val="en-US"/>
        </w:rPr>
        <w:t xml:space="preserve">: Jones, C. I. (2016). The Facts of Economic Growth. En </w:t>
      </w:r>
      <w:r w:rsidRPr="00E45274">
        <w:rPr>
          <w:lang w:val="en-US"/>
        </w:rPr>
        <w:t>Handbook of Macroeconomics</w:t>
      </w:r>
      <w:r w:rsidRPr="00E45274">
        <w:rPr>
          <w:i w:val="0"/>
          <w:iCs/>
          <w:lang w:val="en-US"/>
        </w:rPr>
        <w:t xml:space="preserve"> (Vol. 2, pp. 3-69). </w:t>
      </w:r>
      <w:r w:rsidRPr="00E45274">
        <w:rPr>
          <w:i w:val="0"/>
          <w:iCs/>
        </w:rPr>
        <w:t xml:space="preserve">Elsevier. </w:t>
      </w:r>
      <w:hyperlink r:id="rId30" w:history="1">
        <w:r w:rsidRPr="006F4D2A">
          <w:rPr>
            <w:rStyle w:val="Hipervnculo"/>
            <w:i w:val="0"/>
            <w:iCs/>
          </w:rPr>
          <w:t>https://doi.org/10.1016/bs.hesmac.2016.03.002</w:t>
        </w:r>
      </w:hyperlink>
    </w:p>
    <w:p w14:paraId="701ABDFC" w14:textId="18FF13C7" w:rsidR="00391F7B" w:rsidRDefault="00391F7B">
      <w:pPr>
        <w:pStyle w:val="Nivel4"/>
        <w:ind w:left="1474"/>
      </w:pPr>
      <w:r>
        <w:t xml:space="preserve">Finalmente realizan una cuarta regresión, en la que restringen la muestra a los países de la OCDE y controlan por otros parámetros </w:t>
      </w:r>
      <w:r w:rsidRPr="00391F7B">
        <w:rPr>
          <w:sz w:val="19"/>
          <w:szCs w:val="19"/>
        </w:rPr>
        <w:t>(</w:t>
      </w:r>
      <w:r>
        <w:rPr>
          <w:sz w:val="19"/>
          <w:szCs w:val="19"/>
        </w:rPr>
        <w:t xml:space="preserve">i.e. </w:t>
      </w:r>
      <m:oMath>
        <m:sSubSup>
          <m:sSubSupPr>
            <m:ctrlPr>
              <w:rPr>
                <w:rFonts w:ascii="Cambria Math" w:hAnsi="Cambria Math"/>
                <w:i/>
                <w:sz w:val="19"/>
                <w:szCs w:val="19"/>
              </w:rPr>
            </m:ctrlPr>
          </m:sSubSupPr>
          <m:e>
            <m:r>
              <m:rPr>
                <m:nor/>
              </m:rPr>
              <w:rPr>
                <w:i/>
                <w:sz w:val="19"/>
                <w:szCs w:val="19"/>
              </w:rPr>
              <m:t>γ</m:t>
            </m:r>
          </m:e>
          <m:sub>
            <m:r>
              <m:rPr>
                <m:nor/>
              </m:rPr>
              <w:rPr>
                <w:i/>
                <w:sz w:val="19"/>
                <w:szCs w:val="19"/>
              </w:rPr>
              <m:t>t, t</m:t>
            </m:r>
            <m:r>
              <m:rPr>
                <m:sty m:val="p"/>
              </m:rPr>
              <w:rPr>
                <w:rFonts w:ascii="Cambria Math" w:hAnsi="Cambria Math"/>
                <w:sz w:val="19"/>
                <w:szCs w:val="19"/>
              </w:rPr>
              <m:t>-</m:t>
            </m:r>
            <m:r>
              <m:rPr>
                <m:nor/>
              </m:rPr>
              <w:rPr>
                <w:i/>
                <w:sz w:val="19"/>
                <w:szCs w:val="19"/>
              </w:rPr>
              <m:t>1</m:t>
            </m:r>
          </m:sub>
          <m:sup>
            <m:r>
              <m:rPr>
                <m:nor/>
              </m:rPr>
              <w:rPr>
                <w:i/>
                <w:sz w:val="19"/>
                <w:szCs w:val="19"/>
              </w:rPr>
              <m:t>y</m:t>
            </m:r>
          </m:sup>
        </m:sSubSup>
        <m:r>
          <w:rPr>
            <w:rFonts w:ascii="Cambria Math" w:hAnsi="Cambria Math"/>
            <w:sz w:val="19"/>
            <w:szCs w:val="19"/>
          </w:rPr>
          <m:t>=</m:t>
        </m:r>
        <m:sSub>
          <m:sSubPr>
            <m:ctrlPr>
              <w:rPr>
                <w:rFonts w:ascii="Cambria Math" w:hAnsi="Cambria Math"/>
                <w:i/>
                <w:sz w:val="19"/>
                <w:szCs w:val="19"/>
              </w:rPr>
            </m:ctrlPr>
          </m:sSubPr>
          <m:e>
            <m:r>
              <m:rPr>
                <m:nor/>
              </m:rPr>
              <w:rPr>
                <w:i/>
                <w:sz w:val="19"/>
                <w:szCs w:val="19"/>
              </w:rPr>
              <m:t>β</m:t>
            </m:r>
          </m:e>
          <m:sub>
            <m:r>
              <m:rPr>
                <m:nor/>
              </m:rPr>
              <w:rPr>
                <w:i/>
                <w:sz w:val="19"/>
                <w:szCs w:val="19"/>
              </w:rPr>
              <m:t>0</m:t>
            </m:r>
          </m:sub>
        </m:sSub>
        <m:r>
          <w:rPr>
            <w:rFonts w:ascii="Cambria Math" w:hAnsi="Cambria Math"/>
            <w:sz w:val="19"/>
            <w:szCs w:val="19"/>
          </w:rPr>
          <m:t>+</m:t>
        </m:r>
        <m:sSub>
          <m:sSubPr>
            <m:ctrlPr>
              <w:rPr>
                <w:rFonts w:ascii="Cambria Math" w:hAnsi="Cambria Math"/>
                <w:i/>
                <w:sz w:val="19"/>
                <w:szCs w:val="19"/>
              </w:rPr>
            </m:ctrlPr>
          </m:sSubPr>
          <m:e>
            <m:r>
              <m:rPr>
                <m:nor/>
              </m:rPr>
              <w:rPr>
                <w:i/>
                <w:sz w:val="19"/>
                <w:szCs w:val="19"/>
              </w:rPr>
              <m:t>β</m:t>
            </m:r>
          </m:e>
          <m:sub>
            <m:r>
              <m:rPr>
                <m:nor/>
              </m:rPr>
              <w:rPr>
                <w:i/>
                <w:sz w:val="19"/>
                <w:szCs w:val="19"/>
              </w:rPr>
              <m:t>1</m:t>
            </m:r>
          </m:sub>
        </m:sSub>
        <m:r>
          <w:rPr>
            <w:rFonts w:ascii="Cambria Math" w:hAnsi="Cambria Math"/>
            <w:sz w:val="19"/>
            <w:szCs w:val="19"/>
          </w:rPr>
          <m:t>∙</m:t>
        </m:r>
        <m:func>
          <m:funcPr>
            <m:ctrlPr>
              <w:rPr>
                <w:rFonts w:ascii="Cambria Math" w:hAnsi="Cambria Math"/>
                <w:i/>
                <w:sz w:val="19"/>
                <w:szCs w:val="19"/>
              </w:rPr>
            </m:ctrlPr>
          </m:funcPr>
          <m:fName>
            <m:r>
              <m:rPr>
                <m:nor/>
              </m:rPr>
              <w:rPr>
                <w:i/>
                <w:sz w:val="19"/>
                <w:szCs w:val="19"/>
              </w:rPr>
              <m:t>ln</m:t>
            </m:r>
          </m:fName>
          <m:e>
            <m:d>
              <m:dPr>
                <m:ctrlPr>
                  <w:rPr>
                    <w:rFonts w:ascii="Cambria Math" w:hAnsi="Cambria Math"/>
                    <w:i/>
                    <w:sz w:val="19"/>
                    <w:szCs w:val="19"/>
                  </w:rPr>
                </m:ctrlPr>
              </m:dPr>
              <m:e>
                <m:sSub>
                  <m:sSubPr>
                    <m:ctrlPr>
                      <w:rPr>
                        <w:rFonts w:ascii="Cambria Math" w:hAnsi="Cambria Math"/>
                        <w:i/>
                        <w:sz w:val="19"/>
                        <w:szCs w:val="19"/>
                      </w:rPr>
                    </m:ctrlPr>
                  </m:sSubPr>
                  <m:e>
                    <m:r>
                      <m:rPr>
                        <m:nor/>
                      </m:rPr>
                      <w:rPr>
                        <w:i/>
                        <w:sz w:val="19"/>
                        <w:szCs w:val="19"/>
                      </w:rPr>
                      <m:t>y</m:t>
                    </m:r>
                  </m:e>
                  <m:sub>
                    <m:r>
                      <m:rPr>
                        <m:nor/>
                      </m:rPr>
                      <w:rPr>
                        <w:i/>
                        <w:sz w:val="19"/>
                        <w:szCs w:val="19"/>
                      </w:rPr>
                      <m:t>t</m:t>
                    </m:r>
                    <m:r>
                      <m:rPr>
                        <m:sty m:val="p"/>
                      </m:rPr>
                      <w:rPr>
                        <w:rFonts w:ascii="Cambria Math" w:hAnsi="Cambria Math"/>
                        <w:sz w:val="19"/>
                        <w:szCs w:val="19"/>
                      </w:rPr>
                      <m:t>-</m:t>
                    </m:r>
                    <m:r>
                      <m:rPr>
                        <m:nor/>
                      </m:rPr>
                      <w:rPr>
                        <w:i/>
                        <w:sz w:val="19"/>
                        <w:szCs w:val="19"/>
                      </w:rPr>
                      <m:t>1</m:t>
                    </m:r>
                  </m:sub>
                </m:sSub>
              </m:e>
            </m:d>
          </m:e>
        </m:func>
        <m:r>
          <w:rPr>
            <w:rFonts w:ascii="Cambria Math" w:hAnsi="Cambria Math"/>
            <w:sz w:val="19"/>
            <w:szCs w:val="19"/>
          </w:rPr>
          <m:t>+</m:t>
        </m:r>
        <m:acc>
          <m:accPr>
            <m:chr m:val="⃗"/>
            <m:ctrlPr>
              <w:rPr>
                <w:rFonts w:ascii="Cambria Math" w:hAnsi="Cambria Math"/>
                <w:i/>
                <w:sz w:val="19"/>
                <w:szCs w:val="19"/>
              </w:rPr>
            </m:ctrlPr>
          </m:accPr>
          <m:e>
            <m:r>
              <m:rPr>
                <m:nor/>
              </m:rPr>
              <w:rPr>
                <w:i/>
                <w:sz w:val="19"/>
                <w:szCs w:val="19"/>
              </w:rPr>
              <m:t>η</m:t>
            </m:r>
          </m:e>
        </m:acc>
        <m:r>
          <w:rPr>
            <w:rFonts w:ascii="Cambria Math" w:hAnsi="Cambria Math"/>
            <w:sz w:val="19"/>
            <w:szCs w:val="19"/>
          </w:rPr>
          <m:t>∙</m:t>
        </m:r>
        <m:acc>
          <m:accPr>
            <m:chr m:val="⃗"/>
            <m:ctrlPr>
              <w:rPr>
                <w:rFonts w:ascii="Cambria Math" w:hAnsi="Cambria Math"/>
                <w:i/>
                <w:sz w:val="19"/>
                <w:szCs w:val="19"/>
              </w:rPr>
            </m:ctrlPr>
          </m:accPr>
          <m:e>
            <m:sSub>
              <m:sSubPr>
                <m:ctrlPr>
                  <w:rPr>
                    <w:rFonts w:ascii="Cambria Math" w:hAnsi="Cambria Math"/>
                    <w:i/>
                    <w:sz w:val="19"/>
                    <w:szCs w:val="19"/>
                  </w:rPr>
                </m:ctrlPr>
              </m:sSubPr>
              <m:e>
                <m:r>
                  <m:rPr>
                    <m:nor/>
                  </m:rPr>
                  <w:rPr>
                    <w:i/>
                    <w:sz w:val="19"/>
                    <w:szCs w:val="19"/>
                  </w:rPr>
                  <m:t>z</m:t>
                </m:r>
              </m:e>
              <m:sub>
                <m:r>
                  <m:rPr>
                    <m:nor/>
                  </m:rPr>
                  <w:rPr>
                    <w:i/>
                    <w:sz w:val="19"/>
                    <w:szCs w:val="19"/>
                  </w:rPr>
                  <m:t>t</m:t>
                </m:r>
                <m:r>
                  <m:rPr>
                    <m:sty m:val="p"/>
                  </m:rPr>
                  <w:rPr>
                    <w:rFonts w:ascii="Cambria Math" w:hAnsi="Cambria Math"/>
                    <w:sz w:val="19"/>
                    <w:szCs w:val="19"/>
                  </w:rPr>
                  <m:t>-</m:t>
                </m:r>
                <m:r>
                  <m:rPr>
                    <m:nor/>
                  </m:rPr>
                  <w:rPr>
                    <w:i/>
                    <w:sz w:val="19"/>
                    <w:szCs w:val="19"/>
                  </w:rPr>
                  <m:t>1</m:t>
                </m:r>
              </m:sub>
            </m:sSub>
          </m:e>
        </m:acc>
        <m:r>
          <w:rPr>
            <w:rFonts w:ascii="Cambria Math" w:hAnsi="Cambria Math"/>
            <w:sz w:val="19"/>
            <w:szCs w:val="19"/>
          </w:rPr>
          <m:t>+</m:t>
        </m:r>
        <m:sSub>
          <m:sSubPr>
            <m:ctrlPr>
              <w:rPr>
                <w:rFonts w:ascii="Cambria Math" w:hAnsi="Cambria Math"/>
                <w:i/>
                <w:sz w:val="19"/>
                <w:szCs w:val="19"/>
              </w:rPr>
            </m:ctrlPr>
          </m:sSubPr>
          <m:e>
            <m:r>
              <m:rPr>
                <m:nor/>
              </m:rPr>
              <w:rPr>
                <w:i/>
                <w:sz w:val="19"/>
                <w:szCs w:val="19"/>
              </w:rPr>
              <m:t>u</m:t>
            </m:r>
          </m:e>
          <m:sub>
            <m:r>
              <m:rPr>
                <m:nor/>
              </m:rPr>
              <w:rPr>
                <w:i/>
                <w:sz w:val="19"/>
                <w:szCs w:val="19"/>
              </w:rPr>
              <m:t>t</m:t>
            </m:r>
          </m:sub>
        </m:sSub>
      </m:oMath>
      <w:r w:rsidRPr="00391F7B">
        <w:rPr>
          <w:sz w:val="19"/>
          <w:szCs w:val="19"/>
        </w:rPr>
        <w:t>)</w:t>
      </w:r>
      <w:r>
        <w:t>.</w:t>
      </w:r>
    </w:p>
    <w:p w14:paraId="4515F921" w14:textId="2F8515B4" w:rsidR="00391F7B" w:rsidRDefault="001B0D85" w:rsidP="00391F7B">
      <w:pPr>
        <w:pStyle w:val="Nivel4"/>
        <w:numPr>
          <w:ilvl w:val="0"/>
          <w:numId w:val="0"/>
        </w:numPr>
        <w:ind w:left="1474"/>
        <w:rPr>
          <w:rFonts w:eastAsiaTheme="minorEastAsia"/>
        </w:rPr>
      </w:pPr>
      <w:r>
        <w:t xml:space="preserve">En esta regresión mejora el ajuste de la regresión </w:t>
      </w:r>
      <w:r w:rsidRPr="001B0D85">
        <w:rPr>
          <w:sz w:val="19"/>
          <w:szCs w:val="19"/>
        </w:rPr>
        <w:t>(con respecto a la regresión en la OCDE sin controlar por los parámetros)</w:t>
      </w:r>
      <w:r>
        <w:t xml:space="preserve">, pero no cambia sustancialmente la </w:t>
      </w:r>
      <m:oMath>
        <m:sSub>
          <m:sSubPr>
            <m:ctrlPr>
              <w:rPr>
                <w:rFonts w:ascii="Cambria Math" w:hAnsi="Cambria Math"/>
                <w:i/>
              </w:rPr>
            </m:ctrlPr>
          </m:sSubPr>
          <m:e>
            <m:r>
              <m:rPr>
                <m:nor/>
              </m:rPr>
              <w:rPr>
                <w:i/>
              </w:rPr>
              <m:t>β</m:t>
            </m:r>
          </m:e>
          <m:sub>
            <m:r>
              <m:rPr>
                <m:nor/>
              </m:rPr>
              <w:rPr>
                <w:i/>
              </w:rPr>
              <m:t>1</m:t>
            </m:r>
          </m:sub>
        </m:sSub>
      </m:oMath>
      <w:r>
        <w:rPr>
          <w:rFonts w:eastAsiaTheme="minorEastAsia"/>
        </w:rPr>
        <w:t xml:space="preserve"> estimada.</w:t>
      </w:r>
    </w:p>
    <w:p w14:paraId="23FD236C" w14:textId="5DF6BB3C" w:rsidR="0060661F" w:rsidRDefault="001B0D85">
      <w:pPr>
        <w:pStyle w:val="Nivel2SM"/>
        <w:keepNext/>
        <w:spacing w:after="0"/>
      </w:pPr>
      <w:r>
        <w:t>¿Cómo se pueden interpretar estos resultados?</w:t>
      </w:r>
    </w:p>
    <w:p w14:paraId="74AF5F5A" w14:textId="670B0FB1" w:rsidR="0060661F" w:rsidRPr="00683430" w:rsidRDefault="001B0D85" w:rsidP="0060661F">
      <w:pPr>
        <w:pStyle w:val="Nivel3SM"/>
        <w:keepNext/>
      </w:pPr>
      <w:r w:rsidRPr="00FB4936">
        <w:rPr>
          <w:spacing w:val="-2"/>
        </w:rPr>
        <w:t>Para la muestra de 98</w:t>
      </w:r>
      <w:r w:rsidR="0060661F" w:rsidRPr="00FB4936">
        <w:rPr>
          <w:spacing w:val="-2"/>
        </w:rPr>
        <w:t> </w:t>
      </w:r>
      <w:r w:rsidRPr="00FB4936">
        <w:rPr>
          <w:spacing w:val="-2"/>
        </w:rPr>
        <w:t>países</w:t>
      </w:r>
      <w:r w:rsidR="00683430" w:rsidRPr="00FB4936">
        <w:rPr>
          <w:spacing w:val="-2"/>
        </w:rPr>
        <w:t>,</w:t>
      </w:r>
      <w:r w:rsidRPr="00FB4936">
        <w:rPr>
          <w:spacing w:val="-2"/>
        </w:rPr>
        <w:t xml:space="preserve"> la renta inicial de cada país está correlacionada con </w:t>
      </w:r>
      <m:oMath>
        <m:r>
          <m:rPr>
            <m:nor/>
          </m:rPr>
          <w:rPr>
            <w:i/>
            <w:spacing w:val="-2"/>
          </w:rPr>
          <m:t>s</m:t>
        </m:r>
      </m:oMath>
      <w:r w:rsidRPr="00FB4936">
        <w:rPr>
          <w:spacing w:val="-2"/>
        </w:rPr>
        <w:t xml:space="preserve"> y con </w:t>
      </w:r>
      <m:oMath>
        <m:r>
          <m:rPr>
            <m:nor/>
          </m:rPr>
          <w:rPr>
            <w:i/>
            <w:spacing w:val="-2"/>
          </w:rPr>
          <m:t>n</m:t>
        </m:r>
      </m:oMath>
      <w:r w:rsidRPr="00FB4936">
        <w:rPr>
          <w:spacing w:val="-2"/>
        </w:rPr>
        <w:t>:</w:t>
      </w:r>
      <w:r w:rsidRPr="00683430">
        <w:t xml:space="preserve"> los países pobres tienden a ahorrar menos y presentan tasas de crecimiento de la población mayores.</w:t>
      </w:r>
    </w:p>
    <w:p w14:paraId="4B0ACCA9" w14:textId="7A464419" w:rsidR="001B0D85" w:rsidRPr="001B0D85" w:rsidRDefault="001B0D85" w:rsidP="0060661F">
      <w:pPr>
        <w:pStyle w:val="Nivel4"/>
        <w:ind w:left="1474"/>
      </w:pPr>
      <w:r>
        <w:t xml:space="preserve">En estas circunstancias, la exclusión de </w:t>
      </w:r>
      <m:oMath>
        <m:r>
          <m:rPr>
            <m:nor/>
          </m:rPr>
          <w:rPr>
            <w:i/>
          </w:rPr>
          <m:t>s</m:t>
        </m:r>
      </m:oMath>
      <w:r>
        <w:t xml:space="preserve"> y </w:t>
      </w:r>
      <m:oMath>
        <m:r>
          <m:rPr>
            <m:nor/>
          </m:rPr>
          <w:rPr>
            <w:i/>
          </w:rPr>
          <m:t>n</m:t>
        </m:r>
      </m:oMath>
      <w:r>
        <w:t xml:space="preserve"> de la regresión presenta todos los problemas asociados a la omisión de una variable explicativa relevante que está correlacionada con alguna de las variables incluidas, en este caso la renta inicial, de manera que el parámetro estimado está sesgado.</w:t>
      </w:r>
    </w:p>
    <w:p w14:paraId="69A578B1" w14:textId="1DFBA52F" w:rsidR="001B0D85" w:rsidRDefault="001B0D85">
      <w:pPr>
        <w:pStyle w:val="Nivel3SM"/>
      </w:pPr>
      <w:r>
        <w:t>En definitiva, los resultados anteriores sugieren que sólo la hipótesis de convergencia condicional puede tener validez empírica. La literatura que ha examinado esta hipótesis es extensa.</w:t>
      </w:r>
    </w:p>
    <w:p w14:paraId="4D95D713" w14:textId="77777777" w:rsidR="0060661F" w:rsidRDefault="0060661F" w:rsidP="0060661F">
      <w:pPr>
        <w:pStyle w:val="Nivel1SM"/>
        <w:keepNext/>
        <w:spacing w:after="0"/>
      </w:pPr>
      <w:r>
        <w:t xml:space="preserve">Estos resultados dan pie al estudio de la </w:t>
      </w:r>
      <w:r w:rsidRPr="0060661F">
        <w:rPr>
          <w:i/>
          <w:iCs/>
          <w:u w:val="single"/>
        </w:rPr>
        <w:t>c</w:t>
      </w:r>
      <w:r w:rsidR="001B0D85" w:rsidRPr="0060661F">
        <w:rPr>
          <w:i/>
          <w:iCs/>
          <w:u w:val="single"/>
        </w:rPr>
        <w:t>onvergencia interregional</w:t>
      </w:r>
      <w:r w:rsidR="001B0D85">
        <w:t>.</w:t>
      </w:r>
    </w:p>
    <w:p w14:paraId="5BC0623F" w14:textId="77777777" w:rsidR="0060661F" w:rsidRDefault="0060661F" w:rsidP="0060661F">
      <w:pPr>
        <w:pStyle w:val="Nivel2SM"/>
        <w:keepNext/>
        <w:spacing w:after="0"/>
      </w:pPr>
      <w:r>
        <w:t>Es decir,</w:t>
      </w:r>
      <w:r w:rsidR="001B0D85">
        <w:t xml:space="preserve"> examinar el comportamiento de las regiones que pertenecen a un mismo país, ya que</w:t>
      </w:r>
      <w:r>
        <w:t>:</w:t>
      </w:r>
    </w:p>
    <w:p w14:paraId="4FF446E0" w14:textId="77777777" w:rsidR="0060661F" w:rsidRDefault="0060661F" w:rsidP="0060661F">
      <w:pPr>
        <w:pStyle w:val="Nivel3SM"/>
      </w:pPr>
      <w:r>
        <w:t>L</w:t>
      </w:r>
      <w:r w:rsidR="001B0D85">
        <w:t>as empresas y los hogares de un mismo país suelen tener preferencias similares y tener acceso a una misma tecnología.</w:t>
      </w:r>
    </w:p>
    <w:p w14:paraId="68E161E9" w14:textId="2A566884" w:rsidR="0060661F" w:rsidRDefault="001B0D85" w:rsidP="0060661F">
      <w:pPr>
        <w:pStyle w:val="Nivel3SM"/>
      </w:pPr>
      <w:r>
        <w:t>Además, al compartir un único gobierno central, suelen moverse en el mismo marco institucional, legal e impositivo.</w:t>
      </w:r>
    </w:p>
    <w:p w14:paraId="59FCAC40" w14:textId="4A47D9E8" w:rsidR="001B0D85" w:rsidRDefault="001B0D85" w:rsidP="0060661F">
      <w:pPr>
        <w:pStyle w:val="Nivel4"/>
        <w:ind w:left="1474"/>
      </w:pPr>
      <w:r>
        <w:t>En definitiva, en economías parecidas debería</w:t>
      </w:r>
      <w:r w:rsidR="0060661F">
        <w:t>n</w:t>
      </w:r>
      <w:r>
        <w:t xml:space="preserve"> verificarse </w:t>
      </w:r>
      <w:r w:rsidR="0060661F">
        <w:t xml:space="preserve">tanto </w:t>
      </w:r>
      <w:r w:rsidRPr="0026308C">
        <w:t>β</w:t>
      </w:r>
      <w:r w:rsidR="00855772" w:rsidRPr="00776AEE">
        <w:rPr>
          <w:sz w:val="2"/>
          <w:szCs w:val="2"/>
        </w:rPr>
        <w:t> </w:t>
      </w:r>
      <w:r w:rsidR="00855772" w:rsidRPr="0026308C">
        <w:t>-</w:t>
      </w:r>
      <w:r w:rsidR="00855772" w:rsidRPr="00776AEE">
        <w:rPr>
          <w:sz w:val="2"/>
          <w:szCs w:val="2"/>
        </w:rPr>
        <w:t> </w:t>
      </w:r>
      <w:r w:rsidRPr="0026308C">
        <w:t>convergencia</w:t>
      </w:r>
      <w:r>
        <w:t xml:space="preserve"> </w:t>
      </w:r>
      <w:r w:rsidR="0060661F">
        <w:t xml:space="preserve">como </w:t>
      </w:r>
      <w:r w:rsidRPr="00E223AC">
        <w:t>σ</w:t>
      </w:r>
      <w:r w:rsidR="00855772" w:rsidRPr="00776AEE">
        <w:rPr>
          <w:sz w:val="2"/>
          <w:szCs w:val="2"/>
        </w:rPr>
        <w:t> </w:t>
      </w:r>
      <w:r w:rsidR="00855772" w:rsidRPr="0026308C">
        <w:t>-</w:t>
      </w:r>
      <w:r w:rsidR="00855772" w:rsidRPr="00776AEE">
        <w:rPr>
          <w:sz w:val="2"/>
          <w:szCs w:val="2"/>
        </w:rPr>
        <w:t> </w:t>
      </w:r>
      <w:r w:rsidRPr="00E223AC">
        <w:t>convergencia</w:t>
      </w:r>
      <w:r>
        <w:t>.</w:t>
      </w:r>
    </w:p>
    <w:p w14:paraId="3668FB14" w14:textId="666EDBF0" w:rsidR="001B0D85" w:rsidRDefault="001B0D85" w:rsidP="0060661F">
      <w:pPr>
        <w:pStyle w:val="Nivel2SM"/>
      </w:pPr>
      <w:r>
        <w:rPr>
          <w:smallCaps/>
        </w:rPr>
        <w:t>Barro</w:t>
      </w:r>
      <w:r>
        <w:t xml:space="preserve"> y </w:t>
      </w:r>
      <w:r>
        <w:rPr>
          <w:smallCaps/>
        </w:rPr>
        <w:t>Sala-i-martín</w:t>
      </w:r>
      <w:r>
        <w:t xml:space="preserve"> (1991) realizan análisis para los estados norteamericanos, las prefecturas japonesas, las regiones europeas, Reino Unido y Alemania. </w:t>
      </w:r>
      <w:r w:rsidR="001C23CD">
        <w:t>Estos análisis</w:t>
      </w:r>
      <w:r>
        <w:t xml:space="preserve"> confirma</w:t>
      </w:r>
      <w:r w:rsidR="0060661F">
        <w:t>n</w:t>
      </w:r>
      <w:r>
        <w:t xml:space="preserve"> la hipótesis de </w:t>
      </w:r>
      <w:r w:rsidRPr="0026308C">
        <w:t>β</w:t>
      </w:r>
      <w:r w:rsidR="00855772" w:rsidRPr="00776AEE">
        <w:rPr>
          <w:sz w:val="2"/>
          <w:szCs w:val="2"/>
        </w:rPr>
        <w:t> </w:t>
      </w:r>
      <w:r w:rsidR="00855772" w:rsidRPr="0026308C">
        <w:t>-</w:t>
      </w:r>
      <w:r w:rsidR="00855772" w:rsidRPr="00776AEE">
        <w:rPr>
          <w:sz w:val="2"/>
          <w:szCs w:val="2"/>
        </w:rPr>
        <w:t> </w:t>
      </w:r>
      <w:r w:rsidRPr="0026308C">
        <w:t>convergencia</w:t>
      </w:r>
      <w:r>
        <w:t xml:space="preserve"> de </w:t>
      </w:r>
      <w:r w:rsidR="001C23CD">
        <w:t xml:space="preserve">todos </w:t>
      </w:r>
      <w:r>
        <w:t>estos grupos de economías parecid</w:t>
      </w:r>
      <w:r w:rsidR="001C23CD">
        <w:t>a</w:t>
      </w:r>
      <w:r>
        <w:t>s, situándose la velocidad de convergencia en</w:t>
      </w:r>
      <w:r w:rsidR="001C23CD">
        <w:t>torno a</w:t>
      </w:r>
      <w:r>
        <w:t xml:space="preserve"> un 2 % anual.</w:t>
      </w:r>
    </w:p>
    <w:p w14:paraId="54738292" w14:textId="16C1CCF7" w:rsidR="001C23CD" w:rsidRPr="001C23CD" w:rsidRDefault="001C23CD" w:rsidP="001C23CD">
      <w:pPr>
        <w:pStyle w:val="Cajadeanotaciones"/>
        <w:keepNext/>
        <w:spacing w:after="60"/>
        <w:jc w:val="center"/>
        <w:rPr>
          <w:b/>
          <w:bCs/>
          <w:i/>
          <w:iCs/>
        </w:rPr>
      </w:pPr>
      <w:r w:rsidRPr="001C23CD">
        <w:rPr>
          <w:b/>
          <w:bCs/>
          <w:i/>
          <w:iCs/>
        </w:rPr>
        <w:lastRenderedPageBreak/>
        <w:t>Evidencia sobre convergencia (β</w:t>
      </w:r>
      <w:r w:rsidR="0077068B" w:rsidRPr="0077068B">
        <w:rPr>
          <w:b/>
          <w:bCs/>
          <w:i/>
          <w:iCs/>
          <w:sz w:val="2"/>
          <w:szCs w:val="2"/>
        </w:rPr>
        <w:t> </w:t>
      </w:r>
      <w:r w:rsidR="0077068B" w:rsidRPr="0077068B">
        <w:rPr>
          <w:b/>
          <w:bCs/>
          <w:i/>
          <w:iCs/>
        </w:rPr>
        <w:t>-</w:t>
      </w:r>
      <w:r w:rsidR="0077068B" w:rsidRPr="0077068B">
        <w:rPr>
          <w:b/>
          <w:bCs/>
          <w:i/>
          <w:iCs/>
          <w:sz w:val="2"/>
          <w:szCs w:val="2"/>
        </w:rPr>
        <w:t> </w:t>
      </w:r>
      <w:r w:rsidRPr="001C23CD">
        <w:rPr>
          <w:b/>
          <w:bCs/>
          <w:i/>
          <w:iCs/>
        </w:rPr>
        <w:t>convergence)</w:t>
      </w:r>
    </w:p>
    <w:p w14:paraId="6E650669" w14:textId="1A98ADDD" w:rsidR="001C23CD" w:rsidRDefault="001C23CD" w:rsidP="00AA73B4">
      <w:pPr>
        <w:pStyle w:val="Cajadeanotaciones"/>
        <w:keepLines/>
      </w:pPr>
      <w:r>
        <w:t xml:space="preserve">En uno de los trabajos más influyentes sobre la evidencia de convergencia entre economías, </w:t>
      </w:r>
      <w:r>
        <w:rPr>
          <w:smallCaps/>
        </w:rPr>
        <w:t>Barro</w:t>
      </w:r>
      <w:r>
        <w:t xml:space="preserve"> y </w:t>
      </w:r>
      <w:r>
        <w:rPr>
          <w:smallCaps/>
        </w:rPr>
        <w:t>Sala-i-Martín</w:t>
      </w:r>
      <w:r>
        <w:t xml:space="preserve"> (1992) utilizan datos de renta desde 1840 y producción bruta desde 1963 para comparar la evolución en renta per cápita de 48</w:t>
      </w:r>
      <w:r w:rsidR="00CC5124">
        <w:t> e</w:t>
      </w:r>
      <w:r>
        <w:t>stados americanos. Comparando regiones del mismo país los autores controlan por muchos factores no observables (e.g. factores institucionales) que pueden hacer que distintas economías converjan a distintos estados estacionarios.</w:t>
      </w:r>
    </w:p>
    <w:p w14:paraId="34B3CF26" w14:textId="77777777" w:rsidR="001C23CD" w:rsidRDefault="001C23CD" w:rsidP="001C23CD">
      <w:pPr>
        <w:pStyle w:val="Cajadeanotaciones"/>
        <w:jc w:val="center"/>
      </w:pPr>
      <w:r>
        <w:rPr>
          <w:noProof/>
        </w:rPr>
        <w:drawing>
          <wp:inline distT="0" distB="0" distL="0" distR="0" wp14:anchorId="2C36635A" wp14:editId="3D8E393B">
            <wp:extent cx="3345179" cy="2331720"/>
            <wp:effectExtent l="0" t="0" r="8255" b="0"/>
            <wp:docPr id="22" name="Picture 22"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áfico, Gráfico de dispersión&#10;&#10;Descripción generada automáticamente"/>
                    <pic:cNvPicPr/>
                  </pic:nvPicPr>
                  <pic:blipFill>
                    <a:blip r:embed="rId31"/>
                    <a:stretch>
                      <a:fillRect/>
                    </a:stretch>
                  </pic:blipFill>
                  <pic:spPr>
                    <a:xfrm>
                      <a:off x="0" y="0"/>
                      <a:ext cx="3371455" cy="2350035"/>
                    </a:xfrm>
                    <a:prstGeom prst="rect">
                      <a:avLst/>
                    </a:prstGeom>
                  </pic:spPr>
                </pic:pic>
              </a:graphicData>
            </a:graphic>
          </wp:inline>
        </w:drawing>
      </w:r>
    </w:p>
    <w:p w14:paraId="711EB8F2" w14:textId="77777777" w:rsidR="001C23CD" w:rsidRDefault="001C23CD" w:rsidP="001C23CD">
      <w:pPr>
        <w:pStyle w:val="Cajadeanotaciones"/>
      </w:pPr>
      <w:r>
        <w:t>Los autores también llevan a cabo un análisis más formal en el que estiman la siguiente ecuación derivada del modelo neoclásico de crecimiento:</w:t>
      </w:r>
    </w:p>
    <w:p w14:paraId="42AA1B71" w14:textId="5641F14B" w:rsidR="001C23CD" w:rsidRPr="00715E2D" w:rsidRDefault="00000000" w:rsidP="001C23CD">
      <w:pPr>
        <w:pStyle w:val="Cajadeanotaciones"/>
        <w:rPr>
          <w:i/>
          <w:lang w:val="fr-FR"/>
        </w:rPr>
      </w:pPr>
      <m:oMathPara>
        <m:oMath>
          <m:f>
            <m:fPr>
              <m:ctrlPr>
                <w:rPr>
                  <w:rFonts w:ascii="Cambria Math" w:hAnsi="Cambria Math"/>
                  <w:i/>
                </w:rPr>
              </m:ctrlPr>
            </m:fPr>
            <m:num>
              <m:r>
                <m:rPr>
                  <m:nor/>
                </m:rPr>
                <w:rPr>
                  <w:i/>
                  <w:lang w:val="fr-FR"/>
                </w:rPr>
                <m:t>1</m:t>
              </m:r>
            </m:num>
            <m:den>
              <m:r>
                <m:rPr>
                  <m:nor/>
                </m:rPr>
                <w:rPr>
                  <w:i/>
                  <w:lang w:val="fr-FR"/>
                </w:rPr>
                <m:t>T</m:t>
              </m:r>
            </m:den>
          </m:f>
          <m:r>
            <w:rPr>
              <w:rFonts w:ascii="Cambria Math" w:hAnsi="Cambria Math"/>
              <w:lang w:val="fr-FR"/>
            </w:rPr>
            <m:t>∙</m:t>
          </m:r>
          <m:r>
            <m:rPr>
              <m:nor/>
            </m:rPr>
            <w:rPr>
              <w:rFonts w:ascii="Cambria Math"/>
              <w:i/>
              <w:lang w:val="fr-FR"/>
            </w:rPr>
            <m:t xml:space="preserve"> </m:t>
          </m:r>
          <m:r>
            <m:rPr>
              <m:nor/>
            </m:rPr>
            <w:rPr>
              <w:i/>
              <w:lang w:val="fr-FR"/>
            </w:rPr>
            <m:t>log</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y</m:t>
                      </m:r>
                    </m:e>
                    <m:sub>
                      <m:r>
                        <m:rPr>
                          <m:nor/>
                        </m:rPr>
                        <w:rPr>
                          <w:i/>
                          <w:lang w:val="fr-FR"/>
                        </w:rPr>
                        <m:t>0</m:t>
                      </m:r>
                    </m:sub>
                  </m:sSub>
                </m:den>
              </m:f>
            </m:e>
          </m:d>
          <m:r>
            <m:rPr>
              <m:nor/>
            </m:rPr>
            <w:rPr>
              <w:rFonts w:ascii="Cambria Math"/>
              <w:i/>
              <w:lang w:val="fr-FR"/>
            </w:rPr>
            <m:t xml:space="preserve"> </m:t>
          </m:r>
          <m:r>
            <m:rPr>
              <m:nor/>
            </m:rPr>
            <w:rPr>
              <w:i/>
              <w:lang w:val="fr-FR"/>
            </w:rPr>
            <m:t>=</m:t>
          </m:r>
          <m:r>
            <m:rPr>
              <m:nor/>
            </m:rPr>
            <w:rPr>
              <w:rFonts w:ascii="Cambria Math"/>
              <w:i/>
              <w:lang w:val="fr-FR"/>
            </w:rPr>
            <m:t xml:space="preserve"> </m:t>
          </m:r>
          <m:r>
            <m:rPr>
              <m:nor/>
            </m:rPr>
            <w:rPr>
              <w:i/>
              <w:lang w:val="fr-FR"/>
            </w:rPr>
            <m:t>x</m:t>
          </m:r>
          <m:r>
            <w:rPr>
              <w:rFonts w:ascii="Cambria Math" w:hAnsi="Cambria Math"/>
              <w:lang w:val="fr-FR"/>
            </w:rPr>
            <m:t>+</m:t>
          </m:r>
          <m:f>
            <m:fPr>
              <m:ctrlPr>
                <w:rPr>
                  <w:rFonts w:ascii="Cambria Math" w:hAnsi="Cambria Math"/>
                  <w:i/>
                </w:rPr>
              </m:ctrlPr>
            </m:fPr>
            <m:num>
              <m:r>
                <m:rPr>
                  <m:nor/>
                </m:rPr>
                <w:rPr>
                  <w:i/>
                  <w:lang w:val="fr-FR"/>
                </w:rPr>
                <m:t>1</m:t>
              </m:r>
              <m:r>
                <w:rPr>
                  <w:rFonts w:ascii="Cambria Math" w:hAnsi="Cambria Math"/>
                  <w:lang w:val="fr-FR"/>
                </w:rPr>
                <m:t>-</m:t>
              </m:r>
              <m:sSup>
                <m:sSupPr>
                  <m:ctrlPr>
                    <w:rPr>
                      <w:rFonts w:ascii="Cambria Math" w:hAnsi="Cambria Math"/>
                      <w:i/>
                    </w:rPr>
                  </m:ctrlPr>
                </m:sSupPr>
                <m:e>
                  <m:r>
                    <m:rPr>
                      <m:nor/>
                    </m:rPr>
                    <w:rPr>
                      <w:i/>
                      <w:lang w:val="fr-FR"/>
                    </w:rPr>
                    <m:t>e</m:t>
                  </m:r>
                </m:e>
                <m:sup>
                  <m:r>
                    <w:rPr>
                      <w:rFonts w:ascii="Cambria Math" w:hAnsi="Cambria Math"/>
                      <w:lang w:val="fr-FR"/>
                    </w:rPr>
                    <m:t>-</m:t>
                  </m:r>
                  <m:r>
                    <m:rPr>
                      <m:nor/>
                    </m:rPr>
                    <w:rPr>
                      <w:i/>
                    </w:rPr>
                    <m:t>β</m:t>
                  </m:r>
                  <m:r>
                    <w:rPr>
                      <w:rFonts w:ascii="Cambria Math" w:hAnsi="Cambria Math"/>
                      <w:lang w:val="fr-FR"/>
                    </w:rPr>
                    <m:t>∙</m:t>
                  </m:r>
                  <m:r>
                    <m:rPr>
                      <m:nor/>
                    </m:rPr>
                    <w:rPr>
                      <w:i/>
                      <w:lang w:val="fr-FR"/>
                    </w:rPr>
                    <m:t>T</m:t>
                  </m:r>
                </m:sup>
              </m:sSup>
            </m:num>
            <m:den>
              <m:r>
                <m:rPr>
                  <m:nor/>
                </m:rPr>
                <w:rPr>
                  <w:i/>
                  <w:lang w:val="fr-FR"/>
                </w:rPr>
                <m:t>T</m:t>
              </m:r>
            </m:den>
          </m:f>
          <m:r>
            <w:rPr>
              <w:rFonts w:ascii="Cambria Math" w:hAnsi="Cambria Math"/>
              <w:lang w:val="fr-FR"/>
            </w:rPr>
            <m:t>∙</m:t>
          </m:r>
          <m:r>
            <m:rPr>
              <m:nor/>
            </m:rPr>
            <w:rPr>
              <w:i/>
              <w:lang w:val="fr-FR"/>
            </w:rPr>
            <m:t>log</m:t>
          </m:r>
          <m:d>
            <m:dPr>
              <m:begChr m:val="["/>
              <m:endChr m:val="]"/>
              <m:ctrlPr>
                <w:rPr>
                  <w:rFonts w:ascii="Cambria Math" w:hAnsi="Cambria Math"/>
                  <w:i/>
                </w:rPr>
              </m:ctrlPr>
            </m:dPr>
            <m:e>
              <m:f>
                <m:fPr>
                  <m:ctrlPr>
                    <w:rPr>
                      <w:rFonts w:ascii="Cambria Math" w:hAnsi="Cambria Math"/>
                      <w:i/>
                    </w:rPr>
                  </m:ctrlPr>
                </m:fPr>
                <m:num>
                  <m:acc>
                    <m:accPr>
                      <m:ctrlPr>
                        <w:rPr>
                          <w:rFonts w:ascii="Cambria Math" w:hAnsi="Cambria Math"/>
                          <w:i/>
                        </w:rPr>
                      </m:ctrlPr>
                    </m:accPr>
                    <m:e>
                      <m:r>
                        <m:rPr>
                          <m:nor/>
                        </m:rPr>
                        <w:rPr>
                          <w:i/>
                          <w:lang w:val="fr-FR"/>
                        </w:rPr>
                        <m:t>y</m:t>
                      </m:r>
                    </m:e>
                  </m:acc>
                  <m:r>
                    <m:rPr>
                      <m:nor/>
                    </m:rPr>
                    <w:rPr>
                      <w:i/>
                      <w:lang w:val="fr-FR"/>
                    </w:rPr>
                    <m:t>*</m:t>
                  </m:r>
                </m:num>
                <m:den>
                  <m:sSub>
                    <m:sSubPr>
                      <m:ctrlPr>
                        <w:rPr>
                          <w:rFonts w:ascii="Cambria Math" w:hAnsi="Cambria Math"/>
                          <w:i/>
                        </w:rPr>
                      </m:ctrlPr>
                    </m:sSubPr>
                    <m:e>
                      <m:acc>
                        <m:accPr>
                          <m:ctrlPr>
                            <w:rPr>
                              <w:rFonts w:ascii="Cambria Math" w:hAnsi="Cambria Math"/>
                              <w:i/>
                            </w:rPr>
                          </m:ctrlPr>
                        </m:accPr>
                        <m:e>
                          <m:r>
                            <m:rPr>
                              <m:nor/>
                            </m:rPr>
                            <w:rPr>
                              <w:i/>
                              <w:lang w:val="fr-FR"/>
                            </w:rPr>
                            <m:t>y</m:t>
                          </m:r>
                        </m:e>
                      </m:acc>
                    </m:e>
                    <m:sub>
                      <m:r>
                        <m:rPr>
                          <m:nor/>
                        </m:rPr>
                        <w:rPr>
                          <w:i/>
                          <w:lang w:val="fr-FR"/>
                        </w:rPr>
                        <m:t>0</m:t>
                      </m:r>
                    </m:sub>
                  </m:sSub>
                </m:den>
              </m:f>
            </m:e>
          </m:d>
        </m:oMath>
      </m:oMathPara>
    </w:p>
    <w:p w14:paraId="12EB9DE3" w14:textId="77777777" w:rsidR="001C23CD" w:rsidRPr="00292F09" w:rsidRDefault="001C23CD" w:rsidP="001C23CD">
      <w:pPr>
        <w:pStyle w:val="Cajadeanotaciones"/>
        <w:rPr>
          <w:b/>
          <w:bCs/>
        </w:rPr>
      </w:pPr>
      <w:r>
        <w:t>Esta ecuación muestra como el crecimiento medio de una economía en un periodo de tiempo dado depende negativamente del nivel inicial de renta per cápita</w:t>
      </w:r>
      <m:oMath>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m:rPr>
                    <m:nor/>
                  </m:rPr>
                  <w:rPr>
                    <w:i/>
                  </w:rPr>
                  <m:t>y</m:t>
                </m:r>
              </m:e>
            </m:acc>
          </m:e>
          <m:sub>
            <m:r>
              <m:rPr>
                <m:nor/>
              </m:rPr>
              <w:rPr>
                <w:i/>
              </w:rPr>
              <m:t>0</m:t>
            </m:r>
          </m:sub>
        </m:sSub>
      </m:oMath>
      <w:r>
        <w:rPr>
          <w:rFonts w:eastAsiaTheme="minorEastAsia"/>
        </w:rPr>
        <w:t xml:space="preserve">, pero más concretamente dependerá negativamente de la distancia de una economía a su estado estacionario </w:t>
      </w:r>
      <m:oMath>
        <m:f>
          <m:fPr>
            <m:ctrlPr>
              <w:rPr>
                <w:rFonts w:ascii="Cambria Math" w:hAnsi="Cambria Math"/>
                <w:i/>
              </w:rPr>
            </m:ctrlPr>
          </m:fPr>
          <m:num>
            <m:acc>
              <m:accPr>
                <m:ctrlPr>
                  <w:rPr>
                    <w:rFonts w:ascii="Cambria Math" w:hAnsi="Cambria Math"/>
                    <w:i/>
                  </w:rPr>
                </m:ctrlPr>
              </m:accPr>
              <m:e>
                <m:r>
                  <m:rPr>
                    <m:nor/>
                  </m:rPr>
                  <w:rPr>
                    <w:i/>
                  </w:rPr>
                  <m:t>y</m:t>
                </m:r>
              </m:e>
            </m:acc>
            <m:r>
              <m:rPr>
                <m:nor/>
              </m:rPr>
              <w:rPr>
                <w:i/>
              </w:rPr>
              <m:t>*</m:t>
            </m:r>
          </m:num>
          <m:den>
            <m:sSub>
              <m:sSubPr>
                <m:ctrlPr>
                  <w:rPr>
                    <w:rFonts w:ascii="Cambria Math" w:hAnsi="Cambria Math"/>
                    <w:i/>
                  </w:rPr>
                </m:ctrlPr>
              </m:sSubPr>
              <m:e>
                <m:acc>
                  <m:accPr>
                    <m:ctrlPr>
                      <w:rPr>
                        <w:rFonts w:ascii="Cambria Math" w:hAnsi="Cambria Math"/>
                        <w:i/>
                      </w:rPr>
                    </m:ctrlPr>
                  </m:accPr>
                  <m:e>
                    <m:r>
                      <m:rPr>
                        <m:nor/>
                      </m:rPr>
                      <w:rPr>
                        <w:i/>
                      </w:rPr>
                      <m:t>y</m:t>
                    </m:r>
                  </m:e>
                </m:acc>
              </m:e>
              <m:sub>
                <m:r>
                  <m:rPr>
                    <m:nor/>
                  </m:rPr>
                  <w:rPr>
                    <w:i/>
                  </w:rPr>
                  <m:t>0</m:t>
                </m:r>
              </m:sub>
            </m:sSub>
          </m:den>
        </m:f>
      </m:oMath>
      <w:r>
        <w:rPr>
          <w:rFonts w:eastAsiaTheme="minorEastAsia"/>
        </w:rPr>
        <w:t xml:space="preserve">. El parámetro </w:t>
      </w:r>
      <w:r w:rsidRPr="00727081">
        <w:rPr>
          <w:i/>
          <w:iCs/>
        </w:rPr>
        <w:t>β</w:t>
      </w:r>
      <w:r>
        <w:t xml:space="preserve"> es un parámetro positivo que gobierna la velocidad de convergencia, cuánto más alto sea </w:t>
      </w:r>
      <w:r w:rsidRPr="00727081">
        <w:rPr>
          <w:i/>
          <w:iCs/>
        </w:rPr>
        <w:t>β</w:t>
      </w:r>
      <w:r>
        <w:t>, menos tiempo tardarán las economías en convergencia. Este parámetro dependerá a su vez de los parámetros del modelo neoclásico (</w:t>
      </w:r>
      <m:oMath>
        <m:r>
          <m:rPr>
            <m:nor/>
          </m:rPr>
          <w:rPr>
            <w:szCs w:val="20"/>
          </w:rPr>
          <m:t>α</m:t>
        </m:r>
        <m:r>
          <m:rPr>
            <m:nor/>
          </m:rPr>
          <w:rPr>
            <w:rFonts w:ascii="Cambria Math"/>
            <w:szCs w:val="20"/>
          </w:rPr>
          <m:t xml:space="preserve">, </m:t>
        </m:r>
        <m:sSub>
          <m:sSubPr>
            <m:ctrlPr>
              <w:rPr>
                <w:rFonts w:ascii="Cambria Math" w:eastAsiaTheme="minorEastAsia" w:hAnsi="Cambria Math"/>
                <w:i/>
                <w:szCs w:val="20"/>
              </w:rPr>
            </m:ctrlPr>
          </m:sSubPr>
          <m:e>
            <m:r>
              <m:rPr>
                <m:nor/>
              </m:rPr>
              <w:rPr>
                <w:rFonts w:eastAsiaTheme="minorEastAsia"/>
                <w:i/>
                <w:szCs w:val="20"/>
              </w:rPr>
              <m:t>γ</m:t>
            </m:r>
          </m:e>
          <m:sub>
            <m:r>
              <m:rPr>
                <m:nor/>
              </m:rPr>
              <w:rPr>
                <w:rFonts w:eastAsiaTheme="minorEastAsia"/>
                <w:i/>
                <w:szCs w:val="20"/>
              </w:rPr>
              <m:t>A</m:t>
            </m:r>
          </m:sub>
        </m:sSub>
      </m:oMath>
      <w:r w:rsidRPr="00292F09">
        <w:rPr>
          <w:rFonts w:eastAsia="Calibri" w:cs="Arial"/>
          <w:szCs w:val="20"/>
        </w:rPr>
        <w:t xml:space="preserve"> y </w:t>
      </w:r>
      <m:oMath>
        <m:r>
          <m:rPr>
            <m:nor/>
          </m:rPr>
          <w:rPr>
            <w:i/>
            <w:iCs/>
            <w:szCs w:val="20"/>
          </w:rPr>
          <m:t>δ</m:t>
        </m:r>
      </m:oMath>
      <w:r>
        <w:t xml:space="preserve">). El objetivo de este estudio es hallar el valor de </w:t>
      </w:r>
      <w:r w:rsidRPr="00727081">
        <w:rPr>
          <w:i/>
          <w:iCs/>
        </w:rPr>
        <w:t>β</w:t>
      </w:r>
      <w:r>
        <w:t>.</w:t>
      </w:r>
    </w:p>
    <w:p w14:paraId="7414CD27" w14:textId="17B0F1A5" w:rsidR="001C23CD" w:rsidRDefault="001C23CD" w:rsidP="001C23CD">
      <w:pPr>
        <w:pStyle w:val="Cajadeanotaciones"/>
        <w:rPr>
          <w:rFonts w:eastAsia="Calibri" w:cs="Arial"/>
          <w:iCs/>
          <w:szCs w:val="20"/>
        </w:rPr>
      </w:pPr>
      <w:r>
        <w:t xml:space="preserve">Hallan que el valor de </w:t>
      </w:r>
      <m:oMath>
        <m:r>
          <m:rPr>
            <m:nor/>
          </m:rPr>
          <w:rPr>
            <w:i/>
            <w:iCs/>
          </w:rPr>
          <m:t>β</m:t>
        </m:r>
        <m:r>
          <m:rPr>
            <m:nor/>
          </m:rPr>
          <w:rPr>
            <w:rFonts w:ascii="Cambria Math" w:hAnsi="Cambria Math" w:cs="Cambria Math"/>
            <w:iCs/>
            <w:szCs w:val="20"/>
          </w:rPr>
          <m:t>≃</m:t>
        </m:r>
        <m:r>
          <m:rPr>
            <m:nor/>
          </m:rPr>
          <w:rPr>
            <w:i/>
            <w:iCs/>
          </w:rPr>
          <m:t>0,02</m:t>
        </m:r>
      </m:oMath>
      <w:r>
        <w:t xml:space="preserve">, lo que supone que la velocidad de convergencia hallada es bastante menor que la que implicarían los valores observados en otros estudios de </w:t>
      </w:r>
      <m:oMath>
        <m:r>
          <m:rPr>
            <m:nor/>
          </m:rPr>
          <w:rPr>
            <w:szCs w:val="20"/>
          </w:rPr>
          <m:t>α</m:t>
        </m:r>
        <m:r>
          <m:rPr>
            <m:nor/>
          </m:rPr>
          <w:rPr>
            <w:rFonts w:ascii="Cambria Math"/>
            <w:szCs w:val="20"/>
          </w:rPr>
          <m:t xml:space="preserve">, </m:t>
        </m:r>
        <m:sSub>
          <m:sSubPr>
            <m:ctrlPr>
              <w:rPr>
                <w:rFonts w:ascii="Cambria Math" w:eastAsiaTheme="minorEastAsia" w:hAnsi="Cambria Math"/>
                <w:i/>
                <w:szCs w:val="20"/>
              </w:rPr>
            </m:ctrlPr>
          </m:sSubPr>
          <m:e>
            <m:r>
              <m:rPr>
                <m:nor/>
              </m:rPr>
              <w:rPr>
                <w:rFonts w:eastAsiaTheme="minorEastAsia"/>
                <w:i/>
                <w:szCs w:val="20"/>
              </w:rPr>
              <m:t>γ</m:t>
            </m:r>
          </m:e>
          <m:sub>
            <m:r>
              <m:rPr>
                <m:nor/>
              </m:rPr>
              <w:rPr>
                <w:rFonts w:eastAsiaTheme="minorEastAsia"/>
                <w:i/>
                <w:szCs w:val="20"/>
              </w:rPr>
              <m:t>A</m:t>
            </m:r>
          </m:sub>
        </m:sSub>
      </m:oMath>
      <w:r w:rsidRPr="00292F09">
        <w:rPr>
          <w:rFonts w:eastAsia="Calibri" w:cs="Arial"/>
          <w:szCs w:val="20"/>
        </w:rPr>
        <w:t xml:space="preserve"> y </w:t>
      </w:r>
      <m:oMath>
        <m:r>
          <m:rPr>
            <m:nor/>
          </m:rPr>
          <w:rPr>
            <w:i/>
            <w:iCs/>
            <w:szCs w:val="20"/>
          </w:rPr>
          <m:t>δ</m:t>
        </m:r>
      </m:oMath>
      <w:r>
        <w:rPr>
          <w:rFonts w:eastAsia="Calibri" w:cs="Arial"/>
          <w:iCs/>
          <w:szCs w:val="20"/>
        </w:rPr>
        <w:t xml:space="preserve">. En otras palabras, dados los valores estándar de </w:t>
      </w:r>
      <m:oMath>
        <m:sSub>
          <m:sSubPr>
            <m:ctrlPr>
              <w:rPr>
                <w:rFonts w:ascii="Cambria Math" w:eastAsiaTheme="minorEastAsia" w:hAnsi="Cambria Math"/>
                <w:i/>
                <w:szCs w:val="20"/>
              </w:rPr>
            </m:ctrlPr>
          </m:sSubPr>
          <m:e>
            <m:r>
              <m:rPr>
                <m:nor/>
              </m:rPr>
              <w:rPr>
                <w:rFonts w:eastAsiaTheme="minorEastAsia"/>
                <w:i/>
                <w:szCs w:val="20"/>
              </w:rPr>
              <m:t>γ</m:t>
            </m:r>
          </m:e>
          <m:sub>
            <m:r>
              <m:rPr>
                <m:nor/>
              </m:rPr>
              <w:rPr>
                <w:rFonts w:eastAsiaTheme="minorEastAsia"/>
                <w:i/>
                <w:szCs w:val="20"/>
              </w:rPr>
              <m:t>A</m:t>
            </m:r>
          </m:sub>
        </m:sSub>
      </m:oMath>
      <w:r w:rsidRPr="00292F09">
        <w:rPr>
          <w:rFonts w:eastAsia="Calibri" w:cs="Arial"/>
          <w:szCs w:val="20"/>
        </w:rPr>
        <w:t xml:space="preserve"> y </w:t>
      </w:r>
      <m:oMath>
        <m:r>
          <m:rPr>
            <m:nor/>
          </m:rPr>
          <w:rPr>
            <w:i/>
            <w:iCs/>
            <w:szCs w:val="20"/>
          </w:rPr>
          <m:t>δ</m:t>
        </m:r>
      </m:oMath>
      <w:r>
        <w:rPr>
          <w:rFonts w:eastAsia="Calibri" w:cs="Arial"/>
          <w:iCs/>
          <w:szCs w:val="20"/>
        </w:rPr>
        <w:t>, este valor estimado de</w:t>
      </w:r>
      <w:r w:rsidRPr="00AF442F">
        <w:rPr>
          <w:i/>
          <w:iCs/>
        </w:rPr>
        <w:t xml:space="preserve"> </w:t>
      </w:r>
      <w:r w:rsidRPr="00727081">
        <w:rPr>
          <w:i/>
          <w:iCs/>
        </w:rPr>
        <w:t>β</w:t>
      </w:r>
      <w:r>
        <w:rPr>
          <w:i/>
          <w:iCs/>
        </w:rPr>
        <w:t xml:space="preserve"> </w:t>
      </w:r>
      <w:r>
        <w:t xml:space="preserve">implicaría implícitamente según el modelo neoclásico un valor de </w:t>
      </w:r>
      <m:oMath>
        <m:r>
          <m:rPr>
            <m:nor/>
          </m:rPr>
          <w:rPr>
            <w:szCs w:val="20"/>
          </w:rPr>
          <m:t>α</m:t>
        </m:r>
        <m:r>
          <m:rPr>
            <m:nor/>
          </m:rPr>
          <w:rPr>
            <w:rFonts w:ascii="Cambria Math" w:hAnsi="Cambria Math" w:cs="Cambria Math"/>
            <w:iCs/>
            <w:szCs w:val="20"/>
          </w:rPr>
          <m:t>≃</m:t>
        </m:r>
        <m:r>
          <m:rPr>
            <m:nor/>
          </m:rPr>
          <w:rPr>
            <w:rFonts w:ascii="Cambria Math" w:hAnsi="Cambria Math" w:cs="Cambria Math"/>
            <w:i/>
            <w:iCs/>
            <w:szCs w:val="20"/>
          </w:rPr>
          <m:t xml:space="preserve"> </m:t>
        </m:r>
        <m:r>
          <m:rPr>
            <m:nor/>
          </m:rPr>
          <w:rPr>
            <w:i/>
            <w:iCs/>
            <w:szCs w:val="20"/>
          </w:rPr>
          <m:t>0,8</m:t>
        </m:r>
      </m:oMath>
      <w:r>
        <w:rPr>
          <w:rFonts w:eastAsia="Calibri" w:cs="Arial"/>
          <w:iCs/>
          <w:szCs w:val="20"/>
        </w:rPr>
        <w:t xml:space="preserve">, cuando lo observado en los países desarrollados, como hemos visto es de en torno a </w:t>
      </w:r>
      <w:r w:rsidR="001D3E0A">
        <w:rPr>
          <w:rFonts w:eastAsia="Calibri" w:cs="Arial"/>
          <w:iCs/>
          <w:szCs w:val="20"/>
        </w:rPr>
        <w:t>1/3</w:t>
      </w:r>
      <w:r>
        <w:rPr>
          <w:rFonts w:eastAsia="Calibri" w:cs="Arial"/>
          <w:iCs/>
          <w:szCs w:val="20"/>
        </w:rPr>
        <w:t>. Es decir, demuestran que el modelo neoclásico de crecimiento implica velocidades de convergencia mucho mayores que las observadas en la evidencia empírica.</w:t>
      </w:r>
    </w:p>
    <w:p w14:paraId="281EE9CD" w14:textId="5FF490C1" w:rsidR="001C23CD" w:rsidRDefault="001C23CD" w:rsidP="001C23CD">
      <w:pPr>
        <w:pStyle w:val="Cajadeanotaciones"/>
      </w:pPr>
      <w:r>
        <w:rPr>
          <w:rFonts w:eastAsia="Calibri" w:cs="Arial"/>
          <w:b/>
          <w:bCs/>
          <w:iCs/>
          <w:szCs w:val="20"/>
        </w:rPr>
        <w:t>Conclusión</w:t>
      </w:r>
      <w:r>
        <w:rPr>
          <w:rFonts w:eastAsia="Calibri" w:cs="Arial"/>
          <w:iCs/>
          <w:szCs w:val="20"/>
        </w:rPr>
        <w:t>: Existe convergencia condicional, pero esta se produce a una velocidad mucho más lenta de lo predicho en el modelo neoclásico.</w:t>
      </w:r>
    </w:p>
    <w:p w14:paraId="5453D458" w14:textId="0A4B4D52" w:rsidR="001B0D85" w:rsidRDefault="001B0D85">
      <w:pPr>
        <w:pStyle w:val="Nivel1SM"/>
        <w:keepNext/>
        <w:spacing w:after="0"/>
      </w:pPr>
      <w:r>
        <w:t xml:space="preserve">Más recientemente, </w:t>
      </w:r>
      <w:r>
        <w:rPr>
          <w:smallCaps/>
        </w:rPr>
        <w:t>Johnson</w:t>
      </w:r>
      <w:r>
        <w:t xml:space="preserve"> y </w:t>
      </w:r>
      <w:r>
        <w:rPr>
          <w:smallCaps/>
        </w:rPr>
        <w:t>Papageorgiou</w:t>
      </w:r>
      <w:r>
        <w:t xml:space="preserve"> (2018) hallaron que la </w:t>
      </w:r>
      <w:r w:rsidR="001C23CD" w:rsidRPr="006D0538">
        <w:rPr>
          <w:i/>
          <w:iCs/>
        </w:rPr>
        <w:t>β</w:t>
      </w:r>
      <w:r w:rsidR="0077068B" w:rsidRPr="00776AEE">
        <w:rPr>
          <w:sz w:val="2"/>
          <w:szCs w:val="2"/>
        </w:rPr>
        <w:t> </w:t>
      </w:r>
      <w:r w:rsidR="0077068B" w:rsidRPr="0026308C">
        <w:t>-</w:t>
      </w:r>
      <w:r w:rsidR="0077068B" w:rsidRPr="00776AEE">
        <w:rPr>
          <w:sz w:val="2"/>
          <w:szCs w:val="2"/>
        </w:rPr>
        <w:t> </w:t>
      </w:r>
      <w:r w:rsidR="001C23CD" w:rsidRPr="0026308C">
        <w:t>convergencia</w:t>
      </w:r>
      <w:r w:rsidR="001C23CD">
        <w:t xml:space="preserve"> no</w:t>
      </w:r>
      <w:r w:rsidR="002C6A3B">
        <w:t> </w:t>
      </w:r>
      <w:r w:rsidR="001C23CD">
        <w:t>está teniendo lugar de forma global:</w:t>
      </w:r>
    </w:p>
    <w:p w14:paraId="0079CB1A" w14:textId="6485FAEB" w:rsidR="001C23CD" w:rsidRDefault="001C23CD">
      <w:pPr>
        <w:pStyle w:val="Nivel2SM"/>
      </w:pPr>
      <w:r>
        <w:t>Por un lado, existen clubes de convergencia.</w:t>
      </w:r>
    </w:p>
    <w:p w14:paraId="02F805AE" w14:textId="508BD79E" w:rsidR="001C23CD" w:rsidRDefault="001C23CD">
      <w:pPr>
        <w:pStyle w:val="Nivel2SM"/>
      </w:pPr>
      <w:r>
        <w:t>Por otr</w:t>
      </w:r>
      <w:r w:rsidR="006D0538">
        <w:t>o</w:t>
      </w:r>
      <w:r>
        <w:t xml:space="preserve"> lado</w:t>
      </w:r>
      <w:r w:rsidR="006D0538">
        <w:t>,</w:t>
      </w:r>
      <w:r>
        <w:t xml:space="preserve"> existen países con ingresos bajos atrapados en una trampa de pobreza.</w:t>
      </w:r>
    </w:p>
    <w:p w14:paraId="1D1E56B2" w14:textId="77777777" w:rsidR="00094E26" w:rsidRPr="00094E26" w:rsidRDefault="006D0538" w:rsidP="00094E26">
      <w:pPr>
        <w:pStyle w:val="Nivel1SM"/>
        <w:numPr>
          <w:ilvl w:val="0"/>
          <w:numId w:val="0"/>
        </w:numPr>
        <w:spacing w:after="0"/>
        <w:rPr>
          <w:lang w:val="en-US"/>
        </w:rPr>
      </w:pPr>
      <w:r>
        <w:rPr>
          <w:noProof/>
        </w:rPr>
        <w:drawing>
          <wp:inline distT="0" distB="0" distL="0" distR="0" wp14:anchorId="3BBFC835" wp14:editId="4CF74CBD">
            <wp:extent cx="5981700" cy="42513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96561" cy="426192"/>
                    </a:xfrm>
                    <a:prstGeom prst="rect">
                      <a:avLst/>
                    </a:prstGeom>
                  </pic:spPr>
                </pic:pic>
              </a:graphicData>
            </a:graphic>
          </wp:inline>
        </w:drawing>
      </w:r>
    </w:p>
    <w:p w14:paraId="78127DCF" w14:textId="5DB04CF8" w:rsidR="006D0538" w:rsidRPr="006D0538" w:rsidRDefault="006D0538" w:rsidP="00094E26">
      <w:pPr>
        <w:pStyle w:val="Nivel1SM"/>
        <w:keepNext/>
        <w:spacing w:before="0" w:after="0"/>
        <w:rPr>
          <w:lang w:val="en-US"/>
        </w:rPr>
      </w:pPr>
      <w:r>
        <w:t xml:space="preserve">Idea sacada de </w:t>
      </w:r>
      <w:r w:rsidRPr="006D0538">
        <w:t xml:space="preserve">Campante, F., Sturzenegger, F. &amp; Velasco, A. (2021). </w:t>
      </w:r>
      <w:r w:rsidRPr="006D0538">
        <w:rPr>
          <w:i/>
          <w:iCs/>
          <w:lang w:val="en-US"/>
        </w:rPr>
        <w:t>Advanced Macroeconomics: An Easy Guide</w:t>
      </w:r>
      <w:r w:rsidRPr="006D0538">
        <w:rPr>
          <w:lang w:val="en-US"/>
        </w:rPr>
        <w:t xml:space="preserve">. En LSE Press. LSE Press. </w:t>
      </w:r>
      <w:hyperlink r:id="rId33" w:history="1">
        <w:r w:rsidRPr="006D0538">
          <w:rPr>
            <w:rStyle w:val="Hipervnculo"/>
            <w:lang w:val="en-US"/>
          </w:rPr>
          <w:t>https://doi.org/10.31389/lsepress.ame</w:t>
        </w:r>
      </w:hyperlink>
    </w:p>
    <w:p w14:paraId="02BEAB96" w14:textId="6DB02F84" w:rsidR="006D0538" w:rsidRPr="00094E26" w:rsidRDefault="006D0538" w:rsidP="007E2A05">
      <w:pPr>
        <w:pStyle w:val="Nivel2SM"/>
        <w:rPr>
          <w:rStyle w:val="Hipervnculo"/>
          <w:color w:val="auto"/>
          <w:u w:val="none"/>
          <w:lang w:val="en-US"/>
        </w:rPr>
      </w:pPr>
      <w:r w:rsidRPr="006D0538">
        <w:rPr>
          <w:lang w:val="en-US"/>
        </w:rPr>
        <w:t xml:space="preserve">Kremer, M., Willis, J. &amp; You, Y. (2021). </w:t>
      </w:r>
      <w:r w:rsidRPr="006D0538">
        <w:rPr>
          <w:i/>
          <w:iCs/>
          <w:lang w:val="en-US"/>
        </w:rPr>
        <w:t>Converging to convergence</w:t>
      </w:r>
      <w:r w:rsidRPr="006D0538">
        <w:rPr>
          <w:lang w:val="en-US"/>
        </w:rPr>
        <w:t xml:space="preserve">. </w:t>
      </w:r>
      <w:hyperlink r:id="rId34" w:history="1">
        <w:r w:rsidRPr="006D0538">
          <w:rPr>
            <w:rStyle w:val="Hipervnculo"/>
            <w:lang w:val="en-US"/>
          </w:rPr>
          <w:t>https://bfi.uchicago.edu/wp-content/uploads/2021/11/BFI_WP_2021-136.pdf</w:t>
        </w:r>
      </w:hyperlink>
    </w:p>
    <w:p w14:paraId="3FF8ECEE" w14:textId="4BA63D27" w:rsidR="00094E26" w:rsidRPr="00094E26" w:rsidRDefault="00094E26" w:rsidP="00094E26">
      <w:pPr>
        <w:pStyle w:val="Nivel2SM"/>
        <w:numPr>
          <w:ilvl w:val="0"/>
          <w:numId w:val="0"/>
        </w:numPr>
        <w:spacing w:after="0"/>
        <w:ind w:left="567"/>
        <w:rPr>
          <w:lang w:val="en-US"/>
        </w:rPr>
      </w:pPr>
      <w:r w:rsidRPr="002A0D2B">
        <w:rPr>
          <w:noProof/>
          <w:lang w:val="en-US"/>
        </w:rPr>
        <w:lastRenderedPageBreak/>
        <w:drawing>
          <wp:inline distT="0" distB="0" distL="0" distR="0" wp14:anchorId="4384E114" wp14:editId="5BBB82EC">
            <wp:extent cx="4878070" cy="2602515"/>
            <wp:effectExtent l="0" t="0" r="0" b="7620"/>
            <wp:docPr id="9" name="Imagen 9"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 Carta&#10;&#10;Descripción generada automáticamente"/>
                    <pic:cNvPicPr/>
                  </pic:nvPicPr>
                  <pic:blipFill>
                    <a:blip r:embed="rId35"/>
                    <a:stretch>
                      <a:fillRect/>
                    </a:stretch>
                  </pic:blipFill>
                  <pic:spPr>
                    <a:xfrm>
                      <a:off x="0" y="0"/>
                      <a:ext cx="4881502" cy="2604346"/>
                    </a:xfrm>
                    <a:prstGeom prst="rect">
                      <a:avLst/>
                    </a:prstGeom>
                  </pic:spPr>
                </pic:pic>
              </a:graphicData>
            </a:graphic>
          </wp:inline>
        </w:drawing>
      </w:r>
    </w:p>
    <w:p w14:paraId="54E9DDCA" w14:textId="129A2E8F" w:rsidR="00094E26" w:rsidRPr="00CE084A" w:rsidRDefault="00094E26" w:rsidP="00094E26">
      <w:pPr>
        <w:pStyle w:val="Nivel2SM"/>
        <w:keepNext/>
        <w:spacing w:after="0"/>
      </w:pPr>
      <w:r w:rsidRPr="00094E26">
        <w:t xml:space="preserve">Acemoğlu, </w:t>
      </w:r>
      <w:r>
        <w:t xml:space="preserve">D. &amp; Molina, C. A. (2022). </w:t>
      </w:r>
      <w:r w:rsidRPr="00CE084A">
        <w:rPr>
          <w:i/>
          <w:iCs/>
          <w:lang w:val="en-US"/>
        </w:rPr>
        <w:t xml:space="preserve">Converging to convergence? </w:t>
      </w:r>
      <w:r w:rsidRPr="00094E26">
        <w:rPr>
          <w:i/>
          <w:iCs/>
          <w:lang w:val="en-US"/>
        </w:rPr>
        <w:t>A comment.</w:t>
      </w:r>
      <w:r>
        <w:rPr>
          <w:lang w:val="en-US"/>
        </w:rPr>
        <w:t xml:space="preserve"> </w:t>
      </w:r>
      <w:hyperlink r:id="rId36" w:history="1">
        <w:r w:rsidRPr="00CE084A">
          <w:rPr>
            <w:rStyle w:val="Hipervnculo"/>
          </w:rPr>
          <w:t>https://www.nber.org/system/files/working_papers/w28992/w28992.pdf</w:t>
        </w:r>
      </w:hyperlink>
    </w:p>
    <w:p w14:paraId="010D12B6" w14:textId="43D863CA" w:rsidR="00094E26" w:rsidRDefault="00094E26" w:rsidP="002C6A3B">
      <w:pPr>
        <w:pStyle w:val="Nivel3SM"/>
        <w:keepNext/>
      </w:pPr>
      <w:r>
        <w:t>Comentario crítico argumenta que:</w:t>
      </w:r>
    </w:p>
    <w:p w14:paraId="6D9393ED" w14:textId="3A0572EC" w:rsidR="00094E26" w:rsidRDefault="00094E26" w:rsidP="00094E26">
      <w:pPr>
        <w:pStyle w:val="Nivel4"/>
        <w:ind w:left="1474"/>
      </w:pPr>
      <w:r>
        <w:t>El hallazgo de convergencia incondicional es frágil y depende de la elección de los países y el período de tiempo.</w:t>
      </w:r>
    </w:p>
    <w:p w14:paraId="519ED3B3" w14:textId="576700A1" w:rsidR="00094E26" w:rsidRDefault="00094E26" w:rsidP="00094E26">
      <w:pPr>
        <w:pStyle w:val="Nivel4"/>
        <w:ind w:left="1474"/>
      </w:pPr>
      <w:r>
        <w:t>La convergencia institucional no es tan clara ni tan relevante como sugieren los autores, ya que hay muchos países que han mejorado sus instituciones pero no han crecido más rápido.</w:t>
      </w:r>
    </w:p>
    <w:p w14:paraId="552C4EEC" w14:textId="7E2D566E" w:rsidR="00094E26" w:rsidRDefault="00094E26" w:rsidP="00094E26">
      <w:pPr>
        <w:pStyle w:val="Nivel4"/>
        <w:ind w:left="1474"/>
      </w:pPr>
      <w:r>
        <w:t>La convergencia regional es más un reflejo de la heterogeneidad estructural que de las barreras al conocimiento y la tecnología, y no implica que los países pobres estén convergiendo hacia los ricos dentro de cada región.</w:t>
      </w:r>
    </w:p>
    <w:p w14:paraId="0A8558FB" w14:textId="11005880" w:rsidR="001C23CD" w:rsidRPr="001C23CD" w:rsidRDefault="001C23CD" w:rsidP="001C23CD">
      <w:pPr>
        <w:pStyle w:val="Cajadeanotaciones"/>
        <w:keepNext/>
        <w:spacing w:after="60"/>
        <w:jc w:val="center"/>
        <w:rPr>
          <w:b/>
          <w:bCs/>
          <w:i/>
          <w:iCs/>
        </w:rPr>
      </w:pPr>
      <w:r w:rsidRPr="001C23CD">
        <w:rPr>
          <w:b/>
          <w:bCs/>
          <w:i/>
          <w:iCs/>
        </w:rPr>
        <w:t>Enfoque no regresivo para demostrar la convergencia (σ</w:t>
      </w:r>
      <w:r w:rsidR="0077068B" w:rsidRPr="0077068B">
        <w:rPr>
          <w:b/>
          <w:bCs/>
          <w:i/>
          <w:iCs/>
          <w:sz w:val="2"/>
          <w:szCs w:val="2"/>
        </w:rPr>
        <w:t> </w:t>
      </w:r>
      <w:r w:rsidR="0077068B" w:rsidRPr="0077068B">
        <w:rPr>
          <w:b/>
          <w:bCs/>
          <w:i/>
          <w:iCs/>
        </w:rPr>
        <w:t>-</w:t>
      </w:r>
      <w:r w:rsidR="0077068B" w:rsidRPr="0077068B">
        <w:rPr>
          <w:b/>
          <w:bCs/>
          <w:i/>
          <w:iCs/>
          <w:sz w:val="2"/>
          <w:szCs w:val="2"/>
        </w:rPr>
        <w:t> </w:t>
      </w:r>
      <w:r w:rsidRPr="001C23CD">
        <w:rPr>
          <w:b/>
          <w:bCs/>
          <w:i/>
          <w:iCs/>
        </w:rPr>
        <w:t>convergence)</w:t>
      </w:r>
    </w:p>
    <w:p w14:paraId="38B342D1" w14:textId="6DE0AB99" w:rsidR="001C23CD" w:rsidRDefault="001C23CD" w:rsidP="001C23CD">
      <w:pPr>
        <w:pStyle w:val="Cajadeanotaciones"/>
      </w:pPr>
      <w:r>
        <w:t>Además, podría resultar interesante mencionar un enfoque alternativo para estudiar la existencia de convergencia. Este análisis consiste en examinar la variación en los niveles de renta per cápita en distintos momentos del tiempo. Si el nivel de variación, medido por la desviación estándar σ, baja a lo largo del tiempo, se dice que estamos en una situación de σ</w:t>
      </w:r>
      <w:r w:rsidR="0077068B" w:rsidRPr="00776AEE">
        <w:rPr>
          <w:sz w:val="2"/>
          <w:szCs w:val="2"/>
        </w:rPr>
        <w:t> </w:t>
      </w:r>
      <w:r w:rsidR="0077068B" w:rsidRPr="0026308C">
        <w:t>-</w:t>
      </w:r>
      <w:r w:rsidR="0077068B" w:rsidRPr="00776AEE">
        <w:rPr>
          <w:sz w:val="2"/>
          <w:szCs w:val="2"/>
        </w:rPr>
        <w:t> </w:t>
      </w:r>
      <w:r>
        <w:t>convergencia.</w:t>
      </w:r>
    </w:p>
    <w:p w14:paraId="4FF05F49" w14:textId="0E387ED8" w:rsidR="00EB1287" w:rsidRPr="00EB1287" w:rsidRDefault="001C23CD" w:rsidP="007B4A24">
      <w:pPr>
        <w:pStyle w:val="Cajadeanotaciones"/>
      </w:pPr>
      <w:r>
        <w:t xml:space="preserve">En vez de converger en momentos de primer orden como en la </w:t>
      </w:r>
      <w:r w:rsidR="0077068B" w:rsidRPr="00727081">
        <w:rPr>
          <w:i/>
          <w:iCs/>
        </w:rPr>
        <w:t>β</w:t>
      </w:r>
      <w:r w:rsidR="0077068B" w:rsidRPr="00776AEE">
        <w:rPr>
          <w:sz w:val="2"/>
          <w:szCs w:val="2"/>
        </w:rPr>
        <w:t> </w:t>
      </w:r>
      <w:r w:rsidR="0077068B" w:rsidRPr="0026308C">
        <w:t>-</w:t>
      </w:r>
      <w:r w:rsidR="0077068B" w:rsidRPr="00776AEE">
        <w:rPr>
          <w:sz w:val="2"/>
          <w:szCs w:val="2"/>
        </w:rPr>
        <w:t> </w:t>
      </w:r>
      <w:r>
        <w:t>convergencia converge en el momento de segundo orden.</w:t>
      </w:r>
    </w:p>
    <w:p w14:paraId="4A94C9CB" w14:textId="490BC5A7" w:rsidR="00606E13" w:rsidRDefault="00313ECF">
      <w:pPr>
        <w:pStyle w:val="Ttulo1"/>
      </w:pPr>
      <w:bookmarkStart w:id="66" w:name="_Toc129716235"/>
      <w:r>
        <w:t>IMPACTO DE LOS DISTINTOS FACTORES QUE INFLUYEN SOBRE EL CRECIMIENTO</w:t>
      </w:r>
      <w:bookmarkEnd w:id="66"/>
    </w:p>
    <w:p w14:paraId="748A11FC" w14:textId="5B7BA03C" w:rsidR="00313ECF" w:rsidRDefault="00313ECF">
      <w:pPr>
        <w:pStyle w:val="Ttulo2"/>
      </w:pPr>
      <w:bookmarkStart w:id="67" w:name="_Toc129716236"/>
      <w:r>
        <w:t>Idea</w:t>
      </w:r>
      <w:bookmarkEnd w:id="67"/>
    </w:p>
    <w:p w14:paraId="754A0DF2" w14:textId="2360A96C" w:rsidR="00313ECF" w:rsidRPr="00313ECF" w:rsidRDefault="00313ECF" w:rsidP="00C214AB">
      <w:pPr>
        <w:pStyle w:val="Nivel1SM"/>
        <w:keepNext/>
        <w:spacing w:before="0" w:after="0"/>
      </w:pPr>
      <w:r>
        <w:rPr>
          <w:lang w:val="es"/>
        </w:rPr>
        <w:t xml:space="preserve">Hasta ahora hemos centrado nuestra atención en las causas del crecimiento señaladas por la teoría del crecimiento económico </w:t>
      </w:r>
      <w:r w:rsidRPr="00313ECF">
        <w:rPr>
          <w:color w:val="767171" w:themeColor="background2" w:themeShade="80"/>
          <w:sz w:val="19"/>
          <w:szCs w:val="19"/>
          <w:lang w:val="es"/>
        </w:rPr>
        <w:t>[ver tema</w:t>
      </w:r>
      <w:r>
        <w:rPr>
          <w:color w:val="767171" w:themeColor="background2" w:themeShade="80"/>
          <w:sz w:val="19"/>
          <w:szCs w:val="19"/>
          <w:lang w:val="es"/>
        </w:rPr>
        <w:t>s</w:t>
      </w:r>
      <w:r w:rsidRPr="00313ECF">
        <w:rPr>
          <w:color w:val="767171" w:themeColor="background2" w:themeShade="80"/>
          <w:sz w:val="19"/>
          <w:szCs w:val="19"/>
          <w:lang w:val="es"/>
        </w:rPr>
        <w:t xml:space="preserve"> 3.A.4</w:t>
      </w:r>
      <w:r w:rsidR="00F53632">
        <w:rPr>
          <w:color w:val="767171" w:themeColor="background2" w:themeShade="80"/>
          <w:sz w:val="19"/>
          <w:szCs w:val="19"/>
          <w:lang w:val="es"/>
        </w:rPr>
        <w:t>3</w:t>
      </w:r>
      <w:r w:rsidRPr="00313ECF">
        <w:rPr>
          <w:color w:val="767171" w:themeColor="background2" w:themeShade="80"/>
          <w:sz w:val="19"/>
          <w:szCs w:val="19"/>
          <w:lang w:val="es"/>
        </w:rPr>
        <w:t xml:space="preserve"> y 3.A.4</w:t>
      </w:r>
      <w:r w:rsidR="00F53632">
        <w:rPr>
          <w:color w:val="767171" w:themeColor="background2" w:themeShade="80"/>
          <w:sz w:val="19"/>
          <w:szCs w:val="19"/>
          <w:lang w:val="es"/>
        </w:rPr>
        <w:t>4</w:t>
      </w:r>
      <w:r w:rsidRPr="00313ECF">
        <w:rPr>
          <w:color w:val="767171" w:themeColor="background2" w:themeShade="80"/>
          <w:sz w:val="19"/>
          <w:szCs w:val="19"/>
          <w:lang w:val="es"/>
        </w:rPr>
        <w:t>]</w:t>
      </w:r>
      <w:r>
        <w:rPr>
          <w:lang w:val="es"/>
        </w:rPr>
        <w:t>, como la acumulación de capital físico y capital humano o la tecnología. Pero estas son s</w:t>
      </w:r>
      <w:r w:rsidR="002E2B8D">
        <w:rPr>
          <w:lang w:val="es"/>
        </w:rPr>
        <w:t>ó</w:t>
      </w:r>
      <w:r>
        <w:rPr>
          <w:lang w:val="es"/>
        </w:rPr>
        <w:t xml:space="preserve">lo </w:t>
      </w:r>
      <w:r w:rsidRPr="00313ECF">
        <w:rPr>
          <w:b/>
          <w:bCs/>
          <w:lang w:val="es"/>
        </w:rPr>
        <w:t>causas próximas</w:t>
      </w:r>
      <w:r>
        <w:rPr>
          <w:lang w:val="es"/>
        </w:rPr>
        <w:t xml:space="preserve"> del crecimiento y el éxito económicos.</w:t>
      </w:r>
    </w:p>
    <w:p w14:paraId="5DF01D9F" w14:textId="77777777" w:rsidR="00313ECF" w:rsidRPr="00313ECF" w:rsidRDefault="00313ECF">
      <w:pPr>
        <w:pStyle w:val="Nivel2SM"/>
        <w:rPr>
          <w:spacing w:val="-2"/>
        </w:rPr>
      </w:pPr>
      <w:r w:rsidRPr="00313ECF">
        <w:rPr>
          <w:spacing w:val="-2"/>
          <w:lang w:val="es"/>
        </w:rPr>
        <w:t>No sería del todo satisfactorio explicar el proceso de crecimiento económico y las diferencias entre países con la tecnología, el capital físico y el capital humano, ya que presumiblemente hay razones por las que la tecnología, el capital físico y el capital humano difieren entre los países.</w:t>
      </w:r>
    </w:p>
    <w:p w14:paraId="70F2633F" w14:textId="77777777" w:rsidR="00C2348B" w:rsidRDefault="00313ECF">
      <w:pPr>
        <w:pStyle w:val="Nivel2SM"/>
        <w:keepNext/>
        <w:spacing w:after="0"/>
      </w:pPr>
      <w:r>
        <w:rPr>
          <w:lang w:val="es"/>
        </w:rPr>
        <w:t xml:space="preserve">Si estos factores son tan importantes para generar diferencias de ingresos entre países y causar el despegue hacia el crecimiento económico moderno, </w:t>
      </w:r>
      <w:r w:rsidRPr="00313ECF">
        <w:rPr>
          <w:i/>
          <w:iCs/>
          <w:lang w:val="es"/>
        </w:rPr>
        <w:t xml:space="preserve">¿por qué ciertas sociedades no mejoran sus tecnologías, invierten más en capital físico y acumulan más capital </w:t>
      </w:r>
      <w:r w:rsidRPr="00313ECF">
        <w:rPr>
          <w:i/>
          <w:iCs/>
        </w:rPr>
        <w:t>humano?</w:t>
      </w:r>
    </w:p>
    <w:p w14:paraId="213C6787" w14:textId="288427AA" w:rsidR="00313ECF" w:rsidRPr="00C2348B" w:rsidRDefault="00313ECF">
      <w:pPr>
        <w:pStyle w:val="Nivel3SM"/>
        <w:rPr>
          <w:spacing w:val="-4"/>
        </w:rPr>
      </w:pPr>
      <w:r w:rsidRPr="00C2348B">
        <w:rPr>
          <w:spacing w:val="-4"/>
        </w:rPr>
        <w:t xml:space="preserve">Responder a esta pregunta conlleva indagar en las </w:t>
      </w:r>
      <w:r w:rsidRPr="00C2348B">
        <w:rPr>
          <w:b/>
          <w:bCs/>
          <w:spacing w:val="-4"/>
        </w:rPr>
        <w:t>causas últimas</w:t>
      </w:r>
      <w:r w:rsidRPr="00C2348B">
        <w:rPr>
          <w:spacing w:val="-4"/>
        </w:rPr>
        <w:t xml:space="preserve"> del crecimiento económico.</w:t>
      </w:r>
    </w:p>
    <w:p w14:paraId="23A06627" w14:textId="78E053DD" w:rsidR="00313ECF" w:rsidRDefault="00C2348B">
      <w:pPr>
        <w:pStyle w:val="Nivel1SM"/>
      </w:pPr>
      <w:r>
        <w:t>Precisamente, una parte de la literatura se encarga del estudio de estos determinantes mediante la realización de regresiones.</w:t>
      </w:r>
    </w:p>
    <w:p w14:paraId="68EC9034" w14:textId="3369471C" w:rsidR="002C0C14" w:rsidRDefault="00C2348B">
      <w:pPr>
        <w:pStyle w:val="Ttulo2"/>
      </w:pPr>
      <w:bookmarkStart w:id="68" w:name="_Toc129716237"/>
      <w:r>
        <w:lastRenderedPageBreak/>
        <w:t xml:space="preserve">Análisis seminal de </w:t>
      </w:r>
      <w:r>
        <w:rPr>
          <w:smallCaps/>
        </w:rPr>
        <w:t>Robert Barro</w:t>
      </w:r>
      <w:r>
        <w:t xml:space="preserve"> (1991)</w:t>
      </w:r>
      <w:bookmarkEnd w:id="68"/>
    </w:p>
    <w:p w14:paraId="68D9BE48" w14:textId="60AE3E0D" w:rsidR="00C2348B" w:rsidRDefault="00C2348B" w:rsidP="00C214AB">
      <w:pPr>
        <w:pStyle w:val="Nivel1SM"/>
        <w:spacing w:before="0"/>
      </w:pPr>
      <w:r>
        <w:rPr>
          <w:smallCaps/>
        </w:rPr>
        <w:t>Robert Barro</w:t>
      </w:r>
      <w:r>
        <w:t xml:space="preserve"> (1991) realiza un estudio seminal sobre los determinantes empíricos de la tasa de crecimiento económico. Posteriormente, son muchas las regresiones que se han sucedido en esta abundante literatura.</w:t>
      </w:r>
    </w:p>
    <w:p w14:paraId="1BCB48A2" w14:textId="0A4C41E6" w:rsidR="00C2348B" w:rsidRDefault="00C2348B">
      <w:pPr>
        <w:pStyle w:val="Nivel1SM"/>
        <w:keepNext/>
        <w:spacing w:after="0"/>
      </w:pPr>
      <w:r>
        <w:t>La modelización, por tanto, es análoga a los trabajos de convergencia condicional.</w:t>
      </w:r>
    </w:p>
    <w:p w14:paraId="2A88D166" w14:textId="60A3321B" w:rsidR="00C2348B" w:rsidRPr="00C2348B" w:rsidRDefault="00000000" w:rsidP="002E2B8D">
      <w:pPr>
        <w:pStyle w:val="Nivel1SM"/>
        <w:keepNext/>
        <w:numPr>
          <w:ilvl w:val="0"/>
          <w:numId w:val="0"/>
        </w:numPr>
        <w:spacing w:before="0" w:after="0"/>
        <w:rPr>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acc>
            <m:accPr>
              <m:chr m:val="⃗"/>
              <m:ctrlPr>
                <w:rPr>
                  <w:rFonts w:ascii="Cambria Math" w:hAnsi="Cambria Math"/>
                  <w:i/>
                </w:rPr>
              </m:ctrlPr>
            </m:accPr>
            <m:e>
              <m:r>
                <m:rPr>
                  <m:nor/>
                </m:rPr>
                <w:rPr>
                  <w:i/>
                </w:rPr>
                <m:t>η</m:t>
              </m:r>
            </m:e>
          </m:acc>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iCs/>
                      <w:lang w:val="fr-FR"/>
                    </w:rPr>
                    <m:t>1</m:t>
                  </m:r>
                </m:sub>
              </m:sSub>
            </m:e>
          </m:ac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61FA8D1A" w14:textId="6613EE49" w:rsidR="00C2348B" w:rsidRDefault="00C2348B">
      <w:pPr>
        <w:pStyle w:val="Nivel2SM"/>
      </w:pPr>
      <w:r>
        <w:t>La variable dependiente será la tasa de crecimiento económico.</w:t>
      </w:r>
    </w:p>
    <w:p w14:paraId="25A951D2" w14:textId="6893D847" w:rsidR="00C2348B" w:rsidRDefault="00C2348B">
      <w:pPr>
        <w:pStyle w:val="Nivel2SM"/>
      </w:pPr>
      <w:r>
        <w:t xml:space="preserve">En las variables independientes se incluye el nivel de renta per cápita inicial para aislar los efectos de la convergencia y adicionalmente se incluye un vector de factores que recogen el impacto de otras variables, </w:t>
      </w:r>
      <m:oMath>
        <m:acc>
          <m:accPr>
            <m:chr m:val="⃗"/>
            <m:ctrlPr>
              <w:rPr>
                <w:rFonts w:ascii="Cambria Math" w:hAnsi="Cambria Math"/>
                <w:i/>
              </w:rPr>
            </m:ctrlPr>
          </m:accPr>
          <m:e>
            <m:r>
              <m:rPr>
                <m:nor/>
              </m:rPr>
              <w:rPr>
                <w:i/>
              </w:rPr>
              <m:t>x</m:t>
            </m:r>
          </m:e>
        </m:acc>
      </m:oMath>
      <w:r>
        <w:t>.</w:t>
      </w:r>
    </w:p>
    <w:p w14:paraId="58328745" w14:textId="790D2035" w:rsidR="00C2348B" w:rsidRDefault="00C2348B">
      <w:pPr>
        <w:pStyle w:val="Nivel2SM"/>
      </w:pPr>
      <w:r>
        <w:t>En las regresiones más ambiciosas se ha llegado a incluir hasta 50</w:t>
      </w:r>
      <w:r w:rsidR="002E2B8D">
        <w:t> </w:t>
      </w:r>
      <w:r>
        <w:t xml:space="preserve">variables. Por lo tanto, partiendo de un vector </w:t>
      </w:r>
      <m:oMath>
        <m:acc>
          <m:accPr>
            <m:chr m:val="⃗"/>
            <m:ctrlPr>
              <w:rPr>
                <w:rFonts w:ascii="Cambria Math" w:hAnsi="Cambria Math"/>
                <w:i/>
              </w:rPr>
            </m:ctrlPr>
          </m:accPr>
          <m:e>
            <m:r>
              <m:rPr>
                <m:nor/>
              </m:rPr>
              <w:rPr>
                <w:i/>
              </w:rPr>
              <m:t>x</m:t>
            </m:r>
          </m:e>
        </m:acc>
      </m:oMath>
      <w:r>
        <w:rPr>
          <w:rFonts w:eastAsiaTheme="minorEastAsia"/>
        </w:rPr>
        <w:t xml:space="preserve"> deberá encontrarse un equilibrio entre la necesaria mejora de la calidad de la regresión (medida por el </w:t>
      </w:r>
      <m:oMath>
        <m:sSup>
          <m:sSupPr>
            <m:ctrlPr>
              <w:rPr>
                <w:rFonts w:ascii="Cambria Math" w:eastAsiaTheme="minorEastAsia" w:hAnsi="Cambria Math"/>
                <w:i/>
              </w:rPr>
            </m:ctrlPr>
          </m:sSupPr>
          <m:e>
            <m:r>
              <m:rPr>
                <m:nor/>
              </m:rPr>
              <w:rPr>
                <w:rFonts w:eastAsiaTheme="minorEastAsia"/>
                <w:i/>
              </w:rPr>
              <m:t>R</m:t>
            </m:r>
          </m:e>
          <m:sup>
            <m:r>
              <m:rPr>
                <m:nor/>
              </m:rPr>
              <w:rPr>
                <w:rFonts w:eastAsiaTheme="minorEastAsia"/>
                <w:i/>
              </w:rPr>
              <m:t>2</m:t>
            </m:r>
          </m:sup>
        </m:sSup>
      </m:oMath>
      <w:r>
        <w:rPr>
          <w:rFonts w:eastAsiaTheme="minorEastAsia"/>
        </w:rPr>
        <w:t xml:space="preserve"> ajustado) y la excesiva complejidad de la misma.</w:t>
      </w:r>
    </w:p>
    <w:p w14:paraId="059C5D8F" w14:textId="2709C2E0" w:rsidR="00C2348B" w:rsidRDefault="00C2348B">
      <w:pPr>
        <w:pStyle w:val="Nivel1SM"/>
        <w:keepNext/>
        <w:spacing w:after="0"/>
      </w:pPr>
      <w:r>
        <w:rPr>
          <w:smallCaps/>
        </w:rPr>
        <w:t>Barro</w:t>
      </w:r>
      <w:r>
        <w:t xml:space="preserve"> (1991) realiza el análisis para 130</w:t>
      </w:r>
      <w:r w:rsidR="002E2B8D">
        <w:t> </w:t>
      </w:r>
      <w:r>
        <w:t>países de todo el mundo entre 1960 y 1985 y realiza 5</w:t>
      </w:r>
      <w:r w:rsidR="002E2B8D">
        <w:t> </w:t>
      </w:r>
      <w:r>
        <w:t>regresiones:</w:t>
      </w:r>
    </w:p>
    <w:p w14:paraId="4E51A6CB" w14:textId="50F21AC1" w:rsidR="00C2348B" w:rsidRDefault="00941B06">
      <w:pPr>
        <w:pStyle w:val="Prrafodelista"/>
        <w:keepNext/>
        <w:numPr>
          <w:ilvl w:val="1"/>
          <w:numId w:val="21"/>
        </w:numPr>
        <w:spacing w:after="0"/>
        <w:ind w:left="568" w:hanging="284"/>
      </w:pPr>
      <w:r>
        <w:t xml:space="preserve">En la </w:t>
      </w:r>
      <w:r w:rsidRPr="00941B06">
        <w:rPr>
          <w:b/>
          <w:bCs/>
        </w:rPr>
        <w:t>primera regresión</w:t>
      </w:r>
      <w:r>
        <w:t xml:space="preserve"> sólo realizan una regresión en función del nivel de PIB per cápita inicial para medir la convergencia absoluta entre países y controla por ningún factor adicional:</w:t>
      </w:r>
    </w:p>
    <w:p w14:paraId="3FBAAA80" w14:textId="58738451" w:rsidR="00941B06" w:rsidRPr="00B83A86" w:rsidRDefault="00000000" w:rsidP="00941B06">
      <w:pPr>
        <w:pStyle w:val="Prrafodelista"/>
        <w:spacing w:after="100"/>
        <w:ind w:left="568"/>
        <w:rPr>
          <w:rFonts w:eastAsiaTheme="minorEastAsia"/>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62A80D49" w14:textId="0F3DAB75" w:rsidR="00941B06" w:rsidRPr="00941B06" w:rsidRDefault="00941B06" w:rsidP="00941B06">
      <w:pPr>
        <w:pStyle w:val="Prrafodelista"/>
        <w:spacing w:after="100"/>
        <w:ind w:left="568"/>
        <w:rPr>
          <w:iCs/>
        </w:rPr>
      </w:pPr>
      <w:r w:rsidRPr="00941B06">
        <w:rPr>
          <w:iCs/>
        </w:rPr>
        <w:t>Como ya hemos comentado, e</w:t>
      </w:r>
      <w:r>
        <w:rPr>
          <w:iCs/>
        </w:rPr>
        <w:t xml:space="preserve">n esta regresión habitualmente se encuentra evidencia contraria a la convergencia absoluta y lo mismo sucede en la muestra utilizada por </w:t>
      </w:r>
      <w:r>
        <w:rPr>
          <w:iCs/>
          <w:smallCaps/>
        </w:rPr>
        <w:t>Barro</w:t>
      </w:r>
      <w:r>
        <w:rPr>
          <w:iCs/>
        </w:rPr>
        <w:t>.</w:t>
      </w:r>
    </w:p>
    <w:p w14:paraId="6EACF8D2" w14:textId="5127807F" w:rsidR="00C2348B" w:rsidRDefault="00941B06">
      <w:pPr>
        <w:pStyle w:val="Prrafodelista"/>
        <w:numPr>
          <w:ilvl w:val="1"/>
          <w:numId w:val="21"/>
        </w:numPr>
        <w:spacing w:after="100"/>
        <w:ind w:left="568" w:hanging="284"/>
      </w:pPr>
      <w:r>
        <w:t xml:space="preserve">En la </w:t>
      </w:r>
      <w:r w:rsidRPr="00941B06">
        <w:rPr>
          <w:b/>
          <w:bCs/>
        </w:rPr>
        <w:t>segunda regresión</w:t>
      </w:r>
      <w:r>
        <w:t xml:space="preserve"> controla por 5</w:t>
      </w:r>
      <w:r w:rsidR="00094E26">
        <w:t> </w:t>
      </w:r>
      <w:r>
        <w:t>variables:</w:t>
      </w:r>
    </w:p>
    <w:p w14:paraId="1F9288D2" w14:textId="697C2E4E" w:rsidR="00941B06" w:rsidRDefault="00941B06">
      <w:pPr>
        <w:pStyle w:val="Prrafodelista"/>
        <w:numPr>
          <w:ilvl w:val="2"/>
          <w:numId w:val="21"/>
        </w:numPr>
        <w:spacing w:after="100"/>
        <w:ind w:left="992" w:hanging="113"/>
      </w:pPr>
      <w:r>
        <w:t xml:space="preserve">El </w:t>
      </w:r>
      <w:r w:rsidRPr="00941B06">
        <w:rPr>
          <w:i/>
          <w:iCs/>
          <w:u w:val="single"/>
        </w:rPr>
        <w:t>nivel de PIB per cápita inicial</w:t>
      </w:r>
      <w:r>
        <w:t xml:space="preserve"> para medir la convergencia entre países, al igual que en la primera regresión.</w:t>
      </w:r>
      <w:r w:rsidR="00F54CE2">
        <w:t xml:space="preserve"> Al controlar por el resto de variables, el coeficiente </w:t>
      </w:r>
      <m:oMath>
        <m:sSub>
          <m:sSubPr>
            <m:ctrlPr>
              <w:rPr>
                <w:rFonts w:ascii="Cambria Math" w:hAnsi="Cambria Math"/>
                <w:i/>
              </w:rPr>
            </m:ctrlPr>
          </m:sSubPr>
          <m:e>
            <m:r>
              <m:rPr>
                <m:nor/>
              </m:rPr>
              <w:rPr>
                <w:i/>
              </w:rPr>
              <m:t>β</m:t>
            </m:r>
          </m:e>
          <m:sub>
            <m:r>
              <m:rPr>
                <m:nor/>
              </m:rPr>
              <w:rPr>
                <w:i/>
              </w:rPr>
              <m:t>1</m:t>
            </m:r>
          </m:sub>
        </m:sSub>
      </m:oMath>
      <w:r w:rsidR="00F54CE2">
        <w:rPr>
          <w:rFonts w:eastAsiaTheme="minorEastAsia"/>
        </w:rPr>
        <w:t xml:space="preserve"> se vuelve significativamente negativo, con lo que se puede aceptar la hipótesis de convergencia condicional.</w:t>
      </w:r>
    </w:p>
    <w:p w14:paraId="06708C3C" w14:textId="243A824B" w:rsidR="00941B06" w:rsidRPr="00941B06" w:rsidRDefault="00941B06">
      <w:pPr>
        <w:pStyle w:val="Prrafodelista"/>
        <w:numPr>
          <w:ilvl w:val="2"/>
          <w:numId w:val="21"/>
        </w:numPr>
        <w:spacing w:after="100"/>
        <w:ind w:left="992" w:hanging="113"/>
      </w:pPr>
      <w:r w:rsidRPr="00941B06">
        <w:rPr>
          <w:i/>
          <w:iCs/>
          <w:u w:val="single"/>
        </w:rPr>
        <w:t>Coeficientes de escolarización primaria y secundaria</w:t>
      </w:r>
      <w:r>
        <w:t xml:space="preserve"> como </w:t>
      </w:r>
      <w:r>
        <w:rPr>
          <w:i/>
          <w:iCs/>
        </w:rPr>
        <w:t>proxy</w:t>
      </w:r>
      <w:r>
        <w:t xml:space="preserve"> de la inversión en capital humano. Encuentra que los coeficientes son positivos, indicando que la educación ha tenido un efecto positivo sobre el crecimiento de la economía.</w:t>
      </w:r>
    </w:p>
    <w:p w14:paraId="7BD843C3" w14:textId="17908261" w:rsidR="00941B06" w:rsidRPr="00330F9D" w:rsidRDefault="00941B06">
      <w:pPr>
        <w:pStyle w:val="Prrafodelista"/>
        <w:numPr>
          <w:ilvl w:val="2"/>
          <w:numId w:val="21"/>
        </w:numPr>
        <w:spacing w:after="100"/>
        <w:ind w:left="992" w:hanging="113"/>
        <w:rPr>
          <w:spacing w:val="-2"/>
        </w:rPr>
      </w:pPr>
      <w:r w:rsidRPr="00330F9D">
        <w:rPr>
          <w:i/>
          <w:iCs/>
          <w:spacing w:val="-2"/>
          <w:u w:val="single"/>
        </w:rPr>
        <w:t>Consumo público como fracción del P</w:t>
      </w:r>
      <w:r w:rsidR="00F54CE2" w:rsidRPr="00330F9D">
        <w:rPr>
          <w:i/>
          <w:iCs/>
          <w:spacing w:val="-2"/>
          <w:u w:val="single"/>
        </w:rPr>
        <w:t>I</w:t>
      </w:r>
      <w:r w:rsidRPr="00330F9D">
        <w:rPr>
          <w:i/>
          <w:iCs/>
          <w:spacing w:val="-2"/>
          <w:u w:val="single"/>
        </w:rPr>
        <w:t>B</w:t>
      </w:r>
      <w:r w:rsidRPr="00330F9D">
        <w:rPr>
          <w:i/>
          <w:iCs/>
          <w:spacing w:val="-2"/>
        </w:rPr>
        <w:t xml:space="preserve"> (excluyendo gasto </w:t>
      </w:r>
      <w:r w:rsidR="00F54CE2" w:rsidRPr="00330F9D">
        <w:rPr>
          <w:i/>
          <w:iCs/>
          <w:spacing w:val="-2"/>
        </w:rPr>
        <w:t>en educación y gasto militar)</w:t>
      </w:r>
      <w:r w:rsidR="00F54CE2" w:rsidRPr="00330F9D">
        <w:rPr>
          <w:spacing w:val="-2"/>
        </w:rPr>
        <w:t>, de forma que se recogen partidas de gasto que no afectan a la productividad y que distorsionen las decisiones privadas. Encuentra un efecto negativo, indicando que un mayor gasto (asociado a una mayor imposición fiscal) merma el crecimiento de las economías a largo plazo.</w:t>
      </w:r>
    </w:p>
    <w:p w14:paraId="027F0011" w14:textId="598A2DFB" w:rsidR="00941B06" w:rsidRDefault="00F54CE2">
      <w:pPr>
        <w:pStyle w:val="Prrafodelista"/>
        <w:numPr>
          <w:ilvl w:val="2"/>
          <w:numId w:val="21"/>
        </w:numPr>
        <w:spacing w:after="100"/>
        <w:ind w:left="992" w:hanging="113"/>
      </w:pPr>
      <w:r>
        <w:rPr>
          <w:i/>
          <w:iCs/>
          <w:u w:val="single"/>
        </w:rPr>
        <w:t>Inflación</w:t>
      </w:r>
      <w:r>
        <w:t>, para la cual encuentra un impacto negativo pequeño pero significativo que se mantiene a lo largo de los años</w:t>
      </w:r>
      <w:r>
        <w:rPr>
          <w:rStyle w:val="Refdenotaalpie"/>
        </w:rPr>
        <w:footnoteReference w:id="19"/>
      </w:r>
      <w:r>
        <w:t xml:space="preserve">. Posteriormente, otros autores como </w:t>
      </w:r>
      <w:r>
        <w:rPr>
          <w:smallCaps/>
        </w:rPr>
        <w:t>Sala-i-Martín</w:t>
      </w:r>
      <w:r>
        <w:t xml:space="preserve"> encuentran un efecto nulo.</w:t>
      </w:r>
    </w:p>
    <w:p w14:paraId="71224D96" w14:textId="59FA6F05" w:rsidR="00941B06" w:rsidRDefault="00F54CE2">
      <w:pPr>
        <w:pStyle w:val="Prrafodelista"/>
        <w:numPr>
          <w:ilvl w:val="2"/>
          <w:numId w:val="21"/>
        </w:numPr>
        <w:spacing w:after="100"/>
        <w:ind w:left="992" w:hanging="113"/>
      </w:pPr>
      <w:r>
        <w:rPr>
          <w:i/>
          <w:iCs/>
          <w:u w:val="single"/>
        </w:rPr>
        <w:t xml:space="preserve">Variables </w:t>
      </w:r>
      <w:r w:rsidRPr="00F54CE2">
        <w:rPr>
          <w:i/>
          <w:iCs/>
          <w:u w:val="single"/>
        </w:rPr>
        <w:t>sociales</w:t>
      </w:r>
      <w:r w:rsidRPr="00F54CE2">
        <w:rPr>
          <w:i/>
          <w:iCs/>
        </w:rPr>
        <w:t xml:space="preserve"> (asesina</w:t>
      </w:r>
      <w:r>
        <w:rPr>
          <w:i/>
          <w:iCs/>
        </w:rPr>
        <w:t>t</w:t>
      </w:r>
      <w:r w:rsidRPr="00F54CE2">
        <w:rPr>
          <w:i/>
          <w:iCs/>
        </w:rPr>
        <w:t>os, revoluciones y golpes militares durante el período muestral)</w:t>
      </w:r>
      <w:r>
        <w:t>, lo que refleja la importancia del mantenimiento de la ley y el orden.</w:t>
      </w:r>
    </w:p>
    <w:p w14:paraId="2E15C0E7" w14:textId="1195D991" w:rsidR="00941B06" w:rsidRPr="00941B06" w:rsidRDefault="00941B06" w:rsidP="00941B06">
      <w:pPr>
        <w:pStyle w:val="Prrafodelista"/>
        <w:keepNext/>
        <w:spacing w:after="100"/>
        <w:ind w:left="567"/>
      </w:pPr>
      <w:r w:rsidRPr="00941B06">
        <w:t>De este modo, la r</w:t>
      </w:r>
      <w:r>
        <w:t>egresión estimada es la siguiente:</w:t>
      </w:r>
    </w:p>
    <w:p w14:paraId="1F503A80" w14:textId="74827C30" w:rsidR="00941B06" w:rsidRPr="00F25592" w:rsidRDefault="00000000" w:rsidP="00941B06">
      <w:pPr>
        <w:pStyle w:val="Prrafodelista"/>
        <w:spacing w:after="100"/>
        <w:ind w:left="568"/>
        <w:rPr>
          <w:rFonts w:eastAsiaTheme="minorEastAsia"/>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2</m:t>
              </m:r>
            </m:sub>
          </m:sSub>
          <m:r>
            <w:rPr>
              <w:rFonts w:ascii="Cambria Math" w:hAnsi="Cambria Math"/>
              <w:lang w:val="fr-FR"/>
            </w:rPr>
            <m:t>∙</m:t>
          </m:r>
          <m:r>
            <m:rPr>
              <m:nor/>
            </m:rPr>
            <w:rPr>
              <w:i/>
              <w:iCs/>
              <w:lang w:val="fr-FR"/>
            </w:rPr>
            <m:t>Escol</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3</m:t>
              </m:r>
            </m:sub>
          </m:sSub>
          <m:r>
            <w:rPr>
              <w:rFonts w:ascii="Cambria Math" w:hAnsi="Cambria Math"/>
              <w:lang w:val="fr-FR"/>
            </w:rPr>
            <m:t>∙</m:t>
          </m:r>
          <m:r>
            <m:rPr>
              <m:nor/>
            </m:rPr>
            <w:rPr>
              <w:i/>
              <w:lang w:val="fr-FR"/>
            </w:rPr>
            <m:t>ConsPúb</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4</m:t>
              </m:r>
            </m:sub>
          </m:sSub>
          <m:r>
            <w:rPr>
              <w:rFonts w:ascii="Cambria Math" w:hAnsi="Cambria Math"/>
              <w:lang w:val="fr-FR"/>
            </w:rPr>
            <m:t>∙</m:t>
          </m:r>
          <m:r>
            <m:rPr>
              <m:nor/>
            </m:rPr>
            <w:rPr>
              <w:i/>
              <w:lang w:val="fr-FR"/>
            </w:rPr>
            <m:t>Infl</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5</m:t>
              </m:r>
            </m:sub>
          </m:sSub>
          <m:r>
            <w:rPr>
              <w:rFonts w:ascii="Cambria Math" w:hAnsi="Cambria Math"/>
              <w:lang w:val="fr-FR"/>
            </w:rPr>
            <m:t>∙</m:t>
          </m:r>
          <m:r>
            <m:rPr>
              <m:nor/>
            </m:rPr>
            <w:rPr>
              <w:i/>
              <w:lang w:val="fr-FR"/>
            </w:rPr>
            <m:t>Crime</m:t>
          </m:r>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580CC9FF" w14:textId="003B3B79" w:rsidR="00941B06" w:rsidRDefault="00941B06">
      <w:pPr>
        <w:pStyle w:val="Prrafodelista"/>
        <w:numPr>
          <w:ilvl w:val="1"/>
          <w:numId w:val="21"/>
        </w:numPr>
        <w:spacing w:after="100"/>
        <w:ind w:left="568" w:hanging="284"/>
      </w:pPr>
      <w:r>
        <w:t xml:space="preserve">En la </w:t>
      </w:r>
      <w:r w:rsidRPr="000D6481">
        <w:rPr>
          <w:b/>
          <w:bCs/>
        </w:rPr>
        <w:t>tercera regresión</w:t>
      </w:r>
      <w:r>
        <w:t xml:space="preserve"> trata de mejorar el ajuste de la regresión anterior incluyendo</w:t>
      </w:r>
      <w:r w:rsidR="000D6481">
        <w:t xml:space="preserve"> una variable </w:t>
      </w:r>
      <w:r w:rsidR="000D6481" w:rsidRPr="000D6481">
        <w:rPr>
          <w:i/>
          <w:iCs/>
        </w:rPr>
        <w:t>dummy</w:t>
      </w:r>
      <w:r w:rsidR="000D6481">
        <w:t xml:space="preserve"> para países de África y América Latina</w:t>
      </w:r>
      <w:r>
        <w:t>:</w:t>
      </w:r>
    </w:p>
    <w:p w14:paraId="0E78BBBF" w14:textId="32EE3107" w:rsidR="00941B06" w:rsidRPr="00F25592" w:rsidRDefault="00000000" w:rsidP="00941B06">
      <w:pPr>
        <w:pStyle w:val="Prrafodelista"/>
        <w:spacing w:after="100"/>
        <w:ind w:left="568"/>
        <w:rPr>
          <w:rFonts w:eastAsiaTheme="minorEastAsia"/>
        </w:rPr>
      </w:pPr>
      <m:oMathPara>
        <m:oMath>
          <m:sSubSup>
            <m:sSubSupPr>
              <m:ctrlPr>
                <w:rPr>
                  <w:rFonts w:ascii="Cambria Math" w:hAnsi="Cambria Math"/>
                  <w:i/>
                </w:rPr>
              </m:ctrlPr>
            </m:sSubSupPr>
            <m:e>
              <m:r>
                <m:rPr>
                  <m:nor/>
                </m:rPr>
                <w:rPr>
                  <w:i/>
                </w:rPr>
                <m:t>γ</m:t>
              </m:r>
            </m:e>
            <m:sub>
              <m:r>
                <m:rPr>
                  <m:nor/>
                </m:rPr>
                <w:rPr>
                  <w:i/>
                </w:rPr>
                <m:t>t, t</m:t>
              </m:r>
              <m:r>
                <m:rPr>
                  <m:sty m:val="p"/>
                </m:rPr>
                <w:rPr>
                  <w:rFonts w:ascii="Cambria Math" w:hAnsi="Cambria Math"/>
                </w:rPr>
                <m:t>-</m:t>
              </m:r>
              <m:r>
                <m:rPr>
                  <m:nor/>
                </m:rPr>
                <w:rPr>
                  <w:i/>
                </w:rPr>
                <m:t>1</m:t>
              </m:r>
            </m:sub>
            <m:sup>
              <m:r>
                <m:rPr>
                  <m:nor/>
                </m:rPr>
                <w:rPr>
                  <w:i/>
                </w:rPr>
                <m:t>y</m:t>
              </m:r>
            </m:sup>
          </m:sSubSup>
          <m:r>
            <w:rPr>
              <w:rFonts w:ascii="Cambria Math" w:hAnsi="Cambria Math"/>
            </w:rPr>
            <m:t>=</m:t>
          </m:r>
          <m:sSub>
            <m:sSubPr>
              <m:ctrlPr>
                <w:rPr>
                  <w:rFonts w:ascii="Cambria Math" w:hAnsi="Cambria Math"/>
                  <w:i/>
                </w:rPr>
              </m:ctrlPr>
            </m:sSubPr>
            <m:e>
              <m:r>
                <m:rPr>
                  <m:nor/>
                </m:rPr>
                <w:rPr>
                  <w:i/>
                </w:rPr>
                <m:t>β</m:t>
              </m:r>
            </m:e>
            <m:sub>
              <m:r>
                <m:rPr>
                  <m:nor/>
                </m:rPr>
                <w:rPr>
                  <w:i/>
                </w:rPr>
                <m:t>0</m:t>
              </m:r>
            </m:sub>
          </m:sSub>
          <m:r>
            <w:rPr>
              <w:rFonts w:ascii="Cambria Math" w:hAnsi="Cambria Math"/>
            </w:rPr>
            <m:t>+</m:t>
          </m:r>
          <m:sSub>
            <m:sSubPr>
              <m:ctrlPr>
                <w:rPr>
                  <w:rFonts w:ascii="Cambria Math" w:hAnsi="Cambria Math"/>
                  <w:i/>
                </w:rPr>
              </m:ctrlPr>
            </m:sSubPr>
            <m:e>
              <m:r>
                <m:rPr>
                  <m:nor/>
                </m:rPr>
                <w:rPr>
                  <w:i/>
                </w:rPr>
                <m:t>β</m:t>
              </m:r>
            </m:e>
            <m:sub>
              <m:r>
                <m:rPr>
                  <m:nor/>
                </m:rPr>
                <w:rPr>
                  <w:i/>
                </w:rPr>
                <m:t>1</m:t>
              </m:r>
            </m:sub>
          </m:sSub>
          <m:r>
            <w:rPr>
              <w:rFonts w:ascii="Cambria Math" w:hAnsi="Cambria Math"/>
            </w:rPr>
            <m:t>∙</m:t>
          </m:r>
          <m:func>
            <m:funcPr>
              <m:ctrlPr>
                <w:rPr>
                  <w:rFonts w:ascii="Cambria Math" w:hAnsi="Cambria Math"/>
                  <w:i/>
                </w:rPr>
              </m:ctrlPr>
            </m:funcPr>
            <m:fName>
              <m:r>
                <m:rPr>
                  <m:nor/>
                </m:rPr>
                <w:rPr>
                  <w:i/>
                </w:rPr>
                <m:t>ln</m:t>
              </m:r>
            </m:fName>
            <m:e>
              <m:d>
                <m:dPr>
                  <m:ctrlPr>
                    <w:rPr>
                      <w:rFonts w:ascii="Cambria Math" w:hAnsi="Cambria Math"/>
                      <w:i/>
                    </w:rPr>
                  </m:ctrlPr>
                </m:dPr>
                <m:e>
                  <m:sSub>
                    <m:sSubPr>
                      <m:ctrlPr>
                        <w:rPr>
                          <w:rFonts w:ascii="Cambria Math" w:hAnsi="Cambria Math"/>
                          <w:i/>
                        </w:rPr>
                      </m:ctrlPr>
                    </m:sSubPr>
                    <m:e>
                      <m:r>
                        <m:rPr>
                          <m:nor/>
                        </m:rPr>
                        <w:rPr>
                          <w:i/>
                        </w:rPr>
                        <m:t>y</m:t>
                      </m:r>
                    </m:e>
                    <m:sub>
                      <m:r>
                        <m:rPr>
                          <m:nor/>
                        </m:rPr>
                        <w:rPr>
                          <w:i/>
                        </w:rPr>
                        <m:t>t</m:t>
                      </m:r>
                      <m:r>
                        <w:rPr>
                          <w:rFonts w:ascii="Cambria Math" w:hAnsi="Cambria Math"/>
                        </w:rPr>
                        <m:t>-</m:t>
                      </m:r>
                      <m:r>
                        <m:rPr>
                          <m:nor/>
                        </m:rPr>
                        <w:rPr>
                          <w:i/>
                          <w:iCs/>
                        </w:rPr>
                        <m:t>1</m:t>
                      </m:r>
                    </m:sub>
                  </m:sSub>
                </m:e>
              </m:d>
            </m:e>
          </m:func>
          <m:r>
            <w:rPr>
              <w:rFonts w:ascii="Cambria Math" w:hAnsi="Cambria Math"/>
            </w:rPr>
            <m:t>+</m:t>
          </m:r>
          <m:sSub>
            <m:sSubPr>
              <m:ctrlPr>
                <w:rPr>
                  <w:rFonts w:ascii="Cambria Math" w:hAnsi="Cambria Math"/>
                  <w:i/>
                </w:rPr>
              </m:ctrlPr>
            </m:sSubPr>
            <m:e>
              <m:r>
                <m:rPr>
                  <m:nor/>
                </m:rPr>
                <w:rPr>
                  <w:i/>
                </w:rPr>
                <m:t>β</m:t>
              </m:r>
            </m:e>
            <m:sub>
              <m:r>
                <m:rPr>
                  <m:nor/>
                </m:rPr>
                <w:rPr>
                  <w:i/>
                </w:rPr>
                <m:t>2</m:t>
              </m:r>
            </m:sub>
          </m:sSub>
          <m:r>
            <w:rPr>
              <w:rFonts w:ascii="Cambria Math" w:hAnsi="Cambria Math"/>
            </w:rPr>
            <m:t>∙</m:t>
          </m:r>
          <m:r>
            <m:rPr>
              <m:nor/>
            </m:rPr>
            <w:rPr>
              <w:i/>
              <w:iCs/>
            </w:rPr>
            <m:t>Escol</m:t>
          </m:r>
          <m:r>
            <w:rPr>
              <w:rFonts w:ascii="Cambria Math" w:hAnsi="Cambria Math"/>
            </w:rPr>
            <m:t>+</m:t>
          </m:r>
          <m:sSub>
            <m:sSubPr>
              <m:ctrlPr>
                <w:rPr>
                  <w:rFonts w:ascii="Cambria Math" w:hAnsi="Cambria Math"/>
                  <w:i/>
                </w:rPr>
              </m:ctrlPr>
            </m:sSubPr>
            <m:e>
              <m:r>
                <m:rPr>
                  <m:nor/>
                </m:rPr>
                <w:rPr>
                  <w:i/>
                </w:rPr>
                <m:t>β</m:t>
              </m:r>
            </m:e>
            <m:sub>
              <m:r>
                <m:rPr>
                  <m:nor/>
                </m:rPr>
                <w:rPr>
                  <w:i/>
                </w:rPr>
                <m:t>3</m:t>
              </m:r>
            </m:sub>
          </m:sSub>
          <m:r>
            <w:rPr>
              <w:rFonts w:ascii="Cambria Math" w:hAnsi="Cambria Math"/>
            </w:rPr>
            <m:t>∙</m:t>
          </m:r>
          <m:r>
            <m:rPr>
              <m:nor/>
            </m:rPr>
            <w:rPr>
              <w:i/>
            </w:rPr>
            <m:t>ConsPúb</m:t>
          </m:r>
          <m:r>
            <w:rPr>
              <w:rFonts w:ascii="Cambria Math" w:hAnsi="Cambria Math"/>
            </w:rPr>
            <m:t>+</m:t>
          </m:r>
          <m:sSub>
            <m:sSubPr>
              <m:ctrlPr>
                <w:rPr>
                  <w:rFonts w:ascii="Cambria Math" w:hAnsi="Cambria Math"/>
                  <w:i/>
                </w:rPr>
              </m:ctrlPr>
            </m:sSubPr>
            <m:e>
              <m:r>
                <m:rPr>
                  <m:nor/>
                </m:rPr>
                <w:rPr>
                  <w:i/>
                </w:rPr>
                <m:t>β</m:t>
              </m:r>
            </m:e>
            <m:sub>
              <m:r>
                <m:rPr>
                  <m:nor/>
                </m:rPr>
                <w:rPr>
                  <w:i/>
                </w:rPr>
                <m:t>4</m:t>
              </m:r>
            </m:sub>
          </m:sSub>
          <m:r>
            <w:rPr>
              <w:rFonts w:ascii="Cambria Math" w:hAnsi="Cambria Math"/>
            </w:rPr>
            <m:t>∙</m:t>
          </m:r>
          <m:r>
            <m:rPr>
              <m:nor/>
            </m:rPr>
            <w:rPr>
              <w:i/>
            </w:rPr>
            <m:t>Infl</m:t>
          </m:r>
          <m:r>
            <w:rPr>
              <w:rFonts w:ascii="Cambria Math" w:hAnsi="Cambria Math"/>
            </w:rPr>
            <m:t>+</m:t>
          </m:r>
          <m:sSub>
            <m:sSubPr>
              <m:ctrlPr>
                <w:rPr>
                  <w:rFonts w:ascii="Cambria Math" w:hAnsi="Cambria Math"/>
                  <w:i/>
                </w:rPr>
              </m:ctrlPr>
            </m:sSubPr>
            <m:e>
              <m:r>
                <m:rPr>
                  <m:nor/>
                </m:rPr>
                <w:rPr>
                  <w:i/>
                </w:rPr>
                <m:t>β</m:t>
              </m:r>
            </m:e>
            <m:sub>
              <m:r>
                <m:rPr>
                  <m:nor/>
                </m:rPr>
                <w:rPr>
                  <w:i/>
                </w:rPr>
                <m:t>5</m:t>
              </m:r>
            </m:sub>
          </m:sSub>
          <m:r>
            <w:rPr>
              <w:rFonts w:ascii="Cambria Math" w:hAnsi="Cambria Math"/>
            </w:rPr>
            <m:t>∙</m:t>
          </m:r>
          <m:r>
            <m:rPr>
              <m:nor/>
            </m:rPr>
            <w:rPr>
              <w:i/>
            </w:rPr>
            <m:t>Crime</m:t>
          </m:r>
          <m:r>
            <w:rPr>
              <w:rFonts w:ascii="Cambria Math" w:hAnsi="Cambria Math"/>
            </w:rPr>
            <m:t>+</m:t>
          </m:r>
          <m:sSub>
            <m:sSubPr>
              <m:ctrlPr>
                <w:rPr>
                  <w:rFonts w:ascii="Cambria Math" w:hAnsi="Cambria Math"/>
                  <w:i/>
                </w:rPr>
              </m:ctrlPr>
            </m:sSubPr>
            <m:e>
              <m:r>
                <m:rPr>
                  <m:nor/>
                </m:rPr>
                <w:rPr>
                  <w:i/>
                </w:rPr>
                <m:t>β</m:t>
              </m:r>
            </m:e>
            <m:sub>
              <m:r>
                <m:rPr>
                  <m:nor/>
                </m:rPr>
                <w:rPr>
                  <w:i/>
                </w:rPr>
                <m:t>6</m:t>
              </m:r>
            </m:sub>
          </m:sSub>
          <m:r>
            <w:rPr>
              <w:rFonts w:ascii="Cambria Math" w:hAnsi="Cambria Math"/>
            </w:rPr>
            <m:t>∙</m:t>
          </m:r>
          <m:r>
            <m:rPr>
              <m:nor/>
            </m:rPr>
            <w:rPr>
              <w:i/>
            </w:rPr>
            <m:t>Áfr/AmLat</m:t>
          </m:r>
          <m:r>
            <w:rPr>
              <w:rFonts w:ascii="Cambria Math" w:hAnsi="Cambria Math"/>
            </w:rPr>
            <m:t>+</m:t>
          </m:r>
          <m:sSub>
            <m:sSubPr>
              <m:ctrlPr>
                <w:rPr>
                  <w:rFonts w:ascii="Cambria Math" w:hAnsi="Cambria Math"/>
                  <w:i/>
                </w:rPr>
              </m:ctrlPr>
            </m:sSubPr>
            <m:e>
              <m:r>
                <m:rPr>
                  <m:nor/>
                </m:rPr>
                <w:rPr>
                  <w:i/>
                </w:rPr>
                <m:t>u</m:t>
              </m:r>
            </m:e>
            <m:sub>
              <m:r>
                <m:rPr>
                  <m:nor/>
                </m:rPr>
                <w:rPr>
                  <w:i/>
                </w:rPr>
                <m:t>t</m:t>
              </m:r>
            </m:sub>
          </m:sSub>
        </m:oMath>
      </m:oMathPara>
    </w:p>
    <w:p w14:paraId="4B592B5F" w14:textId="5F6D772E" w:rsidR="00F25592" w:rsidRPr="00F25592" w:rsidRDefault="00F25592" w:rsidP="00941B06">
      <w:pPr>
        <w:pStyle w:val="Prrafodelista"/>
        <w:spacing w:after="100"/>
        <w:ind w:left="568"/>
        <w:rPr>
          <w:iCs/>
        </w:rPr>
      </w:pPr>
      <w:r>
        <w:rPr>
          <w:iCs/>
        </w:rPr>
        <w:t xml:space="preserve">En esta regresión aumenta el coeficiente </w:t>
      </w:r>
      <m:oMath>
        <m:sSup>
          <m:sSupPr>
            <m:ctrlPr>
              <w:rPr>
                <w:rFonts w:ascii="Cambria Math" w:eastAsiaTheme="minorEastAsia" w:hAnsi="Cambria Math"/>
                <w:i/>
              </w:rPr>
            </m:ctrlPr>
          </m:sSupPr>
          <m:e>
            <m:r>
              <m:rPr>
                <m:nor/>
              </m:rPr>
              <w:rPr>
                <w:rFonts w:eastAsiaTheme="minorEastAsia"/>
                <w:i/>
              </w:rPr>
              <m:t>R</m:t>
            </m:r>
          </m:e>
          <m:sup>
            <m:r>
              <m:rPr>
                <m:nor/>
              </m:rPr>
              <w:rPr>
                <w:rFonts w:eastAsiaTheme="minorEastAsia"/>
                <w:i/>
              </w:rPr>
              <m:t>2</m:t>
            </m:r>
          </m:sup>
        </m:sSup>
      </m:oMath>
      <w:r>
        <w:rPr>
          <w:rFonts w:eastAsiaTheme="minorEastAsia"/>
        </w:rPr>
        <w:t xml:space="preserve"> ya que estas dos regiones han crecido mucho menos de los que el resto de variables explicativas predicen.</w:t>
      </w:r>
    </w:p>
    <w:p w14:paraId="291D3285" w14:textId="1181A03C" w:rsidR="00941B06" w:rsidRDefault="00941B06">
      <w:pPr>
        <w:pStyle w:val="Prrafodelista"/>
        <w:numPr>
          <w:ilvl w:val="1"/>
          <w:numId w:val="21"/>
        </w:numPr>
        <w:spacing w:after="100"/>
        <w:ind w:left="568" w:hanging="284"/>
      </w:pPr>
      <w:r>
        <w:lastRenderedPageBreak/>
        <w:t xml:space="preserve">En una </w:t>
      </w:r>
      <w:r w:rsidRPr="000D6481">
        <w:rPr>
          <w:b/>
          <w:bCs/>
        </w:rPr>
        <w:t>cuarta regresión</w:t>
      </w:r>
      <w:r>
        <w:t xml:space="preserve"> analiza las causas próximas del crecimiento económico señaladas por el modelo de Solow:</w:t>
      </w:r>
    </w:p>
    <w:p w14:paraId="3925DEE9" w14:textId="75F8DE4D" w:rsidR="00F25592" w:rsidRDefault="00F25592">
      <w:pPr>
        <w:pStyle w:val="Prrafodelista"/>
        <w:numPr>
          <w:ilvl w:val="2"/>
          <w:numId w:val="21"/>
        </w:numPr>
        <w:spacing w:after="100"/>
        <w:ind w:left="1134" w:hanging="113"/>
      </w:pPr>
      <w:r>
        <w:t xml:space="preserve">El </w:t>
      </w:r>
      <w:r w:rsidRPr="00941B06">
        <w:rPr>
          <w:i/>
          <w:iCs/>
          <w:u w:val="single"/>
        </w:rPr>
        <w:t>nivel de PIB per cápita inicial</w:t>
      </w:r>
      <w:r>
        <w:t xml:space="preserve"> para medir la convergencia entre países, al igual que en el resto de regresiones. Al controlar por el resto de parámetros del modelo de Solow, el coeficiente </w:t>
      </w:r>
      <m:oMath>
        <m:sSub>
          <m:sSubPr>
            <m:ctrlPr>
              <w:rPr>
                <w:rFonts w:ascii="Cambria Math" w:hAnsi="Cambria Math"/>
                <w:i/>
              </w:rPr>
            </m:ctrlPr>
          </m:sSubPr>
          <m:e>
            <m:r>
              <m:rPr>
                <m:nor/>
              </m:rPr>
              <w:rPr>
                <w:i/>
              </w:rPr>
              <m:t>β</m:t>
            </m:r>
          </m:e>
          <m:sub>
            <m:r>
              <m:rPr>
                <m:nor/>
              </m:rPr>
              <w:rPr>
                <w:i/>
              </w:rPr>
              <m:t>1</m:t>
            </m:r>
          </m:sub>
        </m:sSub>
      </m:oMath>
      <w:r>
        <w:rPr>
          <w:rFonts w:eastAsiaTheme="minorEastAsia"/>
        </w:rPr>
        <w:t xml:space="preserve"> se vuelve significativamente negativo, con lo que se puede aceptar la hipótesis de convergencia condicional.</w:t>
      </w:r>
    </w:p>
    <w:p w14:paraId="34ECDB9D" w14:textId="0D4DC553" w:rsidR="00F25592" w:rsidRDefault="00F25592">
      <w:pPr>
        <w:pStyle w:val="Prrafodelista"/>
        <w:numPr>
          <w:ilvl w:val="2"/>
          <w:numId w:val="21"/>
        </w:numPr>
        <w:spacing w:after="100"/>
        <w:ind w:left="1134" w:hanging="113"/>
      </w:pPr>
      <w:r>
        <w:rPr>
          <w:i/>
          <w:iCs/>
          <w:u w:val="single"/>
        </w:rPr>
        <w:t>Tasa de ahorro</w:t>
      </w:r>
      <w:r>
        <w:t>,</w:t>
      </w:r>
      <w:r w:rsidRPr="00F25592">
        <w:rPr>
          <w:i/>
          <w:iCs/>
          <w:lang w:val="fr-FR"/>
        </w:rPr>
        <w:t xml:space="preserve"> </w:t>
      </w:r>
      <m:oMath>
        <m:r>
          <m:rPr>
            <m:nor/>
          </m:rPr>
          <w:rPr>
            <w:i/>
            <w:iCs/>
            <w:lang w:val="fr-FR"/>
          </w:rPr>
          <m:t>s</m:t>
        </m:r>
      </m:oMath>
      <w:r w:rsidRPr="00F25592">
        <w:rPr>
          <w:rFonts w:eastAsiaTheme="minorEastAsia"/>
          <w:lang w:val="fr-FR"/>
        </w:rPr>
        <w:t>.</w:t>
      </w:r>
    </w:p>
    <w:p w14:paraId="2FA000B7" w14:textId="7B97AACF" w:rsidR="00F25592" w:rsidRDefault="00F25592">
      <w:pPr>
        <w:pStyle w:val="Prrafodelista"/>
        <w:numPr>
          <w:ilvl w:val="2"/>
          <w:numId w:val="21"/>
        </w:numPr>
        <w:spacing w:after="100"/>
        <w:ind w:left="1134" w:hanging="113"/>
      </w:pPr>
      <w:r>
        <w:rPr>
          <w:i/>
          <w:iCs/>
          <w:u w:val="single"/>
        </w:rPr>
        <w:t>Tasa de crecimiento de la población</w:t>
      </w:r>
      <w:r>
        <w:t xml:space="preserve">, </w:t>
      </w:r>
      <m:oMath>
        <m:r>
          <m:rPr>
            <m:nor/>
          </m:rPr>
          <w:rPr>
            <w:i/>
            <w:iCs/>
          </w:rPr>
          <m:t>n</m:t>
        </m:r>
      </m:oMath>
      <w:r>
        <w:rPr>
          <w:rFonts w:eastAsiaTheme="minorEastAsia"/>
          <w:iCs/>
        </w:rPr>
        <w:t>.</w:t>
      </w:r>
    </w:p>
    <w:p w14:paraId="4E32902D" w14:textId="0480C71B" w:rsidR="00F25592" w:rsidRDefault="00F25592">
      <w:pPr>
        <w:pStyle w:val="Prrafodelista"/>
        <w:numPr>
          <w:ilvl w:val="2"/>
          <w:numId w:val="21"/>
        </w:numPr>
        <w:spacing w:after="100"/>
        <w:ind w:left="1134" w:hanging="113"/>
      </w:pPr>
      <w:r>
        <w:rPr>
          <w:i/>
          <w:iCs/>
          <w:u w:val="single"/>
        </w:rPr>
        <w:t>Tasa de depreciación</w:t>
      </w:r>
      <w:r>
        <w:t xml:space="preserve">, </w:t>
      </w:r>
      <m:oMath>
        <m:r>
          <m:rPr>
            <m:nor/>
          </m:rPr>
          <w:rPr>
            <w:i/>
            <w:iCs/>
            <w:lang w:val="fr-FR"/>
          </w:rPr>
          <m:t>δ</m:t>
        </m:r>
      </m:oMath>
      <w:r>
        <w:rPr>
          <w:rFonts w:eastAsiaTheme="minorEastAsia"/>
          <w:iCs/>
          <w:lang w:val="fr-FR"/>
        </w:rPr>
        <w:t>.</w:t>
      </w:r>
    </w:p>
    <w:p w14:paraId="1172ECB0" w14:textId="1E1A50BA" w:rsidR="00F25592" w:rsidRDefault="00F25592" w:rsidP="00F25592">
      <w:pPr>
        <w:pStyle w:val="Prrafodelista"/>
        <w:keepNext/>
        <w:spacing w:after="0"/>
        <w:ind w:left="567"/>
        <w:rPr>
          <w:rFonts w:eastAsiaTheme="minorEastAsia"/>
        </w:rPr>
      </w:pPr>
      <w:r>
        <w:rPr>
          <w:rFonts w:eastAsiaTheme="minorEastAsia"/>
        </w:rPr>
        <w:t>De este modo, la regresión estimada es la siguiente:</w:t>
      </w:r>
    </w:p>
    <w:p w14:paraId="4613244C" w14:textId="67752AA1" w:rsidR="00941B06" w:rsidRPr="00B83A86" w:rsidRDefault="00000000" w:rsidP="00941B06">
      <w:pPr>
        <w:pStyle w:val="Prrafodelista"/>
        <w:spacing w:after="100"/>
        <w:ind w:left="568"/>
        <w:rPr>
          <w:rFonts w:eastAsiaTheme="minorEastAsia"/>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2</m:t>
              </m:r>
            </m:sub>
          </m:sSub>
          <m:r>
            <w:rPr>
              <w:rFonts w:ascii="Cambria Math" w:hAnsi="Cambria Math"/>
              <w:lang w:val="fr-FR"/>
            </w:rPr>
            <m:t>∙</m:t>
          </m:r>
          <m:r>
            <m:rPr>
              <m:nor/>
            </m:rPr>
            <w:rPr>
              <w:i/>
              <w:iCs/>
              <w:lang w:val="fr-FR"/>
            </w:rPr>
            <m:t>s</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3</m:t>
              </m:r>
            </m:sub>
          </m:sSub>
          <m:r>
            <w:rPr>
              <w:rFonts w:ascii="Cambria Math" w:hAnsi="Cambria Math"/>
              <w:lang w:val="fr-FR"/>
            </w:rPr>
            <m:t>∙</m:t>
          </m:r>
          <m:r>
            <m:rPr>
              <m:nor/>
            </m:rPr>
            <w:rPr>
              <w:i/>
              <w:lang w:val="fr-FR"/>
            </w:rPr>
            <m:t>n</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4</m:t>
              </m:r>
            </m:sub>
          </m:sSub>
          <m:r>
            <w:rPr>
              <w:rFonts w:ascii="Cambria Math" w:hAnsi="Cambria Math"/>
              <w:lang w:val="fr-FR"/>
            </w:rPr>
            <m:t>∙</m:t>
          </m:r>
          <m:r>
            <m:rPr>
              <m:nor/>
            </m:rPr>
            <w:rPr>
              <w:i/>
              <w:iCs/>
              <w:lang w:val="fr-FR"/>
            </w:rPr>
            <m:t>δ</m:t>
          </m:r>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14F149AB" w14:textId="2A723557" w:rsidR="00F25592" w:rsidRPr="00F25592" w:rsidRDefault="00F25592" w:rsidP="00941B06">
      <w:pPr>
        <w:pStyle w:val="Prrafodelista"/>
        <w:spacing w:after="100"/>
        <w:ind w:left="568"/>
        <w:rPr>
          <w:iCs/>
        </w:rPr>
      </w:pPr>
      <w:r w:rsidRPr="00F25592">
        <w:rPr>
          <w:iCs/>
        </w:rPr>
        <w:t xml:space="preserve">Es decir, </w:t>
      </w:r>
      <w:r>
        <w:rPr>
          <w:iCs/>
        </w:rPr>
        <w:t>se asume la representación del modelo de Solow y se corroboran los resultados del modelo teórico (un coeficiente positivo de la tasa de ahorro y un coeficiente negativo para la tasa de crecimiento de la población y la depreciación). Sin embargo, se pierde la bondad de ajuste, lo que puede señalar que las variables del modelo de Solow no son suficientes.</w:t>
      </w:r>
    </w:p>
    <w:p w14:paraId="31A39A91" w14:textId="401A5B13" w:rsidR="00941B06" w:rsidRPr="00B06692" w:rsidRDefault="00941B06">
      <w:pPr>
        <w:pStyle w:val="Prrafodelista"/>
        <w:numPr>
          <w:ilvl w:val="1"/>
          <w:numId w:val="21"/>
        </w:numPr>
        <w:spacing w:after="100"/>
        <w:ind w:left="568" w:hanging="284"/>
        <w:rPr>
          <w:spacing w:val="-3"/>
        </w:rPr>
      </w:pPr>
      <w:r w:rsidRPr="00B06692">
        <w:rPr>
          <w:spacing w:val="-3"/>
        </w:rPr>
        <w:t xml:space="preserve">Finalmente, en la </w:t>
      </w:r>
      <w:r w:rsidRPr="00B06692">
        <w:rPr>
          <w:b/>
          <w:bCs/>
          <w:spacing w:val="-3"/>
        </w:rPr>
        <w:t>quinta regresión</w:t>
      </w:r>
      <w:r w:rsidRPr="00B06692">
        <w:rPr>
          <w:spacing w:val="-3"/>
        </w:rPr>
        <w:t xml:space="preserve"> extiende el análisis de la cuarta regresión para incluir tasas de escolarización y estima de forma empírica el modelo de Solow aumentado con capital humano:</w:t>
      </w:r>
    </w:p>
    <w:p w14:paraId="4E24B48E" w14:textId="126AF593" w:rsidR="00941B06" w:rsidRPr="00F25592" w:rsidRDefault="00000000" w:rsidP="00941B06">
      <w:pPr>
        <w:pStyle w:val="Prrafodelista"/>
        <w:spacing w:after="100"/>
        <w:ind w:left="568"/>
        <w:rPr>
          <w:lang w:val="fr-FR"/>
        </w:rPr>
      </w:pPr>
      <m:oMathPara>
        <m:oMath>
          <m:sSubSup>
            <m:sSubSupPr>
              <m:ctrlPr>
                <w:rPr>
                  <w:rFonts w:ascii="Cambria Math" w:hAnsi="Cambria Math"/>
                  <w:i/>
                </w:rPr>
              </m:ctrlPr>
            </m:sSubSupPr>
            <m:e>
              <m:r>
                <m:rPr>
                  <m:nor/>
                </m:rPr>
                <w:rPr>
                  <w:i/>
                </w:rPr>
                <m:t>γ</m:t>
              </m:r>
            </m:e>
            <m:sub>
              <m:r>
                <m:rPr>
                  <m:nor/>
                </m:rPr>
                <w:rPr>
                  <w:i/>
                  <w:lang w:val="fr-FR"/>
                </w:rPr>
                <m:t>t, t</m:t>
              </m:r>
              <m:r>
                <m:rPr>
                  <m:sty m:val="p"/>
                </m:rPr>
                <w:rPr>
                  <w:rFonts w:ascii="Cambria Math" w:hAnsi="Cambria Math"/>
                  <w:lang w:val="fr-FR"/>
                </w:rPr>
                <m:t>-</m:t>
              </m:r>
              <m:r>
                <m:rPr>
                  <m:nor/>
                </m:rPr>
                <w:rPr>
                  <w:i/>
                  <w:lang w:val="fr-FR"/>
                </w:rPr>
                <m:t>1</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0</m:t>
              </m:r>
            </m:sub>
          </m:sSub>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1</m:t>
              </m:r>
            </m:sub>
          </m:sSub>
          <m:r>
            <w:rPr>
              <w:rFonts w:ascii="Cambria Math" w:hAnsi="Cambria Math"/>
              <w:lang w:val="fr-FR"/>
            </w:rPr>
            <m:t>∙</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2</m:t>
              </m:r>
            </m:sub>
          </m:sSub>
          <m:r>
            <w:rPr>
              <w:rFonts w:ascii="Cambria Math" w:hAnsi="Cambria Math"/>
              <w:lang w:val="fr-FR"/>
            </w:rPr>
            <m:t>∙</m:t>
          </m:r>
          <m:r>
            <m:rPr>
              <m:nor/>
            </m:rPr>
            <w:rPr>
              <w:i/>
              <w:iCs/>
              <w:lang w:val="fr-FR"/>
            </w:rPr>
            <m:t>s</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3</m:t>
              </m:r>
            </m:sub>
          </m:sSub>
          <m:r>
            <w:rPr>
              <w:rFonts w:ascii="Cambria Math" w:hAnsi="Cambria Math"/>
              <w:lang w:val="fr-FR"/>
            </w:rPr>
            <m:t>∙</m:t>
          </m:r>
          <m:r>
            <m:rPr>
              <m:nor/>
            </m:rPr>
            <w:rPr>
              <w:i/>
              <w:lang w:val="fr-FR"/>
            </w:rPr>
            <m:t>n</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4</m:t>
              </m:r>
            </m:sub>
          </m:sSub>
          <m:r>
            <w:rPr>
              <w:rFonts w:ascii="Cambria Math" w:hAnsi="Cambria Math"/>
              <w:lang w:val="fr-FR"/>
            </w:rPr>
            <m:t>∙</m:t>
          </m:r>
          <m:r>
            <m:rPr>
              <m:nor/>
            </m:rPr>
            <w:rPr>
              <w:i/>
              <w:iCs/>
              <w:lang w:val="fr-FR"/>
            </w:rPr>
            <m:t>δ</m:t>
          </m:r>
          <m:r>
            <w:rPr>
              <w:rFonts w:ascii="Cambria Math" w:hAnsi="Cambria Math"/>
              <w:lang w:val="fr-FR"/>
            </w:rPr>
            <m:t>+</m:t>
          </m:r>
          <m:sSub>
            <m:sSubPr>
              <m:ctrlPr>
                <w:rPr>
                  <w:rFonts w:ascii="Cambria Math" w:hAnsi="Cambria Math"/>
                  <w:i/>
                </w:rPr>
              </m:ctrlPr>
            </m:sSubPr>
            <m:e>
              <m:r>
                <m:rPr>
                  <m:nor/>
                </m:rPr>
                <w:rPr>
                  <w:i/>
                </w:rPr>
                <m:t>β</m:t>
              </m:r>
            </m:e>
            <m:sub>
              <m:r>
                <m:rPr>
                  <m:nor/>
                </m:rPr>
                <w:rPr>
                  <w:i/>
                  <w:lang w:val="fr-FR"/>
                </w:rPr>
                <m:t>5</m:t>
              </m:r>
            </m:sub>
          </m:sSub>
          <m:r>
            <w:rPr>
              <w:rFonts w:ascii="Cambria Math" w:hAnsi="Cambria Math"/>
              <w:lang w:val="fr-FR"/>
            </w:rPr>
            <m:t>∙</m:t>
          </m:r>
          <m:r>
            <m:rPr>
              <m:nor/>
            </m:rPr>
            <w:rPr>
              <w:i/>
              <w:iCs/>
              <w:lang w:val="fr-FR"/>
            </w:rPr>
            <m:t>Escol</m:t>
          </m:r>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t</m:t>
              </m:r>
            </m:sub>
          </m:sSub>
        </m:oMath>
      </m:oMathPara>
    </w:p>
    <w:p w14:paraId="0471572C" w14:textId="77B33FA2" w:rsidR="00F25592" w:rsidRPr="00F25592" w:rsidRDefault="00F25592" w:rsidP="00F25592">
      <w:pPr>
        <w:pStyle w:val="Prrafodelista"/>
        <w:keepNext/>
        <w:spacing w:after="100"/>
        <w:ind w:left="567"/>
      </w:pPr>
      <w:r w:rsidRPr="00F25592">
        <w:t>En esta regresión encuentra dos efectos:</w:t>
      </w:r>
    </w:p>
    <w:p w14:paraId="5DA388BD" w14:textId="62097E6F" w:rsidR="00F25592" w:rsidRPr="00F25592" w:rsidRDefault="00F25592">
      <w:pPr>
        <w:pStyle w:val="Prrafodelista"/>
        <w:numPr>
          <w:ilvl w:val="2"/>
          <w:numId w:val="21"/>
        </w:numPr>
        <w:spacing w:after="100"/>
        <w:ind w:left="1134" w:hanging="113"/>
      </w:pPr>
      <w:r w:rsidRPr="00F25592">
        <w:t>El efecto de excluir el capital humano es el de sobreponderar el efecto del ahorro y de la tasa de crecimiento de la población.</w:t>
      </w:r>
    </w:p>
    <w:p w14:paraId="6CDE4C68" w14:textId="21445532" w:rsidR="00F25592" w:rsidRPr="00F25592" w:rsidRDefault="00F25592">
      <w:pPr>
        <w:pStyle w:val="Prrafodelista"/>
        <w:numPr>
          <w:ilvl w:val="2"/>
          <w:numId w:val="21"/>
        </w:numPr>
        <w:spacing w:after="100"/>
        <w:ind w:left="1134" w:hanging="113"/>
      </w:pPr>
      <w:r w:rsidRPr="00F25592">
        <w:t>El ajuste de la regresión mejora.</w:t>
      </w:r>
    </w:p>
    <w:p w14:paraId="55853614" w14:textId="6388FA3B" w:rsidR="00F25592" w:rsidRDefault="00F25592" w:rsidP="00F25592">
      <w:pPr>
        <w:pStyle w:val="Prrafodelista"/>
        <w:spacing w:after="100"/>
        <w:ind w:left="568"/>
      </w:pPr>
      <w:r w:rsidRPr="00F25592">
        <w:t xml:space="preserve">Para </w:t>
      </w:r>
      <w:r w:rsidRPr="00F25592">
        <w:rPr>
          <w:smallCaps/>
        </w:rPr>
        <w:t>Mankiw</w:t>
      </w:r>
      <w:r w:rsidRPr="00F25592">
        <w:t xml:space="preserve">, </w:t>
      </w:r>
      <w:r w:rsidRPr="00F25592">
        <w:rPr>
          <w:smallCaps/>
        </w:rPr>
        <w:t>R</w:t>
      </w:r>
      <w:r>
        <w:rPr>
          <w:smallCaps/>
        </w:rPr>
        <w:t>o</w:t>
      </w:r>
      <w:r w:rsidRPr="00F25592">
        <w:rPr>
          <w:smallCaps/>
        </w:rPr>
        <w:t>mer</w:t>
      </w:r>
      <w:r w:rsidRPr="00F25592">
        <w:t xml:space="preserve"> y </w:t>
      </w:r>
      <w:r w:rsidRPr="00F25592">
        <w:rPr>
          <w:smallCaps/>
        </w:rPr>
        <w:t>Weil</w:t>
      </w:r>
      <w:r>
        <w:t xml:space="preserve"> (1992) los resultados anteriores confirman que el modelo de </w:t>
      </w:r>
      <w:r>
        <w:rPr>
          <w:smallCaps/>
        </w:rPr>
        <w:t>Solow</w:t>
      </w:r>
      <w:r>
        <w:t xml:space="preserve"> aumentado con capital humano proporciona una descripción razonablemente satisfactoria de la evidencia con datos de sección cruzada.</w:t>
      </w:r>
    </w:p>
    <w:p w14:paraId="4F0B38B1" w14:textId="77777777" w:rsidR="00F25592" w:rsidRDefault="00F25592">
      <w:pPr>
        <w:pStyle w:val="Nivel1SM"/>
        <w:keepNext/>
        <w:spacing w:after="0"/>
      </w:pPr>
      <w:r>
        <w:t xml:space="preserve">El análisis de </w:t>
      </w:r>
      <w:r>
        <w:rPr>
          <w:smallCaps/>
        </w:rPr>
        <w:t>Barro</w:t>
      </w:r>
      <w:r>
        <w:t xml:space="preserve"> (1991) abrió el </w:t>
      </w:r>
      <w:r w:rsidRPr="00F25592">
        <w:rPr>
          <w:b/>
          <w:bCs/>
        </w:rPr>
        <w:t>debate acerca de si merece la pena extender los determinantes del crecimiento económico</w:t>
      </w:r>
      <w:r>
        <w:t>. A la luz de los datos, una regresión sencilla con los determinantes del modelo de Solow y capital humano puede tener una bondad de ajuste razonablemente satisfactoria.</w:t>
      </w:r>
    </w:p>
    <w:p w14:paraId="6A5AB5F6" w14:textId="77777777" w:rsidR="00F25592" w:rsidRPr="00EE2EC1" w:rsidRDefault="00F25592">
      <w:pPr>
        <w:pStyle w:val="Nivel2SM"/>
        <w:rPr>
          <w:spacing w:val="-4"/>
        </w:rPr>
      </w:pPr>
      <w:r w:rsidRPr="00EE2EC1">
        <w:rPr>
          <w:spacing w:val="-4"/>
        </w:rPr>
        <w:t xml:space="preserve">Algunos economistas como </w:t>
      </w:r>
      <w:r w:rsidRPr="00EE2EC1">
        <w:rPr>
          <w:smallCaps/>
          <w:spacing w:val="-4"/>
        </w:rPr>
        <w:t>Mankiw</w:t>
      </w:r>
      <w:r w:rsidRPr="00EE2EC1">
        <w:rPr>
          <w:spacing w:val="-4"/>
        </w:rPr>
        <w:t xml:space="preserve"> opinan que no es necesario complicar los modelos ya que con este modelo y un poco de sentido común en la aplicación de políticas económicas es suficiente.</w:t>
      </w:r>
    </w:p>
    <w:p w14:paraId="18F482E7" w14:textId="4FFF5B8E" w:rsidR="00F25592" w:rsidRPr="00EE2EC1" w:rsidRDefault="00F25592">
      <w:pPr>
        <w:pStyle w:val="Nivel2SM"/>
        <w:rPr>
          <w:spacing w:val="-4"/>
        </w:rPr>
      </w:pPr>
      <w:r w:rsidRPr="00EE2EC1">
        <w:rPr>
          <w:spacing w:val="-4"/>
        </w:rPr>
        <w:t xml:space="preserve">Otros autores, como </w:t>
      </w:r>
      <w:r w:rsidRPr="00EE2EC1">
        <w:rPr>
          <w:smallCaps/>
          <w:spacing w:val="-4"/>
        </w:rPr>
        <w:t>Romer</w:t>
      </w:r>
      <w:r w:rsidRPr="00EE2EC1">
        <w:rPr>
          <w:spacing w:val="-4"/>
        </w:rPr>
        <w:t xml:space="preserve">, </w:t>
      </w:r>
      <w:r w:rsidR="00BC7264" w:rsidRPr="00EE2EC1">
        <w:rPr>
          <w:spacing w:val="-4"/>
        </w:rPr>
        <w:t>adoptan la posición contraria y señalan que aún podemos explicar un porcentaje importante de la variación de la tasa de crecimiento añadiendo otros determinantes.</w:t>
      </w:r>
    </w:p>
    <w:p w14:paraId="6BD08184" w14:textId="4BD42905" w:rsidR="00C2348B" w:rsidRPr="00F25592" w:rsidRDefault="00BC7264">
      <w:pPr>
        <w:pStyle w:val="Ttulo2"/>
      </w:pPr>
      <w:bookmarkStart w:id="69" w:name="_Toc129716238"/>
      <w:r>
        <w:t>Otros determinantes</w:t>
      </w:r>
      <w:bookmarkEnd w:id="69"/>
    </w:p>
    <w:p w14:paraId="283925BB" w14:textId="1EC87808" w:rsidR="00C2348B" w:rsidRDefault="00BC7264" w:rsidP="00C214AB">
      <w:pPr>
        <w:pStyle w:val="Nivel1SM"/>
        <w:keepNext/>
        <w:spacing w:before="0" w:after="0"/>
      </w:pPr>
      <w:r>
        <w:t>La literatura ha incluido otros determinantes en sus análisis. Por ejemplo:</w:t>
      </w:r>
    </w:p>
    <w:p w14:paraId="1A4B3F9B" w14:textId="2E2250B1" w:rsidR="00BC7264" w:rsidRDefault="00BC7264">
      <w:pPr>
        <w:pStyle w:val="Nivel2SM"/>
        <w:keepNext/>
        <w:spacing w:after="0"/>
      </w:pPr>
      <w:r>
        <w:rPr>
          <w:i/>
          <w:iCs/>
        </w:rPr>
        <w:t>Inversión</w:t>
      </w:r>
      <w:r>
        <w:t>: La parte de la producción asignada a inversión es un factor muy positivamente correlacionado con el crecimiento.</w:t>
      </w:r>
    </w:p>
    <w:p w14:paraId="7658A2E6" w14:textId="77777777" w:rsidR="00BC7264" w:rsidRPr="00BC7264" w:rsidRDefault="00BC7264">
      <w:pPr>
        <w:pStyle w:val="Nivel3SM"/>
      </w:pPr>
      <w:r>
        <w:t xml:space="preserve">Cuando se incluye siempre mejora el ajuste y provoca cambios reseñables en el coeficiente del logaritmo del PIB </w:t>
      </w:r>
      <w:r w:rsidRPr="00BC7264">
        <w:t>inicial. E</w:t>
      </w:r>
      <w:r>
        <w:t>l</w:t>
      </w:r>
      <w:r w:rsidRPr="00BC7264">
        <w:t xml:space="preserve"> caso paradigmático es el de los países milagro del este asiático, donde tasas de crecimiento superiores al 5</w:t>
      </w:r>
      <w:r w:rsidRPr="00BC7264">
        <w:rPr>
          <w:rFonts w:cs="Times New Roman"/>
          <w:lang w:eastAsia="ja-JP"/>
        </w:rPr>
        <w:t> % y mantenidas en el tiempo han estado acompañadas de tasas de ahorro e inversión de hasta el 70 %.</w:t>
      </w:r>
    </w:p>
    <w:p w14:paraId="41C02C91" w14:textId="6A80D055" w:rsidR="00BC7264" w:rsidRDefault="00BC7264">
      <w:pPr>
        <w:pStyle w:val="Nivel2SM"/>
      </w:pPr>
      <w:r>
        <w:rPr>
          <w:i/>
          <w:iCs/>
        </w:rPr>
        <w:t>Mercados financieros</w:t>
      </w:r>
      <w:r>
        <w:t>: Los países con mercados financieros mejor desarrollados suelen gozar de mayores tasas de crecimiento.</w:t>
      </w:r>
    </w:p>
    <w:p w14:paraId="592F0F71" w14:textId="59FA8C22" w:rsidR="00BC7264" w:rsidRPr="00BC7264" w:rsidRDefault="00BC7264">
      <w:pPr>
        <w:pStyle w:val="Nivel2SM"/>
      </w:pPr>
      <w:r>
        <w:rPr>
          <w:i/>
          <w:iCs/>
        </w:rPr>
        <w:t>Sanidad</w:t>
      </w:r>
      <w:r>
        <w:t>: El crecimiento aumenta con mejoras de sanidad.</w:t>
      </w:r>
    </w:p>
    <w:p w14:paraId="0BB1873A" w14:textId="21D2988B" w:rsidR="00BC7264" w:rsidRPr="00BC7264" w:rsidRDefault="00BC7264">
      <w:pPr>
        <w:pStyle w:val="Nivel2SM"/>
        <w:keepNext/>
        <w:spacing w:after="0"/>
      </w:pPr>
      <w:r>
        <w:rPr>
          <w:i/>
          <w:iCs/>
          <w:lang w:eastAsia="ja-JP"/>
        </w:rPr>
        <w:t>Comercio internacional</w:t>
      </w:r>
      <w:r>
        <w:rPr>
          <w:lang w:eastAsia="ja-JP"/>
        </w:rPr>
        <w:t xml:space="preserve"> (</w:t>
      </w:r>
      <w:r>
        <w:rPr>
          <w:smallCaps/>
          <w:lang w:eastAsia="ja-JP"/>
        </w:rPr>
        <w:t>Frenkel</w:t>
      </w:r>
      <w:r>
        <w:rPr>
          <w:lang w:eastAsia="ja-JP"/>
        </w:rPr>
        <w:t xml:space="preserve"> y </w:t>
      </w:r>
      <w:r w:rsidRPr="00BC7264">
        <w:rPr>
          <w:smallCaps/>
          <w:lang w:eastAsia="ja-JP"/>
        </w:rPr>
        <w:t>Romer</w:t>
      </w:r>
      <w:r>
        <w:rPr>
          <w:lang w:eastAsia="ja-JP"/>
        </w:rPr>
        <w:t>): El crecimiento en el volumen de comercio está positivamente correlacionado con el crecimiento del producto</w:t>
      </w:r>
      <w:r w:rsidR="006114AD">
        <w:rPr>
          <w:lang w:eastAsia="ja-JP"/>
        </w:rPr>
        <w:t xml:space="preserve"> </w:t>
      </w:r>
      <w:r w:rsidR="006114AD" w:rsidRPr="006114AD">
        <w:rPr>
          <w:color w:val="767171" w:themeColor="background2" w:themeShade="80"/>
          <w:sz w:val="19"/>
          <w:szCs w:val="19"/>
          <w:lang w:eastAsia="ja-JP"/>
        </w:rPr>
        <w:t>[ver tema 3.B.9]</w:t>
      </w:r>
      <w:r>
        <w:rPr>
          <w:lang w:eastAsia="ja-JP"/>
        </w:rPr>
        <w:t>.</w:t>
      </w:r>
    </w:p>
    <w:p w14:paraId="552C4468" w14:textId="37475A31" w:rsidR="00BC7264" w:rsidRDefault="00BC7264">
      <w:pPr>
        <w:pStyle w:val="Nivel3SM"/>
      </w:pPr>
      <w:r>
        <w:t>En cualquier caso, es difícil aislar la dirección de causalidad.</w:t>
      </w:r>
    </w:p>
    <w:p w14:paraId="0327F6AD" w14:textId="4CDCC9C7" w:rsidR="00BC7264" w:rsidRDefault="00BC7264">
      <w:pPr>
        <w:pStyle w:val="Nivel3SM"/>
      </w:pPr>
      <w:r>
        <w:lastRenderedPageBreak/>
        <w:t>Existen distintos canales</w:t>
      </w:r>
      <w:r w:rsidR="006114AD">
        <w:t xml:space="preserve"> por los que el comercio internacional puede influir sobre el crecimiento económico (efecto escala,</w:t>
      </w:r>
      <w:r w:rsidR="00A07E7B">
        <w:t xml:space="preserve"> efecto selección,</w:t>
      </w:r>
      <w:r w:rsidR="006114AD">
        <w:t xml:space="preserve"> aprendizaje tecnológico</w:t>
      </w:r>
      <w:r w:rsidR="009C280E">
        <w:t>…</w:t>
      </w:r>
      <w:r w:rsidR="006114AD">
        <w:t>).</w:t>
      </w:r>
    </w:p>
    <w:p w14:paraId="74672D06" w14:textId="3C3A2DD3" w:rsidR="00BC7264" w:rsidRDefault="00BC7264">
      <w:pPr>
        <w:pStyle w:val="Nivel3SM"/>
      </w:pPr>
      <w:r>
        <w:t xml:space="preserve">También existe relación entre el comercio internacional y la convergencia: </w:t>
      </w:r>
      <w:r w:rsidR="006114AD">
        <w:t>los países que comercian entre sí muestran una mayor velocidad de convergencia.</w:t>
      </w:r>
    </w:p>
    <w:p w14:paraId="1EFCC55B" w14:textId="1249061D" w:rsidR="006114AD" w:rsidRDefault="006114AD">
      <w:pPr>
        <w:pStyle w:val="Nivel2SM"/>
      </w:pPr>
      <w:r w:rsidRPr="006114AD">
        <w:rPr>
          <w:i/>
          <w:iCs/>
        </w:rPr>
        <w:t>Factores geográficos</w:t>
      </w:r>
      <w:r>
        <w:t>: Por ejemplo, contar con salidas al mar está positivamente correlacionado con el crecimiento. También se incluyen factores relacionados con el clima.</w:t>
      </w:r>
    </w:p>
    <w:p w14:paraId="167C44F4" w14:textId="475A2EB1" w:rsidR="006114AD" w:rsidRDefault="006114AD">
      <w:pPr>
        <w:pStyle w:val="Nivel2SM"/>
      </w:pPr>
      <w:r>
        <w:rPr>
          <w:i/>
          <w:iCs/>
        </w:rPr>
        <w:t>Demografía</w:t>
      </w:r>
      <w:r>
        <w:t>: La esperanza de vida está positivamente correlacionada con el crecimiento y la fertilidad negativamente.</w:t>
      </w:r>
    </w:p>
    <w:p w14:paraId="78023925" w14:textId="524B835E" w:rsidR="006114AD" w:rsidRPr="00F25592" w:rsidRDefault="006114AD">
      <w:pPr>
        <w:pStyle w:val="Nivel2SM"/>
      </w:pPr>
      <w:r>
        <w:rPr>
          <w:i/>
          <w:iCs/>
        </w:rPr>
        <w:t>Democracia</w:t>
      </w:r>
      <w:r>
        <w:t xml:space="preserve"> (</w:t>
      </w:r>
      <w:r>
        <w:rPr>
          <w:smallCaps/>
        </w:rPr>
        <w:t>Acemoğlu</w:t>
      </w:r>
      <w:r>
        <w:t xml:space="preserve"> y </w:t>
      </w:r>
      <w:r w:rsidRPr="006114AD">
        <w:rPr>
          <w:smallCaps/>
        </w:rPr>
        <w:t>Robinson</w:t>
      </w:r>
      <w:r>
        <w:t>, 2019): La democracia supone un gran impacto sobre los incentivos a la inversión, está asociada a mayor escolarización, reformas económicas, provisión de balanza de pagos y menos conflictividad social</w:t>
      </w:r>
      <w:r w:rsidR="0032238F">
        <w:rPr>
          <w:rStyle w:val="Refdenotaalpie"/>
        </w:rPr>
        <w:footnoteReference w:id="20"/>
      </w:r>
      <w:r>
        <w:t>.</w:t>
      </w:r>
    </w:p>
    <w:p w14:paraId="393B1AAA" w14:textId="015D6EE4" w:rsidR="006114AD" w:rsidRDefault="006114AD">
      <w:pPr>
        <w:pStyle w:val="Ttulo2"/>
      </w:pPr>
      <w:bookmarkStart w:id="70" w:name="_Toc129716239"/>
      <w:r>
        <w:t>Puntos de inflexión en la literatura</w:t>
      </w:r>
      <w:bookmarkEnd w:id="70"/>
    </w:p>
    <w:p w14:paraId="056F45F0" w14:textId="541D68BF" w:rsidR="006114AD" w:rsidRDefault="006114AD" w:rsidP="00981B56">
      <w:pPr>
        <w:pStyle w:val="Ttulo3"/>
        <w:spacing w:before="0"/>
        <w:rPr>
          <w:smallCaps/>
        </w:rPr>
      </w:pPr>
      <w:bookmarkStart w:id="71" w:name="_Toc129716240"/>
      <w:r w:rsidRPr="006114AD">
        <w:rPr>
          <w:smallCaps/>
        </w:rPr>
        <w:t>Levine</w:t>
      </w:r>
      <w:r>
        <w:t xml:space="preserve"> y </w:t>
      </w:r>
      <w:r w:rsidRPr="006114AD">
        <w:rPr>
          <w:smallCaps/>
        </w:rPr>
        <w:t>Renelt</w:t>
      </w:r>
      <w:bookmarkEnd w:id="71"/>
      <w:r w:rsidR="00764796">
        <w:t xml:space="preserve"> (1992)</w:t>
      </w:r>
    </w:p>
    <w:p w14:paraId="1F2484D6" w14:textId="7E0E90CB" w:rsidR="00764796" w:rsidRDefault="006114AD" w:rsidP="00764796">
      <w:pPr>
        <w:pStyle w:val="Nivel1SM"/>
        <w:keepNext/>
        <w:spacing w:before="0" w:after="0"/>
      </w:pPr>
      <w:r>
        <w:t xml:space="preserve">Tras el artículo de </w:t>
      </w:r>
      <w:r>
        <w:rPr>
          <w:smallCaps/>
        </w:rPr>
        <w:t>Barro</w:t>
      </w:r>
      <w:r>
        <w:t xml:space="preserve"> (1991) sobre los determinantes empíricos de la tasa de crecimiento, cientos de autores utilizaron su metodología, hasta encontrar más de 50</w:t>
      </w:r>
      <w:r w:rsidR="00764796">
        <w:t> </w:t>
      </w:r>
      <w:r>
        <w:t>variables que se correlacionaban significativamente con las tasas de crecimiento.</w:t>
      </w:r>
    </w:p>
    <w:p w14:paraId="1DB267E0" w14:textId="77777777" w:rsidR="00764796" w:rsidRDefault="006114AD" w:rsidP="00764796">
      <w:pPr>
        <w:pStyle w:val="Nivel2SM"/>
        <w:keepNext/>
        <w:spacing w:after="0"/>
      </w:pPr>
      <w:r>
        <w:t>Esto hizo que los economistas se preguntaran por la robustez de tales resultados.</w:t>
      </w:r>
    </w:p>
    <w:p w14:paraId="63082FC7" w14:textId="375D25D9" w:rsidR="006114AD" w:rsidRDefault="006114AD" w:rsidP="00764796">
      <w:pPr>
        <w:pStyle w:val="Nivel3SM"/>
      </w:pPr>
      <w:r>
        <w:t xml:space="preserve">En 1992, </w:t>
      </w:r>
      <w:r>
        <w:rPr>
          <w:smallCaps/>
        </w:rPr>
        <w:t>Levine</w:t>
      </w:r>
      <w:r>
        <w:t xml:space="preserve"> y </w:t>
      </w:r>
      <w:r>
        <w:rPr>
          <w:smallCaps/>
        </w:rPr>
        <w:t>Renelt</w:t>
      </w:r>
      <w:r>
        <w:t xml:space="preserve"> utilizaron el </w:t>
      </w:r>
      <w:r>
        <w:rPr>
          <w:i/>
          <w:iCs/>
        </w:rPr>
        <w:t>test de los límites extremos</w:t>
      </w:r>
      <w:r>
        <w:t xml:space="preserve"> (</w:t>
      </w:r>
      <w:r w:rsidR="00764796">
        <w:rPr>
          <w:i/>
          <w:iCs/>
        </w:rPr>
        <w:t>extreme bounds analysis</w:t>
      </w:r>
      <w:r w:rsidR="00764796">
        <w:t xml:space="preserve">, </w:t>
      </w:r>
      <w:r>
        <w:t xml:space="preserve">EBA) de </w:t>
      </w:r>
      <w:r>
        <w:rPr>
          <w:smallCaps/>
        </w:rPr>
        <w:t>Leamer</w:t>
      </w:r>
      <w:r>
        <w:t xml:space="preserve"> (1982)</w:t>
      </w:r>
      <w:r w:rsidR="007F341D">
        <w:t xml:space="preserve"> para evaluar la robustez de cada una de las variables usadas.</w:t>
      </w:r>
    </w:p>
    <w:p w14:paraId="630C0018" w14:textId="77777777" w:rsidR="00F31647" w:rsidRPr="00F31647" w:rsidRDefault="00F31647" w:rsidP="00764796">
      <w:pPr>
        <w:pStyle w:val="Nivel1SM"/>
        <w:keepNext/>
        <w:spacing w:after="0"/>
        <w:rPr>
          <w:lang w:val="en-US"/>
        </w:rPr>
      </w:pPr>
      <w:r w:rsidRPr="00F31647">
        <w:rPr>
          <w:lang w:val="en-US"/>
        </w:rPr>
        <w:t>Do not make any prior hypothesis as to which are the right determinants of growth: test using an EBA analysis. It consists of doing a number of regressions to see which variables are not sensitive to the specification of the model.</w:t>
      </w:r>
    </w:p>
    <w:p w14:paraId="014E4B4E" w14:textId="0DB56EE9" w:rsidR="00F31647" w:rsidRDefault="00F31647" w:rsidP="00764796">
      <w:pPr>
        <w:pStyle w:val="Nivel2SM"/>
        <w:keepNext/>
        <w:spacing w:after="0"/>
      </w:pPr>
      <w:r>
        <w:t xml:space="preserve">Para entender la filosofía de este test, supongamos que tenemos un conjunto de </w:t>
      </w:r>
      <w:r w:rsidRPr="00685DE2">
        <w:rPr>
          <w:i/>
          <w:iCs/>
        </w:rPr>
        <w:t>K</w:t>
      </w:r>
      <w:r w:rsidR="00764796">
        <w:t> </w:t>
      </w:r>
      <w:r>
        <w:t xml:space="preserve">variables, </w:t>
      </w:r>
      <w:r w:rsidRPr="00685DE2">
        <w:rPr>
          <w:i/>
          <w:iCs/>
        </w:rPr>
        <w:t>X</w:t>
      </w:r>
      <w:r>
        <w:t xml:space="preserve"> es un vector de variables</w:t>
      </w:r>
      <w:r w:rsidR="00685DE2">
        <w:t xml:space="preserve"> significativas para explicar el crecimiento y</w:t>
      </w:r>
      <w:r>
        <w:t xml:space="preserve"> </w:t>
      </w:r>
      <m:oMath>
        <m:sSub>
          <m:sSubPr>
            <m:ctrlPr>
              <w:rPr>
                <w:rFonts w:ascii="Cambria Math" w:hAnsi="Cambria Math"/>
                <w:i/>
                <w:iCs/>
              </w:rPr>
            </m:ctrlPr>
          </m:sSubPr>
          <m:e>
            <m:r>
              <m:rPr>
                <m:nor/>
              </m:rPr>
              <w:rPr>
                <w:i/>
                <w:iCs/>
              </w:rPr>
              <m:t>z</m:t>
            </m:r>
          </m:e>
          <m:sub>
            <m:r>
              <m:rPr>
                <m:nor/>
              </m:rPr>
              <w:rPr>
                <w:i/>
                <w:iCs/>
              </w:rPr>
              <m:t>i</m:t>
            </m:r>
          </m:sub>
        </m:sSub>
      </m:oMath>
      <w:r>
        <w:t xml:space="preserve"> </w:t>
      </w:r>
      <w:r w:rsidR="00D8523A">
        <w:t>es el vector de regresores alternativos posibles</w:t>
      </w:r>
      <w:r>
        <w:t>.</w:t>
      </w:r>
    </w:p>
    <w:p w14:paraId="042A7A27" w14:textId="03180785" w:rsidR="00F31647" w:rsidRPr="00764796" w:rsidRDefault="00D8523A" w:rsidP="00764796">
      <w:pPr>
        <w:pStyle w:val="Nivel3SM"/>
      </w:pPr>
      <w:r w:rsidRPr="00D8523A">
        <w:t>En otras palabras</w:t>
      </w:r>
      <w:r w:rsidR="00F31647" w:rsidRPr="00D8523A">
        <w:t xml:space="preserve">, </w:t>
      </w:r>
      <w:r w:rsidRPr="00D8523A">
        <w:t xml:space="preserve">realizamos distintas regresiones cambiando las </w:t>
      </w:r>
      <w:r w:rsidR="00764796">
        <w:t>v</w:t>
      </w:r>
      <w:r w:rsidRPr="00D8523A">
        <w:t>ariables de control y si la variable es significativ</w:t>
      </w:r>
      <w:r w:rsidR="00764796">
        <w:t>a</w:t>
      </w:r>
      <w:r w:rsidRPr="00D8523A">
        <w:t xml:space="preserve"> e</w:t>
      </w:r>
      <w:r>
        <w:t>n todas ellas, tenemos suficiente evidencia para decir que la variable mencionada es un claro determinante del crecimiento</w:t>
      </w:r>
      <w:r w:rsidR="00F31647" w:rsidRPr="00D8523A">
        <w:t xml:space="preserve"> (y formaría parte de las </w:t>
      </w:r>
      <w:r w:rsidR="00F31647" w:rsidRPr="00D8523A">
        <w:rPr>
          <w:i/>
          <w:iCs/>
        </w:rPr>
        <w:t>X</w:t>
      </w:r>
      <w:r w:rsidR="00F31647" w:rsidRPr="00D8523A">
        <w:t xml:space="preserve">). </w:t>
      </w:r>
      <w:r w:rsidR="00F31647" w:rsidRPr="00764796">
        <w:t>Cuando esto no suceda una variable no será robusta</w:t>
      </w:r>
      <w:r w:rsidRPr="00764796">
        <w:t>.</w:t>
      </w:r>
    </w:p>
    <w:p w14:paraId="7202CE63" w14:textId="00DB9B18" w:rsidR="00F31647" w:rsidRDefault="00F31647" w:rsidP="00E821BC">
      <w:pPr>
        <w:pStyle w:val="Nivel3SM"/>
        <w:keepNext/>
      </w:pPr>
      <w:r>
        <w:t>Podemos estimar una regresión d</w:t>
      </w:r>
      <w:r w:rsidR="00685DE2">
        <w:t>e</w:t>
      </w:r>
      <w:r>
        <w:t xml:space="preserve"> sección cruzada de la forma</w:t>
      </w:r>
      <w:r w:rsidR="00764796">
        <w:t xml:space="preserve"> (</w:t>
      </w:r>
      <w:r>
        <w:t>también se pueden usar datos de panel</w:t>
      </w:r>
      <w:r w:rsidR="00764796">
        <w:rPr>
          <w:rStyle w:val="Refdenotaalpie"/>
        </w:rPr>
        <w:footnoteReference w:id="21"/>
      </w:r>
      <w:r w:rsidR="00764796">
        <w:t>):</w:t>
      </w:r>
    </w:p>
    <w:p w14:paraId="03D989E4" w14:textId="047AAFE5" w:rsidR="00764796" w:rsidRPr="00E821BC" w:rsidRDefault="00764796" w:rsidP="00E821BC">
      <w:pPr>
        <w:pStyle w:val="Nivel3SM"/>
        <w:numPr>
          <w:ilvl w:val="0"/>
          <w:numId w:val="0"/>
        </w:numPr>
        <w:ind w:left="963"/>
        <w:rPr>
          <w:i/>
          <w:iCs/>
        </w:rPr>
      </w:pPr>
      <m:oMathPara>
        <m:oMath>
          <m:r>
            <m:rPr>
              <m:nor/>
            </m:rPr>
            <w:rPr>
              <w:i/>
              <w:iCs/>
            </w:rPr>
            <m:t>γ</m:t>
          </m:r>
          <m:r>
            <w:rPr>
              <w:rFonts w:ascii="Cambria Math" w:hAnsi="Cambria Math"/>
            </w:rPr>
            <m:t>=</m:t>
          </m:r>
          <m:sSub>
            <m:sSubPr>
              <m:ctrlPr>
                <w:rPr>
                  <w:rFonts w:ascii="Cambria Math" w:hAnsi="Cambria Math"/>
                  <w:i/>
                  <w:iCs/>
                </w:rPr>
              </m:ctrlPr>
            </m:sSubPr>
            <m:e>
              <m:r>
                <m:rPr>
                  <m:nor/>
                </m:rPr>
                <w:rPr>
                  <w:i/>
                  <w:iCs/>
                </w:rPr>
                <m:t>α</m:t>
              </m:r>
            </m:e>
            <m:sub>
              <m:r>
                <m:rPr>
                  <m:nor/>
                </m:rPr>
                <w:rPr>
                  <w:i/>
                  <w:iCs/>
                </w:rPr>
                <m:t>j</m:t>
              </m:r>
            </m:sub>
          </m:sSub>
          <m:r>
            <w:rPr>
              <w:rFonts w:ascii="Cambria Math" w:hAnsi="Cambria Math"/>
            </w:rPr>
            <m:t>+</m:t>
          </m:r>
          <m:sSub>
            <m:sSubPr>
              <m:ctrlPr>
                <w:rPr>
                  <w:rFonts w:ascii="Cambria Math" w:hAnsi="Cambria Math"/>
                  <w:i/>
                  <w:iCs/>
                </w:rPr>
              </m:ctrlPr>
            </m:sSubPr>
            <m:e>
              <m:r>
                <m:rPr>
                  <m:nor/>
                </m:rPr>
                <w:rPr>
                  <w:i/>
                  <w:iCs/>
                </w:rPr>
                <m:t>β</m:t>
              </m:r>
            </m:e>
            <m:sub>
              <m:r>
                <m:rPr>
                  <m:nor/>
                </m:rPr>
                <w:rPr>
                  <w:i/>
                  <w:iCs/>
                </w:rPr>
                <m:t>zj</m:t>
              </m:r>
            </m:sub>
          </m:sSub>
          <m:r>
            <w:rPr>
              <w:rFonts w:ascii="Cambria Math" w:hAnsi="Cambria Math"/>
            </w:rPr>
            <m:t>∙</m:t>
          </m:r>
          <m:r>
            <m:rPr>
              <m:nor/>
            </m:rPr>
            <w:rPr>
              <w:i/>
              <w:iCs/>
            </w:rPr>
            <m:t>z</m:t>
          </m:r>
          <m:r>
            <w:rPr>
              <w:rFonts w:ascii="Cambria Math" w:hAnsi="Cambria Math"/>
            </w:rPr>
            <m:t>+</m:t>
          </m:r>
          <m:sSub>
            <m:sSubPr>
              <m:ctrlPr>
                <w:rPr>
                  <w:rFonts w:ascii="Cambria Math" w:hAnsi="Cambria Math"/>
                  <w:i/>
                  <w:iCs/>
                </w:rPr>
              </m:ctrlPr>
            </m:sSubPr>
            <m:e>
              <m:r>
                <m:rPr>
                  <m:nor/>
                </m:rPr>
                <w:rPr>
                  <w:i/>
                  <w:iCs/>
                </w:rPr>
                <m:t>β</m:t>
              </m:r>
            </m:e>
            <m:sub>
              <m:r>
                <m:rPr>
                  <m:nor/>
                </m:rPr>
                <w:rPr>
                  <w:i/>
                  <w:iCs/>
                </w:rPr>
                <m:t>xj</m:t>
              </m:r>
            </m:sub>
          </m:sSub>
          <m:r>
            <w:rPr>
              <w:rFonts w:ascii="Cambria Math" w:hAnsi="Cambria Math"/>
            </w:rPr>
            <m:t>∙</m:t>
          </m:r>
          <m:sSub>
            <m:sSubPr>
              <m:ctrlPr>
                <w:rPr>
                  <w:rFonts w:ascii="Cambria Math" w:hAnsi="Cambria Math"/>
                  <w:i/>
                  <w:iCs/>
                </w:rPr>
              </m:ctrlPr>
            </m:sSubPr>
            <m:e>
              <m:r>
                <m:rPr>
                  <m:nor/>
                </m:rPr>
                <w:rPr>
                  <w:i/>
                  <w:iCs/>
                </w:rPr>
                <m:t>x</m:t>
              </m:r>
            </m:e>
            <m:sub>
              <m:r>
                <m:rPr>
                  <m:nor/>
                </m:rPr>
                <w:rPr>
                  <w:i/>
                  <w:iCs/>
                </w:rPr>
                <m:t>j</m:t>
              </m:r>
            </m:sub>
          </m:sSub>
          <m:r>
            <w:rPr>
              <w:rFonts w:ascii="Cambria Math" w:hAnsi="Cambria Math"/>
            </w:rPr>
            <m:t>+</m:t>
          </m:r>
          <m:r>
            <m:rPr>
              <m:nor/>
            </m:rPr>
            <w:rPr>
              <w:i/>
              <w:iCs/>
            </w:rPr>
            <m:t>u</m:t>
          </m:r>
        </m:oMath>
      </m:oMathPara>
    </w:p>
    <w:p w14:paraId="4517C5D4" w14:textId="17187E65" w:rsidR="00F31647" w:rsidRDefault="00F31647" w:rsidP="00764796">
      <w:pPr>
        <w:pStyle w:val="Nivel2SM"/>
      </w:pPr>
      <w:r w:rsidRPr="00F31647">
        <w:rPr>
          <w:smallCaps/>
        </w:rPr>
        <w:t>Levine</w:t>
      </w:r>
      <w:r>
        <w:t xml:space="preserve"> y </w:t>
      </w:r>
      <w:r w:rsidRPr="00F31647">
        <w:rPr>
          <w:smallCaps/>
        </w:rPr>
        <w:t>Renelt</w:t>
      </w:r>
      <w:r w:rsidR="00D8523A">
        <w:t xml:space="preserve"> hallan que</w:t>
      </w:r>
      <w:r>
        <w:t xml:space="preserve"> la mayoría de variables no </w:t>
      </w:r>
      <w:r w:rsidR="00B1502E">
        <w:t xml:space="preserve">son </w:t>
      </w:r>
      <w:r>
        <w:t>robustas.</w:t>
      </w:r>
    </w:p>
    <w:p w14:paraId="15F1C983" w14:textId="77777777" w:rsidR="00E821BC" w:rsidRDefault="00F31647" w:rsidP="00E821BC">
      <w:pPr>
        <w:pStyle w:val="Nivel1SM"/>
        <w:keepNext/>
        <w:spacing w:after="0"/>
      </w:pPr>
      <w:r w:rsidRPr="00F31647">
        <w:rPr>
          <w:smallCaps/>
        </w:rPr>
        <w:t>Sala</w:t>
      </w:r>
      <w:r>
        <w:rPr>
          <w:smallCaps/>
        </w:rPr>
        <w:t>-</w:t>
      </w:r>
      <w:r w:rsidRPr="00F31647">
        <w:rPr>
          <w:smallCaps/>
        </w:rPr>
        <w:t>i</w:t>
      </w:r>
      <w:r>
        <w:rPr>
          <w:smallCaps/>
        </w:rPr>
        <w:t>-</w:t>
      </w:r>
      <w:r w:rsidRPr="00F31647">
        <w:rPr>
          <w:smallCaps/>
        </w:rPr>
        <w:t>Martin</w:t>
      </w:r>
      <w:r w:rsidR="00D8523A">
        <w:t xml:space="preserve"> considera que este test es </w:t>
      </w:r>
      <w:r>
        <w:t xml:space="preserve">demasiado exigente </w:t>
      </w:r>
      <w:r w:rsidR="00D8523A">
        <w:t xml:space="preserve">y que </w:t>
      </w:r>
      <w:r>
        <w:t>de hecho pocas variables lo pueden superar.</w:t>
      </w:r>
    </w:p>
    <w:p w14:paraId="611434AD" w14:textId="47D3730E" w:rsidR="00F31647" w:rsidRDefault="00D8523A" w:rsidP="00E821BC">
      <w:pPr>
        <w:pStyle w:val="Nivel2SM"/>
      </w:pPr>
      <w:r>
        <w:rPr>
          <w:smallCaps/>
        </w:rPr>
        <w:t>Sala-i-Martín</w:t>
      </w:r>
      <w:r w:rsidRPr="00D8523A">
        <w:t xml:space="preserve"> </w:t>
      </w:r>
      <w:r>
        <w:t>sugiere considerarlo</w:t>
      </w:r>
      <w:r w:rsidR="00F31647">
        <w:t xml:space="preserve"> en términos de probabilidades</w:t>
      </w:r>
      <w:r>
        <w:t xml:space="preserve"> </w:t>
      </w:r>
      <w:r w:rsidR="00F31647">
        <w:t>(</w:t>
      </w:r>
      <w:r>
        <w:t xml:space="preserve">no considerar variables robustas </w:t>
      </w:r>
      <w:r w:rsidR="00E821BC">
        <w:t xml:space="preserve">únicamente a </w:t>
      </w:r>
      <w:r w:rsidR="00F31647">
        <w:t xml:space="preserve">aquellas que </w:t>
      </w:r>
      <w:r>
        <w:t xml:space="preserve">lo son </w:t>
      </w:r>
      <w:r w:rsidR="00F31647">
        <w:t>con un 100</w:t>
      </w:r>
      <w:r>
        <w:t> </w:t>
      </w:r>
      <w:r w:rsidR="00F31647">
        <w:t>%</w:t>
      </w:r>
      <w:r>
        <w:t>, sino indicar en qu</w:t>
      </w:r>
      <w:r w:rsidR="00E821BC">
        <w:t>é</w:t>
      </w:r>
      <w:r>
        <w:t xml:space="preserve"> grado la variable es robusta</w:t>
      </w:r>
      <w:r w:rsidR="00F31647">
        <w:t>)</w:t>
      </w:r>
      <w:r w:rsidR="0032238F">
        <w:rPr>
          <w:rStyle w:val="Refdenotaalpie"/>
        </w:rPr>
        <w:footnoteReference w:id="22"/>
      </w:r>
      <w:r w:rsidR="00F31647">
        <w:t>.</w:t>
      </w:r>
    </w:p>
    <w:p w14:paraId="12A122C9" w14:textId="340F2EFC" w:rsidR="006114AD" w:rsidRDefault="006114AD">
      <w:pPr>
        <w:pStyle w:val="Ttulo3"/>
      </w:pPr>
      <w:bookmarkStart w:id="72" w:name="_Toc129716241"/>
      <w:r w:rsidRPr="006114AD">
        <w:rPr>
          <w:smallCaps/>
        </w:rPr>
        <w:lastRenderedPageBreak/>
        <w:t>Kneller</w:t>
      </w:r>
      <w:r>
        <w:t xml:space="preserve"> et al. (1999)</w:t>
      </w:r>
      <w:bookmarkEnd w:id="72"/>
    </w:p>
    <w:p w14:paraId="66D8ECB2" w14:textId="3FB8C7DA" w:rsidR="00F31647" w:rsidRPr="00D8523A" w:rsidRDefault="00D8523A" w:rsidP="00E821BC">
      <w:pPr>
        <w:pStyle w:val="Nivel1SM"/>
        <w:keepNext/>
        <w:spacing w:before="0" w:after="0"/>
      </w:pPr>
      <w:r w:rsidRPr="00B83A86">
        <w:t xml:space="preserve">La contribución </w:t>
      </w:r>
      <w:r w:rsidR="00F31647" w:rsidRPr="00B83A86">
        <w:rPr>
          <w:smallCaps/>
        </w:rPr>
        <w:t>Kneller</w:t>
      </w:r>
      <w:r w:rsidR="00F31647" w:rsidRPr="00B83A86">
        <w:t xml:space="preserve"> </w:t>
      </w:r>
      <w:r w:rsidR="00F31647" w:rsidRPr="00B83A86">
        <w:rPr>
          <w:i/>
          <w:iCs/>
        </w:rPr>
        <w:t>et al</w:t>
      </w:r>
      <w:r w:rsidR="00F31647" w:rsidRPr="00B83A86">
        <w:t xml:space="preserve">. </w:t>
      </w:r>
      <w:r w:rsidR="00F31647" w:rsidRPr="00D8523A">
        <w:t xml:space="preserve">(1999) </w:t>
      </w:r>
      <w:r w:rsidRPr="00D8523A">
        <w:t>supone un punto de inflexión en la literatura</w:t>
      </w:r>
      <w:r w:rsidR="00F31647" w:rsidRPr="00D8523A">
        <w:t xml:space="preserve"> </w:t>
      </w:r>
      <w:r w:rsidRPr="00D8523A">
        <w:t>al dividir el gasto público en</w:t>
      </w:r>
      <w:r>
        <w:t xml:space="preserve"> productivo e improductivo</w:t>
      </w:r>
      <w:r w:rsidR="00F31647" w:rsidRPr="00D8523A">
        <w:t>.</w:t>
      </w:r>
      <w:r>
        <w:t xml:space="preserve"> </w:t>
      </w:r>
      <w:r w:rsidRPr="00D8523A">
        <w:t>Una especificación complet</w:t>
      </w:r>
      <w:r w:rsidR="00E821BC">
        <w:t>a</w:t>
      </w:r>
      <w:r w:rsidRPr="00D8523A">
        <w:t xml:space="preserve"> de la restricción presupuestaria del </w:t>
      </w:r>
      <w:r>
        <w:t>gobierno llevo a resultados dramáticamente distintos</w:t>
      </w:r>
      <w:r w:rsidR="00F31647" w:rsidRPr="00D8523A">
        <w:t>.</w:t>
      </w:r>
    </w:p>
    <w:p w14:paraId="35D9406A" w14:textId="7DC32193" w:rsidR="00E821BC" w:rsidRDefault="00D8523A" w:rsidP="00E821BC">
      <w:pPr>
        <w:pStyle w:val="Nivel2SM"/>
      </w:pPr>
      <w:r w:rsidRPr="00D8523A">
        <w:t xml:space="preserve">Los gastos productivos incluyen </w:t>
      </w:r>
      <w:r w:rsidR="00F31647" w:rsidRPr="00D8523A">
        <w:t>transport</w:t>
      </w:r>
      <w:r w:rsidRPr="00D8523A">
        <w:t>e</w:t>
      </w:r>
      <w:r w:rsidR="00F31647" w:rsidRPr="00D8523A">
        <w:t>s, comunica</w:t>
      </w:r>
      <w:r w:rsidRPr="00D8523A">
        <w:t>c</w:t>
      </w:r>
      <w:r w:rsidR="00F31647" w:rsidRPr="00D8523A">
        <w:t>i</w:t>
      </w:r>
      <w:r w:rsidRPr="00D8523A">
        <w:t>ó</w:t>
      </w:r>
      <w:r w:rsidR="00F31647" w:rsidRPr="00D8523A">
        <w:t>n</w:t>
      </w:r>
      <w:r w:rsidRPr="00D8523A">
        <w:t>, subsidi</w:t>
      </w:r>
      <w:r w:rsidR="00E821BC">
        <w:t>o</w:t>
      </w:r>
      <w:r w:rsidRPr="00D8523A">
        <w:t>s a la</w:t>
      </w:r>
      <w:r w:rsidR="00F31647" w:rsidRPr="00D8523A">
        <w:t xml:space="preserve"> infra</w:t>
      </w:r>
      <w:r>
        <w:t>e</w:t>
      </w:r>
      <w:r w:rsidR="00F31647" w:rsidRPr="00D8523A">
        <w:t>structur</w:t>
      </w:r>
      <w:r w:rsidRPr="00D8523A">
        <w:t>a,</w:t>
      </w:r>
      <w:r w:rsidR="00F31647" w:rsidRPr="00D8523A">
        <w:t xml:space="preserve"> subsidi</w:t>
      </w:r>
      <w:r w:rsidRPr="00D8523A">
        <w:t>o</w:t>
      </w:r>
      <w:r w:rsidR="00F31647" w:rsidRPr="00D8523A">
        <w:t xml:space="preserve">s </w:t>
      </w:r>
      <w:r w:rsidRPr="00D8523A">
        <w:t>a la I+D.</w:t>
      </w:r>
    </w:p>
    <w:p w14:paraId="19A8DCC3" w14:textId="61DEA7D3" w:rsidR="00F31647" w:rsidRPr="00D8523A" w:rsidRDefault="00D8523A" w:rsidP="00E821BC">
      <w:pPr>
        <w:pStyle w:val="Nivel2SM"/>
      </w:pPr>
      <w:r w:rsidRPr="00D8523A">
        <w:t>Por su</w:t>
      </w:r>
      <w:r>
        <w:t xml:space="preserve"> parte, los principales gastos improductivos incluyen los gastos de la seguridad social, que están justificados por razones equitativas</w:t>
      </w:r>
      <w:r w:rsidR="0032238F">
        <w:rPr>
          <w:rStyle w:val="Refdenotaalpie"/>
          <w:lang w:val="en-US"/>
        </w:rPr>
        <w:footnoteReference w:id="23"/>
      </w:r>
      <w:r w:rsidR="00F31647" w:rsidRPr="00D8523A">
        <w:t>.</w:t>
      </w:r>
    </w:p>
    <w:p w14:paraId="45FA2F91" w14:textId="593321E9" w:rsidR="006114AD" w:rsidRDefault="006114AD">
      <w:pPr>
        <w:pStyle w:val="Ttulo2"/>
      </w:pPr>
      <w:bookmarkStart w:id="73" w:name="_Toc129716242"/>
      <w:r>
        <w:t>La importancia de las instituciones</w:t>
      </w:r>
      <w:bookmarkEnd w:id="73"/>
    </w:p>
    <w:p w14:paraId="767B19B5" w14:textId="77777777" w:rsidR="00B70F11" w:rsidRDefault="00B70F11" w:rsidP="00981B56">
      <w:pPr>
        <w:pStyle w:val="Ttulo3"/>
        <w:spacing w:before="0"/>
      </w:pPr>
      <w:bookmarkStart w:id="74" w:name="_Toc129716243"/>
      <w:bookmarkStart w:id="75" w:name="_Toc55381925"/>
      <w:bookmarkStart w:id="76" w:name="_Toc55382060"/>
      <w:bookmarkStart w:id="77" w:name="_Toc55382095"/>
      <w:bookmarkStart w:id="78" w:name="_Toc55382523"/>
      <w:r>
        <w:t>Idea</w:t>
      </w:r>
      <w:bookmarkEnd w:id="74"/>
    </w:p>
    <w:p w14:paraId="6B961ABB" w14:textId="77777777" w:rsidR="00B70F11" w:rsidRPr="00E821BC" w:rsidRDefault="00B70F11" w:rsidP="00981B56">
      <w:pPr>
        <w:pStyle w:val="Nivel1SM"/>
        <w:keepNext/>
        <w:spacing w:before="0" w:after="0"/>
        <w:rPr>
          <w:spacing w:val="-1"/>
        </w:rPr>
      </w:pPr>
      <w:bookmarkStart w:id="79" w:name="_Hlk120041044"/>
      <w:bookmarkStart w:id="80" w:name="_Hlk120041324"/>
      <w:r w:rsidRPr="00E821BC">
        <w:rPr>
          <w:spacing w:val="-1"/>
        </w:rPr>
        <w:t xml:space="preserve">Los </w:t>
      </w:r>
      <w:r w:rsidRPr="00E821BC">
        <w:rPr>
          <w:b/>
          <w:bCs/>
          <w:spacing w:val="-1"/>
        </w:rPr>
        <w:t>economistas</w:t>
      </w:r>
      <w:r w:rsidRPr="00E821BC">
        <w:rPr>
          <w:spacing w:val="-1"/>
        </w:rPr>
        <w:t xml:space="preserve"> que han subrayado la importancia de las instituciones como un determinante del crecimiento han sido entre otros el historiador </w:t>
      </w:r>
      <w:r w:rsidRPr="00E821BC">
        <w:rPr>
          <w:smallCaps/>
          <w:spacing w:val="-1"/>
        </w:rPr>
        <w:t>Douglass North</w:t>
      </w:r>
      <w:r w:rsidRPr="00E821BC">
        <w:rPr>
          <w:rStyle w:val="Refdenotaalpie"/>
          <w:spacing w:val="-1"/>
        </w:rPr>
        <w:footnoteReference w:id="24"/>
      </w:r>
      <w:r w:rsidRPr="00E821BC">
        <w:rPr>
          <w:spacing w:val="-1"/>
        </w:rPr>
        <w:t xml:space="preserve">, </w:t>
      </w:r>
      <w:r w:rsidRPr="00E821BC">
        <w:rPr>
          <w:smallCaps/>
          <w:spacing w:val="-1"/>
        </w:rPr>
        <w:t>Hall Jones</w:t>
      </w:r>
      <w:r w:rsidRPr="00E821BC">
        <w:rPr>
          <w:spacing w:val="-1"/>
        </w:rPr>
        <w:t xml:space="preserve"> y, más recientemente, </w:t>
      </w:r>
      <w:r w:rsidRPr="00E821BC">
        <w:rPr>
          <w:smallCaps/>
          <w:spacing w:val="-1"/>
        </w:rPr>
        <w:t>Acemoğlu</w:t>
      </w:r>
      <w:r w:rsidRPr="00E821BC">
        <w:rPr>
          <w:spacing w:val="-1"/>
        </w:rPr>
        <w:t xml:space="preserve">, </w:t>
      </w:r>
      <w:r w:rsidRPr="00E821BC">
        <w:rPr>
          <w:smallCaps/>
          <w:spacing w:val="-1"/>
        </w:rPr>
        <w:t>Johnson</w:t>
      </w:r>
      <w:r w:rsidRPr="00E821BC">
        <w:rPr>
          <w:spacing w:val="-1"/>
        </w:rPr>
        <w:t xml:space="preserve"> y </w:t>
      </w:r>
      <w:r w:rsidRPr="00E821BC">
        <w:rPr>
          <w:smallCaps/>
          <w:spacing w:val="-1"/>
        </w:rPr>
        <w:t>Robinson</w:t>
      </w:r>
      <w:r w:rsidRPr="00E821BC">
        <w:rPr>
          <w:spacing w:val="-1"/>
        </w:rPr>
        <w:t>.</w:t>
      </w:r>
    </w:p>
    <w:p w14:paraId="788C70F1" w14:textId="5A961E4B" w:rsidR="00B70F11" w:rsidRDefault="00B70F11" w:rsidP="00B70F11">
      <w:pPr>
        <w:pStyle w:val="Nivel2SM"/>
      </w:pPr>
      <w:r>
        <w:t xml:space="preserve">Contexto: publicación en 1998 por el Banco Mundial </w:t>
      </w:r>
      <w:r>
        <w:rPr>
          <w:i/>
          <w:iCs/>
        </w:rPr>
        <w:t>“Más allá del consenso de Washington”</w:t>
      </w:r>
      <w:r>
        <w:t xml:space="preserve"> donde ya se reconocía la importancia de las instituciones: “había que suplementar las ideas del Consenso de Washington</w:t>
      </w:r>
      <w:r w:rsidR="004C5C01">
        <w:rPr>
          <w:rStyle w:val="Refdenotaalpie"/>
        </w:rPr>
        <w:footnoteReference w:id="25"/>
      </w:r>
      <w:r>
        <w:t xml:space="preserve"> con reformas institucionales”. Los autores citados profundizan en la interrelación entre las instituciones y el proceso de desarrollo económico.</w:t>
      </w:r>
    </w:p>
    <w:bookmarkEnd w:id="79"/>
    <w:p w14:paraId="3ED5B4E1" w14:textId="77777777" w:rsidR="00B70F11" w:rsidRDefault="00B70F11" w:rsidP="00B70F11">
      <w:pPr>
        <w:pStyle w:val="Nivel1SM"/>
        <w:keepNext/>
        <w:spacing w:after="0"/>
      </w:pPr>
      <w:r>
        <w:t xml:space="preserve">Las </w:t>
      </w:r>
      <w:r w:rsidRPr="00AB00C7">
        <w:rPr>
          <w:b/>
          <w:bCs/>
        </w:rPr>
        <w:t>instituciones</w:t>
      </w:r>
      <w:r>
        <w:t xml:space="preserve"> son las </w:t>
      </w:r>
      <w:r w:rsidRPr="00AB00C7">
        <w:rPr>
          <w:i/>
          <w:iCs/>
          <w:u w:val="single"/>
        </w:rPr>
        <w:t>reglas del juego que imperan en una sociedad</w:t>
      </w:r>
      <w:r>
        <w:t>.</w:t>
      </w:r>
    </w:p>
    <w:p w14:paraId="2788E1CC" w14:textId="77777777" w:rsidR="00B70F11" w:rsidRDefault="00B70F11" w:rsidP="00B70F11">
      <w:pPr>
        <w:pStyle w:val="Nivel2SM"/>
        <w:keepNext/>
        <w:spacing w:after="0"/>
      </w:pPr>
      <w:r>
        <w:t xml:space="preserve">Es un concepto relacionado con el imperio de la ley: el grado de cumplimiento de la legislación, los límites a la discrecionalidad de los gobernantes, el grado de respeto derechos de propiedad,  el respeto de los contratos… </w:t>
      </w:r>
    </w:p>
    <w:p w14:paraId="494B2294" w14:textId="77777777" w:rsidR="00B70F11" w:rsidRDefault="00B70F11" w:rsidP="00B70F11">
      <w:pPr>
        <w:pStyle w:val="Nivel3SM"/>
      </w:pPr>
      <w:r w:rsidRPr="00AB00C7">
        <w:t>En este sentido,</w:t>
      </w:r>
      <w:r>
        <w:rPr>
          <w:smallCaps/>
        </w:rPr>
        <w:t xml:space="preserve"> </w:t>
      </w:r>
      <w:r w:rsidRPr="00F31647">
        <w:rPr>
          <w:smallCaps/>
        </w:rPr>
        <w:t>Coase</w:t>
      </w:r>
      <w:r>
        <w:t xml:space="preserve"> argumenta que el sistema legal tiene que estar precisamente diseñado para conseguir que los agentes económicos puedan, a través del imperio de la ley, entrar en relaciones bilaterales que sean beneficiosas para el conjunto de la sociedad.</w:t>
      </w:r>
    </w:p>
    <w:p w14:paraId="627A6EF1" w14:textId="77777777" w:rsidR="00B70F11" w:rsidRDefault="00B70F11" w:rsidP="00B70F11">
      <w:pPr>
        <w:pStyle w:val="Nivel3SM"/>
      </w:pPr>
      <w:r>
        <w:t xml:space="preserve">Las instituciones van a permitir que los agentes, de manera independiente y espontánea, creen </w:t>
      </w:r>
      <w:r w:rsidRPr="00AB00C7">
        <w:rPr>
          <w:i/>
          <w:iCs/>
        </w:rPr>
        <w:t>actividad económica</w:t>
      </w:r>
      <w:r>
        <w:t xml:space="preserve"> y </w:t>
      </w:r>
      <w:r w:rsidRPr="00AB00C7">
        <w:rPr>
          <w:i/>
          <w:iCs/>
        </w:rPr>
        <w:t>actividad social</w:t>
      </w:r>
      <w:r>
        <w:t xml:space="preserve"> que sea beneficiosa para todos (</w:t>
      </w:r>
      <w:r w:rsidRPr="00D8523A">
        <w:rPr>
          <w:smallCaps/>
        </w:rPr>
        <w:t>Hayek</w:t>
      </w:r>
      <w:r>
        <w:t>: la falta arrogancia: la curiosa labor de la economía es demostrar a los hombres lo poco que realmente saben sobre lo que se imaginan que pueden diseñar).</w:t>
      </w:r>
    </w:p>
    <w:p w14:paraId="0DFEF1F7" w14:textId="77777777" w:rsidR="00B70F11" w:rsidRPr="00F31647" w:rsidRDefault="00B70F11" w:rsidP="00B70F11">
      <w:pPr>
        <w:pStyle w:val="Nivel3SM"/>
      </w:pPr>
      <w:r>
        <w:t xml:space="preserve">También al abordar la relación crecimiento-instituciones se tiene que hacer especial referencia a la </w:t>
      </w:r>
      <w:r w:rsidRPr="00AB00C7">
        <w:rPr>
          <w:i/>
          <w:iCs/>
        </w:rPr>
        <w:t>vertiente económica</w:t>
      </w:r>
      <w:r>
        <w:t>: facilidad de hacer negocios, incentivos a crear empresas.</w:t>
      </w:r>
    </w:p>
    <w:p w14:paraId="0CDBE799" w14:textId="77777777" w:rsidR="00B70F11" w:rsidRDefault="00B70F11" w:rsidP="00B70F11">
      <w:pPr>
        <w:pStyle w:val="Ttulo3"/>
        <w:rPr>
          <w:lang w:val="en-US"/>
        </w:rPr>
      </w:pPr>
      <w:bookmarkStart w:id="81" w:name="_Toc129716244"/>
      <w:bookmarkEnd w:id="80"/>
      <w:r>
        <w:rPr>
          <w:lang w:val="en-US"/>
        </w:rPr>
        <w:t>Desarrollo</w:t>
      </w:r>
      <w:bookmarkEnd w:id="81"/>
    </w:p>
    <w:p w14:paraId="6B508E3A" w14:textId="77777777" w:rsidR="00B70F11" w:rsidRPr="006114AD" w:rsidRDefault="00B70F11" w:rsidP="00981B56">
      <w:pPr>
        <w:pStyle w:val="Ttulo6"/>
        <w:spacing w:before="0"/>
        <w:rPr>
          <w:lang w:val="en-US"/>
        </w:rPr>
      </w:pPr>
      <w:bookmarkStart w:id="82" w:name="_Toc129716245"/>
      <w:r w:rsidRPr="006114AD">
        <w:rPr>
          <w:lang w:val="en-US"/>
        </w:rPr>
        <w:t>Colonial Origins of Comparative Developments (</w:t>
      </w:r>
      <w:r w:rsidRPr="00F31647">
        <w:rPr>
          <w:smallCaps/>
          <w:lang w:val="en-US"/>
        </w:rPr>
        <w:t>Acemoğlu</w:t>
      </w:r>
      <w:r w:rsidRPr="00F31647">
        <w:rPr>
          <w:lang w:val="en-US"/>
        </w:rPr>
        <w:t xml:space="preserve">, </w:t>
      </w:r>
      <w:r w:rsidRPr="00F31647">
        <w:rPr>
          <w:smallCaps/>
          <w:lang w:val="en-US"/>
        </w:rPr>
        <w:t>Johnson</w:t>
      </w:r>
      <w:r w:rsidRPr="00F31647">
        <w:rPr>
          <w:lang w:val="en-US"/>
        </w:rPr>
        <w:t xml:space="preserve"> y </w:t>
      </w:r>
      <w:r w:rsidRPr="00F31647">
        <w:rPr>
          <w:smallCaps/>
          <w:lang w:val="en-US"/>
        </w:rPr>
        <w:t>Robinson</w:t>
      </w:r>
      <w:r>
        <w:rPr>
          <w:lang w:val="en-US"/>
        </w:rPr>
        <w:t xml:space="preserve">, </w:t>
      </w:r>
      <w:r w:rsidRPr="006114AD">
        <w:rPr>
          <w:lang w:val="en-US"/>
        </w:rPr>
        <w:t>2001)</w:t>
      </w:r>
      <w:bookmarkEnd w:id="82"/>
    </w:p>
    <w:p w14:paraId="0C6D4960" w14:textId="16D541B6" w:rsidR="00B70F11" w:rsidRDefault="00B70F11" w:rsidP="00981B56">
      <w:pPr>
        <w:pStyle w:val="Nivel1SM"/>
        <w:spacing w:before="0" w:after="0"/>
      </w:pPr>
      <w:r w:rsidRPr="00F31647">
        <w:rPr>
          <w:smallCaps/>
        </w:rPr>
        <w:t>Acemoğlu</w:t>
      </w:r>
      <w:r>
        <w:t xml:space="preserve">, </w:t>
      </w:r>
      <w:r w:rsidRPr="00F31647">
        <w:rPr>
          <w:smallCaps/>
        </w:rPr>
        <w:t>Johnson</w:t>
      </w:r>
      <w:r>
        <w:t xml:space="preserve"> y </w:t>
      </w:r>
      <w:r w:rsidRPr="00F31647">
        <w:rPr>
          <w:smallCaps/>
        </w:rPr>
        <w:t>Robinson</w:t>
      </w:r>
      <w:r>
        <w:t xml:space="preserve"> van a intentar demostrar que </w:t>
      </w:r>
      <w:r w:rsidRPr="00AB00C7">
        <w:rPr>
          <w:b/>
          <w:bCs/>
        </w:rPr>
        <w:t>mejores instituciones llevan a mayor crecimiento</w:t>
      </w:r>
      <w:r>
        <w:t>, en concreto, van a demostrar la causalidad de esta relación</w:t>
      </w:r>
      <w:r w:rsidR="004C5C01">
        <w:t>.</w:t>
      </w:r>
    </w:p>
    <w:p w14:paraId="57A4968E" w14:textId="77777777" w:rsidR="00B70F11" w:rsidRDefault="00B70F11" w:rsidP="00B70F11">
      <w:pPr>
        <w:pStyle w:val="Nivel2SM"/>
        <w:spacing w:after="0"/>
      </w:pPr>
      <w:r>
        <w:t xml:space="preserve">Los datos internacionales muestran la existencia de una notable correlación entre la latitud y la prosperidad económica: los países que se encuentran más cerca del ecuador normalmente </w:t>
      </w:r>
      <w:r>
        <w:lastRenderedPageBreak/>
        <w:t>tienen unos niveles más bajos de renta per cápita que los países que se encuentran más lejos del ecuador. ¿A qué se debe la correlación?</w:t>
      </w:r>
    </w:p>
    <w:p w14:paraId="6030A5A4" w14:textId="77777777" w:rsidR="00B70F11" w:rsidRDefault="00B70F11" w:rsidP="00B70F11">
      <w:pPr>
        <w:pStyle w:val="Nivel3SM"/>
        <w:keepNext/>
      </w:pPr>
      <w:r>
        <w:t>Algunos economistas han apuntado que los climas tropicales cercanos al ecuador ejercen una influencia negativa directa en la productividad. En el clima cálido del trópico, la agricultura es más difícil y las enfermedades son más frecuentes, por lo que cuesta más producir bienes y servicios.</w:t>
      </w:r>
    </w:p>
    <w:p w14:paraId="454F7F89" w14:textId="77777777" w:rsidR="00B70F11" w:rsidRDefault="00B70F11" w:rsidP="00B70F11">
      <w:pPr>
        <w:pStyle w:val="Nivel4"/>
        <w:ind w:left="1474"/>
      </w:pPr>
      <w:r>
        <w:t>Aunque el efecto directo de las características geográficas es una de las razones por los que los países tropicales tienden a ser pobres, no lo es todo. Un contraejemplo sería Singapur, un país desarrollado muy cercano al ecuador.</w:t>
      </w:r>
    </w:p>
    <w:p w14:paraId="15DC8762" w14:textId="77777777" w:rsidR="00B70F11" w:rsidRDefault="00B70F11" w:rsidP="00B70F11">
      <w:pPr>
        <w:pStyle w:val="Nivel3SM"/>
        <w:spacing w:after="100"/>
      </w:pPr>
      <w:r w:rsidRPr="00AB00C7">
        <w:rPr>
          <w:smallCaps/>
        </w:rPr>
        <w:t>Daron Acemoğlu</w:t>
      </w:r>
      <w:r>
        <w:t xml:space="preserve">, </w:t>
      </w:r>
      <w:r w:rsidRPr="00AB00C7">
        <w:rPr>
          <w:smallCaps/>
        </w:rPr>
        <w:t>Simon Johnson</w:t>
      </w:r>
      <w:r>
        <w:t xml:space="preserve"> y </w:t>
      </w:r>
      <w:r w:rsidRPr="00AB00C7">
        <w:rPr>
          <w:smallCaps/>
        </w:rPr>
        <w:t>James Robinson</w:t>
      </w:r>
      <w:r>
        <w:t xml:space="preserve"> han propuesto recientemente un mecanismo indirecto: </w:t>
      </w:r>
      <w:r w:rsidRPr="00AB00C7">
        <w:rPr>
          <w:i/>
          <w:iCs/>
        </w:rPr>
        <w:t>la influencia de las características geográficas en las instituciones</w:t>
      </w:r>
      <w:r>
        <w:t>.</w:t>
      </w:r>
    </w:p>
    <w:p w14:paraId="4842818F" w14:textId="77777777" w:rsidR="00B70F11" w:rsidRDefault="00B70F11" w:rsidP="00B70F11">
      <w:pPr>
        <w:pStyle w:val="Nivel1SM"/>
        <w:keepNext/>
        <w:spacing w:after="0"/>
      </w:pPr>
      <w:r>
        <w:t>Esta es su explicación presentada en varios pasos:</w:t>
      </w:r>
    </w:p>
    <w:p w14:paraId="3A712550" w14:textId="1581224E" w:rsidR="00B70F11" w:rsidRDefault="00B70F11">
      <w:pPr>
        <w:pStyle w:val="Prrafodelista"/>
        <w:numPr>
          <w:ilvl w:val="0"/>
          <w:numId w:val="22"/>
        </w:numPr>
        <w:spacing w:after="100"/>
        <w:ind w:left="568" w:hanging="284"/>
      </w:pPr>
      <w:r>
        <w:t>En los siglos</w:t>
      </w:r>
      <w:r w:rsidR="001C1171">
        <w:t> </w:t>
      </w:r>
      <w:r>
        <w:t>XVII, XVIII y XIX, los colonizadores europeos eran más susceptibles de sufrir enfermedades, especialmente malaria y fiebre amarilla, en los climas tropicales, por lo que en su proceso colonizador evitaron asentarse en las zonas tropicales, como es una gran parte de África y de Centroamérica. Prefirieron las zonas que tenían climas más moderados y condiciones más favorables para la salud, como Estados Unidos, Canadá y Nueva Zelanda.</w:t>
      </w:r>
    </w:p>
    <w:p w14:paraId="21B14A27" w14:textId="4E056FA3" w:rsidR="00B70F11" w:rsidRDefault="00B70F11">
      <w:pPr>
        <w:pStyle w:val="Prrafodelista"/>
        <w:numPr>
          <w:ilvl w:val="0"/>
          <w:numId w:val="22"/>
        </w:numPr>
        <w:spacing w:after="100"/>
        <w:ind w:left="568" w:hanging="284"/>
      </w:pPr>
      <w:r>
        <w:t>En las zonas en las que los europeos se asentaron en un gran número, los colonizadores establecieron instituciones como las europeas que protegían los derechos de propiedad individuales y limitaban el poder del Estado. En cambio, en los climas tropicales</w:t>
      </w:r>
      <w:r w:rsidR="00F57ACA">
        <w:t>,</w:t>
      </w:r>
      <w:r>
        <w:t xml:space="preserve"> las potencias coloniales a menudo establecieron instituciones «extractivas», como gobiernos autoritarios, para poder aprovechar los recursos naturales de la zona. Estas instituciones enriquecieron a los colonizadores, pero apenas contribuyeron a fomentar el crecimiento económico.</w:t>
      </w:r>
    </w:p>
    <w:p w14:paraId="297676B6" w14:textId="0420CA8D" w:rsidR="00B70F11" w:rsidRDefault="00B70F11">
      <w:pPr>
        <w:pStyle w:val="Prrafodelista"/>
        <w:numPr>
          <w:ilvl w:val="0"/>
          <w:numId w:val="22"/>
        </w:numPr>
        <w:spacing w:after="100"/>
        <w:ind w:left="568" w:hanging="284"/>
      </w:pPr>
      <w:r>
        <w:t>Aunque la era de los regímenes coloniales hace tiempo que concluyó, las primeras instituciones que establecieron los colonizadores europeos están estrechamente correlacionadas con las instituciones modernas en sus antiguas colonias</w:t>
      </w:r>
      <w:r w:rsidR="00FC08AA">
        <w:t xml:space="preserve"> </w:t>
      </w:r>
      <w:r>
        <w:t>(persistencia institucional). En los países tropicales, en los que las potencias coloniales establecieron instituciones extractivas</w:t>
      </w:r>
      <w:r w:rsidR="00FC08AA">
        <w:t>,</w:t>
      </w:r>
      <w:r>
        <w:t xml:space="preserve"> las instituciones extractivas permanecieron</w:t>
      </w:r>
      <w:r w:rsidR="00FC08AA">
        <w:t xml:space="preserve"> cuando se fueron los colonizadores</w:t>
      </w:r>
      <w:r>
        <w:t xml:space="preserve"> y fueron adoptadas simplemente por las nuevas élites políticas.</w:t>
      </w:r>
    </w:p>
    <w:p w14:paraId="40B4F4F7" w14:textId="77777777" w:rsidR="00B70F11" w:rsidRDefault="00B70F11">
      <w:pPr>
        <w:pStyle w:val="Prrafodelista"/>
        <w:numPr>
          <w:ilvl w:val="0"/>
          <w:numId w:val="22"/>
        </w:numPr>
        <w:spacing w:after="100"/>
        <w:ind w:left="568" w:hanging="284"/>
      </w:pPr>
      <w:r>
        <w:t>La calidad de las instituciones es un determinante clave de los resultados económicos. En las zonas en las que los derechos de propiedad están bien protegidos, la gente tiene más incentivos para realizar las inversiones que generan crecimiento económico. En las zonas en las que los derechos de propiedad son menos respetados, como ocurre normalmente en los países tropicales, la inversión y el crecimiento tienden a ser menores.</w:t>
      </w:r>
    </w:p>
    <w:p w14:paraId="79268131" w14:textId="0E7B2BD3" w:rsidR="00B70F11" w:rsidRDefault="00B70F11" w:rsidP="00B70F11">
      <w:pPr>
        <w:pStyle w:val="Nivel1SM"/>
        <w:keepNext/>
        <w:spacing w:after="0"/>
      </w:pPr>
      <w:r>
        <w:t xml:space="preserve">Sin embargo, para la estrategia empírica hay claramente un problema de endogeneidad. Es decir, se puede dar un problema de </w:t>
      </w:r>
      <w:r w:rsidRPr="00247D27">
        <w:rPr>
          <w:i/>
          <w:iCs/>
        </w:rPr>
        <w:t>causalidad simultánea</w:t>
      </w:r>
      <w:r>
        <w:t>: el efecto puede ser también desde más crecimiento económico a mejores instituciones</w:t>
      </w:r>
      <w:r w:rsidR="00FC08AA">
        <w:rPr>
          <w:rStyle w:val="Refdenotaalpie"/>
        </w:rPr>
        <w:footnoteReference w:id="26"/>
      </w:r>
      <w:r>
        <w:t>.</w:t>
      </w:r>
    </w:p>
    <w:p w14:paraId="5537305B" w14:textId="77777777" w:rsidR="00B70F11" w:rsidRDefault="00B70F11" w:rsidP="00B70F11">
      <w:pPr>
        <w:pStyle w:val="Nivel2SM"/>
        <w:keepNext/>
        <w:spacing w:after="0"/>
      </w:pPr>
      <w:r>
        <w:t>Por ello, estos autores persiguen utilizar un instrumento exógeno para la calidad institucional ¿pero qué instrumento pueden usar?</w:t>
      </w:r>
    </w:p>
    <w:p w14:paraId="41470121" w14:textId="77777777" w:rsidR="00B70F11" w:rsidRDefault="00B70F11" w:rsidP="00B70F11">
      <w:pPr>
        <w:pStyle w:val="Nivel3SM"/>
        <w:keepNext/>
      </w:pPr>
      <w:r>
        <w:t xml:space="preserve">Dadas las hipótesis manejadas un buen instrumento podría ser la </w:t>
      </w:r>
      <w:r w:rsidRPr="00780D34">
        <w:rPr>
          <w:i/>
          <w:iCs/>
        </w:rPr>
        <w:t>mortalidad de los europeos en las colonias</w:t>
      </w:r>
      <w:r>
        <w:t>.</w:t>
      </w:r>
    </w:p>
    <w:p w14:paraId="5C03224F" w14:textId="77777777" w:rsidR="00B70F11" w:rsidRDefault="00B70F11" w:rsidP="00B70F11">
      <w:pPr>
        <w:pStyle w:val="Nivel4"/>
        <w:ind w:left="1474"/>
      </w:pPr>
      <w:r>
        <w:t>Este instrumento está correlacionado con el crecimiento del PIB per cápita (a mayor mortalidad menor crecimiento del PIB per cápita).</w:t>
      </w:r>
    </w:p>
    <w:p w14:paraId="7F4809EF" w14:textId="3694CD44" w:rsidR="00B70F11" w:rsidRDefault="00B70F11" w:rsidP="00B70F11">
      <w:pPr>
        <w:pStyle w:val="Nivel4"/>
        <w:ind w:left="1474"/>
      </w:pPr>
      <w:r>
        <w:t>Además, se puede considerar exógeno, lo que quiere decir que la mortalidad en las colonias s</w:t>
      </w:r>
      <w:r w:rsidR="00FC08AA">
        <w:t>ó</w:t>
      </w:r>
      <w:r>
        <w:t>lo afecta al PIB a través de las instituciones.</w:t>
      </w:r>
    </w:p>
    <w:p w14:paraId="09B222D8" w14:textId="77777777" w:rsidR="00B70F11" w:rsidRDefault="00B70F11" w:rsidP="00B70F11">
      <w:pPr>
        <w:pStyle w:val="Nivel2SM"/>
      </w:pPr>
      <w:r>
        <w:lastRenderedPageBreak/>
        <w:t>De este modo, con la regresión por variables instrumentales, los autores obtienen un resultado robusto y casual, ya que se ha tenido en cuenta la posible correlación de las instituciones con otros determinantes del PIB (regresión amplia) y se ha utilizado un instrumento para eliminar los problemas de endogeneidad.</w:t>
      </w:r>
    </w:p>
    <w:p w14:paraId="11EF6641" w14:textId="77777777" w:rsidR="00B70F11" w:rsidRDefault="00B70F11" w:rsidP="00B70F11">
      <w:pPr>
        <w:pStyle w:val="Ttulo6"/>
      </w:pPr>
      <w:bookmarkStart w:id="83" w:name="_Toc129716246"/>
      <w:r>
        <w:t>¿Qué explica la desviación del diseño eficiente de instituciones?</w:t>
      </w:r>
      <w:bookmarkEnd w:id="83"/>
    </w:p>
    <w:p w14:paraId="28327E6B" w14:textId="77777777" w:rsidR="00B70F11" w:rsidRDefault="00B70F11" w:rsidP="00981B56">
      <w:pPr>
        <w:pStyle w:val="Nivel1SM"/>
        <w:keepNext/>
        <w:spacing w:before="0" w:after="0"/>
      </w:pPr>
      <w:bookmarkStart w:id="84" w:name="_Hlk120042243"/>
      <w:r>
        <w:t xml:space="preserve">Así, surge una nueva pregunta: </w:t>
      </w:r>
      <w:r w:rsidRPr="00247D27">
        <w:rPr>
          <w:i/>
          <w:iCs/>
        </w:rPr>
        <w:t>¿qué explica la desviación del diseño eficiente de instituciones?</w:t>
      </w:r>
      <w:r>
        <w:t xml:space="preserve"> Podemos responder de varias maneras:</w:t>
      </w:r>
    </w:p>
    <w:p w14:paraId="34288831" w14:textId="77777777" w:rsidR="00B70F11" w:rsidRDefault="00B70F11" w:rsidP="00B70F11">
      <w:pPr>
        <w:pStyle w:val="Nivel2SM"/>
      </w:pPr>
      <w:r w:rsidRPr="00CC6A56">
        <w:rPr>
          <w:i/>
          <w:iCs/>
          <w:u w:val="single"/>
        </w:rPr>
        <w:t>Visión ideológica</w:t>
      </w:r>
      <w:r w:rsidRPr="00CC6A56">
        <w:rPr>
          <w:u w:val="single"/>
        </w:rPr>
        <w:t xml:space="preserve"> (</w:t>
      </w:r>
      <w:r w:rsidRPr="00CC6A56">
        <w:rPr>
          <w:smallCaps/>
          <w:u w:val="single"/>
        </w:rPr>
        <w:t>Piketty</w:t>
      </w:r>
      <w:r w:rsidRPr="00CC6A56">
        <w:rPr>
          <w:u w:val="single"/>
        </w:rPr>
        <w:t>)</w:t>
      </w:r>
      <w:r>
        <w:t>: Existen distintas ideas en la sociedad acerca de lo que es óptimo.</w:t>
      </w:r>
    </w:p>
    <w:p w14:paraId="5A707768" w14:textId="77777777" w:rsidR="00CC6A56" w:rsidRDefault="00B70F11" w:rsidP="00CC6A56">
      <w:pPr>
        <w:pStyle w:val="Nivel2SM"/>
        <w:keepNext/>
        <w:spacing w:after="0"/>
      </w:pPr>
      <w:r w:rsidRPr="00CC6A56">
        <w:rPr>
          <w:i/>
          <w:iCs/>
          <w:u w:val="single"/>
        </w:rPr>
        <w:t>Visión basada en el conflicto social</w:t>
      </w:r>
      <w:r>
        <w:t>: Las instituciones se configuran en base a los intereses de los agentes políticos que participan en el diseño institucional.</w:t>
      </w:r>
    </w:p>
    <w:p w14:paraId="366C1524" w14:textId="77777777" w:rsidR="004D5C47" w:rsidRDefault="00B70F11" w:rsidP="004D5C47">
      <w:pPr>
        <w:pStyle w:val="Nivel3SM"/>
        <w:keepNext/>
      </w:pPr>
      <w:r>
        <w:t xml:space="preserve">Una primera aproximación formal a esta teoría puede ser encontrada en </w:t>
      </w:r>
      <w:r w:rsidRPr="00CC6A56">
        <w:rPr>
          <w:smallCaps/>
        </w:rPr>
        <w:t>Bénabou</w:t>
      </w:r>
      <w:r>
        <w:t xml:space="preserve"> (1996).</w:t>
      </w:r>
      <w:r w:rsidR="00CC6A56">
        <w:t xml:space="preserve"> Este autor modeliza e</w:t>
      </w:r>
      <w:r>
        <w:t xml:space="preserve">l conflicto social como un </w:t>
      </w:r>
      <w:r w:rsidRPr="00CC6A56">
        <w:rPr>
          <w:i/>
          <w:iCs/>
        </w:rPr>
        <w:t>dilema del prisionero</w:t>
      </w:r>
      <w:r w:rsidR="004D5C47">
        <w:t>:</w:t>
      </w:r>
    </w:p>
    <w:p w14:paraId="11BDB51C" w14:textId="4A1F8632" w:rsidR="004D5C47" w:rsidRDefault="004D5C47" w:rsidP="004D5C47">
      <w:pPr>
        <w:pStyle w:val="Nivel4"/>
        <w:ind w:left="1474"/>
      </w:pPr>
      <w:r>
        <w:t>E</w:t>
      </w:r>
      <w:r w:rsidR="00B70F11">
        <w:t xml:space="preserve">xisten </w:t>
      </w:r>
      <w:r>
        <w:t>2 </w:t>
      </w:r>
      <w:r w:rsidR="00B70F11">
        <w:t xml:space="preserve">facciones en una sociedad y pueden cooperar para alcanzar la asignación eficiente y luego repartirse el excedente. Sin embargo, esto puede ser una situación inestable, </w:t>
      </w:r>
      <w:r w:rsidR="00CC6A56">
        <w:t>y</w:t>
      </w:r>
      <w:r w:rsidR="00B70F11">
        <w:t xml:space="preserve"> el equilibrio sería situarse en la no cooperación ya que la amenaza de desviación unilateral es muy fuerte.</w:t>
      </w:r>
    </w:p>
    <w:p w14:paraId="11FD97EB" w14:textId="016EC665" w:rsidR="00B70F11" w:rsidRDefault="00B70F11" w:rsidP="004D5C47">
      <w:pPr>
        <w:pStyle w:val="Nivel4"/>
        <w:ind w:left="1474"/>
      </w:pPr>
      <w:r>
        <w:t xml:space="preserve">Como corolario, el coste de oportunidad del conflicto social es muy reducido para países en subdesarrollo precisamente por la pobreza. Esto sería otra de las razones que sustentan la </w:t>
      </w:r>
      <w:r w:rsidRPr="004D5C47">
        <w:rPr>
          <w:i/>
          <w:iCs/>
        </w:rPr>
        <w:t>trampa de pobreza</w:t>
      </w:r>
      <w:r>
        <w:t>.</w:t>
      </w:r>
    </w:p>
    <w:bookmarkEnd w:id="84"/>
    <w:p w14:paraId="7CD93B66" w14:textId="77777777" w:rsidR="00342648" w:rsidRDefault="00342648" w:rsidP="00B9022F">
      <w:pPr>
        <w:pStyle w:val="Introduccinyconclusin"/>
      </w:pPr>
      <w:r>
        <w:t>CONCLUSIÓN</w:t>
      </w:r>
      <w:bookmarkEnd w:id="75"/>
      <w:bookmarkEnd w:id="76"/>
      <w:bookmarkEnd w:id="77"/>
      <w:bookmarkEnd w:id="78"/>
    </w:p>
    <w:p w14:paraId="195F802B" w14:textId="77777777" w:rsidR="00634131" w:rsidRPr="00AC65FF" w:rsidRDefault="00634131" w:rsidP="00981B56">
      <w:pPr>
        <w:pStyle w:val="Nivel1"/>
        <w:keepNext/>
        <w:spacing w:before="0" w:after="0"/>
        <w:rPr>
          <w:spacing w:val="-4"/>
        </w:rPr>
      </w:pPr>
      <w:r w:rsidRPr="00AC65FF">
        <w:rPr>
          <w:b/>
          <w:bCs/>
          <w:i/>
          <w:iCs/>
          <w:spacing w:val="-4"/>
        </w:rPr>
        <w:t>Recapitulación (Ideas clave)</w:t>
      </w:r>
      <w:r w:rsidRPr="00AC65FF">
        <w:rPr>
          <w:spacing w:val="-4"/>
        </w:rPr>
        <w:t>:</w:t>
      </w:r>
    </w:p>
    <w:p w14:paraId="7FC4A5EB" w14:textId="1828A5A1" w:rsidR="00634131" w:rsidRDefault="0043161F">
      <w:pPr>
        <w:pStyle w:val="Nivel2"/>
        <w:keepNext/>
        <w:spacing w:after="0"/>
      </w:pPr>
      <w:r>
        <w:t xml:space="preserve">En esta exposición hemos adoptado una </w:t>
      </w:r>
      <w:r w:rsidRPr="0043161F">
        <w:rPr>
          <w:b/>
          <w:bCs/>
        </w:rPr>
        <w:t xml:space="preserve">aproximación empírica </w:t>
      </w:r>
      <w:r>
        <w:rPr>
          <w:b/>
          <w:bCs/>
        </w:rPr>
        <w:t>al estudio d</w:t>
      </w:r>
      <w:r w:rsidRPr="0043161F">
        <w:rPr>
          <w:b/>
          <w:bCs/>
        </w:rPr>
        <w:t>el crecimiento económico</w:t>
      </w:r>
      <w:r>
        <w:t>:</w:t>
      </w:r>
    </w:p>
    <w:p w14:paraId="4DF40C62" w14:textId="5BB34179" w:rsidR="0043161F" w:rsidRDefault="0043161F">
      <w:pPr>
        <w:pStyle w:val="Nivel3"/>
      </w:pPr>
      <w:r>
        <w:t xml:space="preserve">En primer lugar, hemos hecho un análisis de </w:t>
      </w:r>
      <w:r w:rsidRPr="0043161F">
        <w:rPr>
          <w:i/>
          <w:iCs/>
          <w:u w:val="single"/>
        </w:rPr>
        <w:t>contabilidad del crecimiento</w:t>
      </w:r>
      <w:r>
        <w:t>, según el cual el crecimiento económico es el resultado de la acumulación de nuevos factores productivos y del incremento de la productividad de los ya existentes. Es difícil concretar en qué medida precisa contribuye cada uno de estos factores al crecimiento económico, pues nos enfrentamos a notables problemas empíricos. Lo que sí que podemos destacar como h</w:t>
      </w:r>
      <w:r w:rsidR="004D5C47">
        <w:t>e</w:t>
      </w:r>
      <w:r>
        <w:t>cho estilizado es la menor parte explicativa de la productividad total de los factores en países desarrollados.</w:t>
      </w:r>
    </w:p>
    <w:p w14:paraId="4A0BAA00" w14:textId="0F9528FB" w:rsidR="0043161F" w:rsidRDefault="0043161F">
      <w:pPr>
        <w:pStyle w:val="Nivel3"/>
      </w:pPr>
      <w:r>
        <w:t xml:space="preserve">En segundo lugar, </w:t>
      </w:r>
      <w:r w:rsidRPr="0043161F">
        <w:t>hemos revisado</w:t>
      </w:r>
      <w:r>
        <w:t xml:space="preserve"> la literatura existente en materia de </w:t>
      </w:r>
      <w:r>
        <w:rPr>
          <w:i/>
          <w:iCs/>
          <w:u w:val="single"/>
        </w:rPr>
        <w:t>convergencia</w:t>
      </w:r>
      <w:r>
        <w:t>. Hemos visto como los análisis respaldan la convergencia condicional, si bien la velocidad de convergencia es más lenta de lo predicho por los modelos neoclásicos y no es un fenómeno a nivel global.</w:t>
      </w:r>
    </w:p>
    <w:p w14:paraId="361E2055" w14:textId="2756837D" w:rsidR="00634131" w:rsidRDefault="0043161F">
      <w:pPr>
        <w:pStyle w:val="Nivel3"/>
      </w:pPr>
      <w:r>
        <w:t xml:space="preserve">Finalmente, hemos analizado los </w:t>
      </w:r>
      <w:r>
        <w:rPr>
          <w:i/>
          <w:iCs/>
          <w:u w:val="single"/>
        </w:rPr>
        <w:t>determinantes del crecimiento económico</w:t>
      </w:r>
      <w:r>
        <w:t>, donde hemos visto como la literatura empírica dirige sus esfuerzos a extraer conclusiones sobre la significancia de ciertas variables. Esta ha devenido un área fructífera pero en la que hay que ser prudente a la hora de hacer recomendaciones de política económica debido a la dificultad de desentrañar las relaciones de causalidad entre los regresores y la tasa de crecimiento.</w:t>
      </w:r>
    </w:p>
    <w:p w14:paraId="3CCB2F60" w14:textId="77777777" w:rsidR="00634131" w:rsidRDefault="00634131">
      <w:pPr>
        <w:pStyle w:val="Nivel2"/>
      </w:pPr>
    </w:p>
    <w:p w14:paraId="59E54F30" w14:textId="77777777" w:rsidR="00634131" w:rsidRPr="00AC65FF" w:rsidRDefault="00634131">
      <w:pPr>
        <w:pStyle w:val="Nivel1"/>
        <w:keepNext/>
        <w:spacing w:after="0"/>
        <w:rPr>
          <w:spacing w:val="-4"/>
        </w:rPr>
      </w:pPr>
      <w:r w:rsidRPr="00AC65FF">
        <w:rPr>
          <w:b/>
          <w:bCs/>
          <w:i/>
          <w:iCs/>
          <w:spacing w:val="-4"/>
        </w:rPr>
        <w:t>Relevancia</w:t>
      </w:r>
      <w:r w:rsidRPr="00AC65FF">
        <w:rPr>
          <w:spacing w:val="-4"/>
        </w:rPr>
        <w:t>:</w:t>
      </w:r>
    </w:p>
    <w:p w14:paraId="4D1BD20F" w14:textId="77777777" w:rsidR="00634131" w:rsidRDefault="00634131">
      <w:pPr>
        <w:pStyle w:val="Nivel2"/>
      </w:pPr>
    </w:p>
    <w:p w14:paraId="3F565953" w14:textId="77777777" w:rsidR="00634131" w:rsidRPr="00AC65FF" w:rsidRDefault="00634131">
      <w:pPr>
        <w:pStyle w:val="Nivel1"/>
        <w:keepNext/>
        <w:spacing w:after="0"/>
        <w:rPr>
          <w:spacing w:val="-4"/>
        </w:rPr>
      </w:pPr>
      <w:r w:rsidRPr="00AC65FF">
        <w:rPr>
          <w:b/>
          <w:bCs/>
          <w:i/>
          <w:iCs/>
          <w:spacing w:val="-4"/>
        </w:rPr>
        <w:t>Extensiones y relación con otras partes del temario</w:t>
      </w:r>
      <w:r w:rsidRPr="00AC65FF">
        <w:rPr>
          <w:spacing w:val="-4"/>
        </w:rPr>
        <w:t>:</w:t>
      </w:r>
    </w:p>
    <w:p w14:paraId="6EAD90C1" w14:textId="77777777" w:rsidR="00634131" w:rsidRDefault="00634131">
      <w:pPr>
        <w:pStyle w:val="Nivel2"/>
      </w:pPr>
    </w:p>
    <w:p w14:paraId="13972085" w14:textId="77777777" w:rsidR="00634131" w:rsidRPr="00AC65FF" w:rsidRDefault="00634131">
      <w:pPr>
        <w:pStyle w:val="Nivel1"/>
        <w:keepNext/>
        <w:spacing w:after="0"/>
        <w:rPr>
          <w:spacing w:val="-4"/>
        </w:rPr>
      </w:pPr>
      <w:r w:rsidRPr="00AC65FF">
        <w:rPr>
          <w:b/>
          <w:bCs/>
          <w:i/>
          <w:iCs/>
          <w:spacing w:val="-4"/>
        </w:rPr>
        <w:lastRenderedPageBreak/>
        <w:t>Opinión</w:t>
      </w:r>
      <w:r w:rsidRPr="00AC65FF">
        <w:rPr>
          <w:spacing w:val="-4"/>
        </w:rPr>
        <w:t>:</w:t>
      </w:r>
    </w:p>
    <w:p w14:paraId="27C75114" w14:textId="77777777" w:rsidR="00634131" w:rsidRDefault="00634131">
      <w:pPr>
        <w:pStyle w:val="Nivel2"/>
      </w:pPr>
    </w:p>
    <w:p w14:paraId="247E400A" w14:textId="77777777" w:rsidR="00634131" w:rsidRDefault="00634131">
      <w:pPr>
        <w:pStyle w:val="Nivel1"/>
        <w:keepNext/>
        <w:spacing w:after="0"/>
        <w:rPr>
          <w:spacing w:val="-4"/>
        </w:rPr>
      </w:pPr>
      <w:r w:rsidRPr="00AC65FF">
        <w:rPr>
          <w:b/>
          <w:bCs/>
          <w:i/>
          <w:iCs/>
          <w:spacing w:val="-4"/>
        </w:rPr>
        <w:t>Idea final (Salida o cierre)</w:t>
      </w:r>
      <w:r w:rsidRPr="00AC65FF">
        <w:rPr>
          <w:spacing w:val="-4"/>
        </w:rPr>
        <w:t>:</w:t>
      </w:r>
    </w:p>
    <w:p w14:paraId="1A6B75F5" w14:textId="6C2C3CD5" w:rsidR="00634131" w:rsidRDefault="003D02DD">
      <w:pPr>
        <w:pStyle w:val="Nivel2"/>
      </w:pPr>
      <w:r>
        <w:t>Ahora bien, parece claro que variables como el ahorro, el capital humano y la calidad institucional favorecen el crecimiento económico al estimular la inversión. Además, en una economía más abierta juega un papel importante la flexibilidad de los mercados para reasignar factores productivos a los usos más eficientes, importancia crucial en un contexto de grandes avances tecnológicos y una economía cada vez más globalizada y con mayor competencia.</w:t>
      </w:r>
    </w:p>
    <w:p w14:paraId="074AACF9" w14:textId="77777777" w:rsidR="00EC6A7D" w:rsidRPr="008A2B8E" w:rsidRDefault="00EC6A7D" w:rsidP="00EC6A7D">
      <w:pPr>
        <w:pStyle w:val="Nivel1"/>
        <w:numPr>
          <w:ilvl w:val="0"/>
          <w:numId w:val="0"/>
        </w:numPr>
        <w:ind w:left="623" w:hanging="198"/>
        <w:rPr>
          <w:lang w:val="fr-FR"/>
        </w:rPr>
      </w:pPr>
      <w:r>
        <w:rPr>
          <w:noProof/>
        </w:rPr>
        <w:drawing>
          <wp:inline distT="0" distB="0" distL="0" distR="0" wp14:anchorId="56DA8CD2" wp14:editId="19592F41">
            <wp:extent cx="3106623" cy="1927860"/>
            <wp:effectExtent l="0" t="0" r="0" b="0"/>
            <wp:docPr id="2127942840" name="Imagen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17783" cy="1934785"/>
                    </a:xfrm>
                    <a:prstGeom prst="rect">
                      <a:avLst/>
                    </a:prstGeom>
                    <a:noFill/>
                    <a:ln>
                      <a:noFill/>
                    </a:ln>
                  </pic:spPr>
                </pic:pic>
              </a:graphicData>
            </a:graphic>
          </wp:inline>
        </w:drawing>
      </w:r>
      <w:r w:rsidRPr="008A2B8E">
        <w:rPr>
          <w:lang w:val="fr-FR"/>
        </w:rPr>
        <w:t xml:space="preserve"> </w:t>
      </w:r>
      <w:hyperlink r:id="rId38" w:history="1">
        <w:r w:rsidRPr="008A2B8E">
          <w:rPr>
            <w:rStyle w:val="Hipervnculo"/>
            <w:lang w:val="fr-FR"/>
          </w:rPr>
          <w:t>https://t.co/S7U5PS6uDy</w:t>
        </w:r>
      </w:hyperlink>
    </w:p>
    <w:p w14:paraId="466A2506" w14:textId="5804FD5F" w:rsidR="009E06FF" w:rsidRPr="008A2B8E" w:rsidRDefault="009E06FF">
      <w:pPr>
        <w:spacing w:after="160"/>
        <w:jc w:val="left"/>
        <w:rPr>
          <w:lang w:val="fr-FR"/>
        </w:rPr>
      </w:pPr>
      <w:r w:rsidRPr="008A2B8E">
        <w:rPr>
          <w:lang w:val="fr-FR"/>
        </w:rPr>
        <w:br w:type="page"/>
      </w:r>
    </w:p>
    <w:p w14:paraId="314FEAE9" w14:textId="77777777" w:rsidR="00342648" w:rsidRPr="008A2B8E" w:rsidRDefault="00342648" w:rsidP="00342648">
      <w:pPr>
        <w:pStyle w:val="Ttulo4"/>
        <w:rPr>
          <w:lang w:val="fr-FR"/>
        </w:rPr>
      </w:pPr>
      <w:r w:rsidRPr="008A2B8E">
        <w:rPr>
          <w:lang w:val="fr-FR"/>
        </w:rPr>
        <w:lastRenderedPageBreak/>
        <w:t>Bibliografía</w:t>
      </w:r>
    </w:p>
    <w:p w14:paraId="61F3BDDD" w14:textId="00BDED8A" w:rsidR="00342648" w:rsidRPr="008A2B8E" w:rsidRDefault="002C0C14" w:rsidP="00EB707E">
      <w:pPr>
        <w:ind w:left="567" w:hanging="283"/>
        <w:rPr>
          <w:lang w:val="fr-FR"/>
        </w:rPr>
      </w:pPr>
      <w:r w:rsidRPr="008A2B8E">
        <w:rPr>
          <w:lang w:val="fr-FR"/>
        </w:rPr>
        <w:t>Tema ICEX-CECO</w:t>
      </w:r>
    </w:p>
    <w:p w14:paraId="7DD49616" w14:textId="77777777" w:rsidR="0082461F" w:rsidRPr="008A2B8E" w:rsidRDefault="00000000" w:rsidP="00EB707E">
      <w:pPr>
        <w:ind w:left="567" w:hanging="283"/>
        <w:rPr>
          <w:lang w:val="fr-FR"/>
        </w:rPr>
      </w:pPr>
      <w:hyperlink r:id="rId39" w:history="1">
        <w:r w:rsidR="0004310D" w:rsidRPr="008A2B8E">
          <w:rPr>
            <w:rStyle w:val="Hipervnculo"/>
            <w:lang w:val="fr-FR"/>
          </w:rPr>
          <w:t>https://www.reed.edu/economics/parker/s13/314/Coursebook/Ch_06.pdf</w:t>
        </w:r>
      </w:hyperlink>
    </w:p>
    <w:p w14:paraId="21AB3248" w14:textId="6A962E05" w:rsidR="004740DF" w:rsidRDefault="004740DF" w:rsidP="00EB707E">
      <w:pPr>
        <w:ind w:left="567" w:hanging="283"/>
      </w:pPr>
      <w:r>
        <w:t>Artículos originales citados</w:t>
      </w:r>
    </w:p>
    <w:p w14:paraId="1EB52EF0" w14:textId="0EBB7243" w:rsidR="00F53632" w:rsidRDefault="00F53632" w:rsidP="00EB707E">
      <w:pPr>
        <w:ind w:left="567" w:hanging="283"/>
      </w:pPr>
      <w:r>
        <w:t>Tema de Juan Luis Cordero Tarifa</w:t>
      </w:r>
    </w:p>
    <w:p w14:paraId="062A2C79" w14:textId="77777777" w:rsidR="009E06FF" w:rsidRDefault="009E06FF" w:rsidP="009E06FF">
      <w:pPr>
        <w:pStyle w:val="Ttulo4"/>
      </w:pPr>
      <w:r>
        <w:t>Preguntas de otros exámenes</w:t>
      </w:r>
    </w:p>
    <w:p w14:paraId="1AF8D867" w14:textId="77777777" w:rsidR="009E06FF" w:rsidRDefault="009E06FF">
      <w:pPr>
        <w:pStyle w:val="Nivel2SM"/>
        <w:ind w:hanging="142"/>
        <w:contextualSpacing w:val="0"/>
      </w:pPr>
    </w:p>
    <w:p w14:paraId="5792B4F8" w14:textId="77777777" w:rsidR="009E06FF" w:rsidRDefault="009E06FF" w:rsidP="009E06FF">
      <w:pPr>
        <w:pStyle w:val="Ttulo4"/>
      </w:pPr>
      <w:r>
        <w:t>Enlace a preguntas tipo test</w:t>
      </w:r>
    </w:p>
    <w:p w14:paraId="5BD393C2" w14:textId="5ED85A82" w:rsidR="00BD2D9C" w:rsidRPr="00BD2D9C" w:rsidRDefault="00000000" w:rsidP="00BD2D9C">
      <w:pPr>
        <w:ind w:left="567" w:hanging="283"/>
        <w:rPr>
          <w:color w:val="0563C1" w:themeColor="hyperlink"/>
          <w:u w:val="single"/>
        </w:rPr>
      </w:pPr>
      <w:hyperlink r:id="rId43" w:history="1">
        <w:r w:rsidR="009E06FF" w:rsidRPr="00B06C0F">
          <w:rPr>
            <w:rStyle w:val="Hipervnculo"/>
          </w:rPr>
          <w:t>https://www.quia.com/quiz/6562924.html</w:t>
        </w:r>
      </w:hyperlink>
    </w:p>
    <w:p w14:paraId="73F02992" w14:textId="77777777" w:rsidR="00BD2D9C" w:rsidRDefault="00BD2D9C" w:rsidP="00BD2D9C">
      <w:pPr>
        <w:pStyle w:val="Ttulo4"/>
      </w:pPr>
      <w:r w:rsidRPr="00342648">
        <w:t>Anexos</w:t>
      </w:r>
    </w:p>
    <w:p w14:paraId="7A178576" w14:textId="77777777" w:rsidR="00187111" w:rsidRDefault="00187111" w:rsidP="00EB707E">
      <w:pPr>
        <w:ind w:left="567" w:hanging="283"/>
      </w:pPr>
    </w:p>
    <w:p w14:paraId="2F108091" w14:textId="3CB9096B" w:rsidR="004740DF" w:rsidRDefault="004740DF" w:rsidP="00EB707E">
      <w:pPr>
        <w:ind w:left="567" w:hanging="283"/>
        <w:sectPr w:rsidR="004740DF" w:rsidSect="00FE7391">
          <w:headerReference w:type="even" r:id="rId44"/>
          <w:headerReference w:type="default" r:id="rId45"/>
          <w:footerReference w:type="even" r:id="rId46"/>
          <w:footerReference w:type="default" r:id="rId47"/>
          <w:headerReference w:type="first" r:id="rId48"/>
          <w:footerReference w:type="first" r:id="rId49"/>
          <w:pgSz w:w="11906" w:h="16838"/>
          <w:pgMar w:top="567" w:right="1134" w:bottom="567" w:left="1134" w:header="113" w:footer="113" w:gutter="0"/>
          <w:cols w:space="708"/>
          <w:titlePg/>
          <w:docGrid w:linePitch="360"/>
        </w:sectPr>
      </w:pPr>
    </w:p>
    <w:p w14:paraId="30A75ECF" w14:textId="6AAC6D76" w:rsidR="00342648" w:rsidRPr="00187111" w:rsidRDefault="00044EEC">
      <w:pPr>
        <w:pStyle w:val="Ttulo5"/>
        <w:rPr>
          <w:i w:val="0"/>
          <w:iCs w:val="0"/>
          <w:u w:val="none"/>
        </w:rPr>
      </w:pPr>
      <w:r w:rsidRPr="00044EEC">
        <w:rPr>
          <w:noProof/>
          <w:sz w:val="4"/>
          <w:szCs w:val="4"/>
        </w:rPr>
        <w:lastRenderedPageBreak/>
        <mc:AlternateContent>
          <mc:Choice Requires="wps">
            <w:drawing>
              <wp:anchor distT="0" distB="0" distL="114300" distR="114300" simplePos="0" relativeHeight="251659264" behindDoc="0" locked="0" layoutInCell="1" allowOverlap="1" wp14:anchorId="743B8A76" wp14:editId="467E98A9">
                <wp:simplePos x="0" y="0"/>
                <wp:positionH relativeFrom="column">
                  <wp:posOffset>4924108</wp:posOffset>
                </wp:positionH>
                <wp:positionV relativeFrom="paragraph">
                  <wp:posOffset>-3191828</wp:posOffset>
                </wp:positionV>
                <wp:extent cx="99060" cy="10386695"/>
                <wp:effectExtent l="0" t="318" r="14923" b="14922"/>
                <wp:wrapNone/>
                <wp:docPr id="15"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99060" cy="10386695"/>
                        </a:xfrm>
                        <a:prstGeom prst="rightBrace">
                          <a:avLst>
                            <a:gd name="adj1" fmla="val 222619"/>
                            <a:gd name="adj2" fmla="val 6848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C33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387.75pt;margin-top:-251.35pt;width:7.8pt;height:817.8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" adj="459,14792" strokecolor="black [3213]" strokeweight=".5pt">
                <v:stroke joinstyle="miter"/>
              </v:shape>
            </w:pict>
          </mc:Fallback>
        </mc:AlternateContent>
      </w:r>
      <w:r w:rsidR="00342648" w:rsidRPr="0002549F">
        <w:t>Anexo</w:t>
      </w:r>
      <w:r w:rsidR="00BD2D9C">
        <w:t> 1</w:t>
      </w:r>
      <w:r w:rsidR="00D564BC" w:rsidRPr="00187111">
        <w:rPr>
          <w:i w:val="0"/>
          <w:iCs w:val="0"/>
          <w:u w:val="none"/>
        </w:rPr>
        <w:t xml:space="preserve">: </w:t>
      </w:r>
      <w:r w:rsidR="006F6401" w:rsidRPr="00187111">
        <w:rPr>
          <w:i w:val="0"/>
          <w:iCs w:val="0"/>
          <w:u w:val="none"/>
        </w:rPr>
        <w:t>Esquema del a</w:t>
      </w:r>
      <w:r w:rsidR="0082461F" w:rsidRPr="00187111">
        <w:rPr>
          <w:i w:val="0"/>
          <w:iCs w:val="0"/>
          <w:u w:val="none"/>
        </w:rPr>
        <w:t>nálisis de contabilidad del crecimiento</w:t>
      </w:r>
    </w:p>
    <w:tbl>
      <w:tblPr>
        <w:tblStyle w:val="Tablaconcuadrcula"/>
        <w:tblW w:w="15311" w:type="dxa"/>
        <w:jc w:val="center"/>
        <w:tblCellMar>
          <w:left w:w="28" w:type="dxa"/>
          <w:right w:w="57" w:type="dxa"/>
        </w:tblCellMar>
        <w:tblLook w:val="04A0" w:firstRow="1" w:lastRow="0" w:firstColumn="1" w:lastColumn="0" w:noHBand="0" w:noVBand="1"/>
      </w:tblPr>
      <w:tblGrid>
        <w:gridCol w:w="2450"/>
        <w:gridCol w:w="2774"/>
        <w:gridCol w:w="2774"/>
        <w:gridCol w:w="2399"/>
        <w:gridCol w:w="2459"/>
        <w:gridCol w:w="2455"/>
      </w:tblGrid>
      <w:tr w:rsidR="000A6EA1" w:rsidRPr="00AB30EB" w14:paraId="113372AE" w14:textId="77777777" w:rsidTr="00C47423">
        <w:trPr>
          <w:jc w:val="center"/>
        </w:trPr>
        <w:tc>
          <w:tcPr>
            <w:tcW w:w="2450" w:type="dxa"/>
            <w:tcBorders>
              <w:top w:val="nil"/>
              <w:left w:val="nil"/>
              <w:bottom w:val="nil"/>
            </w:tcBorders>
            <w:vAlign w:val="center"/>
          </w:tcPr>
          <w:p w14:paraId="6538ACE8" w14:textId="77777777" w:rsidR="000A6EA1" w:rsidRPr="00AB30EB" w:rsidRDefault="000A6EA1" w:rsidP="000A6EA1">
            <w:pPr>
              <w:spacing w:after="0"/>
              <w:jc w:val="center"/>
            </w:pPr>
          </w:p>
        </w:tc>
        <w:tc>
          <w:tcPr>
            <w:tcW w:w="5548" w:type="dxa"/>
            <w:gridSpan w:val="2"/>
            <w:vAlign w:val="center"/>
          </w:tcPr>
          <w:p w14:paraId="33132B81" w14:textId="75A76336" w:rsidR="000A6EA1" w:rsidRPr="00AB30EB" w:rsidRDefault="000A6EA1" w:rsidP="0082461F">
            <w:pPr>
              <w:spacing w:after="0"/>
              <w:jc w:val="center"/>
              <w:rPr>
                <w:b/>
                <w:bCs/>
                <w:spacing w:val="-6"/>
                <w:u w:val="single"/>
              </w:rPr>
            </w:pPr>
            <w:r w:rsidRPr="00AB30EB">
              <w:rPr>
                <w:b/>
                <w:bCs/>
                <w:spacing w:val="-6"/>
                <w:u w:val="single"/>
              </w:rPr>
              <w:t xml:space="preserve">Enfoques </w:t>
            </w:r>
            <w:r w:rsidR="00C47423" w:rsidRPr="00AB30EB">
              <w:rPr>
                <w:b/>
                <w:bCs/>
                <w:spacing w:val="-6"/>
                <w:u w:val="single"/>
              </w:rPr>
              <w:t>tradicionale</w:t>
            </w:r>
            <w:r w:rsidRPr="00AB30EB">
              <w:rPr>
                <w:b/>
                <w:bCs/>
                <w:spacing w:val="-6"/>
                <w:u w:val="single"/>
              </w:rPr>
              <w:t>s</w:t>
            </w:r>
            <w:r w:rsidR="0030543B" w:rsidRPr="00AB30EB">
              <w:rPr>
                <w:b/>
                <w:bCs/>
                <w:spacing w:val="-6"/>
                <w:u w:val="single"/>
              </w:rPr>
              <w:t xml:space="preserve"> de la contabilidad del crecimiento</w:t>
            </w:r>
          </w:p>
        </w:tc>
        <w:tc>
          <w:tcPr>
            <w:tcW w:w="7313" w:type="dxa"/>
            <w:gridSpan w:val="3"/>
            <w:vAlign w:val="center"/>
          </w:tcPr>
          <w:p w14:paraId="0178C53D" w14:textId="54CE4527" w:rsidR="000A6EA1" w:rsidRPr="00AB30EB" w:rsidRDefault="000A6EA1" w:rsidP="0082461F">
            <w:pPr>
              <w:spacing w:after="0"/>
              <w:jc w:val="center"/>
              <w:rPr>
                <w:b/>
                <w:bCs/>
                <w:u w:val="single"/>
              </w:rPr>
            </w:pPr>
            <w:r w:rsidRPr="00AB30EB">
              <w:rPr>
                <w:b/>
                <w:bCs/>
                <w:u w:val="single"/>
              </w:rPr>
              <w:t>Enfoque</w:t>
            </w:r>
            <w:r w:rsidR="0030543B" w:rsidRPr="00AB30EB">
              <w:rPr>
                <w:b/>
                <w:bCs/>
                <w:u w:val="single"/>
              </w:rPr>
              <w:t>s</w:t>
            </w:r>
            <w:r w:rsidRPr="00AB30EB">
              <w:rPr>
                <w:b/>
                <w:bCs/>
                <w:u w:val="single"/>
              </w:rPr>
              <w:t xml:space="preserve"> moderno</w:t>
            </w:r>
            <w:r w:rsidR="0030543B" w:rsidRPr="00AB30EB">
              <w:rPr>
                <w:b/>
                <w:bCs/>
                <w:u w:val="single"/>
              </w:rPr>
              <w:t>s de la contabilidad del crecimiento</w:t>
            </w:r>
          </w:p>
        </w:tc>
      </w:tr>
      <w:tr w:rsidR="000A6EA1" w:rsidRPr="00AB30EB" w14:paraId="3A0B1D52" w14:textId="77777777" w:rsidTr="00C47423">
        <w:trPr>
          <w:jc w:val="center"/>
        </w:trPr>
        <w:tc>
          <w:tcPr>
            <w:tcW w:w="2450" w:type="dxa"/>
            <w:tcBorders>
              <w:top w:val="nil"/>
              <w:left w:val="nil"/>
              <w:bottom w:val="nil"/>
            </w:tcBorders>
            <w:vAlign w:val="center"/>
          </w:tcPr>
          <w:p w14:paraId="22A4CB97" w14:textId="77777777" w:rsidR="000A6EA1" w:rsidRPr="00AB30EB" w:rsidRDefault="000A6EA1" w:rsidP="000A6EA1">
            <w:pPr>
              <w:spacing w:after="0"/>
              <w:jc w:val="center"/>
            </w:pPr>
          </w:p>
        </w:tc>
        <w:tc>
          <w:tcPr>
            <w:tcW w:w="5548" w:type="dxa"/>
            <w:gridSpan w:val="2"/>
            <w:vAlign w:val="center"/>
          </w:tcPr>
          <w:p w14:paraId="27231E7F" w14:textId="633D8D4D" w:rsidR="000A6EA1" w:rsidRPr="00AB30EB" w:rsidRDefault="000A6EA1" w:rsidP="0082461F">
            <w:pPr>
              <w:spacing w:after="0"/>
              <w:jc w:val="center"/>
              <w:rPr>
                <w:sz w:val="16"/>
                <w:szCs w:val="18"/>
              </w:rPr>
            </w:pPr>
            <w:r w:rsidRPr="00AB30EB">
              <w:rPr>
                <w:sz w:val="16"/>
                <w:szCs w:val="18"/>
              </w:rPr>
              <w:t>Se basan en la estructura del modelo de Solow y sus implicaciones contables.</w:t>
            </w:r>
          </w:p>
        </w:tc>
        <w:tc>
          <w:tcPr>
            <w:tcW w:w="7313" w:type="dxa"/>
            <w:gridSpan w:val="3"/>
            <w:vAlign w:val="center"/>
          </w:tcPr>
          <w:p w14:paraId="0B857B4C" w14:textId="77777777" w:rsidR="00250E1B" w:rsidRPr="00AB30EB" w:rsidRDefault="000A6EA1" w:rsidP="0082461F">
            <w:pPr>
              <w:spacing w:after="0"/>
              <w:jc w:val="center"/>
              <w:rPr>
                <w:spacing w:val="-2"/>
                <w:sz w:val="16"/>
                <w:szCs w:val="18"/>
              </w:rPr>
            </w:pPr>
            <w:r w:rsidRPr="00AB30EB">
              <w:rPr>
                <w:spacing w:val="-2"/>
                <w:sz w:val="16"/>
                <w:szCs w:val="18"/>
              </w:rPr>
              <w:t>Es un enfoque más moderno basado en la función de producción Cobb-Douglas</w:t>
            </w:r>
            <w:r w:rsidR="0030543B" w:rsidRPr="00AB30EB">
              <w:rPr>
                <w:spacing w:val="-2"/>
                <w:sz w:val="16"/>
                <w:szCs w:val="18"/>
              </w:rPr>
              <w:t>.</w:t>
            </w:r>
          </w:p>
          <w:p w14:paraId="0955C249" w14:textId="1CDAA8AB" w:rsidR="000A6EA1" w:rsidRPr="00AB30EB" w:rsidRDefault="0030543B" w:rsidP="0082461F">
            <w:pPr>
              <w:spacing w:after="0"/>
              <w:jc w:val="center"/>
              <w:rPr>
                <w:sz w:val="16"/>
                <w:szCs w:val="18"/>
              </w:rPr>
            </w:pPr>
            <w:r w:rsidRPr="00AB30EB">
              <w:rPr>
                <w:spacing w:val="-2"/>
                <w:sz w:val="16"/>
                <w:szCs w:val="18"/>
              </w:rPr>
              <w:t>Surge en respuesta de las limitaciones del enfoque clásico de crecimiento para explicar los determinantes del crecimiento económico que parece depender fundamentalmente del residuo de Solow.</w:t>
            </w:r>
          </w:p>
        </w:tc>
      </w:tr>
      <w:tr w:rsidR="00BA0913" w:rsidRPr="00AB30EB" w14:paraId="7982A8C5" w14:textId="77777777" w:rsidTr="00C47423">
        <w:trPr>
          <w:jc w:val="center"/>
        </w:trPr>
        <w:tc>
          <w:tcPr>
            <w:tcW w:w="2450" w:type="dxa"/>
            <w:tcBorders>
              <w:top w:val="nil"/>
              <w:left w:val="nil"/>
            </w:tcBorders>
            <w:vAlign w:val="center"/>
          </w:tcPr>
          <w:p w14:paraId="7EAF2A49" w14:textId="77777777" w:rsidR="00BA0913" w:rsidRPr="00AB30EB" w:rsidRDefault="00BA0913" w:rsidP="000A6EA1">
            <w:pPr>
              <w:spacing w:after="0"/>
              <w:jc w:val="center"/>
            </w:pPr>
          </w:p>
        </w:tc>
        <w:tc>
          <w:tcPr>
            <w:tcW w:w="2774" w:type="dxa"/>
            <w:vAlign w:val="center"/>
          </w:tcPr>
          <w:p w14:paraId="74C90AA4" w14:textId="51B743C1" w:rsidR="00BA0913" w:rsidRPr="00AB30EB" w:rsidRDefault="00BA0913" w:rsidP="0082461F">
            <w:pPr>
              <w:spacing w:after="0"/>
              <w:jc w:val="center"/>
              <w:rPr>
                <w:b/>
                <w:bCs/>
                <w:u w:val="single"/>
              </w:rPr>
            </w:pPr>
            <w:r w:rsidRPr="00AB30EB">
              <w:rPr>
                <w:b/>
                <w:bCs/>
                <w:u w:val="single"/>
              </w:rPr>
              <w:t>Enfoque clásico</w:t>
            </w:r>
          </w:p>
        </w:tc>
        <w:tc>
          <w:tcPr>
            <w:tcW w:w="2774" w:type="dxa"/>
            <w:vAlign w:val="center"/>
          </w:tcPr>
          <w:p w14:paraId="5FAA1FC0" w14:textId="561D9464" w:rsidR="00BA0913" w:rsidRPr="00AB30EB" w:rsidRDefault="00BA0913" w:rsidP="0082461F">
            <w:pPr>
              <w:spacing w:after="0"/>
              <w:jc w:val="center"/>
              <w:rPr>
                <w:b/>
                <w:bCs/>
                <w:smallCaps/>
                <w:spacing w:val="-2"/>
                <w:u w:val="single"/>
              </w:rPr>
            </w:pPr>
            <w:r w:rsidRPr="00AB30EB">
              <w:rPr>
                <w:b/>
                <w:bCs/>
                <w:spacing w:val="-2"/>
                <w:u w:val="single"/>
              </w:rPr>
              <w:t>Enfoque dual (</w:t>
            </w:r>
            <w:r w:rsidRPr="00AB30EB">
              <w:rPr>
                <w:b/>
                <w:bCs/>
                <w:smallCaps/>
                <w:spacing w:val="-2"/>
                <w:u w:val="single"/>
              </w:rPr>
              <w:t>Hsieh, 2002)</w:t>
            </w:r>
          </w:p>
        </w:tc>
        <w:tc>
          <w:tcPr>
            <w:tcW w:w="7313" w:type="dxa"/>
            <w:gridSpan w:val="3"/>
            <w:vMerge w:val="restart"/>
            <w:vAlign w:val="center"/>
          </w:tcPr>
          <w:p w14:paraId="06FED6CA" w14:textId="43FCD504" w:rsidR="00BA0913" w:rsidRPr="00AB30EB" w:rsidRDefault="00BA0913" w:rsidP="0082461F">
            <w:pPr>
              <w:spacing w:after="0"/>
              <w:jc w:val="center"/>
              <w:rPr>
                <w:b/>
                <w:bCs/>
                <w:i/>
                <w:u w:val="single"/>
              </w:rPr>
            </w:pPr>
            <m:oMathPara>
              <m:oMath>
                <m:r>
                  <m:rPr>
                    <m:nor/>
                  </m:rPr>
                  <w:rPr>
                    <w:i/>
                  </w:rPr>
                  <m:t>y</m:t>
                </m:r>
                <m:r>
                  <w:rPr>
                    <w:rFonts w:ascii="Cambria Math" w:hAnsi="Cambria Math"/>
                  </w:rPr>
                  <m:t>=</m:t>
                </m:r>
                <m:r>
                  <m:rPr>
                    <m:nor/>
                  </m:rPr>
                  <w:rPr>
                    <w:i/>
                  </w:rPr>
                  <m:t>A</m:t>
                </m:r>
                <m:r>
                  <w:rPr>
                    <w:rFonts w:ascii="Cambria Math" w:eastAsiaTheme="minorEastAsia" w:hAnsi="Cambria Math"/>
                  </w:rPr>
                  <m:t>∙</m:t>
                </m:r>
                <m:sSup>
                  <m:sSupPr>
                    <m:ctrlPr>
                      <w:rPr>
                        <w:rFonts w:ascii="Cambria Math" w:hAnsi="Cambria Math"/>
                        <w:i/>
                      </w:rPr>
                    </m:ctrlPr>
                  </m:sSupPr>
                  <m:e>
                    <m:r>
                      <m:rPr>
                        <m:nor/>
                      </m:rPr>
                      <w:rPr>
                        <w:i/>
                      </w:rPr>
                      <m:t>k</m:t>
                    </m:r>
                  </m:e>
                  <m:sup>
                    <m:r>
                      <m:rPr>
                        <m:nor/>
                      </m:rPr>
                      <w:rPr>
                        <w:i/>
                      </w:rPr>
                      <m:t>α</m:t>
                    </m:r>
                  </m:sup>
                </m:sSup>
                <m:r>
                  <w:rPr>
                    <w:rFonts w:ascii="Cambria Math" w:eastAsiaTheme="minorEastAsia" w:hAnsi="Cambria Math"/>
                  </w:rPr>
                  <m:t>∙</m:t>
                </m:r>
                <m:sSup>
                  <m:sSupPr>
                    <m:ctrlPr>
                      <w:rPr>
                        <w:rFonts w:ascii="Cambria Math" w:hAnsi="Cambria Math"/>
                        <w:i/>
                      </w:rPr>
                    </m:ctrlPr>
                  </m:sSupPr>
                  <m:e>
                    <m:r>
                      <m:rPr>
                        <m:nor/>
                      </m:rPr>
                      <w:rPr>
                        <w:rFonts w:cs="Times New Roman"/>
                        <w:i/>
                      </w:rPr>
                      <m:t>h</m:t>
                    </m:r>
                  </m:e>
                  <m:sup>
                    <m:r>
                      <m:rPr>
                        <m:nor/>
                      </m:rPr>
                      <w:rPr>
                        <w:i/>
                      </w:rPr>
                      <m:t>1</m:t>
                    </m:r>
                    <m:r>
                      <m:rPr>
                        <m:sty m:val="p"/>
                      </m:rPr>
                      <w:rPr>
                        <w:rFonts w:ascii="Cambria Math" w:hAnsi="Cambria Math"/>
                      </w:rPr>
                      <m:t>-</m:t>
                    </m:r>
                    <m:r>
                      <m:rPr>
                        <m:nor/>
                      </m:rPr>
                      <w:rPr>
                        <w:i/>
                      </w:rPr>
                      <m:t>α</m:t>
                    </m:r>
                  </m:sup>
                </m:sSup>
              </m:oMath>
            </m:oMathPara>
          </w:p>
        </w:tc>
      </w:tr>
      <w:tr w:rsidR="00BA0913" w:rsidRPr="00AB30EB" w14:paraId="1509E916" w14:textId="77777777" w:rsidTr="00C47423">
        <w:trPr>
          <w:jc w:val="center"/>
        </w:trPr>
        <w:tc>
          <w:tcPr>
            <w:tcW w:w="2450" w:type="dxa"/>
            <w:vAlign w:val="center"/>
          </w:tcPr>
          <w:p w14:paraId="20B40CFE" w14:textId="1A902ACF" w:rsidR="00BA0913" w:rsidRPr="00AB30EB" w:rsidRDefault="00BA0913" w:rsidP="0082461F">
            <w:pPr>
              <w:spacing w:after="0"/>
              <w:jc w:val="center"/>
            </w:pPr>
            <w:r w:rsidRPr="00AB30EB">
              <w:t xml:space="preserve">Forma funcional de </w:t>
            </w:r>
            <w:r w:rsidRPr="00AB30EB">
              <w:rPr>
                <w:i/>
                <w:iCs/>
              </w:rPr>
              <w:t>F</w:t>
            </w:r>
            <w:r w:rsidRPr="00AB30EB">
              <w:t>()</w:t>
            </w:r>
          </w:p>
        </w:tc>
        <w:tc>
          <w:tcPr>
            <w:tcW w:w="2774" w:type="dxa"/>
            <w:vAlign w:val="center"/>
          </w:tcPr>
          <w:p w14:paraId="24917FE9" w14:textId="73DF1823" w:rsidR="00BA0913" w:rsidRPr="00AB30EB" w:rsidRDefault="00BA0913" w:rsidP="0082461F">
            <w:pPr>
              <w:spacing w:after="0"/>
              <w:jc w:val="center"/>
              <w:rPr>
                <w:i/>
                <w:sz w:val="18"/>
                <w:szCs w:val="18"/>
              </w:rPr>
            </w:pPr>
            <m:oMathPara>
              <m:oMath>
                <m:r>
                  <m:rPr>
                    <m:nor/>
                  </m:rPr>
                  <w:rPr>
                    <w:i/>
                    <w:sz w:val="18"/>
                    <w:szCs w:val="18"/>
                  </w:rPr>
                  <m:t>Y</m:t>
                </m:r>
                <m:r>
                  <w:rPr>
                    <w:rFonts w:ascii="Cambria Math" w:hAnsi="Cambria Math"/>
                    <w:sz w:val="18"/>
                    <w:szCs w:val="18"/>
                  </w:rPr>
                  <m:t>=</m:t>
                </m:r>
                <m:r>
                  <m:rPr>
                    <m:nor/>
                  </m:rPr>
                  <w:rPr>
                    <w:i/>
                    <w:sz w:val="18"/>
                    <w:szCs w:val="18"/>
                  </w:rPr>
                  <m:t>A</m:t>
                </m:r>
                <m:r>
                  <w:rPr>
                    <w:rFonts w:ascii="Cambria Math" w:hAnsi="Cambria Math"/>
                    <w:sz w:val="18"/>
                    <w:szCs w:val="18"/>
                  </w:rPr>
                  <m:t>∙</m:t>
                </m:r>
                <m:sSup>
                  <m:sSupPr>
                    <m:ctrlPr>
                      <w:rPr>
                        <w:rFonts w:ascii="Cambria Math" w:hAnsi="Cambria Math"/>
                        <w:i/>
                        <w:sz w:val="18"/>
                        <w:szCs w:val="18"/>
                      </w:rPr>
                    </m:ctrlPr>
                  </m:sSupPr>
                  <m:e>
                    <m:r>
                      <m:rPr>
                        <m:nor/>
                      </m:rPr>
                      <w:rPr>
                        <w:i/>
                        <w:sz w:val="18"/>
                        <w:szCs w:val="18"/>
                      </w:rPr>
                      <m:t>K</m:t>
                    </m:r>
                  </m:e>
                  <m:sup>
                    <m:r>
                      <m:rPr>
                        <m:nor/>
                      </m:rPr>
                      <w:rPr>
                        <w:iCs/>
                        <w:sz w:val="18"/>
                        <w:szCs w:val="18"/>
                      </w:rPr>
                      <m:t>α</m:t>
                    </m:r>
                  </m:sup>
                </m:sSup>
                <m:r>
                  <w:rPr>
                    <w:rFonts w:ascii="Cambria Math" w:hAnsi="Cambria Math"/>
                    <w:sz w:val="18"/>
                    <w:szCs w:val="18"/>
                  </w:rPr>
                  <m:t>∙</m:t>
                </m:r>
                <m:sSup>
                  <m:sSupPr>
                    <m:ctrlPr>
                      <w:rPr>
                        <w:rFonts w:ascii="Cambria Math" w:hAnsi="Cambria Math"/>
                        <w:i/>
                        <w:sz w:val="18"/>
                        <w:szCs w:val="18"/>
                      </w:rPr>
                    </m:ctrlPr>
                  </m:sSupPr>
                  <m:e>
                    <m:r>
                      <m:rPr>
                        <m:nor/>
                      </m:rPr>
                      <w:rPr>
                        <w:i/>
                        <w:sz w:val="18"/>
                        <w:szCs w:val="18"/>
                      </w:rPr>
                      <m:t>L</m:t>
                    </m:r>
                  </m:e>
                  <m:sup>
                    <m:r>
                      <m:rPr>
                        <m:nor/>
                      </m:rPr>
                      <w:rPr>
                        <w:iCs/>
                        <w:sz w:val="18"/>
                        <w:szCs w:val="18"/>
                      </w:rPr>
                      <m:t>1</m:t>
                    </m:r>
                    <m:r>
                      <w:rPr>
                        <w:rFonts w:ascii="Cambria Math" w:hAnsi="Cambria Math"/>
                        <w:sz w:val="18"/>
                        <w:szCs w:val="18"/>
                      </w:rPr>
                      <m:t>-</m:t>
                    </m:r>
                    <m:r>
                      <m:rPr>
                        <m:nor/>
                      </m:rPr>
                      <w:rPr>
                        <w:iCs/>
                        <w:sz w:val="18"/>
                        <w:szCs w:val="18"/>
                      </w:rPr>
                      <m:t>α</m:t>
                    </m:r>
                  </m:sup>
                </m:sSup>
              </m:oMath>
            </m:oMathPara>
          </w:p>
        </w:tc>
        <w:tc>
          <w:tcPr>
            <w:tcW w:w="2774" w:type="dxa"/>
            <w:vAlign w:val="center"/>
          </w:tcPr>
          <w:p w14:paraId="7CE4C84F" w14:textId="5B699FC9" w:rsidR="00BA0913" w:rsidRPr="00AB30EB" w:rsidRDefault="00BA0913" w:rsidP="0082461F">
            <w:pPr>
              <w:spacing w:after="0"/>
              <w:jc w:val="center"/>
              <w:rPr>
                <w:rFonts w:eastAsiaTheme="minorEastAsia"/>
                <w:i/>
                <w:iCs/>
                <w:sz w:val="18"/>
                <w:szCs w:val="18"/>
              </w:rPr>
            </w:pPr>
            <m:oMathPara>
              <m:oMath>
                <m:r>
                  <m:rPr>
                    <m:nor/>
                  </m:rPr>
                  <w:rPr>
                    <w:i/>
                    <w:iCs/>
                    <w:sz w:val="18"/>
                    <w:szCs w:val="18"/>
                  </w:rPr>
                  <m:t>Y</m:t>
                </m:r>
                <m:r>
                  <w:rPr>
                    <w:rFonts w:ascii="Cambria Math" w:hAnsi="Cambria Math"/>
                    <w:sz w:val="18"/>
                    <w:szCs w:val="18"/>
                  </w:rPr>
                  <m:t>=</m:t>
                </m:r>
                <m:r>
                  <m:rPr>
                    <m:nor/>
                  </m:rPr>
                  <w:rPr>
                    <w:i/>
                    <w:iCs/>
                    <w:sz w:val="18"/>
                    <w:szCs w:val="18"/>
                  </w:rPr>
                  <m:t>r</m:t>
                </m:r>
                <m:r>
                  <w:rPr>
                    <w:rFonts w:ascii="Cambria Math" w:eastAsiaTheme="minorEastAsia" w:hAnsi="Cambria Math"/>
                    <w:sz w:val="16"/>
                    <w:szCs w:val="16"/>
                  </w:rPr>
                  <m:t>∙</m:t>
                </m:r>
                <m:r>
                  <m:rPr>
                    <m:nor/>
                  </m:rPr>
                  <w:rPr>
                    <w:i/>
                    <w:iCs/>
                    <w:sz w:val="18"/>
                    <w:szCs w:val="18"/>
                  </w:rPr>
                  <m:t>K</m:t>
                </m:r>
                <m:r>
                  <w:rPr>
                    <w:rFonts w:ascii="Cambria Math" w:hAnsi="Cambria Math"/>
                    <w:sz w:val="18"/>
                    <w:szCs w:val="18"/>
                  </w:rPr>
                  <m:t>+</m:t>
                </m:r>
                <m:r>
                  <m:rPr>
                    <m:nor/>
                  </m:rPr>
                  <w:rPr>
                    <w:i/>
                    <w:iCs/>
                    <w:sz w:val="18"/>
                    <w:szCs w:val="18"/>
                  </w:rPr>
                  <m:t>w</m:t>
                </m:r>
                <m:r>
                  <w:rPr>
                    <w:rFonts w:ascii="Cambria Math" w:eastAsiaTheme="minorEastAsia" w:hAnsi="Cambria Math"/>
                    <w:sz w:val="16"/>
                    <w:szCs w:val="16"/>
                  </w:rPr>
                  <m:t>∙</m:t>
                </m:r>
                <m:r>
                  <m:rPr>
                    <m:nor/>
                  </m:rPr>
                  <w:rPr>
                    <w:i/>
                    <w:iCs/>
                    <w:sz w:val="18"/>
                    <w:szCs w:val="18"/>
                  </w:rPr>
                  <m:t>L</m:t>
                </m:r>
              </m:oMath>
            </m:oMathPara>
          </w:p>
        </w:tc>
        <w:tc>
          <w:tcPr>
            <w:tcW w:w="7313" w:type="dxa"/>
            <w:gridSpan w:val="3"/>
            <w:vMerge/>
            <w:vAlign w:val="center"/>
          </w:tcPr>
          <w:p w14:paraId="5AB60C7C" w14:textId="726B8914" w:rsidR="00BA0913" w:rsidRPr="00AB30EB" w:rsidRDefault="00BA0913" w:rsidP="0082461F">
            <w:pPr>
              <w:spacing w:after="0"/>
              <w:jc w:val="center"/>
              <w:rPr>
                <w:rFonts w:eastAsiaTheme="minorEastAsia"/>
                <w:iCs/>
              </w:rPr>
            </w:pPr>
          </w:p>
        </w:tc>
      </w:tr>
      <w:tr w:rsidR="00665D19" w:rsidRPr="00AB30EB" w14:paraId="2A83106C" w14:textId="77777777" w:rsidTr="00C47423">
        <w:trPr>
          <w:jc w:val="center"/>
        </w:trPr>
        <w:tc>
          <w:tcPr>
            <w:tcW w:w="2450" w:type="dxa"/>
            <w:vAlign w:val="center"/>
          </w:tcPr>
          <w:p w14:paraId="1646DD96" w14:textId="6089AABE" w:rsidR="00D53A12" w:rsidRPr="00AB30EB" w:rsidRDefault="00D53A12" w:rsidP="0082461F">
            <w:pPr>
              <w:spacing w:after="0"/>
              <w:jc w:val="center"/>
            </w:pPr>
            <w:r w:rsidRPr="00AB30EB">
              <w:t>Crecimiento</w:t>
            </w:r>
            <w:r w:rsidR="004813A8" w:rsidRPr="00AB30EB">
              <w:t xml:space="preserve"> (</w:t>
            </w:r>
            <m:oMath>
              <m:sSub>
                <m:sSubPr>
                  <m:ctrlPr>
                    <w:rPr>
                      <w:rFonts w:ascii="Cambria Math" w:eastAsiaTheme="minorEastAsia" w:hAnsi="Cambria Math"/>
                      <w:i/>
                      <w:sz w:val="18"/>
                      <w:szCs w:val="18"/>
                    </w:rPr>
                  </m:ctrlPr>
                </m:sSubPr>
                <m:e>
                  <m:r>
                    <m:rPr>
                      <m:nor/>
                    </m:rPr>
                    <w:rPr>
                      <w:rFonts w:eastAsiaTheme="minorEastAsia"/>
                      <w:i/>
                      <w:sz w:val="18"/>
                      <w:szCs w:val="18"/>
                    </w:rPr>
                    <m:t>γ</m:t>
                  </m:r>
                </m:e>
                <m:sub>
                  <m:r>
                    <m:rPr>
                      <m:nor/>
                    </m:rPr>
                    <w:rPr>
                      <w:rFonts w:eastAsiaTheme="minorEastAsia"/>
                      <w:i/>
                      <w:sz w:val="18"/>
                      <w:szCs w:val="18"/>
                    </w:rPr>
                    <m:t>Y</m:t>
                  </m:r>
                </m:sub>
              </m:sSub>
            </m:oMath>
            <w:r w:rsidR="004813A8" w:rsidRPr="00AB30EB">
              <w:t>)</w:t>
            </w:r>
          </w:p>
        </w:tc>
        <w:tc>
          <w:tcPr>
            <w:tcW w:w="2774" w:type="dxa"/>
            <w:vAlign w:val="center"/>
          </w:tcPr>
          <w:p w14:paraId="383FA405" w14:textId="0AE2588F" w:rsidR="00D53A12" w:rsidRPr="00AB30EB" w:rsidRDefault="00000000" w:rsidP="0082461F">
            <w:pPr>
              <w:spacing w:after="0"/>
              <w:jc w:val="center"/>
              <w:rPr>
                <w:i/>
                <w:spacing w:val="-2"/>
                <w:sz w:val="15"/>
                <w:szCs w:val="15"/>
              </w:rPr>
            </w:pPr>
            <m:oMathPara>
              <m:oMath>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Y</m:t>
                    </m:r>
                  </m:sub>
                </m:sSub>
                <m:r>
                  <w:rPr>
                    <w:rFonts w:ascii="Cambria Math" w:eastAsiaTheme="minorEastAsia" w:hAnsi="Cambria Math"/>
                    <w:spacing w:val="-2"/>
                    <w:sz w:val="15"/>
                    <w:szCs w:val="15"/>
                  </w:rPr>
                  <m:t>=</m:t>
                </m:r>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A</m:t>
                    </m:r>
                  </m:sub>
                </m:sSub>
                <m:r>
                  <w:rPr>
                    <w:rFonts w:ascii="Cambria Math" w:eastAsiaTheme="minorEastAsia" w:hAnsi="Cambria Math"/>
                    <w:spacing w:val="-2"/>
                    <w:sz w:val="15"/>
                    <w:szCs w:val="15"/>
                  </w:rPr>
                  <m:t>+</m:t>
                </m:r>
                <m:r>
                  <m:rPr>
                    <m:nor/>
                  </m:rPr>
                  <w:rPr>
                    <w:rFonts w:eastAsiaTheme="minorEastAsia"/>
                    <w:i/>
                    <w:spacing w:val="-2"/>
                    <w:sz w:val="15"/>
                    <w:szCs w:val="15"/>
                  </w:rPr>
                  <m:t>α</m:t>
                </m:r>
                <m:r>
                  <w:rPr>
                    <w:rFonts w:ascii="Cambria Math" w:hAnsi="Cambria Math"/>
                    <w:spacing w:val="-2"/>
                    <w:sz w:val="15"/>
                    <w:szCs w:val="15"/>
                  </w:rPr>
                  <m:t>∙</m:t>
                </m:r>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K</m:t>
                    </m:r>
                  </m:sub>
                </m:sSub>
                <m:r>
                  <w:rPr>
                    <w:rFonts w:ascii="Cambria Math" w:eastAsiaTheme="minorEastAsia" w:hAnsi="Cambria Math"/>
                    <w:spacing w:val="-2"/>
                    <w:sz w:val="15"/>
                    <w:szCs w:val="15"/>
                  </w:rPr>
                  <m:t>+</m:t>
                </m:r>
                <m:d>
                  <m:dPr>
                    <m:ctrlPr>
                      <w:rPr>
                        <w:rFonts w:ascii="Cambria Math" w:eastAsiaTheme="minorEastAsia" w:hAnsi="Cambria Math"/>
                        <w:i/>
                        <w:spacing w:val="-2"/>
                        <w:sz w:val="15"/>
                        <w:szCs w:val="15"/>
                      </w:rPr>
                    </m:ctrlPr>
                  </m:dPr>
                  <m:e>
                    <m:r>
                      <m:rPr>
                        <m:nor/>
                      </m:rPr>
                      <w:rPr>
                        <w:rFonts w:eastAsiaTheme="minorEastAsia"/>
                        <w:i/>
                        <w:spacing w:val="-2"/>
                        <w:sz w:val="15"/>
                        <w:szCs w:val="15"/>
                      </w:rPr>
                      <m:t>1</m:t>
                    </m:r>
                    <m:r>
                      <w:rPr>
                        <w:rFonts w:ascii="Cambria Math" w:eastAsiaTheme="minorEastAsia" w:hAnsi="Cambria Math"/>
                        <w:spacing w:val="-2"/>
                        <w:sz w:val="15"/>
                        <w:szCs w:val="15"/>
                      </w:rPr>
                      <m:t>-</m:t>
                    </m:r>
                    <m:r>
                      <m:rPr>
                        <m:nor/>
                      </m:rPr>
                      <w:rPr>
                        <w:rFonts w:eastAsiaTheme="minorEastAsia"/>
                        <w:iCs/>
                        <w:spacing w:val="-2"/>
                        <w:sz w:val="15"/>
                        <w:szCs w:val="15"/>
                      </w:rPr>
                      <m:t>α</m:t>
                    </m:r>
                  </m:e>
                </m:d>
                <m:r>
                  <w:rPr>
                    <w:rFonts w:ascii="Cambria Math" w:hAnsi="Cambria Math"/>
                    <w:spacing w:val="-2"/>
                    <w:sz w:val="15"/>
                    <w:szCs w:val="15"/>
                  </w:rPr>
                  <m:t>∙</m:t>
                </m:r>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L</m:t>
                    </m:r>
                  </m:sub>
                </m:sSub>
              </m:oMath>
            </m:oMathPara>
          </w:p>
        </w:tc>
        <w:tc>
          <w:tcPr>
            <w:tcW w:w="2774" w:type="dxa"/>
            <w:vAlign w:val="center"/>
          </w:tcPr>
          <w:p w14:paraId="7C84220A" w14:textId="39533B8E" w:rsidR="00D53A12" w:rsidRPr="00AB30EB" w:rsidRDefault="00000000" w:rsidP="0082461F">
            <w:pPr>
              <w:spacing w:after="0"/>
              <w:jc w:val="center"/>
              <w:rPr>
                <w:rFonts w:eastAsiaTheme="minorEastAsia"/>
                <w:i/>
                <w:spacing w:val="-2"/>
                <w:sz w:val="15"/>
                <w:szCs w:val="15"/>
              </w:rPr>
            </w:pPr>
            <m:oMathPara>
              <m:oMath>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Y</m:t>
                    </m:r>
                  </m:sub>
                </m:sSub>
                <m:r>
                  <w:rPr>
                    <w:rFonts w:ascii="Cambria Math" w:eastAsiaTheme="minorEastAsia" w:hAnsi="Cambria Math"/>
                    <w:spacing w:val="-2"/>
                    <w:sz w:val="15"/>
                    <w:szCs w:val="15"/>
                  </w:rPr>
                  <m:t>=</m:t>
                </m:r>
                <m:f>
                  <m:fPr>
                    <m:ctrlPr>
                      <w:rPr>
                        <w:rFonts w:ascii="Cambria Math" w:hAnsi="Cambria Math"/>
                        <w:i/>
                        <w:spacing w:val="-2"/>
                        <w:sz w:val="15"/>
                        <w:szCs w:val="15"/>
                      </w:rPr>
                    </m:ctrlPr>
                  </m:fPr>
                  <m:num>
                    <m:r>
                      <m:rPr>
                        <m:nor/>
                      </m:rPr>
                      <w:rPr>
                        <w:i/>
                        <w:spacing w:val="-2"/>
                        <w:sz w:val="15"/>
                        <w:szCs w:val="15"/>
                      </w:rPr>
                      <m:t>r</m:t>
                    </m:r>
                    <m:r>
                      <w:rPr>
                        <w:rFonts w:ascii="Cambria Math" w:eastAsiaTheme="minorEastAsia" w:hAnsi="Cambria Math"/>
                        <w:spacing w:val="-2"/>
                        <w:sz w:val="15"/>
                        <w:szCs w:val="15"/>
                      </w:rPr>
                      <m:t>∙</m:t>
                    </m:r>
                    <m:r>
                      <m:rPr>
                        <m:nor/>
                      </m:rPr>
                      <w:rPr>
                        <w:i/>
                        <w:spacing w:val="-2"/>
                        <w:sz w:val="15"/>
                        <w:szCs w:val="15"/>
                      </w:rPr>
                      <m:t>K</m:t>
                    </m:r>
                  </m:num>
                  <m:den>
                    <m:r>
                      <m:rPr>
                        <m:nor/>
                      </m:rPr>
                      <w:rPr>
                        <w:i/>
                        <w:spacing w:val="-2"/>
                        <w:sz w:val="15"/>
                        <w:szCs w:val="15"/>
                      </w:rPr>
                      <m:t>Y</m:t>
                    </m:r>
                  </m:den>
                </m:f>
                <m:r>
                  <w:rPr>
                    <w:rFonts w:ascii="Cambria Math" w:eastAsiaTheme="minorEastAsia" w:hAnsi="Cambria Math"/>
                    <w:spacing w:val="-2"/>
                    <w:sz w:val="15"/>
                    <w:szCs w:val="15"/>
                  </w:rPr>
                  <m:t>∙</m:t>
                </m:r>
                <m:d>
                  <m:dPr>
                    <m:ctrlPr>
                      <w:rPr>
                        <w:rFonts w:ascii="Cambria Math" w:eastAsiaTheme="minorEastAsia" w:hAnsi="Cambria Math"/>
                        <w:i/>
                        <w:spacing w:val="-2"/>
                        <w:sz w:val="15"/>
                        <w:szCs w:val="15"/>
                      </w:rPr>
                    </m:ctrlPr>
                  </m:dPr>
                  <m:e>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r</m:t>
                        </m:r>
                      </m:sub>
                    </m:sSub>
                    <m:r>
                      <w:rPr>
                        <w:rFonts w:ascii="Cambria Math" w:eastAsiaTheme="minorEastAsia" w:hAnsi="Cambria Math"/>
                        <w:spacing w:val="-2"/>
                        <w:sz w:val="15"/>
                        <w:szCs w:val="15"/>
                      </w:rPr>
                      <m:t>+</m:t>
                    </m:r>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K</m:t>
                        </m:r>
                      </m:sub>
                    </m:sSub>
                  </m:e>
                </m:d>
                <m:r>
                  <w:rPr>
                    <w:rFonts w:ascii="Cambria Math" w:eastAsiaTheme="minorEastAsia" w:hAnsi="Cambria Math"/>
                    <w:spacing w:val="-2"/>
                    <w:sz w:val="15"/>
                    <w:szCs w:val="15"/>
                  </w:rPr>
                  <m:t>+</m:t>
                </m:r>
                <m:f>
                  <m:fPr>
                    <m:ctrlPr>
                      <w:rPr>
                        <w:rFonts w:ascii="Cambria Math" w:hAnsi="Cambria Math"/>
                        <w:i/>
                        <w:spacing w:val="-2"/>
                        <w:sz w:val="15"/>
                        <w:szCs w:val="15"/>
                      </w:rPr>
                    </m:ctrlPr>
                  </m:fPr>
                  <m:num>
                    <m:r>
                      <m:rPr>
                        <m:nor/>
                      </m:rPr>
                      <w:rPr>
                        <w:i/>
                        <w:spacing w:val="-2"/>
                        <w:sz w:val="15"/>
                        <w:szCs w:val="15"/>
                      </w:rPr>
                      <m:t>w</m:t>
                    </m:r>
                    <m:r>
                      <w:rPr>
                        <w:rFonts w:ascii="Cambria Math" w:eastAsiaTheme="minorEastAsia" w:hAnsi="Cambria Math"/>
                        <w:spacing w:val="-2"/>
                        <w:sz w:val="15"/>
                        <w:szCs w:val="15"/>
                      </w:rPr>
                      <m:t>∙</m:t>
                    </m:r>
                    <m:r>
                      <m:rPr>
                        <m:nor/>
                      </m:rPr>
                      <w:rPr>
                        <w:i/>
                        <w:spacing w:val="-2"/>
                        <w:sz w:val="15"/>
                        <w:szCs w:val="15"/>
                      </w:rPr>
                      <m:t>L</m:t>
                    </m:r>
                  </m:num>
                  <m:den>
                    <m:r>
                      <m:rPr>
                        <m:nor/>
                      </m:rPr>
                      <w:rPr>
                        <w:i/>
                        <w:spacing w:val="-2"/>
                        <w:sz w:val="15"/>
                        <w:szCs w:val="15"/>
                      </w:rPr>
                      <m:t>Y</m:t>
                    </m:r>
                  </m:den>
                </m:f>
                <m:r>
                  <w:rPr>
                    <w:rFonts w:ascii="Cambria Math" w:eastAsiaTheme="minorEastAsia" w:hAnsi="Cambria Math"/>
                    <w:spacing w:val="-2"/>
                    <w:sz w:val="15"/>
                    <w:szCs w:val="15"/>
                  </w:rPr>
                  <m:t>∙</m:t>
                </m:r>
                <m:d>
                  <m:dPr>
                    <m:ctrlPr>
                      <w:rPr>
                        <w:rFonts w:ascii="Cambria Math" w:eastAsiaTheme="minorEastAsia" w:hAnsi="Cambria Math"/>
                        <w:i/>
                        <w:spacing w:val="-2"/>
                        <w:sz w:val="15"/>
                        <w:szCs w:val="15"/>
                      </w:rPr>
                    </m:ctrlPr>
                  </m:dPr>
                  <m:e>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w</m:t>
                        </m:r>
                      </m:sub>
                    </m:sSub>
                    <m:r>
                      <w:rPr>
                        <w:rFonts w:ascii="Cambria Math" w:eastAsiaTheme="minorEastAsia" w:hAnsi="Cambria Math"/>
                        <w:spacing w:val="-2"/>
                        <w:sz w:val="15"/>
                        <w:szCs w:val="15"/>
                      </w:rPr>
                      <m:t>+</m:t>
                    </m:r>
                    <m:sSub>
                      <m:sSubPr>
                        <m:ctrlPr>
                          <w:rPr>
                            <w:rFonts w:ascii="Cambria Math" w:eastAsiaTheme="minorEastAsia" w:hAnsi="Cambria Math"/>
                            <w:i/>
                            <w:spacing w:val="-2"/>
                            <w:sz w:val="15"/>
                            <w:szCs w:val="15"/>
                          </w:rPr>
                        </m:ctrlPr>
                      </m:sSubPr>
                      <m:e>
                        <m:r>
                          <m:rPr>
                            <m:nor/>
                          </m:rPr>
                          <w:rPr>
                            <w:rFonts w:eastAsiaTheme="minorEastAsia"/>
                            <w:i/>
                            <w:spacing w:val="-2"/>
                            <w:sz w:val="15"/>
                            <w:szCs w:val="15"/>
                          </w:rPr>
                          <m:t>γ</m:t>
                        </m:r>
                      </m:e>
                      <m:sub>
                        <m:r>
                          <m:rPr>
                            <m:nor/>
                          </m:rPr>
                          <w:rPr>
                            <w:rFonts w:eastAsiaTheme="minorEastAsia"/>
                            <w:i/>
                            <w:spacing w:val="-2"/>
                            <w:sz w:val="15"/>
                            <w:szCs w:val="15"/>
                          </w:rPr>
                          <m:t>L</m:t>
                        </m:r>
                      </m:sub>
                    </m:sSub>
                  </m:e>
                </m:d>
              </m:oMath>
            </m:oMathPara>
          </w:p>
        </w:tc>
        <w:tc>
          <w:tcPr>
            <w:tcW w:w="7313" w:type="dxa"/>
            <w:gridSpan w:val="3"/>
            <w:vMerge w:val="restart"/>
            <w:vAlign w:val="center"/>
          </w:tcPr>
          <w:p w14:paraId="756AE2BA" w14:textId="5DA5DFF5" w:rsidR="00C65B10" w:rsidRPr="00AB30EB" w:rsidRDefault="00D53A12" w:rsidP="0082461F">
            <w:pPr>
              <w:spacing w:after="0"/>
              <w:jc w:val="center"/>
              <w:rPr>
                <w:spacing w:val="-4"/>
                <w:sz w:val="18"/>
                <w:szCs w:val="18"/>
              </w:rPr>
            </w:pPr>
            <w:r w:rsidRPr="00AB30EB">
              <w:rPr>
                <w:spacing w:val="-4"/>
                <w:sz w:val="18"/>
                <w:szCs w:val="18"/>
              </w:rPr>
              <w:t xml:space="preserve">Los resultados variarán dependiendo de los </w:t>
            </w:r>
            <w:r w:rsidR="00665D19" w:rsidRPr="00AB30EB">
              <w:rPr>
                <w:spacing w:val="-4"/>
                <w:sz w:val="18"/>
                <w:szCs w:val="18"/>
              </w:rPr>
              <w:t>datos y los métodos utilizados</w:t>
            </w:r>
          </w:p>
          <w:p w14:paraId="0AB3B067" w14:textId="38DC45B4" w:rsidR="00D53A12" w:rsidRPr="00AB30EB" w:rsidRDefault="00665D19" w:rsidP="0082461F">
            <w:pPr>
              <w:spacing w:after="0"/>
              <w:jc w:val="center"/>
            </w:pPr>
            <w:r w:rsidRPr="00AB30EB">
              <w:rPr>
                <w:sz w:val="18"/>
                <w:szCs w:val="18"/>
              </w:rPr>
              <w:t>para medir la renta y los factores de producción (</w:t>
            </w:r>
            <w:r w:rsidRPr="00AB30EB">
              <w:rPr>
                <w:i/>
                <w:iCs/>
                <w:sz w:val="18"/>
                <w:szCs w:val="18"/>
              </w:rPr>
              <w:t>y</w:t>
            </w:r>
            <w:r w:rsidRPr="00AB30EB">
              <w:rPr>
                <w:sz w:val="18"/>
                <w:szCs w:val="18"/>
              </w:rPr>
              <w:t xml:space="preserve">, </w:t>
            </w:r>
            <w:r w:rsidRPr="00AB30EB">
              <w:rPr>
                <w:i/>
                <w:iCs/>
                <w:sz w:val="18"/>
                <w:szCs w:val="18"/>
              </w:rPr>
              <w:t>k</w:t>
            </w:r>
            <w:r w:rsidRPr="00AB30EB">
              <w:rPr>
                <w:sz w:val="18"/>
                <w:szCs w:val="18"/>
              </w:rPr>
              <w:t xml:space="preserve">, </w:t>
            </w:r>
            <w:r w:rsidRPr="00AB30EB">
              <w:rPr>
                <w:i/>
                <w:iCs/>
                <w:sz w:val="18"/>
                <w:szCs w:val="18"/>
              </w:rPr>
              <w:t>h</w:t>
            </w:r>
            <w:r w:rsidRPr="00AB30EB">
              <w:rPr>
                <w:sz w:val="18"/>
                <w:szCs w:val="18"/>
              </w:rPr>
              <w:t>).</w:t>
            </w:r>
          </w:p>
        </w:tc>
      </w:tr>
      <w:tr w:rsidR="00665D19" w:rsidRPr="00AB30EB" w14:paraId="295E54BB" w14:textId="77777777" w:rsidTr="00C47423">
        <w:trPr>
          <w:jc w:val="center"/>
        </w:trPr>
        <w:tc>
          <w:tcPr>
            <w:tcW w:w="2450" w:type="dxa"/>
            <w:tcBorders>
              <w:bottom w:val="single" w:sz="4" w:space="0" w:color="auto"/>
            </w:tcBorders>
            <w:vAlign w:val="center"/>
          </w:tcPr>
          <w:p w14:paraId="61A4B791" w14:textId="51E9681A" w:rsidR="00D53A12" w:rsidRPr="00AB30EB" w:rsidRDefault="00D53A12" w:rsidP="0082461F">
            <w:pPr>
              <w:spacing w:after="0"/>
              <w:jc w:val="center"/>
            </w:pPr>
            <w:r w:rsidRPr="00AB30EB">
              <w:t>Residuo de Solow</w:t>
            </w:r>
            <w:r w:rsidR="004813A8" w:rsidRPr="00AB30EB">
              <w:t xml:space="preserve"> (</w:t>
            </w:r>
            <m:oMath>
              <m:sSub>
                <m:sSubPr>
                  <m:ctrlPr>
                    <w:rPr>
                      <w:rFonts w:ascii="Cambria Math" w:eastAsiaTheme="minorEastAsia" w:hAnsi="Cambria Math"/>
                      <w:i/>
                      <w:sz w:val="18"/>
                      <w:szCs w:val="18"/>
                    </w:rPr>
                  </m:ctrlPr>
                </m:sSubPr>
                <m:e>
                  <m:r>
                    <m:rPr>
                      <m:nor/>
                    </m:rPr>
                    <w:rPr>
                      <w:rFonts w:eastAsiaTheme="minorEastAsia"/>
                      <w:i/>
                      <w:sz w:val="18"/>
                      <w:szCs w:val="18"/>
                    </w:rPr>
                    <m:t>γ</m:t>
                  </m:r>
                </m:e>
                <m:sub>
                  <m:r>
                    <m:rPr>
                      <m:nor/>
                    </m:rPr>
                    <w:rPr>
                      <w:rFonts w:eastAsiaTheme="minorEastAsia"/>
                      <w:i/>
                      <w:sz w:val="18"/>
                      <w:szCs w:val="18"/>
                    </w:rPr>
                    <m:t>A</m:t>
                  </m:r>
                </m:sub>
              </m:sSub>
            </m:oMath>
            <w:r w:rsidR="004813A8" w:rsidRPr="00AB30EB">
              <w:t>)</w:t>
            </w:r>
          </w:p>
        </w:tc>
        <w:tc>
          <w:tcPr>
            <w:tcW w:w="2774" w:type="dxa"/>
            <w:tcBorders>
              <w:bottom w:val="single" w:sz="4" w:space="0" w:color="auto"/>
            </w:tcBorders>
            <w:vAlign w:val="center"/>
          </w:tcPr>
          <w:p w14:paraId="0119D123" w14:textId="146A8491" w:rsidR="00D53A12" w:rsidRPr="00AB30EB" w:rsidRDefault="001815A5" w:rsidP="0082461F">
            <w:pPr>
              <w:spacing w:after="0"/>
              <w:jc w:val="center"/>
              <w:rPr>
                <w:rFonts w:eastAsiaTheme="minorEastAsia"/>
                <w:i/>
                <w:spacing w:val="-2"/>
                <w:sz w:val="15"/>
                <w:szCs w:val="15"/>
              </w:rPr>
            </w:pPr>
            <m:oMathPara>
              <m:oMath>
                <m:r>
                  <w:rPr>
                    <w:rFonts w:ascii="Cambria Math" w:eastAsiaTheme="minorEastAsia" w:hAnsi="Cambria Math"/>
                    <w:sz w:val="13"/>
                    <w:szCs w:val="13"/>
                  </w:rPr>
                  <m:t>≡</m:t>
                </m:r>
                <m:sSub>
                  <m:sSubPr>
                    <m:ctrlPr>
                      <w:rPr>
                        <w:rFonts w:ascii="Cambria Math" w:eastAsiaTheme="minorEastAsia" w:hAnsi="Cambria Math"/>
                        <w:i/>
                        <w:spacing w:val="-2"/>
                        <w:sz w:val="13"/>
                        <w:szCs w:val="13"/>
                      </w:rPr>
                    </m:ctrlPr>
                  </m:sSubPr>
                  <m:e>
                    <m:r>
                      <m:rPr>
                        <m:nor/>
                      </m:rPr>
                      <w:rPr>
                        <w:rFonts w:eastAsiaTheme="minorEastAsia"/>
                        <w:i/>
                        <w:spacing w:val="-2"/>
                        <w:sz w:val="13"/>
                        <w:szCs w:val="13"/>
                      </w:rPr>
                      <m:t>γ</m:t>
                    </m:r>
                  </m:e>
                  <m:sub>
                    <m:r>
                      <m:rPr>
                        <m:nor/>
                      </m:rPr>
                      <w:rPr>
                        <w:rFonts w:eastAsiaTheme="minorEastAsia"/>
                        <w:i/>
                        <w:spacing w:val="-2"/>
                        <w:sz w:val="13"/>
                        <w:szCs w:val="13"/>
                      </w:rPr>
                      <m:t>A</m:t>
                    </m:r>
                  </m:sub>
                </m:sSub>
                <m:r>
                  <w:rPr>
                    <w:rFonts w:ascii="Cambria Math" w:eastAsiaTheme="minorEastAsia" w:hAnsi="Cambria Math"/>
                    <w:spacing w:val="-2"/>
                    <w:sz w:val="13"/>
                    <w:szCs w:val="13"/>
                  </w:rPr>
                  <m:t>=</m:t>
                </m:r>
                <m:sSub>
                  <m:sSubPr>
                    <m:ctrlPr>
                      <w:rPr>
                        <w:rFonts w:ascii="Cambria Math" w:eastAsiaTheme="minorEastAsia" w:hAnsi="Cambria Math"/>
                        <w:i/>
                        <w:spacing w:val="-2"/>
                        <w:sz w:val="13"/>
                        <w:szCs w:val="13"/>
                      </w:rPr>
                    </m:ctrlPr>
                  </m:sSubPr>
                  <m:e>
                    <m:r>
                      <m:rPr>
                        <m:nor/>
                      </m:rPr>
                      <w:rPr>
                        <w:rFonts w:eastAsiaTheme="minorEastAsia"/>
                        <w:i/>
                        <w:spacing w:val="-2"/>
                        <w:sz w:val="13"/>
                        <w:szCs w:val="13"/>
                      </w:rPr>
                      <m:t>γ</m:t>
                    </m:r>
                  </m:e>
                  <m:sub>
                    <m:r>
                      <m:rPr>
                        <m:nor/>
                      </m:rPr>
                      <w:rPr>
                        <w:rFonts w:eastAsiaTheme="minorEastAsia"/>
                        <w:i/>
                        <w:spacing w:val="-2"/>
                        <w:sz w:val="13"/>
                        <w:szCs w:val="13"/>
                      </w:rPr>
                      <m:t>Y</m:t>
                    </m:r>
                  </m:sub>
                </m:sSub>
                <m:r>
                  <w:rPr>
                    <w:rFonts w:ascii="Cambria Math" w:eastAsiaTheme="minorEastAsia" w:hAnsi="Cambria Math"/>
                    <w:spacing w:val="-2"/>
                    <w:sz w:val="13"/>
                    <w:szCs w:val="13"/>
                  </w:rPr>
                  <m:t>-</m:t>
                </m:r>
                <m:r>
                  <m:rPr>
                    <m:nor/>
                  </m:rPr>
                  <w:rPr>
                    <w:rFonts w:eastAsiaTheme="minorEastAsia"/>
                    <w:iCs/>
                    <w:spacing w:val="-2"/>
                    <w:sz w:val="13"/>
                    <w:szCs w:val="13"/>
                  </w:rPr>
                  <m:t>α</m:t>
                </m:r>
                <m:r>
                  <w:rPr>
                    <w:rFonts w:ascii="Cambria Math" w:hAnsi="Cambria Math"/>
                    <w:spacing w:val="-2"/>
                    <w:sz w:val="13"/>
                    <w:szCs w:val="13"/>
                  </w:rPr>
                  <m:t>∙</m:t>
                </m:r>
                <m:sSub>
                  <m:sSubPr>
                    <m:ctrlPr>
                      <w:rPr>
                        <w:rFonts w:ascii="Cambria Math" w:eastAsiaTheme="minorEastAsia" w:hAnsi="Cambria Math"/>
                        <w:i/>
                        <w:spacing w:val="-2"/>
                        <w:sz w:val="13"/>
                        <w:szCs w:val="13"/>
                      </w:rPr>
                    </m:ctrlPr>
                  </m:sSubPr>
                  <m:e>
                    <m:r>
                      <m:rPr>
                        <m:nor/>
                      </m:rPr>
                      <w:rPr>
                        <w:rFonts w:eastAsiaTheme="minorEastAsia"/>
                        <w:i/>
                        <w:spacing w:val="-2"/>
                        <w:sz w:val="13"/>
                        <w:szCs w:val="13"/>
                      </w:rPr>
                      <m:t>γ</m:t>
                    </m:r>
                  </m:e>
                  <m:sub>
                    <m:r>
                      <m:rPr>
                        <m:nor/>
                      </m:rPr>
                      <w:rPr>
                        <w:rFonts w:eastAsiaTheme="minorEastAsia"/>
                        <w:i/>
                        <w:spacing w:val="-2"/>
                        <w:sz w:val="13"/>
                        <w:szCs w:val="13"/>
                      </w:rPr>
                      <m:t>K</m:t>
                    </m:r>
                  </m:sub>
                </m:sSub>
                <m:r>
                  <w:rPr>
                    <w:rFonts w:ascii="Cambria Math" w:eastAsiaTheme="minorEastAsia" w:hAnsi="Cambria Math"/>
                    <w:spacing w:val="-2"/>
                    <w:sz w:val="13"/>
                    <w:szCs w:val="13"/>
                  </w:rPr>
                  <m:t>-</m:t>
                </m:r>
                <m:d>
                  <m:dPr>
                    <m:ctrlPr>
                      <w:rPr>
                        <w:rFonts w:ascii="Cambria Math" w:eastAsiaTheme="minorEastAsia" w:hAnsi="Cambria Math"/>
                        <w:i/>
                        <w:spacing w:val="-2"/>
                        <w:sz w:val="13"/>
                        <w:szCs w:val="13"/>
                      </w:rPr>
                    </m:ctrlPr>
                  </m:dPr>
                  <m:e>
                    <m:r>
                      <m:rPr>
                        <m:nor/>
                      </m:rPr>
                      <w:rPr>
                        <w:rFonts w:eastAsiaTheme="minorEastAsia"/>
                        <w:i/>
                        <w:spacing w:val="-2"/>
                        <w:sz w:val="13"/>
                        <w:szCs w:val="13"/>
                      </w:rPr>
                      <m:t>1</m:t>
                    </m:r>
                    <m:r>
                      <w:rPr>
                        <w:rFonts w:ascii="Cambria Math" w:eastAsiaTheme="minorEastAsia" w:hAnsi="Cambria Math"/>
                        <w:spacing w:val="-2"/>
                        <w:sz w:val="13"/>
                        <w:szCs w:val="13"/>
                      </w:rPr>
                      <m:t>-</m:t>
                    </m:r>
                    <m:r>
                      <m:rPr>
                        <m:nor/>
                      </m:rPr>
                      <w:rPr>
                        <w:rFonts w:eastAsiaTheme="minorEastAsia"/>
                        <w:iCs/>
                        <w:spacing w:val="-2"/>
                        <w:sz w:val="13"/>
                        <w:szCs w:val="13"/>
                      </w:rPr>
                      <m:t>α</m:t>
                    </m:r>
                  </m:e>
                </m:d>
                <m:r>
                  <w:rPr>
                    <w:rFonts w:ascii="Cambria Math" w:hAnsi="Cambria Math"/>
                    <w:spacing w:val="-2"/>
                    <w:sz w:val="13"/>
                    <w:szCs w:val="13"/>
                  </w:rPr>
                  <m:t>∙</m:t>
                </m:r>
                <m:sSub>
                  <m:sSubPr>
                    <m:ctrlPr>
                      <w:rPr>
                        <w:rFonts w:ascii="Cambria Math" w:eastAsiaTheme="minorEastAsia" w:hAnsi="Cambria Math"/>
                        <w:i/>
                        <w:spacing w:val="-2"/>
                        <w:sz w:val="13"/>
                        <w:szCs w:val="13"/>
                      </w:rPr>
                    </m:ctrlPr>
                  </m:sSubPr>
                  <m:e>
                    <m:r>
                      <m:rPr>
                        <m:nor/>
                      </m:rPr>
                      <w:rPr>
                        <w:rFonts w:eastAsiaTheme="minorEastAsia"/>
                        <w:i/>
                        <w:spacing w:val="-2"/>
                        <w:sz w:val="13"/>
                        <w:szCs w:val="13"/>
                      </w:rPr>
                      <m:t>γ</m:t>
                    </m:r>
                  </m:e>
                  <m:sub>
                    <m:r>
                      <m:rPr>
                        <m:nor/>
                      </m:rPr>
                      <w:rPr>
                        <w:rFonts w:eastAsiaTheme="minorEastAsia"/>
                        <w:i/>
                        <w:spacing w:val="-2"/>
                        <w:sz w:val="13"/>
                        <w:szCs w:val="13"/>
                      </w:rPr>
                      <m:t>L</m:t>
                    </m:r>
                  </m:sub>
                </m:sSub>
              </m:oMath>
            </m:oMathPara>
          </w:p>
        </w:tc>
        <w:tc>
          <w:tcPr>
            <w:tcW w:w="2774" w:type="dxa"/>
            <w:tcBorders>
              <w:bottom w:val="single" w:sz="4" w:space="0" w:color="auto"/>
            </w:tcBorders>
            <w:vAlign w:val="center"/>
          </w:tcPr>
          <w:p w14:paraId="5678CD48" w14:textId="4F4BA5AE" w:rsidR="00D53A12" w:rsidRPr="001815A5" w:rsidRDefault="00AD2BD3" w:rsidP="001815A5">
            <w:pPr>
              <w:spacing w:after="0"/>
              <w:jc w:val="center"/>
              <w:rPr>
                <w:rFonts w:eastAsiaTheme="minorEastAsia"/>
                <w:i/>
                <w:spacing w:val="-2"/>
                <w:sz w:val="12"/>
                <w:szCs w:val="12"/>
              </w:rPr>
            </w:pPr>
            <m:oMathPara>
              <m:oMath>
                <m:r>
                  <w:rPr>
                    <w:rFonts w:ascii="Cambria Math" w:eastAsiaTheme="minorEastAsia" w:hAnsi="Cambria Math"/>
                    <w:sz w:val="12"/>
                    <w:szCs w:val="12"/>
                  </w:rPr>
                  <m:t>≡</m:t>
                </m:r>
                <m:limLow>
                  <m:limLowPr>
                    <m:ctrlPr>
                      <w:rPr>
                        <w:rFonts w:ascii="Cambria Math" w:hAnsi="Cambria Math"/>
                        <w:i/>
                        <w:sz w:val="12"/>
                        <w:szCs w:val="12"/>
                      </w:rPr>
                    </m:ctrlPr>
                  </m:limLowPr>
                  <m:e>
                    <m:groupChr>
                      <m:groupChrPr>
                        <m:ctrlPr>
                          <w:rPr>
                            <w:rFonts w:ascii="Cambria Math" w:hAnsi="Cambria Math"/>
                            <w:i/>
                            <w:sz w:val="12"/>
                            <w:szCs w:val="12"/>
                          </w:rPr>
                        </m:ctrlPr>
                      </m:groupChrPr>
                      <m:e>
                        <m:sSub>
                          <m:sSubPr>
                            <m:ctrlPr>
                              <w:rPr>
                                <w:rFonts w:ascii="Cambria Math" w:eastAsiaTheme="minorEastAsia" w:hAnsi="Cambria Math"/>
                                <w:i/>
                                <w:spacing w:val="-2"/>
                                <w:sz w:val="12"/>
                                <w:szCs w:val="12"/>
                              </w:rPr>
                            </m:ctrlPr>
                          </m:sSubPr>
                          <m:e>
                            <m:r>
                              <m:rPr>
                                <m:nor/>
                              </m:rPr>
                              <w:rPr>
                                <w:rFonts w:eastAsiaTheme="minorEastAsia"/>
                                <w:i/>
                                <w:spacing w:val="-2"/>
                                <w:sz w:val="12"/>
                                <w:szCs w:val="12"/>
                              </w:rPr>
                              <m:t>γ</m:t>
                            </m:r>
                          </m:e>
                          <m:sub>
                            <m:r>
                              <m:rPr>
                                <m:nor/>
                              </m:rPr>
                              <w:rPr>
                                <w:rFonts w:eastAsiaTheme="minorEastAsia"/>
                                <w:i/>
                                <w:spacing w:val="-2"/>
                                <w:sz w:val="12"/>
                                <w:szCs w:val="12"/>
                              </w:rPr>
                              <m:t>Y</m:t>
                            </m:r>
                          </m:sub>
                        </m:sSub>
                        <m:r>
                          <w:rPr>
                            <w:rFonts w:ascii="Cambria Math" w:hAnsi="Cambria Math"/>
                            <w:sz w:val="12"/>
                            <w:szCs w:val="12"/>
                          </w:rPr>
                          <m:t>-</m:t>
                        </m:r>
                        <m:r>
                          <m:rPr>
                            <m:nor/>
                          </m:rPr>
                          <w:rPr>
                            <w:i/>
                            <w:sz w:val="12"/>
                            <w:szCs w:val="12"/>
                          </w:rPr>
                          <m:t xml:space="preserve"> </m:t>
                        </m:r>
                        <m:f>
                          <m:fPr>
                            <m:ctrlPr>
                              <w:rPr>
                                <w:rFonts w:ascii="Cambria Math" w:hAnsi="Cambria Math"/>
                                <w:i/>
                                <w:sz w:val="12"/>
                                <w:szCs w:val="12"/>
                              </w:rPr>
                            </m:ctrlPr>
                          </m:fPr>
                          <m:num>
                            <m:r>
                              <m:rPr>
                                <m:nor/>
                              </m:rPr>
                              <w:rPr>
                                <w:i/>
                                <w:sz w:val="12"/>
                                <w:szCs w:val="12"/>
                              </w:rPr>
                              <m:t>r</m:t>
                            </m:r>
                            <m:r>
                              <w:rPr>
                                <w:rFonts w:ascii="Cambria Math" w:eastAsiaTheme="minorEastAsia" w:hAnsi="Cambria Math"/>
                                <w:sz w:val="12"/>
                                <w:szCs w:val="12"/>
                              </w:rPr>
                              <m:t>∙</m:t>
                            </m:r>
                            <m:r>
                              <m:rPr>
                                <m:nor/>
                              </m:rPr>
                              <w:rPr>
                                <w:i/>
                                <w:sz w:val="12"/>
                                <w:szCs w:val="12"/>
                              </w:rPr>
                              <m:t>K</m:t>
                            </m:r>
                          </m:num>
                          <m:den>
                            <m:r>
                              <m:rPr>
                                <m:nor/>
                              </m:rPr>
                              <w:rPr>
                                <w:i/>
                                <w:sz w:val="12"/>
                                <w:szCs w:val="12"/>
                              </w:rPr>
                              <m:t>Y</m:t>
                            </m:r>
                          </m:den>
                        </m:f>
                        <m:r>
                          <w:rPr>
                            <w:rFonts w:ascii="Cambria Math" w:eastAsiaTheme="minorEastAsia" w:hAnsi="Cambria Math"/>
                            <w:sz w:val="12"/>
                            <w:szCs w:val="12"/>
                          </w:rPr>
                          <m:t>∙</m:t>
                        </m:r>
                        <m:sSub>
                          <m:sSubPr>
                            <m:ctrlPr>
                              <w:rPr>
                                <w:rFonts w:ascii="Cambria Math" w:eastAsiaTheme="minorEastAsia" w:hAnsi="Cambria Math"/>
                                <w:i/>
                                <w:spacing w:val="-2"/>
                                <w:sz w:val="12"/>
                                <w:szCs w:val="12"/>
                              </w:rPr>
                            </m:ctrlPr>
                          </m:sSubPr>
                          <m:e>
                            <m:r>
                              <m:rPr>
                                <m:nor/>
                              </m:rPr>
                              <w:rPr>
                                <w:rFonts w:eastAsiaTheme="minorEastAsia"/>
                                <w:i/>
                                <w:spacing w:val="-2"/>
                                <w:sz w:val="12"/>
                                <w:szCs w:val="12"/>
                              </w:rPr>
                              <m:t>γ</m:t>
                            </m:r>
                          </m:e>
                          <m:sub>
                            <m:r>
                              <m:rPr>
                                <m:nor/>
                              </m:rPr>
                              <w:rPr>
                                <w:rFonts w:eastAsiaTheme="minorEastAsia"/>
                                <w:i/>
                                <w:spacing w:val="-2"/>
                                <w:sz w:val="12"/>
                                <w:szCs w:val="12"/>
                              </w:rPr>
                              <m:t>K</m:t>
                            </m:r>
                          </m:sub>
                        </m:sSub>
                        <m:r>
                          <w:rPr>
                            <w:rFonts w:ascii="Cambria Math" w:hAnsi="Cambria Math"/>
                            <w:sz w:val="12"/>
                            <w:szCs w:val="12"/>
                          </w:rPr>
                          <m:t>-</m:t>
                        </m:r>
                        <m:f>
                          <m:fPr>
                            <m:ctrlPr>
                              <w:rPr>
                                <w:rFonts w:ascii="Cambria Math" w:hAnsi="Cambria Math"/>
                                <w:i/>
                                <w:sz w:val="12"/>
                                <w:szCs w:val="12"/>
                              </w:rPr>
                            </m:ctrlPr>
                          </m:fPr>
                          <m:num>
                            <m:r>
                              <m:rPr>
                                <m:nor/>
                              </m:rPr>
                              <w:rPr>
                                <w:i/>
                                <w:sz w:val="12"/>
                                <w:szCs w:val="12"/>
                              </w:rPr>
                              <m:t>w</m:t>
                            </m:r>
                            <m:r>
                              <w:rPr>
                                <w:rFonts w:ascii="Cambria Math" w:eastAsiaTheme="minorEastAsia" w:hAnsi="Cambria Math"/>
                                <w:sz w:val="12"/>
                                <w:szCs w:val="12"/>
                              </w:rPr>
                              <m:t>∙</m:t>
                            </m:r>
                            <m:r>
                              <m:rPr>
                                <m:nor/>
                              </m:rPr>
                              <w:rPr>
                                <w:i/>
                                <w:sz w:val="12"/>
                                <w:szCs w:val="12"/>
                              </w:rPr>
                              <m:t>L</m:t>
                            </m:r>
                          </m:num>
                          <m:den>
                            <m:r>
                              <m:rPr>
                                <m:nor/>
                              </m:rPr>
                              <w:rPr>
                                <w:i/>
                                <w:sz w:val="12"/>
                                <w:szCs w:val="12"/>
                              </w:rPr>
                              <m:t>Y</m:t>
                            </m:r>
                          </m:den>
                        </m:f>
                        <m:r>
                          <w:rPr>
                            <w:rFonts w:ascii="Cambria Math" w:eastAsiaTheme="minorEastAsia" w:hAnsi="Cambria Math"/>
                            <w:sz w:val="12"/>
                            <w:szCs w:val="12"/>
                          </w:rPr>
                          <m:t>∙</m:t>
                        </m:r>
                        <m:sSub>
                          <m:sSubPr>
                            <m:ctrlPr>
                              <w:rPr>
                                <w:rFonts w:ascii="Cambria Math" w:eastAsiaTheme="minorEastAsia" w:hAnsi="Cambria Math"/>
                                <w:i/>
                                <w:spacing w:val="-2"/>
                                <w:sz w:val="12"/>
                                <w:szCs w:val="12"/>
                              </w:rPr>
                            </m:ctrlPr>
                          </m:sSubPr>
                          <m:e>
                            <m:r>
                              <m:rPr>
                                <m:nor/>
                              </m:rPr>
                              <w:rPr>
                                <w:rFonts w:eastAsiaTheme="minorEastAsia"/>
                                <w:i/>
                                <w:spacing w:val="-2"/>
                                <w:sz w:val="12"/>
                                <w:szCs w:val="12"/>
                              </w:rPr>
                              <m:t>γ</m:t>
                            </m:r>
                          </m:e>
                          <m:sub>
                            <m:r>
                              <m:rPr>
                                <m:nor/>
                              </m:rPr>
                              <w:rPr>
                                <w:rFonts w:eastAsiaTheme="minorEastAsia"/>
                                <w:i/>
                                <w:spacing w:val="-2"/>
                                <w:sz w:val="12"/>
                                <w:szCs w:val="12"/>
                              </w:rPr>
                              <m:t>L</m:t>
                            </m:r>
                          </m:sub>
                        </m:sSub>
                      </m:e>
                    </m:groupChr>
                  </m:e>
                  <m:lim>
                    <m:r>
                      <m:rPr>
                        <m:nor/>
                      </m:rPr>
                      <w:rPr>
                        <w:i/>
                        <w:iCs/>
                        <w:sz w:val="12"/>
                        <w:szCs w:val="12"/>
                      </w:rPr>
                      <m:t>Enfoque primal</m:t>
                    </m:r>
                  </m:lim>
                </m:limLow>
                <m:r>
                  <w:rPr>
                    <w:rFonts w:ascii="Cambria Math" w:hAnsi="Cambria Math"/>
                    <w:sz w:val="12"/>
                    <w:szCs w:val="12"/>
                  </w:rPr>
                  <m:t>=</m:t>
                </m:r>
                <m:limLow>
                  <m:limLowPr>
                    <m:ctrlPr>
                      <w:rPr>
                        <w:rFonts w:ascii="Cambria Math" w:hAnsi="Cambria Math"/>
                        <w:i/>
                        <w:sz w:val="12"/>
                        <w:szCs w:val="12"/>
                      </w:rPr>
                    </m:ctrlPr>
                  </m:limLowPr>
                  <m:e>
                    <m:groupChr>
                      <m:groupChrPr>
                        <m:ctrlPr>
                          <w:rPr>
                            <w:rFonts w:ascii="Cambria Math" w:hAnsi="Cambria Math"/>
                            <w:i/>
                            <w:sz w:val="12"/>
                            <w:szCs w:val="12"/>
                          </w:rPr>
                        </m:ctrlPr>
                      </m:groupChrPr>
                      <m:e>
                        <m:f>
                          <m:fPr>
                            <m:ctrlPr>
                              <w:rPr>
                                <w:rFonts w:ascii="Cambria Math" w:hAnsi="Cambria Math"/>
                                <w:i/>
                                <w:sz w:val="12"/>
                                <w:szCs w:val="12"/>
                              </w:rPr>
                            </m:ctrlPr>
                          </m:fPr>
                          <m:num>
                            <m:r>
                              <m:rPr>
                                <m:nor/>
                              </m:rPr>
                              <w:rPr>
                                <w:i/>
                                <w:sz w:val="12"/>
                                <w:szCs w:val="12"/>
                              </w:rPr>
                              <m:t>r</m:t>
                            </m:r>
                            <m:r>
                              <w:rPr>
                                <w:rFonts w:ascii="Cambria Math" w:eastAsiaTheme="minorEastAsia" w:hAnsi="Cambria Math"/>
                                <w:sz w:val="12"/>
                                <w:szCs w:val="12"/>
                              </w:rPr>
                              <m:t>∙</m:t>
                            </m:r>
                            <m:r>
                              <m:rPr>
                                <m:nor/>
                              </m:rPr>
                              <w:rPr>
                                <w:i/>
                                <w:sz w:val="12"/>
                                <w:szCs w:val="12"/>
                              </w:rPr>
                              <m:t>K</m:t>
                            </m:r>
                          </m:num>
                          <m:den>
                            <m:r>
                              <m:rPr>
                                <m:nor/>
                              </m:rPr>
                              <w:rPr>
                                <w:i/>
                                <w:sz w:val="12"/>
                                <w:szCs w:val="12"/>
                              </w:rPr>
                              <m:t>Y</m:t>
                            </m:r>
                          </m:den>
                        </m:f>
                        <m:r>
                          <w:rPr>
                            <w:rFonts w:ascii="Cambria Math" w:eastAsiaTheme="minorEastAsia" w:hAnsi="Cambria Math"/>
                            <w:sz w:val="12"/>
                            <w:szCs w:val="12"/>
                          </w:rPr>
                          <m:t>∙</m:t>
                        </m:r>
                        <m:sSub>
                          <m:sSubPr>
                            <m:ctrlPr>
                              <w:rPr>
                                <w:rFonts w:ascii="Cambria Math" w:eastAsiaTheme="minorEastAsia" w:hAnsi="Cambria Math"/>
                                <w:i/>
                                <w:spacing w:val="-2"/>
                                <w:sz w:val="12"/>
                                <w:szCs w:val="12"/>
                              </w:rPr>
                            </m:ctrlPr>
                          </m:sSubPr>
                          <m:e>
                            <m:r>
                              <m:rPr>
                                <m:nor/>
                              </m:rPr>
                              <w:rPr>
                                <w:rFonts w:eastAsiaTheme="minorEastAsia"/>
                                <w:i/>
                                <w:spacing w:val="-2"/>
                                <w:sz w:val="12"/>
                                <w:szCs w:val="12"/>
                              </w:rPr>
                              <m:t>γ</m:t>
                            </m:r>
                          </m:e>
                          <m:sub>
                            <m:r>
                              <m:rPr>
                                <m:nor/>
                              </m:rPr>
                              <w:rPr>
                                <w:rFonts w:eastAsiaTheme="minorEastAsia"/>
                                <w:i/>
                                <w:spacing w:val="-2"/>
                                <w:sz w:val="12"/>
                                <w:szCs w:val="12"/>
                              </w:rPr>
                              <m:t>r</m:t>
                            </m:r>
                          </m:sub>
                        </m:sSub>
                        <m:r>
                          <w:rPr>
                            <w:rFonts w:ascii="Cambria Math" w:hAnsi="Cambria Math"/>
                            <w:sz w:val="12"/>
                            <w:szCs w:val="12"/>
                          </w:rPr>
                          <m:t>+</m:t>
                        </m:r>
                        <m:f>
                          <m:fPr>
                            <m:ctrlPr>
                              <w:rPr>
                                <w:rFonts w:ascii="Cambria Math" w:hAnsi="Cambria Math"/>
                                <w:i/>
                                <w:sz w:val="12"/>
                                <w:szCs w:val="12"/>
                              </w:rPr>
                            </m:ctrlPr>
                          </m:fPr>
                          <m:num>
                            <m:r>
                              <m:rPr>
                                <m:nor/>
                              </m:rPr>
                              <w:rPr>
                                <w:i/>
                                <w:sz w:val="12"/>
                                <w:szCs w:val="12"/>
                              </w:rPr>
                              <m:t>w</m:t>
                            </m:r>
                            <m:r>
                              <w:rPr>
                                <w:rFonts w:ascii="Cambria Math" w:eastAsiaTheme="minorEastAsia" w:hAnsi="Cambria Math"/>
                                <w:sz w:val="12"/>
                                <w:szCs w:val="12"/>
                              </w:rPr>
                              <m:t>∙</m:t>
                            </m:r>
                            <m:r>
                              <m:rPr>
                                <m:nor/>
                              </m:rPr>
                              <w:rPr>
                                <w:i/>
                                <w:sz w:val="12"/>
                                <w:szCs w:val="12"/>
                              </w:rPr>
                              <m:t>L</m:t>
                            </m:r>
                          </m:num>
                          <m:den>
                            <m:r>
                              <m:rPr>
                                <m:nor/>
                              </m:rPr>
                              <w:rPr>
                                <w:i/>
                                <w:sz w:val="12"/>
                                <w:szCs w:val="12"/>
                              </w:rPr>
                              <m:t>Y</m:t>
                            </m:r>
                          </m:den>
                        </m:f>
                        <m:r>
                          <w:rPr>
                            <w:rFonts w:ascii="Cambria Math" w:eastAsiaTheme="minorEastAsia" w:hAnsi="Cambria Math"/>
                            <w:sz w:val="12"/>
                            <w:szCs w:val="12"/>
                          </w:rPr>
                          <m:t>∙</m:t>
                        </m:r>
                        <m:sSub>
                          <m:sSubPr>
                            <m:ctrlPr>
                              <w:rPr>
                                <w:rFonts w:ascii="Cambria Math" w:eastAsiaTheme="minorEastAsia" w:hAnsi="Cambria Math"/>
                                <w:i/>
                                <w:spacing w:val="-2"/>
                                <w:sz w:val="12"/>
                                <w:szCs w:val="12"/>
                              </w:rPr>
                            </m:ctrlPr>
                          </m:sSubPr>
                          <m:e>
                            <m:r>
                              <m:rPr>
                                <m:nor/>
                              </m:rPr>
                              <w:rPr>
                                <w:rFonts w:eastAsiaTheme="minorEastAsia"/>
                                <w:i/>
                                <w:spacing w:val="-2"/>
                                <w:sz w:val="12"/>
                                <w:szCs w:val="12"/>
                              </w:rPr>
                              <m:t>γ</m:t>
                            </m:r>
                          </m:e>
                          <m:sub>
                            <m:r>
                              <m:rPr>
                                <m:nor/>
                              </m:rPr>
                              <w:rPr>
                                <w:rFonts w:eastAsiaTheme="minorEastAsia"/>
                                <w:i/>
                                <w:spacing w:val="-2"/>
                                <w:sz w:val="12"/>
                                <w:szCs w:val="12"/>
                              </w:rPr>
                              <m:t>w</m:t>
                            </m:r>
                          </m:sub>
                        </m:sSub>
                      </m:e>
                    </m:groupChr>
                  </m:e>
                  <m:lim>
                    <m:r>
                      <m:rPr>
                        <m:nor/>
                      </m:rPr>
                      <w:rPr>
                        <w:i/>
                        <w:iCs/>
                        <w:sz w:val="12"/>
                        <w:szCs w:val="12"/>
                      </w:rPr>
                      <m:t>Enfoque dual</m:t>
                    </m:r>
                  </m:lim>
                </m:limLow>
              </m:oMath>
            </m:oMathPara>
          </w:p>
        </w:tc>
        <w:tc>
          <w:tcPr>
            <w:tcW w:w="7313" w:type="dxa"/>
            <w:gridSpan w:val="3"/>
            <w:vMerge/>
            <w:vAlign w:val="center"/>
          </w:tcPr>
          <w:p w14:paraId="23C3CB63" w14:textId="77777777" w:rsidR="00D53A12" w:rsidRPr="00AB30EB" w:rsidRDefault="00D53A12" w:rsidP="0082461F">
            <w:pPr>
              <w:spacing w:after="0"/>
              <w:jc w:val="center"/>
            </w:pPr>
          </w:p>
        </w:tc>
      </w:tr>
      <w:tr w:rsidR="004813A8" w:rsidRPr="00AB30EB" w14:paraId="58E6E48E" w14:textId="77777777" w:rsidTr="00787341">
        <w:trPr>
          <w:jc w:val="center"/>
        </w:trPr>
        <w:tc>
          <w:tcPr>
            <w:tcW w:w="2450" w:type="dxa"/>
            <w:tcBorders>
              <w:left w:val="nil"/>
              <w:bottom w:val="nil"/>
              <w:right w:val="nil"/>
            </w:tcBorders>
            <w:vAlign w:val="center"/>
          </w:tcPr>
          <w:p w14:paraId="6805A1E4" w14:textId="77777777" w:rsidR="004813A8" w:rsidRPr="00AB30EB" w:rsidRDefault="004813A8" w:rsidP="0082461F">
            <w:pPr>
              <w:spacing w:after="0"/>
              <w:jc w:val="center"/>
            </w:pPr>
          </w:p>
        </w:tc>
        <w:tc>
          <w:tcPr>
            <w:tcW w:w="5548" w:type="dxa"/>
            <w:gridSpan w:val="2"/>
            <w:tcBorders>
              <w:left w:val="nil"/>
              <w:bottom w:val="nil"/>
            </w:tcBorders>
            <w:vAlign w:val="center"/>
          </w:tcPr>
          <w:p w14:paraId="52C1B0AA" w14:textId="558B08DE" w:rsidR="004813A8" w:rsidRPr="00AB30EB" w:rsidRDefault="00335901" w:rsidP="0082461F">
            <w:pPr>
              <w:spacing w:after="0"/>
              <w:jc w:val="center"/>
              <w:rPr>
                <w:spacing w:val="-4"/>
                <w:sz w:val="13"/>
                <w:szCs w:val="13"/>
              </w:rPr>
            </w:pPr>
            <w:r w:rsidRPr="00AB30EB">
              <w:rPr>
                <w:spacing w:val="-4"/>
                <w:sz w:val="13"/>
                <w:szCs w:val="13"/>
              </w:rPr>
              <w:t>*Sólo necesitamos el supuesto de que la producción total es igual a la suma de las remuneraciones de los factores de producción para que ambas definiciones del residuo de Solow sean equivalentes.</w:t>
            </w:r>
          </w:p>
        </w:tc>
        <w:tc>
          <w:tcPr>
            <w:tcW w:w="2399" w:type="dxa"/>
            <w:vAlign w:val="center"/>
          </w:tcPr>
          <w:p w14:paraId="6BA34F0F" w14:textId="10034FAD" w:rsidR="004813A8" w:rsidRPr="00AB30EB" w:rsidRDefault="004813A8" w:rsidP="0082461F">
            <w:pPr>
              <w:spacing w:after="0"/>
              <w:jc w:val="center"/>
              <w:rPr>
                <w:smallCaps/>
                <w:sz w:val="16"/>
                <w:szCs w:val="16"/>
              </w:rPr>
            </w:pPr>
            <w:r w:rsidRPr="00AB30EB">
              <w:rPr>
                <w:smallCaps/>
                <w:sz w:val="16"/>
                <w:szCs w:val="16"/>
              </w:rPr>
              <w:t>Mankiw, Romer</w:t>
            </w:r>
            <w:r w:rsidRPr="00AB30EB">
              <w:rPr>
                <w:sz w:val="16"/>
                <w:szCs w:val="16"/>
              </w:rPr>
              <w:t xml:space="preserve"> y </w:t>
            </w:r>
            <w:r w:rsidRPr="00AB30EB">
              <w:rPr>
                <w:smallCaps/>
                <w:sz w:val="16"/>
                <w:szCs w:val="16"/>
              </w:rPr>
              <w:t>Weil (1992)</w:t>
            </w:r>
          </w:p>
        </w:tc>
        <w:tc>
          <w:tcPr>
            <w:tcW w:w="2459" w:type="dxa"/>
            <w:vAlign w:val="center"/>
          </w:tcPr>
          <w:p w14:paraId="731CE277" w14:textId="60A964C0" w:rsidR="004813A8" w:rsidRPr="00AB30EB" w:rsidRDefault="004813A8" w:rsidP="00250E1B">
            <w:pPr>
              <w:spacing w:after="0"/>
              <w:jc w:val="center"/>
              <w:rPr>
                <w:smallCaps/>
                <w:sz w:val="16"/>
                <w:szCs w:val="16"/>
              </w:rPr>
            </w:pPr>
            <w:r w:rsidRPr="00AB30EB">
              <w:rPr>
                <w:smallCaps/>
                <w:sz w:val="16"/>
                <w:szCs w:val="16"/>
              </w:rPr>
              <w:t xml:space="preserve">Hall </w:t>
            </w:r>
            <w:r w:rsidRPr="00AB30EB">
              <w:rPr>
                <w:sz w:val="16"/>
                <w:szCs w:val="16"/>
              </w:rPr>
              <w:t xml:space="preserve">y </w:t>
            </w:r>
            <w:r w:rsidRPr="00AB30EB">
              <w:rPr>
                <w:smallCaps/>
                <w:sz w:val="16"/>
                <w:szCs w:val="16"/>
              </w:rPr>
              <w:t>Jones (1999)</w:t>
            </w:r>
          </w:p>
        </w:tc>
        <w:tc>
          <w:tcPr>
            <w:tcW w:w="2455" w:type="dxa"/>
            <w:vAlign w:val="center"/>
          </w:tcPr>
          <w:p w14:paraId="3628DE5A" w14:textId="1B16610E" w:rsidR="004813A8" w:rsidRPr="00AB30EB" w:rsidRDefault="004813A8" w:rsidP="00250E1B">
            <w:pPr>
              <w:spacing w:after="0"/>
              <w:jc w:val="center"/>
              <w:rPr>
                <w:smallCaps/>
                <w:sz w:val="16"/>
                <w:szCs w:val="16"/>
              </w:rPr>
            </w:pPr>
            <w:r w:rsidRPr="00AB30EB">
              <w:rPr>
                <w:smallCaps/>
                <w:sz w:val="16"/>
                <w:szCs w:val="16"/>
              </w:rPr>
              <w:t xml:space="preserve">Caselli </w:t>
            </w:r>
            <w:r w:rsidRPr="00AB30EB">
              <w:rPr>
                <w:sz w:val="16"/>
                <w:szCs w:val="16"/>
              </w:rPr>
              <w:t>(2005)</w:t>
            </w:r>
          </w:p>
        </w:tc>
      </w:tr>
    </w:tbl>
    <w:p w14:paraId="1FECF4B5" w14:textId="542F374F" w:rsidR="0015013E" w:rsidRPr="00044EEC" w:rsidRDefault="0015013E" w:rsidP="00044EEC">
      <w:pPr>
        <w:spacing w:after="100"/>
        <w:rPr>
          <w:sz w:val="4"/>
          <w:szCs w:val="4"/>
          <w:lang w:val="fr-FR"/>
        </w:rPr>
      </w:pPr>
    </w:p>
    <w:tbl>
      <w:tblPr>
        <w:tblStyle w:val="Tablaconcuadrcula"/>
        <w:tblW w:w="16161" w:type="dxa"/>
        <w:tblInd w:w="-42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19"/>
        <w:gridCol w:w="4914"/>
        <w:gridCol w:w="4914"/>
        <w:gridCol w:w="4914"/>
      </w:tblGrid>
      <w:tr w:rsidR="00250E1B" w:rsidRPr="00AB30EB" w14:paraId="6F8531D6" w14:textId="77777777" w:rsidTr="00160AC5">
        <w:tc>
          <w:tcPr>
            <w:tcW w:w="1419" w:type="dxa"/>
            <w:tcBorders>
              <w:bottom w:val="single" w:sz="4" w:space="0" w:color="auto"/>
            </w:tcBorders>
            <w:vAlign w:val="center"/>
          </w:tcPr>
          <w:p w14:paraId="09553EED" w14:textId="0803FF4E" w:rsidR="00AC5DD5" w:rsidRPr="00AB30EB" w:rsidRDefault="00AC5DD5" w:rsidP="00250E1B">
            <w:pPr>
              <w:tabs>
                <w:tab w:val="left" w:pos="13750"/>
              </w:tabs>
              <w:spacing w:after="0"/>
              <w:rPr>
                <w:lang w:val="fr-FR"/>
              </w:rPr>
            </w:pPr>
          </w:p>
        </w:tc>
        <w:tc>
          <w:tcPr>
            <w:tcW w:w="4914" w:type="dxa"/>
            <w:tcBorders>
              <w:top w:val="single" w:sz="4" w:space="0" w:color="auto"/>
              <w:bottom w:val="single" w:sz="4" w:space="0" w:color="auto"/>
            </w:tcBorders>
            <w:vAlign w:val="center"/>
          </w:tcPr>
          <w:p w14:paraId="00A9692A" w14:textId="4B672BF0" w:rsidR="00AC5DD5" w:rsidRPr="00AB30EB" w:rsidRDefault="00AC5DD5" w:rsidP="00250E1B">
            <w:pPr>
              <w:tabs>
                <w:tab w:val="left" w:pos="13750"/>
              </w:tabs>
              <w:spacing w:after="0"/>
              <w:jc w:val="center"/>
              <w:rPr>
                <w:lang w:val="fr-FR"/>
              </w:rPr>
            </w:pPr>
            <w:r w:rsidRPr="00AB30EB">
              <w:rPr>
                <w:smallCaps/>
              </w:rPr>
              <w:t>Mankiw, Romer</w:t>
            </w:r>
            <w:r w:rsidRPr="00AB30EB">
              <w:t xml:space="preserve"> y </w:t>
            </w:r>
            <w:r w:rsidRPr="00AB30EB">
              <w:rPr>
                <w:smallCaps/>
              </w:rPr>
              <w:t>Weil (1992)</w:t>
            </w:r>
          </w:p>
        </w:tc>
        <w:tc>
          <w:tcPr>
            <w:tcW w:w="4914" w:type="dxa"/>
            <w:tcBorders>
              <w:top w:val="single" w:sz="4" w:space="0" w:color="auto"/>
              <w:bottom w:val="single" w:sz="4" w:space="0" w:color="auto"/>
            </w:tcBorders>
            <w:vAlign w:val="center"/>
          </w:tcPr>
          <w:p w14:paraId="7E342A06" w14:textId="3CBEE1AA" w:rsidR="00AC5DD5" w:rsidRPr="00AB30EB" w:rsidRDefault="00AC5DD5" w:rsidP="00250E1B">
            <w:pPr>
              <w:tabs>
                <w:tab w:val="left" w:pos="13750"/>
              </w:tabs>
              <w:spacing w:after="0"/>
              <w:jc w:val="center"/>
              <w:rPr>
                <w:smallCaps/>
              </w:rPr>
            </w:pPr>
            <w:r w:rsidRPr="00AB30EB">
              <w:rPr>
                <w:smallCaps/>
              </w:rPr>
              <w:t xml:space="preserve">Hall </w:t>
            </w:r>
            <w:r w:rsidRPr="00AB30EB">
              <w:t xml:space="preserve">y </w:t>
            </w:r>
            <w:r w:rsidRPr="00AB30EB">
              <w:rPr>
                <w:smallCaps/>
              </w:rPr>
              <w:t>Jones</w:t>
            </w:r>
            <w:r w:rsidR="00BA0913" w:rsidRPr="00AB30EB">
              <w:rPr>
                <w:smallCaps/>
              </w:rPr>
              <w:t xml:space="preserve"> </w:t>
            </w:r>
            <w:r w:rsidRPr="00AB30EB">
              <w:rPr>
                <w:smallCaps/>
              </w:rPr>
              <w:t>(1999)</w:t>
            </w:r>
          </w:p>
        </w:tc>
        <w:tc>
          <w:tcPr>
            <w:tcW w:w="4914" w:type="dxa"/>
            <w:tcBorders>
              <w:top w:val="single" w:sz="4" w:space="0" w:color="auto"/>
              <w:bottom w:val="single" w:sz="4" w:space="0" w:color="auto"/>
              <w:right w:val="single" w:sz="4" w:space="0" w:color="auto"/>
            </w:tcBorders>
            <w:vAlign w:val="center"/>
          </w:tcPr>
          <w:p w14:paraId="323D2A1C" w14:textId="18CB2EE8" w:rsidR="00AC5DD5" w:rsidRPr="00AB30EB" w:rsidRDefault="00AC5DD5" w:rsidP="00250E1B">
            <w:pPr>
              <w:tabs>
                <w:tab w:val="left" w:pos="13750"/>
              </w:tabs>
              <w:spacing w:after="0"/>
              <w:jc w:val="center"/>
              <w:rPr>
                <w:smallCaps/>
              </w:rPr>
            </w:pPr>
            <w:r w:rsidRPr="00AB30EB">
              <w:rPr>
                <w:smallCaps/>
              </w:rPr>
              <w:t>Caselli</w:t>
            </w:r>
            <w:r w:rsidR="00BA0913" w:rsidRPr="00AB30EB">
              <w:rPr>
                <w:smallCaps/>
              </w:rPr>
              <w:t xml:space="preserve"> </w:t>
            </w:r>
            <w:r w:rsidRPr="00AB30EB">
              <w:t>(2005)</w:t>
            </w:r>
          </w:p>
        </w:tc>
      </w:tr>
      <w:tr w:rsidR="00250E1B" w:rsidRPr="00AB30EB" w14:paraId="78BCB52F" w14:textId="77777777" w:rsidTr="00160AC5">
        <w:tc>
          <w:tcPr>
            <w:tcW w:w="1419" w:type="dxa"/>
            <w:tcBorders>
              <w:top w:val="single" w:sz="4" w:space="0" w:color="auto"/>
              <w:left w:val="single" w:sz="4" w:space="0" w:color="auto"/>
              <w:bottom w:val="single" w:sz="4" w:space="0" w:color="auto"/>
            </w:tcBorders>
            <w:vAlign w:val="center"/>
          </w:tcPr>
          <w:p w14:paraId="26179E03" w14:textId="447EA3BC" w:rsidR="00AC5DD5" w:rsidRPr="00AB30EB" w:rsidRDefault="00AC5DD5" w:rsidP="00250E1B">
            <w:pPr>
              <w:tabs>
                <w:tab w:val="left" w:pos="13750"/>
              </w:tabs>
              <w:spacing w:after="0"/>
              <w:jc w:val="right"/>
              <w:rPr>
                <w:sz w:val="16"/>
                <w:szCs w:val="16"/>
                <w:lang w:val="fr-FR"/>
              </w:rPr>
            </w:pPr>
            <w:r w:rsidRPr="00AB30EB">
              <w:rPr>
                <w:sz w:val="16"/>
                <w:szCs w:val="16"/>
              </w:rPr>
              <w:t xml:space="preserve">Forma funcional de </w:t>
            </w:r>
            <w:r w:rsidRPr="00AB30EB">
              <w:rPr>
                <w:i/>
                <w:iCs/>
                <w:sz w:val="16"/>
                <w:szCs w:val="16"/>
              </w:rPr>
              <w:t>F</w:t>
            </w:r>
            <w:r w:rsidRPr="00AB30EB">
              <w:rPr>
                <w:sz w:val="16"/>
                <w:szCs w:val="16"/>
              </w:rPr>
              <w:t>()</w:t>
            </w:r>
          </w:p>
        </w:tc>
        <w:tc>
          <w:tcPr>
            <w:tcW w:w="4914" w:type="dxa"/>
            <w:tcBorders>
              <w:top w:val="single" w:sz="4" w:space="0" w:color="auto"/>
              <w:bottom w:val="single" w:sz="4" w:space="0" w:color="auto"/>
            </w:tcBorders>
            <w:vAlign w:val="center"/>
          </w:tcPr>
          <w:p w14:paraId="5B7B83EF" w14:textId="24A95415" w:rsidR="00AC5DD5" w:rsidRPr="00AB30EB" w:rsidRDefault="00000000" w:rsidP="00250E1B">
            <w:pPr>
              <w:tabs>
                <w:tab w:val="left" w:pos="13750"/>
              </w:tabs>
              <w:spacing w:after="0"/>
              <w:jc w:val="center"/>
              <w:rPr>
                <w:rFonts w:eastAsiaTheme="minorEastAsia"/>
                <w:iCs/>
                <w:sz w:val="18"/>
                <w:szCs w:val="18"/>
                <w:lang w:val="fr-FR"/>
              </w:rPr>
            </w:pPr>
            <m:oMathPara>
              <m:oMath>
                <m:sSub>
                  <m:sSubPr>
                    <m:ctrlPr>
                      <w:rPr>
                        <w:rFonts w:ascii="Cambria Math" w:hAnsi="Cambria Math"/>
                        <w:i/>
                        <w:iCs/>
                        <w:sz w:val="18"/>
                        <w:szCs w:val="18"/>
                      </w:rPr>
                    </m:ctrlPr>
                  </m:sSubPr>
                  <m:e>
                    <m:r>
                      <m:rPr>
                        <m:nor/>
                      </m:rPr>
                      <w:rPr>
                        <w:i/>
                        <w:iCs/>
                        <w:sz w:val="18"/>
                        <w:szCs w:val="18"/>
                        <w:lang w:val="fr-FR"/>
                      </w:rPr>
                      <m:t>Y</m:t>
                    </m:r>
                  </m:e>
                  <m:sub>
                    <m:r>
                      <m:rPr>
                        <m:nor/>
                      </m:rPr>
                      <w:rPr>
                        <w:i/>
                        <w:iCs/>
                        <w:sz w:val="18"/>
                        <w:szCs w:val="18"/>
                        <w:lang w:val="fr-FR"/>
                      </w:rPr>
                      <m:t>t</m:t>
                    </m:r>
                  </m:sub>
                </m:sSub>
                <m:r>
                  <w:rPr>
                    <w:rFonts w:ascii="Cambria Math" w:hAnsi="Cambria Math"/>
                    <w:sz w:val="18"/>
                    <w:szCs w:val="18"/>
                    <w:lang w:val="fr-FR"/>
                  </w:rPr>
                  <m:t>=</m:t>
                </m:r>
                <m:sSubSup>
                  <m:sSubSupPr>
                    <m:ctrlPr>
                      <w:rPr>
                        <w:rFonts w:ascii="Cambria Math" w:hAnsi="Cambria Math"/>
                        <w:i/>
                        <w:iCs/>
                        <w:sz w:val="18"/>
                        <w:szCs w:val="18"/>
                      </w:rPr>
                    </m:ctrlPr>
                  </m:sSubSupPr>
                  <m:e>
                    <m:r>
                      <m:rPr>
                        <m:nor/>
                      </m:rPr>
                      <w:rPr>
                        <w:i/>
                        <w:iCs/>
                        <w:sz w:val="18"/>
                        <w:szCs w:val="18"/>
                        <w:lang w:val="fr-FR"/>
                      </w:rPr>
                      <m:t>K</m:t>
                    </m:r>
                  </m:e>
                  <m:sub>
                    <m:r>
                      <m:rPr>
                        <m:nor/>
                      </m:rPr>
                      <w:rPr>
                        <w:i/>
                        <w:iCs/>
                        <w:sz w:val="18"/>
                        <w:szCs w:val="18"/>
                        <w:lang w:val="fr-FR"/>
                      </w:rPr>
                      <m:t>t</m:t>
                    </m:r>
                  </m:sub>
                  <m:sup>
                    <m:r>
                      <m:rPr>
                        <m:nor/>
                      </m:rPr>
                      <w:rPr>
                        <w:i/>
                        <w:iCs/>
                        <w:sz w:val="18"/>
                        <w:szCs w:val="18"/>
                      </w:rPr>
                      <m:t>α</m:t>
                    </m:r>
                  </m:sup>
                </m:sSubSup>
                <m:r>
                  <w:rPr>
                    <w:rFonts w:ascii="Cambria Math" w:hAnsi="Cambria Math"/>
                    <w:sz w:val="18"/>
                    <w:szCs w:val="18"/>
                    <w:lang w:val="fr-FR"/>
                  </w:rPr>
                  <m:t>∙</m:t>
                </m:r>
                <m:sSup>
                  <m:sSupPr>
                    <m:ctrlPr>
                      <w:rPr>
                        <w:rFonts w:ascii="Cambria Math" w:hAnsi="Cambria Math"/>
                        <w:i/>
                        <w:iCs/>
                        <w:sz w:val="18"/>
                        <w:szCs w:val="18"/>
                      </w:rPr>
                    </m:ctrlPr>
                  </m:sSupPr>
                  <m:e>
                    <m:d>
                      <m:dPr>
                        <m:ctrlPr>
                          <w:rPr>
                            <w:rFonts w:ascii="Cambria Math" w:hAnsi="Cambria Math"/>
                            <w:i/>
                            <w:iCs/>
                            <w:sz w:val="18"/>
                            <w:szCs w:val="18"/>
                          </w:rPr>
                        </m:ctrlPr>
                      </m:dPr>
                      <m:e>
                        <m:sSub>
                          <m:sSubPr>
                            <m:ctrlPr>
                              <w:rPr>
                                <w:rFonts w:ascii="Cambria Math" w:hAnsi="Cambria Math"/>
                                <w:i/>
                                <w:iCs/>
                                <w:sz w:val="18"/>
                                <w:szCs w:val="18"/>
                              </w:rPr>
                            </m:ctrlPr>
                          </m:sSubPr>
                          <m:e>
                            <m:r>
                              <m:rPr>
                                <m:nor/>
                              </m:rPr>
                              <w:rPr>
                                <w:i/>
                                <w:iCs/>
                                <w:sz w:val="18"/>
                                <w:szCs w:val="18"/>
                                <w:lang w:val="fr-FR"/>
                              </w:rPr>
                              <m:t>A</m:t>
                            </m:r>
                          </m:e>
                          <m:sub>
                            <m:r>
                              <m:rPr>
                                <m:nor/>
                              </m:rPr>
                              <w:rPr>
                                <w:i/>
                                <w:iCs/>
                                <w:sz w:val="18"/>
                                <w:szCs w:val="18"/>
                                <w:lang w:val="fr-FR"/>
                              </w:rPr>
                              <m:t>t</m:t>
                            </m:r>
                          </m:sub>
                        </m:sSub>
                        <m:r>
                          <w:rPr>
                            <w:rFonts w:ascii="Cambria Math" w:hAnsi="Cambria Math"/>
                            <w:sz w:val="18"/>
                            <w:szCs w:val="18"/>
                            <w:lang w:val="fr-FR"/>
                          </w:rPr>
                          <m:t>∙</m:t>
                        </m:r>
                        <m:sSub>
                          <m:sSubPr>
                            <m:ctrlPr>
                              <w:rPr>
                                <w:rFonts w:ascii="Cambria Math" w:hAnsi="Cambria Math"/>
                                <w:i/>
                                <w:iCs/>
                                <w:sz w:val="18"/>
                                <w:szCs w:val="18"/>
                              </w:rPr>
                            </m:ctrlPr>
                          </m:sSubPr>
                          <m:e>
                            <m:r>
                              <m:rPr>
                                <m:nor/>
                              </m:rPr>
                              <w:rPr>
                                <w:i/>
                                <w:iCs/>
                                <w:sz w:val="18"/>
                                <w:szCs w:val="18"/>
                                <w:lang w:val="fr-FR"/>
                              </w:rPr>
                              <m:t>L</m:t>
                            </m:r>
                          </m:e>
                          <m:sub>
                            <m:r>
                              <m:rPr>
                                <m:nor/>
                              </m:rPr>
                              <w:rPr>
                                <w:i/>
                                <w:iCs/>
                                <w:sz w:val="18"/>
                                <w:szCs w:val="18"/>
                                <w:lang w:val="fr-FR"/>
                              </w:rPr>
                              <m:t>t</m:t>
                            </m:r>
                          </m:sub>
                        </m:sSub>
                      </m:e>
                    </m:d>
                  </m:e>
                  <m:sup>
                    <m:r>
                      <m:rPr>
                        <m:nor/>
                      </m:rPr>
                      <w:rPr>
                        <w:iCs/>
                        <w:sz w:val="18"/>
                        <w:szCs w:val="18"/>
                        <w:lang w:val="fr-FR"/>
                      </w:rPr>
                      <m:t>1</m:t>
                    </m:r>
                    <m:r>
                      <w:rPr>
                        <w:rFonts w:ascii="Cambria Math" w:hAnsi="Cambria Math"/>
                        <w:sz w:val="18"/>
                        <w:szCs w:val="18"/>
                        <w:lang w:val="fr-FR"/>
                      </w:rPr>
                      <m:t>-</m:t>
                    </m:r>
                    <m:r>
                      <m:rPr>
                        <m:nor/>
                      </m:rPr>
                      <w:rPr>
                        <w:iCs/>
                        <w:sz w:val="18"/>
                        <w:szCs w:val="18"/>
                      </w:rPr>
                      <m:t>α</m:t>
                    </m:r>
                  </m:sup>
                </m:sSup>
              </m:oMath>
            </m:oMathPara>
          </w:p>
          <w:p w14:paraId="63D5CB63" w14:textId="242EE04A" w:rsidR="00AC5DD5" w:rsidRPr="00AB30EB" w:rsidRDefault="00000000" w:rsidP="005A741F">
            <w:pPr>
              <w:tabs>
                <w:tab w:val="left" w:pos="13750"/>
              </w:tabs>
              <w:spacing w:after="0"/>
              <w:jc w:val="center"/>
              <w:rPr>
                <w:rFonts w:eastAsiaTheme="minorEastAsia"/>
                <w:iCs/>
                <w:sz w:val="18"/>
                <w:szCs w:val="18"/>
                <w:lang w:val="fr-FR"/>
              </w:rPr>
            </w:pPr>
            <m:oMathPara>
              <m:oMath>
                <m:sSub>
                  <m:sSubPr>
                    <m:ctrlPr>
                      <w:rPr>
                        <w:rFonts w:ascii="Cambria Math" w:hAnsi="Cambria Math"/>
                        <w:i/>
                        <w:iCs/>
                        <w:sz w:val="18"/>
                        <w:szCs w:val="18"/>
                      </w:rPr>
                    </m:ctrlPr>
                  </m:sSubPr>
                  <m:e>
                    <m:r>
                      <m:rPr>
                        <m:nor/>
                      </m:rPr>
                      <w:rPr>
                        <w:i/>
                        <w:iCs/>
                        <w:sz w:val="18"/>
                        <w:szCs w:val="18"/>
                        <w:lang w:val="fr-FR"/>
                      </w:rPr>
                      <m:t>Y</m:t>
                    </m:r>
                  </m:e>
                  <m:sub>
                    <m:r>
                      <m:rPr>
                        <m:nor/>
                      </m:rPr>
                      <w:rPr>
                        <w:i/>
                        <w:iCs/>
                        <w:sz w:val="18"/>
                        <w:szCs w:val="18"/>
                        <w:lang w:val="fr-FR"/>
                      </w:rPr>
                      <m:t>t</m:t>
                    </m:r>
                  </m:sub>
                </m:sSub>
                <m:r>
                  <m:rPr>
                    <m:nor/>
                  </m:rPr>
                  <w:rPr>
                    <w:i/>
                    <w:iCs/>
                    <w:sz w:val="18"/>
                    <w:szCs w:val="18"/>
                    <w:lang w:val="fr-FR"/>
                  </w:rPr>
                  <m:t xml:space="preserve"> = </m:t>
                </m:r>
                <m:sSubSup>
                  <m:sSubSupPr>
                    <m:ctrlPr>
                      <w:rPr>
                        <w:rFonts w:ascii="Cambria Math" w:hAnsi="Cambria Math"/>
                        <w:i/>
                        <w:iCs/>
                        <w:sz w:val="18"/>
                        <w:szCs w:val="18"/>
                      </w:rPr>
                    </m:ctrlPr>
                  </m:sSubSupPr>
                  <m:e>
                    <m:r>
                      <m:rPr>
                        <m:nor/>
                      </m:rPr>
                      <w:rPr>
                        <w:i/>
                        <w:iCs/>
                        <w:sz w:val="18"/>
                        <w:szCs w:val="18"/>
                        <w:lang w:val="fr-FR"/>
                      </w:rPr>
                      <m:t>K</m:t>
                    </m:r>
                  </m:e>
                  <m:sub>
                    <m:r>
                      <m:rPr>
                        <m:nor/>
                      </m:rPr>
                      <w:rPr>
                        <w:i/>
                        <w:iCs/>
                        <w:sz w:val="18"/>
                        <w:szCs w:val="18"/>
                        <w:lang w:val="fr-FR"/>
                      </w:rPr>
                      <m:t>t</m:t>
                    </m:r>
                  </m:sub>
                  <m:sup>
                    <m:r>
                      <m:rPr>
                        <m:nor/>
                      </m:rPr>
                      <w:rPr>
                        <w:i/>
                        <w:iCs/>
                        <w:sz w:val="18"/>
                        <w:szCs w:val="18"/>
                      </w:rPr>
                      <m:t>α</m:t>
                    </m:r>
                  </m:sup>
                </m:sSubSup>
                <m:r>
                  <w:rPr>
                    <w:rFonts w:ascii="Cambria Math" w:hAnsi="Cambria Math"/>
                    <w:sz w:val="18"/>
                    <w:szCs w:val="18"/>
                    <w:lang w:val="fr-FR"/>
                  </w:rPr>
                  <m:t>∙</m:t>
                </m:r>
                <m:sSubSup>
                  <m:sSubSupPr>
                    <m:ctrlPr>
                      <w:rPr>
                        <w:rFonts w:ascii="Cambria Math" w:hAnsi="Cambria Math"/>
                        <w:i/>
                        <w:iCs/>
                        <w:sz w:val="18"/>
                        <w:szCs w:val="18"/>
                      </w:rPr>
                    </m:ctrlPr>
                  </m:sSubSupPr>
                  <m:e>
                    <m:r>
                      <m:rPr>
                        <m:nor/>
                      </m:rPr>
                      <w:rPr>
                        <w:i/>
                        <w:iCs/>
                        <w:sz w:val="18"/>
                        <w:szCs w:val="18"/>
                        <w:lang w:val="fr-FR"/>
                      </w:rPr>
                      <m:t>H</m:t>
                    </m:r>
                  </m:e>
                  <m:sub>
                    <m:r>
                      <m:rPr>
                        <m:nor/>
                      </m:rPr>
                      <w:rPr>
                        <w:i/>
                        <w:iCs/>
                        <w:sz w:val="18"/>
                        <w:szCs w:val="18"/>
                        <w:lang w:val="fr-FR"/>
                      </w:rPr>
                      <m:t>t</m:t>
                    </m:r>
                  </m:sub>
                  <m:sup>
                    <m:r>
                      <m:rPr>
                        <m:nor/>
                      </m:rPr>
                      <w:rPr>
                        <w:i/>
                        <w:iCs/>
                        <w:sz w:val="18"/>
                        <w:szCs w:val="18"/>
                      </w:rPr>
                      <m:t>β</m:t>
                    </m:r>
                  </m:sup>
                </m:sSubSup>
                <m:r>
                  <w:rPr>
                    <w:rFonts w:ascii="Cambria Math" w:hAnsi="Cambria Math"/>
                    <w:sz w:val="18"/>
                    <w:szCs w:val="18"/>
                    <w:lang w:val="fr-FR"/>
                  </w:rPr>
                  <m:t>∙</m:t>
                </m:r>
                <m:sSup>
                  <m:sSupPr>
                    <m:ctrlPr>
                      <w:rPr>
                        <w:rFonts w:ascii="Cambria Math" w:hAnsi="Cambria Math"/>
                        <w:i/>
                        <w:iCs/>
                        <w:sz w:val="18"/>
                        <w:szCs w:val="18"/>
                      </w:rPr>
                    </m:ctrlPr>
                  </m:sSupPr>
                  <m:e>
                    <m:d>
                      <m:dPr>
                        <m:ctrlPr>
                          <w:rPr>
                            <w:rFonts w:ascii="Cambria Math" w:hAnsi="Cambria Math"/>
                            <w:i/>
                            <w:iCs/>
                            <w:sz w:val="18"/>
                            <w:szCs w:val="18"/>
                          </w:rPr>
                        </m:ctrlPr>
                      </m:dPr>
                      <m:e>
                        <m:sSub>
                          <m:sSubPr>
                            <m:ctrlPr>
                              <w:rPr>
                                <w:rFonts w:ascii="Cambria Math" w:hAnsi="Cambria Math"/>
                                <w:i/>
                                <w:iCs/>
                                <w:sz w:val="18"/>
                                <w:szCs w:val="18"/>
                              </w:rPr>
                            </m:ctrlPr>
                          </m:sSubPr>
                          <m:e>
                            <m:r>
                              <m:rPr>
                                <m:nor/>
                              </m:rPr>
                              <w:rPr>
                                <w:i/>
                                <w:iCs/>
                                <w:sz w:val="18"/>
                                <w:szCs w:val="18"/>
                                <w:lang w:val="fr-FR"/>
                              </w:rPr>
                              <m:t>A</m:t>
                            </m:r>
                          </m:e>
                          <m:sub>
                            <m:r>
                              <m:rPr>
                                <m:nor/>
                              </m:rPr>
                              <w:rPr>
                                <w:i/>
                                <w:iCs/>
                                <w:sz w:val="18"/>
                                <w:szCs w:val="18"/>
                                <w:lang w:val="fr-FR"/>
                              </w:rPr>
                              <m:t>t</m:t>
                            </m:r>
                          </m:sub>
                        </m:sSub>
                        <m:r>
                          <w:rPr>
                            <w:rFonts w:ascii="Cambria Math" w:hAnsi="Cambria Math"/>
                            <w:sz w:val="18"/>
                            <w:szCs w:val="18"/>
                            <w:lang w:val="fr-FR"/>
                          </w:rPr>
                          <m:t>∙</m:t>
                        </m:r>
                        <m:sSub>
                          <m:sSubPr>
                            <m:ctrlPr>
                              <w:rPr>
                                <w:rFonts w:ascii="Cambria Math" w:hAnsi="Cambria Math"/>
                                <w:i/>
                                <w:iCs/>
                                <w:sz w:val="18"/>
                                <w:szCs w:val="18"/>
                              </w:rPr>
                            </m:ctrlPr>
                          </m:sSubPr>
                          <m:e>
                            <m:r>
                              <m:rPr>
                                <m:nor/>
                              </m:rPr>
                              <w:rPr>
                                <w:i/>
                                <w:iCs/>
                                <w:sz w:val="18"/>
                                <w:szCs w:val="18"/>
                                <w:lang w:val="fr-FR"/>
                              </w:rPr>
                              <m:t>L</m:t>
                            </m:r>
                          </m:e>
                          <m:sub>
                            <m:r>
                              <m:rPr>
                                <m:nor/>
                              </m:rPr>
                              <w:rPr>
                                <w:i/>
                                <w:iCs/>
                                <w:sz w:val="18"/>
                                <w:szCs w:val="18"/>
                                <w:lang w:val="fr-FR"/>
                              </w:rPr>
                              <m:t>t</m:t>
                            </m:r>
                          </m:sub>
                        </m:sSub>
                      </m:e>
                    </m:d>
                  </m:e>
                  <m:sup>
                    <m:r>
                      <m:rPr>
                        <m:nor/>
                      </m:rPr>
                      <w:rPr>
                        <w:iCs/>
                        <w:sz w:val="18"/>
                        <w:szCs w:val="18"/>
                        <w:lang w:val="fr-FR"/>
                      </w:rPr>
                      <m:t>1</m:t>
                    </m:r>
                    <m:r>
                      <w:rPr>
                        <w:rFonts w:ascii="Cambria Math" w:hAnsi="Cambria Math"/>
                        <w:sz w:val="18"/>
                        <w:szCs w:val="18"/>
                        <w:lang w:val="fr-FR"/>
                      </w:rPr>
                      <m:t>-</m:t>
                    </m:r>
                    <m:r>
                      <m:rPr>
                        <m:nor/>
                      </m:rPr>
                      <w:rPr>
                        <w:iCs/>
                        <w:sz w:val="18"/>
                        <w:szCs w:val="18"/>
                      </w:rPr>
                      <m:t>α</m:t>
                    </m:r>
                    <m:r>
                      <w:rPr>
                        <w:rFonts w:ascii="Cambria Math" w:hAnsi="Cambria Math"/>
                        <w:sz w:val="18"/>
                        <w:szCs w:val="18"/>
                        <w:lang w:val="fr-FR"/>
                      </w:rPr>
                      <m:t>-</m:t>
                    </m:r>
                    <m:r>
                      <m:rPr>
                        <m:nor/>
                      </m:rPr>
                      <w:rPr>
                        <w:i/>
                        <w:iCs/>
                        <w:sz w:val="18"/>
                        <w:szCs w:val="18"/>
                      </w:rPr>
                      <m:t>β</m:t>
                    </m:r>
                  </m:sup>
                </m:sSup>
              </m:oMath>
            </m:oMathPara>
          </w:p>
        </w:tc>
        <w:tc>
          <w:tcPr>
            <w:tcW w:w="4914" w:type="dxa"/>
            <w:tcBorders>
              <w:top w:val="single" w:sz="4" w:space="0" w:color="auto"/>
              <w:bottom w:val="single" w:sz="4" w:space="0" w:color="auto"/>
            </w:tcBorders>
            <w:vAlign w:val="center"/>
          </w:tcPr>
          <w:p w14:paraId="7678E026" w14:textId="29FBBB41" w:rsidR="00AC5DD5" w:rsidRPr="00AB30EB" w:rsidRDefault="00000000" w:rsidP="00250E1B">
            <w:pPr>
              <w:tabs>
                <w:tab w:val="left" w:pos="13750"/>
              </w:tabs>
              <w:spacing w:after="0"/>
              <w:jc w:val="center"/>
              <w:rPr>
                <w:rFonts w:eastAsiaTheme="minorEastAsia"/>
                <w:i/>
                <w:iCs/>
                <w:sz w:val="18"/>
                <w:szCs w:val="18"/>
                <w:lang w:val="en-GB"/>
              </w:rPr>
            </w:pPr>
            <m:oMathPara>
              <m:oMath>
                <m:sSub>
                  <m:sSubPr>
                    <m:ctrlPr>
                      <w:rPr>
                        <w:rFonts w:ascii="Cambria Math" w:hAnsi="Cambria Math"/>
                        <w:i/>
                        <w:iCs/>
                        <w:sz w:val="18"/>
                        <w:szCs w:val="18"/>
                      </w:rPr>
                    </m:ctrlPr>
                  </m:sSubPr>
                  <m:e>
                    <m:r>
                      <m:rPr>
                        <m:nor/>
                      </m:rPr>
                      <w:rPr>
                        <w:i/>
                        <w:iCs/>
                        <w:sz w:val="18"/>
                        <w:szCs w:val="18"/>
                        <w:lang w:val="en-GB"/>
                      </w:rPr>
                      <m:t>Y</m:t>
                    </m:r>
                  </m:e>
                  <m:sub>
                    <m:r>
                      <m:rPr>
                        <m:nor/>
                      </m:rPr>
                      <w:rPr>
                        <w:i/>
                        <w:iCs/>
                        <w:sz w:val="18"/>
                        <w:szCs w:val="18"/>
                        <w:lang w:val="en-GB"/>
                      </w:rPr>
                      <m:t>i</m:t>
                    </m:r>
                  </m:sub>
                </m:sSub>
                <m:r>
                  <w:rPr>
                    <w:rFonts w:ascii="Cambria Math" w:hAnsi="Cambria Math"/>
                    <w:sz w:val="18"/>
                    <w:szCs w:val="18"/>
                    <w:lang w:val="en-GB"/>
                  </w:rPr>
                  <m:t>=</m:t>
                </m:r>
                <m:sSubSup>
                  <m:sSubSupPr>
                    <m:ctrlPr>
                      <w:rPr>
                        <w:rFonts w:ascii="Cambria Math" w:hAnsi="Cambria Math"/>
                        <w:i/>
                        <w:iCs/>
                        <w:sz w:val="18"/>
                        <w:szCs w:val="18"/>
                      </w:rPr>
                    </m:ctrlPr>
                  </m:sSubSupPr>
                  <m:e>
                    <m:r>
                      <m:rPr>
                        <m:nor/>
                      </m:rPr>
                      <w:rPr>
                        <w:i/>
                        <w:iCs/>
                        <w:sz w:val="18"/>
                        <w:szCs w:val="18"/>
                        <w:lang w:val="en-GB"/>
                      </w:rPr>
                      <m:t>K</m:t>
                    </m:r>
                  </m:e>
                  <m:sub>
                    <m:r>
                      <m:rPr>
                        <m:nor/>
                      </m:rPr>
                      <w:rPr>
                        <w:i/>
                        <w:iCs/>
                        <w:sz w:val="18"/>
                        <w:szCs w:val="18"/>
                        <w:lang w:val="en-GB"/>
                      </w:rPr>
                      <m:t>i</m:t>
                    </m:r>
                  </m:sub>
                  <m:sup>
                    <m:r>
                      <m:rPr>
                        <m:nor/>
                      </m:rPr>
                      <w:rPr>
                        <w:i/>
                        <w:iCs/>
                        <w:sz w:val="18"/>
                        <w:szCs w:val="18"/>
                      </w:rPr>
                      <m:t>α</m:t>
                    </m:r>
                  </m:sup>
                </m:sSubSup>
                <m:r>
                  <w:rPr>
                    <w:rFonts w:ascii="Cambria Math" w:hAnsi="Cambria Math"/>
                    <w:sz w:val="18"/>
                    <w:szCs w:val="18"/>
                    <w:lang w:val="en-US"/>
                  </w:rPr>
                  <m:t>∙</m:t>
                </m:r>
                <m:sSup>
                  <m:sSupPr>
                    <m:ctrlPr>
                      <w:rPr>
                        <w:rFonts w:ascii="Cambria Math" w:hAnsi="Cambria Math"/>
                        <w:i/>
                        <w:iCs/>
                        <w:sz w:val="18"/>
                        <w:szCs w:val="18"/>
                      </w:rPr>
                    </m:ctrlPr>
                  </m:sSupPr>
                  <m:e>
                    <m:d>
                      <m:dPr>
                        <m:ctrlPr>
                          <w:rPr>
                            <w:rFonts w:ascii="Cambria Math" w:hAnsi="Cambria Math"/>
                            <w:i/>
                            <w:iCs/>
                            <w:sz w:val="18"/>
                            <w:szCs w:val="18"/>
                          </w:rPr>
                        </m:ctrlPr>
                      </m:dPr>
                      <m:e>
                        <m:sSub>
                          <m:sSubPr>
                            <m:ctrlPr>
                              <w:rPr>
                                <w:rFonts w:ascii="Cambria Math" w:hAnsi="Cambria Math"/>
                                <w:i/>
                                <w:iCs/>
                                <w:sz w:val="18"/>
                                <w:szCs w:val="18"/>
                              </w:rPr>
                            </m:ctrlPr>
                          </m:sSubPr>
                          <m:e>
                            <m:r>
                              <m:rPr>
                                <m:nor/>
                              </m:rPr>
                              <w:rPr>
                                <w:i/>
                                <w:iCs/>
                                <w:sz w:val="18"/>
                                <w:szCs w:val="18"/>
                                <w:lang w:val="en-GB"/>
                              </w:rPr>
                              <m:t>A</m:t>
                            </m:r>
                          </m:e>
                          <m:sub>
                            <m:r>
                              <m:rPr>
                                <m:nor/>
                              </m:rPr>
                              <w:rPr>
                                <w:i/>
                                <w:iCs/>
                                <w:sz w:val="18"/>
                                <w:szCs w:val="18"/>
                                <w:lang w:val="en-GB"/>
                              </w:rPr>
                              <m:t>i</m:t>
                            </m:r>
                          </m:sub>
                        </m:sSub>
                        <m:r>
                          <w:rPr>
                            <w:rFonts w:ascii="Cambria Math" w:hAnsi="Cambria Math"/>
                            <w:sz w:val="18"/>
                            <w:szCs w:val="18"/>
                            <w:lang w:val="en-US"/>
                          </w:rPr>
                          <m:t>∙</m:t>
                        </m:r>
                        <m:sSub>
                          <m:sSubPr>
                            <m:ctrlPr>
                              <w:rPr>
                                <w:rFonts w:ascii="Cambria Math" w:hAnsi="Cambria Math"/>
                                <w:i/>
                                <w:iCs/>
                                <w:sz w:val="18"/>
                                <w:szCs w:val="18"/>
                              </w:rPr>
                            </m:ctrlPr>
                          </m:sSubPr>
                          <m:e>
                            <m:r>
                              <m:rPr>
                                <m:nor/>
                              </m:rPr>
                              <w:rPr>
                                <w:i/>
                                <w:iCs/>
                                <w:sz w:val="18"/>
                                <w:szCs w:val="18"/>
                                <w:lang w:val="en-GB"/>
                              </w:rPr>
                              <m:t>H</m:t>
                            </m:r>
                          </m:e>
                          <m:sub>
                            <m:r>
                              <m:rPr>
                                <m:nor/>
                              </m:rPr>
                              <w:rPr>
                                <w:i/>
                                <w:iCs/>
                                <w:sz w:val="18"/>
                                <w:szCs w:val="18"/>
                                <w:lang w:val="en-GB"/>
                              </w:rPr>
                              <m:t>i</m:t>
                            </m:r>
                          </m:sub>
                        </m:sSub>
                      </m:e>
                    </m:d>
                  </m:e>
                  <m:sup>
                    <m:r>
                      <m:rPr>
                        <m:nor/>
                      </m:rPr>
                      <w:rPr>
                        <w:i/>
                        <w:iCs/>
                        <w:sz w:val="18"/>
                        <w:szCs w:val="18"/>
                        <w:lang w:val="en-GB"/>
                      </w:rPr>
                      <m:t>1</m:t>
                    </m:r>
                    <m:r>
                      <w:rPr>
                        <w:rFonts w:ascii="Cambria Math" w:hAnsi="Cambria Math"/>
                        <w:sz w:val="18"/>
                        <w:szCs w:val="18"/>
                        <w:lang w:val="en-GB"/>
                      </w:rPr>
                      <m:t>-</m:t>
                    </m:r>
                    <m:r>
                      <m:rPr>
                        <m:nor/>
                      </m:rPr>
                      <w:rPr>
                        <w:i/>
                        <w:iCs/>
                        <w:sz w:val="18"/>
                        <w:szCs w:val="18"/>
                      </w:rPr>
                      <m:t>α</m:t>
                    </m:r>
                  </m:sup>
                </m:sSup>
              </m:oMath>
            </m:oMathPara>
          </w:p>
          <w:p w14:paraId="1BE87D7E" w14:textId="4A1F94D9" w:rsidR="00AC5DD5" w:rsidRPr="00AB30EB" w:rsidRDefault="00000000" w:rsidP="00250E1B">
            <w:pPr>
              <w:tabs>
                <w:tab w:val="left" w:pos="13750"/>
              </w:tabs>
              <w:spacing w:after="0"/>
              <w:rPr>
                <w:sz w:val="18"/>
                <w:szCs w:val="18"/>
                <w:lang w:val="fr-FR"/>
              </w:rPr>
            </w:pPr>
            <m:oMathPara>
              <m:oMath>
                <m:sSub>
                  <m:sSubPr>
                    <m:ctrlPr>
                      <w:rPr>
                        <w:rFonts w:ascii="Cambria Math" w:hAnsi="Cambria Math"/>
                        <w:i/>
                        <w:iCs/>
                        <w:sz w:val="18"/>
                        <w:szCs w:val="18"/>
                      </w:rPr>
                    </m:ctrlPr>
                  </m:sSubPr>
                  <m:e>
                    <m:r>
                      <m:rPr>
                        <m:nor/>
                      </m:rPr>
                      <w:rPr>
                        <w:i/>
                        <w:iCs/>
                        <w:sz w:val="18"/>
                        <w:szCs w:val="18"/>
                        <w:lang w:val="en-GB"/>
                      </w:rPr>
                      <m:t xml:space="preserve"> H</m:t>
                    </m:r>
                  </m:e>
                  <m:sub>
                    <m:r>
                      <m:rPr>
                        <m:nor/>
                      </m:rPr>
                      <w:rPr>
                        <w:i/>
                        <w:iCs/>
                        <w:sz w:val="18"/>
                        <w:szCs w:val="18"/>
                        <w:lang w:val="en-GB"/>
                      </w:rPr>
                      <m:t>i</m:t>
                    </m:r>
                  </m:sub>
                </m:sSub>
                <m:r>
                  <w:rPr>
                    <w:rFonts w:ascii="Cambria Math" w:eastAsiaTheme="minorEastAsia" w:hAnsi="Cambria Math"/>
                    <w:sz w:val="18"/>
                    <w:szCs w:val="18"/>
                  </w:rPr>
                  <m:t>=</m:t>
                </m:r>
                <m:sSup>
                  <m:sSupPr>
                    <m:ctrlPr>
                      <w:rPr>
                        <w:rFonts w:ascii="Cambria Math" w:eastAsiaTheme="minorEastAsia" w:hAnsi="Cambria Math"/>
                        <w:i/>
                        <w:iCs/>
                        <w:sz w:val="18"/>
                        <w:szCs w:val="18"/>
                      </w:rPr>
                    </m:ctrlPr>
                  </m:sSupPr>
                  <m:e>
                    <m:r>
                      <m:rPr>
                        <m:nor/>
                      </m:rPr>
                      <w:rPr>
                        <w:rFonts w:ascii="Times New Roman" w:eastAsiaTheme="minorEastAsia" w:hAnsi="Times New Roman" w:cs="Times New Roman"/>
                        <w:i/>
                        <w:iCs/>
                        <w:sz w:val="18"/>
                        <w:szCs w:val="18"/>
                      </w:rPr>
                      <m:t>ⅇ</m:t>
                    </m:r>
                  </m:e>
                  <m:sup>
                    <m:r>
                      <m:rPr>
                        <m:nor/>
                      </m:rPr>
                      <w:rPr>
                        <w:rFonts w:eastAsiaTheme="minorEastAsia" w:cs="Cambria"/>
                        <w:i/>
                        <w:iCs/>
                        <w:sz w:val="18"/>
                        <w:szCs w:val="18"/>
                      </w:rPr>
                      <m:t>ϕ</m:t>
                    </m:r>
                    <m:d>
                      <m:dPr>
                        <m:ctrlPr>
                          <w:rPr>
                            <w:rFonts w:ascii="Cambria Math" w:eastAsiaTheme="minorEastAsia" w:hAnsi="Cambria Math"/>
                            <w:i/>
                            <w:iCs/>
                            <w:sz w:val="18"/>
                            <w:szCs w:val="18"/>
                          </w:rPr>
                        </m:ctrlPr>
                      </m:dPr>
                      <m:e>
                        <m:sSub>
                          <m:sSubPr>
                            <m:ctrlPr>
                              <w:rPr>
                                <w:rFonts w:ascii="Cambria Math" w:eastAsiaTheme="minorEastAsia" w:hAnsi="Cambria Math"/>
                                <w:i/>
                                <w:iCs/>
                                <w:sz w:val="18"/>
                                <w:szCs w:val="18"/>
                              </w:rPr>
                            </m:ctrlPr>
                          </m:sSubPr>
                          <m:e>
                            <m:r>
                              <m:rPr>
                                <m:nor/>
                              </m:rPr>
                              <w:rPr>
                                <w:rFonts w:eastAsiaTheme="minorEastAsia"/>
                                <w:i/>
                                <w:iCs/>
                                <w:sz w:val="18"/>
                                <w:szCs w:val="18"/>
                              </w:rPr>
                              <m:t>E</m:t>
                            </m:r>
                          </m:e>
                          <m:sub>
                            <m:r>
                              <m:rPr>
                                <m:nor/>
                              </m:rPr>
                              <w:rPr>
                                <w:rFonts w:eastAsiaTheme="minorEastAsia"/>
                                <w:i/>
                                <w:iCs/>
                                <w:sz w:val="18"/>
                                <w:szCs w:val="18"/>
                              </w:rPr>
                              <m:t>i</m:t>
                            </m:r>
                          </m:sub>
                        </m:sSub>
                      </m:e>
                    </m:d>
                  </m:sup>
                </m:sSup>
                <m:r>
                  <w:rPr>
                    <w:rFonts w:ascii="Cambria Math" w:hAnsi="Cambria Math"/>
                    <w:sz w:val="18"/>
                    <w:szCs w:val="18"/>
                    <w:lang w:val="fr-FR"/>
                  </w:rPr>
                  <m:t>∙</m:t>
                </m:r>
                <m:sSub>
                  <m:sSubPr>
                    <m:ctrlPr>
                      <w:rPr>
                        <w:rFonts w:ascii="Cambria Math" w:eastAsiaTheme="minorEastAsia" w:hAnsi="Cambria Math"/>
                        <w:i/>
                        <w:iCs/>
                        <w:sz w:val="18"/>
                        <w:szCs w:val="18"/>
                      </w:rPr>
                    </m:ctrlPr>
                  </m:sSubPr>
                  <m:e>
                    <m:r>
                      <m:rPr>
                        <m:nor/>
                      </m:rPr>
                      <w:rPr>
                        <w:rFonts w:eastAsiaTheme="minorEastAsia"/>
                        <w:i/>
                        <w:iCs/>
                        <w:sz w:val="18"/>
                        <w:szCs w:val="18"/>
                      </w:rPr>
                      <m:t>L</m:t>
                    </m:r>
                  </m:e>
                  <m:sub>
                    <m:r>
                      <m:rPr>
                        <m:nor/>
                      </m:rPr>
                      <w:rPr>
                        <w:rFonts w:eastAsiaTheme="minorEastAsia"/>
                        <w:i/>
                        <w:iCs/>
                        <w:sz w:val="18"/>
                        <w:szCs w:val="18"/>
                      </w:rPr>
                      <m:t>i</m:t>
                    </m:r>
                  </m:sub>
                </m:sSub>
              </m:oMath>
            </m:oMathPara>
          </w:p>
        </w:tc>
        <w:tc>
          <w:tcPr>
            <w:tcW w:w="4914" w:type="dxa"/>
            <w:tcBorders>
              <w:top w:val="single" w:sz="4" w:space="0" w:color="auto"/>
              <w:bottom w:val="single" w:sz="4" w:space="0" w:color="auto"/>
              <w:right w:val="single" w:sz="4" w:space="0" w:color="auto"/>
            </w:tcBorders>
            <w:vAlign w:val="center"/>
          </w:tcPr>
          <w:p w14:paraId="41C7A7F2" w14:textId="777F82B9" w:rsidR="00AC5DD5" w:rsidRPr="00AB30EB" w:rsidRDefault="006273C0" w:rsidP="00250E1B">
            <w:pPr>
              <w:tabs>
                <w:tab w:val="left" w:pos="13750"/>
              </w:tabs>
              <w:spacing w:after="0"/>
              <w:rPr>
                <w:rFonts w:eastAsiaTheme="minorEastAsia"/>
                <w:i/>
                <w:sz w:val="18"/>
                <w:szCs w:val="18"/>
              </w:rPr>
            </w:pPr>
            <m:oMathPara>
              <m:oMath>
                <m:r>
                  <m:rPr>
                    <m:nor/>
                  </m:rPr>
                  <w:rPr>
                    <w:i/>
                    <w:sz w:val="18"/>
                    <w:szCs w:val="18"/>
                  </w:rPr>
                  <m:t>y</m:t>
                </m:r>
                <m:r>
                  <w:rPr>
                    <w:rFonts w:ascii="Cambria Math" w:hAnsi="Cambria Math"/>
                    <w:sz w:val="18"/>
                    <w:szCs w:val="18"/>
                  </w:rPr>
                  <m:t>=</m:t>
                </m:r>
                <m:r>
                  <m:rPr>
                    <m:nor/>
                  </m:rPr>
                  <w:rPr>
                    <w:i/>
                    <w:sz w:val="18"/>
                    <w:szCs w:val="18"/>
                  </w:rPr>
                  <m:t>A</m:t>
                </m:r>
                <m:r>
                  <w:rPr>
                    <w:rFonts w:ascii="Cambria Math" w:eastAsiaTheme="minorEastAsia" w:hAnsi="Cambria Math"/>
                    <w:spacing w:val="-2"/>
                    <w:sz w:val="18"/>
                    <w:szCs w:val="18"/>
                  </w:rPr>
                  <m:t>∙</m:t>
                </m:r>
                <m:sSup>
                  <m:sSupPr>
                    <m:ctrlPr>
                      <w:rPr>
                        <w:rFonts w:ascii="Cambria Math" w:hAnsi="Cambria Math"/>
                        <w:i/>
                        <w:sz w:val="18"/>
                        <w:szCs w:val="18"/>
                      </w:rPr>
                    </m:ctrlPr>
                  </m:sSupPr>
                  <m:e>
                    <m:r>
                      <m:rPr>
                        <m:nor/>
                      </m:rPr>
                      <w:rPr>
                        <w:i/>
                        <w:sz w:val="18"/>
                        <w:szCs w:val="18"/>
                      </w:rPr>
                      <m:t>k</m:t>
                    </m:r>
                  </m:e>
                  <m:sup>
                    <m:r>
                      <m:rPr>
                        <m:nor/>
                      </m:rPr>
                      <w:rPr>
                        <w:i/>
                        <w:sz w:val="18"/>
                        <w:szCs w:val="18"/>
                      </w:rPr>
                      <m:t>α</m:t>
                    </m:r>
                  </m:sup>
                </m:sSup>
                <m:r>
                  <w:rPr>
                    <w:rFonts w:ascii="Cambria Math" w:eastAsiaTheme="minorEastAsia" w:hAnsi="Cambria Math"/>
                    <w:spacing w:val="-2"/>
                    <w:sz w:val="18"/>
                    <w:szCs w:val="18"/>
                  </w:rPr>
                  <m:t>∙</m:t>
                </m:r>
                <m:sSup>
                  <m:sSupPr>
                    <m:ctrlPr>
                      <w:rPr>
                        <w:rFonts w:ascii="Cambria Math" w:hAnsi="Cambria Math"/>
                        <w:i/>
                        <w:sz w:val="18"/>
                        <w:szCs w:val="18"/>
                      </w:rPr>
                    </m:ctrlPr>
                  </m:sSupPr>
                  <m:e>
                    <m:r>
                      <m:rPr>
                        <m:nor/>
                      </m:rPr>
                      <w:rPr>
                        <w:rFonts w:cs="Times New Roman"/>
                        <w:i/>
                        <w:sz w:val="18"/>
                        <w:szCs w:val="18"/>
                      </w:rPr>
                      <m:t>h</m:t>
                    </m:r>
                  </m:e>
                  <m:sup>
                    <m:r>
                      <m:rPr>
                        <m:nor/>
                      </m:rPr>
                      <w:rPr>
                        <w:i/>
                        <w:sz w:val="18"/>
                        <w:szCs w:val="18"/>
                      </w:rPr>
                      <m:t>1</m:t>
                    </m:r>
                    <m:r>
                      <w:rPr>
                        <w:rFonts w:ascii="Cambria Math" w:hAnsi="Cambria Math"/>
                        <w:sz w:val="18"/>
                        <w:szCs w:val="18"/>
                      </w:rPr>
                      <m:t>-</m:t>
                    </m:r>
                    <m:r>
                      <m:rPr>
                        <m:nor/>
                      </m:rPr>
                      <w:rPr>
                        <w:i/>
                        <w:sz w:val="18"/>
                        <w:szCs w:val="18"/>
                      </w:rPr>
                      <m:t>α</m:t>
                    </m:r>
                  </m:sup>
                </m:sSup>
              </m:oMath>
            </m:oMathPara>
          </w:p>
          <w:p w14:paraId="41230D29" w14:textId="1C9269D7" w:rsidR="006273C0" w:rsidRPr="00AB30EB" w:rsidRDefault="00000000" w:rsidP="00250E1B">
            <w:pPr>
              <w:tabs>
                <w:tab w:val="left" w:pos="13750"/>
              </w:tabs>
              <w:spacing w:after="0"/>
              <w:rPr>
                <w:rFonts w:eastAsiaTheme="minorEastAsia"/>
                <w:sz w:val="18"/>
                <w:szCs w:val="18"/>
              </w:rPr>
            </w:pPr>
            <m:oMathPara>
              <m:oMath>
                <m:sSub>
                  <m:sSubPr>
                    <m:ctrlPr>
                      <w:rPr>
                        <w:rFonts w:ascii="Cambria Math" w:hAnsi="Cambria Math"/>
                        <w:i/>
                        <w:sz w:val="18"/>
                        <w:szCs w:val="18"/>
                      </w:rPr>
                    </m:ctrlPr>
                  </m:sSubPr>
                  <m:e>
                    <m:r>
                      <m:rPr>
                        <m:nor/>
                      </m:rPr>
                      <w:rPr>
                        <w:i/>
                        <w:sz w:val="18"/>
                        <w:szCs w:val="18"/>
                      </w:rPr>
                      <m:t>y</m:t>
                    </m:r>
                  </m:e>
                  <m:sub>
                    <m:r>
                      <m:rPr>
                        <m:nor/>
                      </m:rPr>
                      <w:rPr>
                        <w:i/>
                        <w:sz w:val="18"/>
                        <w:szCs w:val="18"/>
                      </w:rPr>
                      <m:t>KH</m:t>
                    </m:r>
                  </m:sub>
                </m:sSub>
                <m:r>
                  <w:rPr>
                    <w:rFonts w:ascii="Cambria Math" w:hAnsi="Cambria Math"/>
                    <w:sz w:val="18"/>
                    <w:szCs w:val="18"/>
                  </w:rPr>
                  <m:t>=</m:t>
                </m:r>
                <m:sSup>
                  <m:sSupPr>
                    <m:ctrlPr>
                      <w:rPr>
                        <w:rFonts w:ascii="Cambria Math" w:hAnsi="Cambria Math"/>
                        <w:i/>
                        <w:sz w:val="18"/>
                        <w:szCs w:val="18"/>
                      </w:rPr>
                    </m:ctrlPr>
                  </m:sSupPr>
                  <m:e>
                    <m:r>
                      <m:rPr>
                        <m:nor/>
                      </m:rPr>
                      <w:rPr>
                        <w:i/>
                        <w:sz w:val="18"/>
                        <w:szCs w:val="18"/>
                      </w:rPr>
                      <m:t>k</m:t>
                    </m:r>
                  </m:e>
                  <m:sup>
                    <m:r>
                      <m:rPr>
                        <m:nor/>
                      </m:rPr>
                      <w:rPr>
                        <w:i/>
                        <w:sz w:val="18"/>
                        <w:szCs w:val="18"/>
                      </w:rPr>
                      <m:t>α</m:t>
                    </m:r>
                  </m:sup>
                </m:sSup>
                <m:r>
                  <w:rPr>
                    <w:rFonts w:ascii="Cambria Math" w:eastAsiaTheme="minorEastAsia" w:hAnsi="Cambria Math"/>
                    <w:spacing w:val="-2"/>
                    <w:sz w:val="18"/>
                    <w:szCs w:val="18"/>
                  </w:rPr>
                  <m:t>∙</m:t>
                </m:r>
                <m:sSup>
                  <m:sSupPr>
                    <m:ctrlPr>
                      <w:rPr>
                        <w:rFonts w:ascii="Cambria Math" w:hAnsi="Cambria Math"/>
                        <w:i/>
                        <w:sz w:val="18"/>
                        <w:szCs w:val="18"/>
                      </w:rPr>
                    </m:ctrlPr>
                  </m:sSupPr>
                  <m:e>
                    <m:r>
                      <m:rPr>
                        <m:nor/>
                      </m:rPr>
                      <w:rPr>
                        <w:rFonts w:cs="Times New Roman"/>
                        <w:i/>
                        <w:sz w:val="18"/>
                        <w:szCs w:val="18"/>
                      </w:rPr>
                      <m:t>h</m:t>
                    </m:r>
                  </m:e>
                  <m:sup>
                    <m:r>
                      <m:rPr>
                        <m:nor/>
                      </m:rPr>
                      <w:rPr>
                        <w:i/>
                        <w:sz w:val="18"/>
                        <w:szCs w:val="18"/>
                      </w:rPr>
                      <m:t>1</m:t>
                    </m:r>
                    <m:r>
                      <w:rPr>
                        <w:rFonts w:ascii="Cambria Math" w:hAnsi="Cambria Math"/>
                        <w:sz w:val="18"/>
                        <w:szCs w:val="18"/>
                      </w:rPr>
                      <m:t>-</m:t>
                    </m:r>
                    <m:r>
                      <m:rPr>
                        <m:nor/>
                      </m:rPr>
                      <w:rPr>
                        <w:i/>
                        <w:sz w:val="18"/>
                        <w:szCs w:val="18"/>
                      </w:rPr>
                      <m:t>α</m:t>
                    </m:r>
                  </m:sup>
                </m:sSup>
              </m:oMath>
            </m:oMathPara>
          </w:p>
        </w:tc>
      </w:tr>
      <w:tr w:rsidR="00316D02" w:rsidRPr="00AB30EB" w14:paraId="440F847B" w14:textId="77777777" w:rsidTr="00160AC5">
        <w:tc>
          <w:tcPr>
            <w:tcW w:w="1419" w:type="dxa"/>
            <w:tcBorders>
              <w:top w:val="single" w:sz="4" w:space="0" w:color="auto"/>
              <w:left w:val="single" w:sz="4" w:space="0" w:color="auto"/>
              <w:bottom w:val="single" w:sz="4" w:space="0" w:color="auto"/>
            </w:tcBorders>
            <w:vAlign w:val="center"/>
          </w:tcPr>
          <w:p w14:paraId="37024650" w14:textId="60223402" w:rsidR="00D77AD0" w:rsidRPr="00AB30EB" w:rsidRDefault="00D77AD0" w:rsidP="00250E1B">
            <w:pPr>
              <w:tabs>
                <w:tab w:val="left" w:pos="13750"/>
              </w:tabs>
              <w:spacing w:after="0"/>
              <w:jc w:val="right"/>
              <w:rPr>
                <w:sz w:val="16"/>
                <w:szCs w:val="16"/>
              </w:rPr>
            </w:pPr>
            <w:r w:rsidRPr="00AB30EB">
              <w:rPr>
                <w:sz w:val="16"/>
                <w:szCs w:val="16"/>
              </w:rPr>
              <w:t>Medida de la renta y factores productivos</w:t>
            </w:r>
          </w:p>
        </w:tc>
        <w:tc>
          <w:tcPr>
            <w:tcW w:w="4914" w:type="dxa"/>
            <w:tcBorders>
              <w:top w:val="single" w:sz="4" w:space="0" w:color="auto"/>
              <w:bottom w:val="single" w:sz="4" w:space="0" w:color="auto"/>
            </w:tcBorders>
            <w:vAlign w:val="center"/>
          </w:tcPr>
          <w:p w14:paraId="5E84B412" w14:textId="77777777" w:rsidR="00D77AD0" w:rsidRPr="00AB30EB" w:rsidRDefault="00250E1B" w:rsidP="00250E1B">
            <w:pPr>
              <w:tabs>
                <w:tab w:val="left" w:pos="13750"/>
              </w:tabs>
              <w:spacing w:after="0"/>
              <w:rPr>
                <w:rFonts w:eastAsia="Calibri" w:cs="Arial"/>
                <w:iCs/>
                <w:sz w:val="14"/>
                <w:szCs w:val="14"/>
              </w:rPr>
            </w:pPr>
            <w:r w:rsidRPr="00AB30EB">
              <w:rPr>
                <w:rFonts w:eastAsia="Calibri" w:cs="Arial"/>
                <w:iCs/>
                <w:sz w:val="14"/>
                <w:szCs w:val="14"/>
              </w:rPr>
              <w:t xml:space="preserve">MRW utilizan datos para más de 100 países de </w:t>
            </w:r>
            <w:r w:rsidRPr="00AB30EB">
              <w:rPr>
                <w:rFonts w:eastAsia="Calibri" w:cs="Arial"/>
                <w:iCs/>
                <w:smallCaps/>
                <w:sz w:val="14"/>
                <w:szCs w:val="14"/>
              </w:rPr>
              <w:t xml:space="preserve">Summers </w:t>
            </w:r>
            <w:r w:rsidRPr="00AB30EB">
              <w:rPr>
                <w:rFonts w:eastAsia="Calibri" w:cs="Arial"/>
                <w:iCs/>
                <w:sz w:val="14"/>
                <w:szCs w:val="14"/>
              </w:rPr>
              <w:t xml:space="preserve">y </w:t>
            </w:r>
            <w:r w:rsidRPr="00AB30EB">
              <w:rPr>
                <w:rFonts w:eastAsia="Calibri" w:cs="Arial"/>
                <w:iCs/>
                <w:smallCaps/>
                <w:sz w:val="14"/>
                <w:szCs w:val="14"/>
              </w:rPr>
              <w:t>Heston</w:t>
            </w:r>
            <w:r w:rsidRPr="00AB30EB">
              <w:rPr>
                <w:rFonts w:eastAsia="Calibri" w:cs="Arial"/>
                <w:iCs/>
                <w:sz w:val="14"/>
                <w:szCs w:val="14"/>
              </w:rPr>
              <w:t xml:space="preserve"> (1988) y </w:t>
            </w:r>
            <w:r w:rsidRPr="00AB30EB">
              <w:rPr>
                <w:rFonts w:eastAsia="Calibri" w:cs="Arial"/>
                <w:i/>
                <w:sz w:val="14"/>
                <w:szCs w:val="14"/>
              </w:rPr>
              <w:t>World Tables</w:t>
            </w:r>
            <w:r w:rsidRPr="00AB30EB">
              <w:rPr>
                <w:rFonts w:eastAsia="Calibri" w:cs="Arial"/>
                <w:iCs/>
                <w:sz w:val="14"/>
                <w:szCs w:val="14"/>
              </w:rPr>
              <w:t xml:space="preserve"> y </w:t>
            </w:r>
            <w:r w:rsidRPr="00AB30EB">
              <w:rPr>
                <w:rFonts w:eastAsia="Calibri" w:cs="Arial"/>
                <w:i/>
                <w:sz w:val="14"/>
                <w:szCs w:val="14"/>
              </w:rPr>
              <w:t>World Development Report</w:t>
            </w:r>
            <w:r w:rsidRPr="00AB30EB">
              <w:rPr>
                <w:rFonts w:eastAsia="Calibri" w:cs="Arial"/>
                <w:iCs/>
                <w:sz w:val="14"/>
                <w:szCs w:val="14"/>
              </w:rPr>
              <w:t xml:space="preserve"> del Banco Mundial para el año 1985.</w:t>
            </w:r>
          </w:p>
          <w:p w14:paraId="5EFB43C9" w14:textId="77777777" w:rsidR="00250E1B" w:rsidRPr="00AB30EB" w:rsidRDefault="00250E1B">
            <w:pPr>
              <w:pStyle w:val="Prrafodelista"/>
              <w:numPr>
                <w:ilvl w:val="0"/>
                <w:numId w:val="12"/>
              </w:numPr>
              <w:tabs>
                <w:tab w:val="left" w:pos="13750"/>
              </w:tabs>
              <w:spacing w:after="0"/>
              <w:ind w:left="171" w:hanging="124"/>
              <w:rPr>
                <w:rFonts w:eastAsia="Calibri" w:cs="Arial"/>
                <w:iCs/>
                <w:sz w:val="14"/>
                <w:szCs w:val="14"/>
              </w:rPr>
            </w:pPr>
            <w:r w:rsidRPr="00AB30EB">
              <w:rPr>
                <w:rFonts w:eastAsia="Calibri" w:cs="Arial"/>
                <w:iCs/>
                <w:sz w:val="14"/>
                <w:szCs w:val="14"/>
              </w:rPr>
              <w:t>PIB real per cápita</w:t>
            </w:r>
          </w:p>
          <w:p w14:paraId="134A8285" w14:textId="5B452560" w:rsidR="00250E1B" w:rsidRPr="00AB30EB" w:rsidRDefault="00250E1B">
            <w:pPr>
              <w:pStyle w:val="Prrafodelista"/>
              <w:numPr>
                <w:ilvl w:val="0"/>
                <w:numId w:val="12"/>
              </w:numPr>
              <w:tabs>
                <w:tab w:val="left" w:pos="13750"/>
              </w:tabs>
              <w:spacing w:after="0"/>
              <w:ind w:left="171" w:hanging="124"/>
              <w:rPr>
                <w:rFonts w:eastAsia="Calibri" w:cs="Arial"/>
                <w:iCs/>
                <w:sz w:val="14"/>
                <w:szCs w:val="14"/>
              </w:rPr>
            </w:pPr>
            <w:r w:rsidRPr="00AB30EB">
              <w:rPr>
                <w:rFonts w:eastAsia="Calibri" w:cs="Arial"/>
                <w:iCs/>
                <w:sz w:val="14"/>
                <w:szCs w:val="14"/>
              </w:rPr>
              <w:t xml:space="preserve">Media de la fracción de inversión (pública y privada) en el PIB como medida de </w:t>
            </w:r>
            <w:r w:rsidRPr="00AB30EB">
              <w:rPr>
                <w:rFonts w:eastAsia="Calibri" w:cs="Arial"/>
                <w:i/>
                <w:sz w:val="14"/>
                <w:szCs w:val="14"/>
              </w:rPr>
              <w:t>s</w:t>
            </w:r>
            <w:r w:rsidRPr="00AB30EB">
              <w:rPr>
                <w:rFonts w:eastAsia="Calibri" w:cs="Arial"/>
                <w:iCs/>
                <w:sz w:val="14"/>
                <w:szCs w:val="14"/>
              </w:rPr>
              <w:t>.</w:t>
            </w:r>
          </w:p>
          <w:p w14:paraId="06B7ABEB" w14:textId="774855A8" w:rsidR="00250E1B" w:rsidRPr="00AB30EB" w:rsidRDefault="00250E1B">
            <w:pPr>
              <w:pStyle w:val="Prrafodelista"/>
              <w:numPr>
                <w:ilvl w:val="0"/>
                <w:numId w:val="12"/>
              </w:numPr>
              <w:tabs>
                <w:tab w:val="left" w:pos="13750"/>
              </w:tabs>
              <w:spacing w:after="0"/>
              <w:ind w:left="171" w:hanging="124"/>
              <w:rPr>
                <w:rFonts w:eastAsia="Calibri" w:cs="Arial"/>
                <w:iCs/>
                <w:sz w:val="14"/>
                <w:szCs w:val="14"/>
              </w:rPr>
            </w:pPr>
            <w:r w:rsidRPr="00AB30EB">
              <w:rPr>
                <w:rFonts w:eastAsia="Calibri" w:cs="Arial"/>
                <w:iCs/>
                <w:sz w:val="14"/>
                <w:szCs w:val="14"/>
              </w:rPr>
              <w:t xml:space="preserve">Media de crecimiento de la población en edad de trabajar (de 15 a 65 años) como media de </w:t>
            </w:r>
            <w:r w:rsidRPr="00AB30EB">
              <w:rPr>
                <w:rFonts w:eastAsia="Calibri" w:cs="Arial"/>
                <w:i/>
                <w:sz w:val="14"/>
                <w:szCs w:val="14"/>
              </w:rPr>
              <w:t>n</w:t>
            </w:r>
            <w:r w:rsidRPr="00AB30EB">
              <w:rPr>
                <w:rFonts w:eastAsia="Calibri" w:cs="Arial"/>
                <w:iCs/>
                <w:sz w:val="14"/>
                <w:szCs w:val="14"/>
              </w:rPr>
              <w:t>.</w:t>
            </w:r>
          </w:p>
          <w:p w14:paraId="6D502A86" w14:textId="02D4C3D0" w:rsidR="00250E1B" w:rsidRPr="00AB30EB" w:rsidRDefault="00316D02">
            <w:pPr>
              <w:pStyle w:val="Prrafodelista"/>
              <w:numPr>
                <w:ilvl w:val="0"/>
                <w:numId w:val="12"/>
              </w:numPr>
              <w:tabs>
                <w:tab w:val="left" w:pos="13750"/>
              </w:tabs>
              <w:spacing w:after="0"/>
              <w:ind w:left="171" w:hanging="124"/>
              <w:rPr>
                <w:rFonts w:eastAsia="Calibri" w:cs="Arial"/>
                <w:iCs/>
                <w:sz w:val="14"/>
                <w:szCs w:val="14"/>
              </w:rPr>
            </w:pPr>
            <w:r w:rsidRPr="00AB30EB">
              <w:rPr>
                <w:rFonts w:eastAsia="Calibri" w:cs="Arial"/>
                <w:sz w:val="14"/>
                <w:szCs w:val="14"/>
              </w:rPr>
              <w:t xml:space="preserve">Se asume </w:t>
            </w:r>
            <m:oMath>
              <m:sSub>
                <m:sSubPr>
                  <m:ctrlPr>
                    <w:rPr>
                      <w:rFonts w:ascii="Cambria Math" w:eastAsiaTheme="minorEastAsia" w:hAnsi="Cambria Math"/>
                      <w:i/>
                      <w:sz w:val="14"/>
                      <w:szCs w:val="14"/>
                    </w:rPr>
                  </m:ctrlPr>
                </m:sSubPr>
                <m:e>
                  <m:r>
                    <m:rPr>
                      <m:nor/>
                    </m:rPr>
                    <w:rPr>
                      <w:rFonts w:eastAsiaTheme="minorEastAsia"/>
                      <w:i/>
                      <w:sz w:val="14"/>
                      <w:szCs w:val="14"/>
                    </w:rPr>
                    <m:t>γ</m:t>
                  </m:r>
                </m:e>
                <m:sub>
                  <m:r>
                    <m:rPr>
                      <m:nor/>
                    </m:rPr>
                    <w:rPr>
                      <w:rFonts w:eastAsiaTheme="minorEastAsia"/>
                      <w:i/>
                      <w:sz w:val="14"/>
                      <w:szCs w:val="14"/>
                    </w:rPr>
                    <m:t>A</m:t>
                  </m:r>
                </m:sub>
              </m:sSub>
              <m:r>
                <w:rPr>
                  <w:rFonts w:ascii="Cambria Math" w:eastAsia="Calibri" w:hAnsi="Cambria Math" w:cs="Arial"/>
                  <w:sz w:val="14"/>
                  <w:szCs w:val="14"/>
                </w:rPr>
                <m:t>=</m:t>
              </m:r>
              <m:r>
                <m:rPr>
                  <m:nor/>
                </m:rPr>
                <w:rPr>
                  <w:rFonts w:eastAsia="Calibri" w:cs="Arial"/>
                  <w:i/>
                  <w:iCs/>
                  <w:sz w:val="14"/>
                  <w:szCs w:val="14"/>
                </w:rPr>
                <m:t>0.02</m:t>
              </m:r>
            </m:oMath>
            <w:r w:rsidRPr="00AB30EB">
              <w:rPr>
                <w:rFonts w:eastAsia="Calibri" w:cs="Arial"/>
                <w:iCs/>
                <w:sz w:val="14"/>
                <w:szCs w:val="14"/>
              </w:rPr>
              <w:t xml:space="preserve"> y </w:t>
            </w:r>
            <m:oMath>
              <m:r>
                <m:rPr>
                  <m:nor/>
                </m:rPr>
                <w:rPr>
                  <w:rFonts w:eastAsiaTheme="minorEastAsia"/>
                  <w:i/>
                  <w:iCs/>
                  <w:sz w:val="14"/>
                  <w:szCs w:val="14"/>
                </w:rPr>
                <m:t>δ</m:t>
              </m:r>
              <m:r>
                <w:rPr>
                  <w:rFonts w:ascii="Cambria Math" w:eastAsia="Calibri" w:hAnsi="Cambria Math" w:cs="Arial"/>
                  <w:sz w:val="14"/>
                  <w:szCs w:val="14"/>
                </w:rPr>
                <m:t>=</m:t>
              </m:r>
              <m:r>
                <m:rPr>
                  <m:nor/>
                </m:rPr>
                <w:rPr>
                  <w:rFonts w:eastAsia="Calibri" w:cs="Arial"/>
                  <w:i/>
                  <w:iCs/>
                  <w:sz w:val="14"/>
                  <w:szCs w:val="14"/>
                </w:rPr>
                <m:t>0.06</m:t>
              </m:r>
            </m:oMath>
            <w:r w:rsidR="00407661" w:rsidRPr="00AB30EB">
              <w:rPr>
                <w:rFonts w:eastAsia="Calibri" w:cs="Arial"/>
                <w:sz w:val="14"/>
                <w:szCs w:val="14"/>
              </w:rPr>
              <w:t>.</w:t>
            </w:r>
          </w:p>
        </w:tc>
        <w:tc>
          <w:tcPr>
            <w:tcW w:w="4914" w:type="dxa"/>
            <w:tcBorders>
              <w:top w:val="single" w:sz="4" w:space="0" w:color="auto"/>
              <w:bottom w:val="single" w:sz="4" w:space="0" w:color="auto"/>
            </w:tcBorders>
            <w:vAlign w:val="center"/>
          </w:tcPr>
          <w:p w14:paraId="2E6F1F4F" w14:textId="1172E33B" w:rsidR="00D77AD0" w:rsidRPr="00AB30EB" w:rsidRDefault="00D77AD0">
            <w:pPr>
              <w:pStyle w:val="Prrafodelista"/>
              <w:numPr>
                <w:ilvl w:val="0"/>
                <w:numId w:val="12"/>
              </w:numPr>
              <w:tabs>
                <w:tab w:val="left" w:pos="13750"/>
              </w:tabs>
              <w:spacing w:after="0"/>
              <w:ind w:left="174" w:hanging="142"/>
              <w:rPr>
                <w:rFonts w:eastAsiaTheme="minorEastAsia"/>
                <w:iCs/>
                <w:sz w:val="14"/>
                <w:szCs w:val="14"/>
              </w:rPr>
            </w:pPr>
            <w:r w:rsidRPr="00AB30EB">
              <w:rPr>
                <w:sz w:val="14"/>
                <w:szCs w:val="14"/>
              </w:rPr>
              <w:t>El capital físico (al igual que en MRW) se construye mediante el método de inventario perpetuo.</w:t>
            </w:r>
          </w:p>
          <w:p w14:paraId="41AB63FA" w14:textId="4312E874" w:rsidR="00D77AD0" w:rsidRPr="00AB30EB" w:rsidRDefault="00000000">
            <w:pPr>
              <w:pStyle w:val="Prrafodelista"/>
              <w:numPr>
                <w:ilvl w:val="0"/>
                <w:numId w:val="12"/>
              </w:numPr>
              <w:tabs>
                <w:tab w:val="left" w:pos="13750"/>
              </w:tabs>
              <w:spacing w:after="0"/>
              <w:ind w:left="174" w:hanging="142"/>
              <w:rPr>
                <w:rFonts w:eastAsiaTheme="minorEastAsia"/>
                <w:iCs/>
                <w:sz w:val="14"/>
                <w:szCs w:val="14"/>
              </w:rPr>
            </w:pPr>
            <m:oMath>
              <m:sSub>
                <m:sSubPr>
                  <m:ctrlPr>
                    <w:rPr>
                      <w:rFonts w:ascii="Cambria Math" w:hAnsi="Cambria Math"/>
                      <w:i/>
                      <w:iCs/>
                      <w:sz w:val="14"/>
                      <w:szCs w:val="14"/>
                    </w:rPr>
                  </m:ctrlPr>
                </m:sSubPr>
                <m:e>
                  <m:r>
                    <m:rPr>
                      <m:nor/>
                    </m:rPr>
                    <w:rPr>
                      <w:i/>
                      <w:iCs/>
                      <w:sz w:val="14"/>
                      <w:szCs w:val="14"/>
                    </w:rPr>
                    <m:t xml:space="preserve"> H</m:t>
                  </m:r>
                </m:e>
                <m:sub>
                  <m:r>
                    <m:rPr>
                      <m:nor/>
                    </m:rPr>
                    <w:rPr>
                      <w:i/>
                      <w:iCs/>
                      <w:sz w:val="14"/>
                      <w:szCs w:val="14"/>
                    </w:rPr>
                    <m:t>i</m:t>
                  </m:r>
                </m:sub>
              </m:sSub>
              <m:r>
                <m:rPr>
                  <m:nor/>
                </m:rPr>
                <w:rPr>
                  <w:rFonts w:eastAsiaTheme="minorEastAsia"/>
                  <w:iCs/>
                  <w:sz w:val="14"/>
                  <w:szCs w:val="14"/>
                </w:rPr>
                <m:t>=</m:t>
              </m:r>
              <m:sSup>
                <m:sSupPr>
                  <m:ctrlPr>
                    <w:rPr>
                      <w:rFonts w:ascii="Cambria Math" w:eastAsiaTheme="minorEastAsia" w:hAnsi="Cambria Math"/>
                      <w:i/>
                      <w:iCs/>
                      <w:sz w:val="14"/>
                      <w:szCs w:val="14"/>
                    </w:rPr>
                  </m:ctrlPr>
                </m:sSupPr>
                <m:e>
                  <m:r>
                    <m:rPr>
                      <m:nor/>
                    </m:rPr>
                    <w:rPr>
                      <w:rFonts w:ascii="Times New Roman" w:eastAsiaTheme="minorEastAsia" w:hAnsi="Times New Roman" w:cs="Times New Roman"/>
                      <w:i/>
                      <w:iCs/>
                      <w:sz w:val="14"/>
                      <w:szCs w:val="14"/>
                    </w:rPr>
                    <m:t>ⅇ</m:t>
                  </m:r>
                </m:e>
                <m:sup>
                  <m:r>
                    <m:rPr>
                      <m:nor/>
                    </m:rPr>
                    <w:rPr>
                      <w:rFonts w:eastAsiaTheme="minorEastAsia" w:cs="Cambria"/>
                      <w:i/>
                      <w:iCs/>
                      <w:sz w:val="14"/>
                      <w:szCs w:val="14"/>
                    </w:rPr>
                    <m:t>ϕ</m:t>
                  </m:r>
                  <m:d>
                    <m:dPr>
                      <m:ctrlPr>
                        <w:rPr>
                          <w:rFonts w:ascii="Cambria Math" w:eastAsiaTheme="minorEastAsia" w:hAnsi="Cambria Math"/>
                          <w:i/>
                          <w:iCs/>
                          <w:sz w:val="14"/>
                          <w:szCs w:val="14"/>
                        </w:rPr>
                      </m:ctrlPr>
                    </m:dPr>
                    <m:e>
                      <m:sSub>
                        <m:sSubPr>
                          <m:ctrlPr>
                            <w:rPr>
                              <w:rFonts w:ascii="Cambria Math" w:eastAsiaTheme="minorEastAsia" w:hAnsi="Cambria Math"/>
                              <w:i/>
                              <w:iCs/>
                              <w:sz w:val="14"/>
                              <w:szCs w:val="14"/>
                            </w:rPr>
                          </m:ctrlPr>
                        </m:sSubPr>
                        <m:e>
                          <m:r>
                            <m:rPr>
                              <m:nor/>
                            </m:rPr>
                            <w:rPr>
                              <w:rFonts w:eastAsiaTheme="minorEastAsia"/>
                              <w:i/>
                              <w:iCs/>
                              <w:sz w:val="14"/>
                              <w:szCs w:val="14"/>
                            </w:rPr>
                            <m:t>E</m:t>
                          </m:r>
                        </m:e>
                        <m:sub>
                          <m:r>
                            <m:rPr>
                              <m:nor/>
                            </m:rPr>
                            <w:rPr>
                              <w:rFonts w:eastAsiaTheme="minorEastAsia"/>
                              <w:i/>
                              <w:iCs/>
                              <w:sz w:val="14"/>
                              <w:szCs w:val="14"/>
                            </w:rPr>
                            <m:t>i</m:t>
                          </m:r>
                        </m:sub>
                      </m:sSub>
                    </m:e>
                  </m:d>
                </m:sup>
              </m:sSup>
              <m:r>
                <w:rPr>
                  <w:rFonts w:ascii="Cambria Math" w:hAnsi="Cambria Math"/>
                  <w:sz w:val="14"/>
                  <w:szCs w:val="14"/>
                </w:rPr>
                <m:t>∙</m:t>
              </m:r>
              <m:sSub>
                <m:sSubPr>
                  <m:ctrlPr>
                    <w:rPr>
                      <w:rFonts w:ascii="Cambria Math" w:eastAsiaTheme="minorEastAsia" w:hAnsi="Cambria Math"/>
                      <w:i/>
                      <w:iCs/>
                      <w:sz w:val="14"/>
                      <w:szCs w:val="14"/>
                    </w:rPr>
                  </m:ctrlPr>
                </m:sSubPr>
                <m:e>
                  <m:r>
                    <m:rPr>
                      <m:nor/>
                    </m:rPr>
                    <w:rPr>
                      <w:rFonts w:eastAsiaTheme="minorEastAsia"/>
                      <w:i/>
                      <w:iCs/>
                      <w:sz w:val="14"/>
                      <w:szCs w:val="14"/>
                    </w:rPr>
                    <m:t>L</m:t>
                  </m:r>
                </m:e>
                <m:sub>
                  <m:r>
                    <m:rPr>
                      <m:nor/>
                    </m:rPr>
                    <w:rPr>
                      <w:rFonts w:eastAsiaTheme="minorEastAsia"/>
                      <w:i/>
                      <w:iCs/>
                      <w:sz w:val="14"/>
                      <w:szCs w:val="14"/>
                    </w:rPr>
                    <m:t>i</m:t>
                  </m:r>
                </m:sub>
              </m:sSub>
            </m:oMath>
            <w:r w:rsidR="00D77AD0" w:rsidRPr="00AB30EB">
              <w:rPr>
                <w:rFonts w:eastAsiaTheme="minorEastAsia"/>
                <w:iCs/>
                <w:sz w:val="14"/>
                <w:szCs w:val="14"/>
              </w:rPr>
              <w:t xml:space="preserve"> </w:t>
            </w:r>
            <w:r w:rsidR="00D77AD0" w:rsidRPr="00AB30EB">
              <w:rPr>
                <w:rFonts w:ascii="Times New Roman" w:hAnsi="Times New Roman" w:cs="Times New Roman"/>
                <w:sz w:val="14"/>
                <w:szCs w:val="14"/>
              </w:rPr>
              <w:t>→</w:t>
            </w:r>
            <w:r w:rsidR="00D77AD0" w:rsidRPr="00AB30EB">
              <w:rPr>
                <w:sz w:val="14"/>
                <w:szCs w:val="14"/>
              </w:rPr>
              <w:t xml:space="preserve"> </w:t>
            </w:r>
            <w:r w:rsidR="00D77AD0" w:rsidRPr="00AB30EB">
              <w:rPr>
                <w:rFonts w:eastAsiaTheme="minorEastAsia"/>
                <w:iCs/>
                <w:sz w:val="14"/>
                <w:szCs w:val="14"/>
              </w:rPr>
              <w:t>Esta función traduce los años de educación en capital humano, siendo</w:t>
            </w:r>
            <m:oMath>
              <m:r>
                <w:rPr>
                  <w:rFonts w:ascii="Cambria Math" w:eastAsiaTheme="minorEastAsia" w:hAnsi="Cambria Math"/>
                  <w:sz w:val="14"/>
                  <w:szCs w:val="14"/>
                </w:rPr>
                <m:t xml:space="preserve"> </m:t>
              </m:r>
              <m:r>
                <m:rPr>
                  <m:nor/>
                </m:rPr>
                <w:rPr>
                  <w:rFonts w:eastAsiaTheme="minorEastAsia" w:cs="Cambria"/>
                  <w:i/>
                  <w:iCs/>
                  <w:sz w:val="14"/>
                  <w:szCs w:val="14"/>
                </w:rPr>
                <m:t>ϕ</m:t>
              </m:r>
              <m:d>
                <m:dPr>
                  <m:ctrlPr>
                    <w:rPr>
                      <w:rFonts w:ascii="Cambria Math" w:eastAsiaTheme="minorEastAsia" w:hAnsi="Cambria Math"/>
                      <w:i/>
                      <w:iCs/>
                      <w:sz w:val="14"/>
                      <w:szCs w:val="14"/>
                    </w:rPr>
                  </m:ctrlPr>
                </m:dPr>
                <m:e>
                  <m:sSub>
                    <m:sSubPr>
                      <m:ctrlPr>
                        <w:rPr>
                          <w:rFonts w:ascii="Cambria Math" w:eastAsiaTheme="minorEastAsia" w:hAnsi="Cambria Math"/>
                          <w:i/>
                          <w:iCs/>
                          <w:sz w:val="14"/>
                          <w:szCs w:val="14"/>
                        </w:rPr>
                      </m:ctrlPr>
                    </m:sSubPr>
                    <m:e>
                      <m:r>
                        <m:rPr>
                          <m:nor/>
                        </m:rPr>
                        <w:rPr>
                          <w:rFonts w:eastAsiaTheme="minorEastAsia"/>
                          <w:i/>
                          <w:iCs/>
                          <w:sz w:val="14"/>
                          <w:szCs w:val="14"/>
                        </w:rPr>
                        <m:t>E</m:t>
                      </m:r>
                    </m:e>
                    <m:sub>
                      <m:r>
                        <m:rPr>
                          <m:nor/>
                        </m:rPr>
                        <w:rPr>
                          <w:rFonts w:eastAsiaTheme="minorEastAsia"/>
                          <w:i/>
                          <w:iCs/>
                          <w:sz w:val="14"/>
                          <w:szCs w:val="14"/>
                        </w:rPr>
                        <m:t>i</m:t>
                      </m:r>
                    </m:sub>
                  </m:sSub>
                </m:e>
              </m:d>
            </m:oMath>
            <w:r w:rsidR="00D77AD0" w:rsidRPr="00AB30EB">
              <w:rPr>
                <w:rFonts w:eastAsiaTheme="minorEastAsia"/>
                <w:iCs/>
                <w:sz w:val="14"/>
                <w:szCs w:val="14"/>
              </w:rPr>
              <w:t xml:space="preserve"> la eficiencia de cada trabajador en función de los años de escolarización.</w:t>
            </w:r>
          </w:p>
          <w:p w14:paraId="377C511D" w14:textId="7A11EB59" w:rsidR="00D77AD0" w:rsidRPr="00AB30EB" w:rsidRDefault="00D77AD0">
            <w:pPr>
              <w:pStyle w:val="Prrafodelista"/>
              <w:numPr>
                <w:ilvl w:val="0"/>
                <w:numId w:val="12"/>
              </w:numPr>
              <w:tabs>
                <w:tab w:val="left" w:pos="13750"/>
              </w:tabs>
              <w:spacing w:after="0"/>
              <w:ind w:left="174" w:hanging="142"/>
              <w:rPr>
                <w:rFonts w:eastAsiaTheme="minorEastAsia"/>
                <w:iCs/>
                <w:sz w:val="14"/>
                <w:szCs w:val="14"/>
              </w:rPr>
            </w:pPr>
            <w:r w:rsidRPr="00AB30EB">
              <w:rPr>
                <w:sz w:val="14"/>
                <w:szCs w:val="14"/>
              </w:rPr>
              <w:t xml:space="preserve">Se asume </w:t>
            </w:r>
            <m:oMath>
              <m:r>
                <m:rPr>
                  <m:nor/>
                </m:rPr>
                <w:rPr>
                  <w:i/>
                  <w:iCs/>
                  <w:sz w:val="14"/>
                  <w:szCs w:val="14"/>
                </w:rPr>
                <m:t>α</m:t>
              </m:r>
              <m:r>
                <w:rPr>
                  <w:rFonts w:ascii="Cambria Math" w:hAnsi="Cambria Math"/>
                  <w:sz w:val="14"/>
                  <w:szCs w:val="14"/>
                </w:rPr>
                <m:t>=</m:t>
              </m:r>
              <m:f>
                <m:fPr>
                  <m:type m:val="skw"/>
                  <m:ctrlPr>
                    <w:rPr>
                      <w:rFonts w:ascii="Cambria Math" w:hAnsi="Cambria Math"/>
                      <w:i/>
                      <w:iCs/>
                      <w:sz w:val="14"/>
                      <w:szCs w:val="14"/>
                    </w:rPr>
                  </m:ctrlPr>
                </m:fPr>
                <m:num>
                  <m:r>
                    <m:rPr>
                      <m:nor/>
                    </m:rPr>
                    <w:rPr>
                      <w:i/>
                      <w:iCs/>
                      <w:sz w:val="14"/>
                      <w:szCs w:val="14"/>
                    </w:rPr>
                    <m:t>1</m:t>
                  </m:r>
                </m:num>
                <m:den>
                  <m:r>
                    <m:rPr>
                      <m:nor/>
                    </m:rPr>
                    <w:rPr>
                      <w:i/>
                      <w:iCs/>
                      <w:sz w:val="14"/>
                      <w:szCs w:val="14"/>
                    </w:rPr>
                    <m:t>3</m:t>
                  </m:r>
                </m:den>
              </m:f>
            </m:oMath>
            <w:r w:rsidRPr="00AB30EB">
              <w:rPr>
                <w:rFonts w:eastAsiaTheme="minorEastAsia"/>
                <w:sz w:val="14"/>
                <w:szCs w:val="14"/>
              </w:rPr>
              <w:t xml:space="preserve"> para todos los países (consistente con la contabilidad observada en los países desarrollados).</w:t>
            </w:r>
          </w:p>
        </w:tc>
        <w:tc>
          <w:tcPr>
            <w:tcW w:w="4914" w:type="dxa"/>
            <w:tcBorders>
              <w:top w:val="single" w:sz="4" w:space="0" w:color="auto"/>
              <w:bottom w:val="single" w:sz="4" w:space="0" w:color="auto"/>
              <w:right w:val="single" w:sz="4" w:space="0" w:color="auto"/>
            </w:tcBorders>
            <w:vAlign w:val="center"/>
          </w:tcPr>
          <w:p w14:paraId="03420E9F" w14:textId="77777777" w:rsidR="00160AC5" w:rsidRPr="00AB30EB" w:rsidRDefault="00D77AD0">
            <w:pPr>
              <w:pStyle w:val="Prrafodelista"/>
              <w:numPr>
                <w:ilvl w:val="0"/>
                <w:numId w:val="12"/>
              </w:numPr>
              <w:tabs>
                <w:tab w:val="left" w:pos="13750"/>
              </w:tabs>
              <w:spacing w:after="0"/>
              <w:ind w:left="125" w:hanging="142"/>
              <w:rPr>
                <w:sz w:val="14"/>
                <w:szCs w:val="14"/>
              </w:rPr>
            </w:pPr>
            <w:r w:rsidRPr="00AB30EB">
              <w:rPr>
                <w:smallCaps/>
                <w:sz w:val="14"/>
                <w:szCs w:val="14"/>
              </w:rPr>
              <w:t>Caselli</w:t>
            </w:r>
            <w:r w:rsidRPr="00AB30EB">
              <w:rPr>
                <w:sz w:val="14"/>
                <w:szCs w:val="14"/>
              </w:rPr>
              <w:t xml:space="preserve"> obtiene los </w:t>
            </w:r>
            <w:r w:rsidR="00160AC5" w:rsidRPr="00AB30EB">
              <w:rPr>
                <w:sz w:val="14"/>
                <w:szCs w:val="14"/>
              </w:rPr>
              <w:t>d</w:t>
            </w:r>
            <w:r w:rsidRPr="00AB30EB">
              <w:rPr>
                <w:sz w:val="14"/>
                <w:szCs w:val="14"/>
              </w:rPr>
              <w:t>atos del PIB real y de stock de capital de forma similar a MRW.</w:t>
            </w:r>
          </w:p>
          <w:p w14:paraId="47F46AB7" w14:textId="6ADA7BD2" w:rsidR="00160AC5" w:rsidRPr="00AB30EB" w:rsidRDefault="00D77AD0">
            <w:pPr>
              <w:pStyle w:val="Prrafodelista"/>
              <w:numPr>
                <w:ilvl w:val="0"/>
                <w:numId w:val="12"/>
              </w:numPr>
              <w:tabs>
                <w:tab w:val="left" w:pos="13750"/>
              </w:tabs>
              <w:spacing w:after="0"/>
              <w:ind w:left="125" w:hanging="142"/>
              <w:rPr>
                <w:sz w:val="14"/>
                <w:szCs w:val="14"/>
              </w:rPr>
            </w:pPr>
            <w:r w:rsidRPr="00AB30EB">
              <w:rPr>
                <w:sz w:val="14"/>
                <w:szCs w:val="14"/>
              </w:rPr>
              <w:t>En cuanto al capital humano (</w:t>
            </w:r>
            <w:r w:rsidRPr="00AB30EB">
              <w:rPr>
                <w:i/>
                <w:iCs/>
                <w:sz w:val="14"/>
                <w:szCs w:val="14"/>
              </w:rPr>
              <w:t>h</w:t>
            </w:r>
            <w:r w:rsidRPr="00AB30EB">
              <w:rPr>
                <w:sz w:val="14"/>
                <w:szCs w:val="14"/>
              </w:rPr>
              <w:t>) se asum</w:t>
            </w:r>
            <w:r w:rsidR="00160AC5" w:rsidRPr="00AB30EB">
              <w:rPr>
                <w:sz w:val="14"/>
                <w:szCs w:val="14"/>
              </w:rPr>
              <w:t>e</w:t>
            </w:r>
            <w:r w:rsidRPr="00AB30EB">
              <w:rPr>
                <w:sz w:val="14"/>
                <w:szCs w:val="14"/>
              </w:rPr>
              <w:t xml:space="preserve"> una forma funcional </w:t>
            </w:r>
            <m:oMath>
              <m:r>
                <m:rPr>
                  <m:sty m:val="p"/>
                </m:rPr>
                <w:rPr>
                  <w:rFonts w:ascii="Cambria Math" w:hAnsi="Cambria Math"/>
                  <w:sz w:val="14"/>
                  <w:szCs w:val="14"/>
                </w:rPr>
                <w:br/>
              </m:r>
              <m:sSub>
                <m:sSubPr>
                  <m:ctrlPr>
                    <w:rPr>
                      <w:rFonts w:ascii="Cambria Math" w:hAnsi="Cambria Math"/>
                      <w:i/>
                      <w:iCs/>
                      <w:sz w:val="14"/>
                      <w:szCs w:val="14"/>
                    </w:rPr>
                  </m:ctrlPr>
                </m:sSubPr>
                <m:e>
                  <m:r>
                    <m:rPr>
                      <m:nor/>
                    </m:rPr>
                    <w:rPr>
                      <w:i/>
                      <w:iCs/>
                      <w:sz w:val="14"/>
                      <w:szCs w:val="14"/>
                    </w:rPr>
                    <m:t xml:space="preserve"> h</m:t>
                  </m:r>
                </m:e>
                <m:sub>
                  <m:r>
                    <m:rPr>
                      <m:nor/>
                    </m:rPr>
                    <w:rPr>
                      <w:i/>
                      <w:iCs/>
                      <w:sz w:val="14"/>
                      <w:szCs w:val="14"/>
                    </w:rPr>
                    <m:t>i</m:t>
                  </m:r>
                </m:sub>
              </m:sSub>
              <m:r>
                <w:rPr>
                  <w:rFonts w:ascii="Cambria Math" w:eastAsiaTheme="minorEastAsia" w:hAnsi="Cambria Math"/>
                  <w:sz w:val="14"/>
                  <w:szCs w:val="14"/>
                </w:rPr>
                <m:t>=</m:t>
              </m:r>
              <m:sSup>
                <m:sSupPr>
                  <m:ctrlPr>
                    <w:rPr>
                      <w:rFonts w:ascii="Cambria Math" w:eastAsiaTheme="minorEastAsia" w:hAnsi="Cambria Math"/>
                      <w:i/>
                      <w:iCs/>
                      <w:sz w:val="14"/>
                      <w:szCs w:val="14"/>
                    </w:rPr>
                  </m:ctrlPr>
                </m:sSupPr>
                <m:e>
                  <m:r>
                    <m:rPr>
                      <m:nor/>
                    </m:rPr>
                    <w:rPr>
                      <w:rFonts w:ascii="Times New Roman" w:eastAsiaTheme="minorEastAsia" w:hAnsi="Times New Roman" w:cs="Times New Roman"/>
                      <w:i/>
                      <w:iCs/>
                      <w:sz w:val="14"/>
                      <w:szCs w:val="14"/>
                    </w:rPr>
                    <m:t>ⅇ</m:t>
                  </m:r>
                </m:e>
                <m:sup>
                  <m:r>
                    <m:rPr>
                      <m:nor/>
                    </m:rPr>
                    <w:rPr>
                      <w:rFonts w:eastAsiaTheme="minorEastAsia"/>
                      <w:i/>
                      <w:sz w:val="14"/>
                      <w:szCs w:val="14"/>
                    </w:rPr>
                    <m:t>θ</m:t>
                  </m:r>
                  <m:d>
                    <m:dPr>
                      <m:ctrlPr>
                        <w:rPr>
                          <w:rFonts w:ascii="Cambria Math" w:eastAsiaTheme="minorEastAsia" w:hAnsi="Cambria Math"/>
                          <w:i/>
                          <w:iCs/>
                          <w:sz w:val="14"/>
                          <w:szCs w:val="14"/>
                        </w:rPr>
                      </m:ctrlPr>
                    </m:dPr>
                    <m:e>
                      <m:sSub>
                        <m:sSubPr>
                          <m:ctrlPr>
                            <w:rPr>
                              <w:rFonts w:ascii="Cambria Math" w:eastAsiaTheme="minorEastAsia" w:hAnsi="Cambria Math"/>
                              <w:i/>
                              <w:iCs/>
                              <w:sz w:val="14"/>
                              <w:szCs w:val="14"/>
                            </w:rPr>
                          </m:ctrlPr>
                        </m:sSubPr>
                        <m:e>
                          <m:r>
                            <m:rPr>
                              <m:nor/>
                            </m:rPr>
                            <w:rPr>
                              <w:rFonts w:eastAsiaTheme="minorEastAsia"/>
                              <w:i/>
                              <w:sz w:val="14"/>
                              <w:szCs w:val="14"/>
                            </w:rPr>
                            <m:t>s</m:t>
                          </m:r>
                        </m:e>
                        <m:sub>
                          <m:r>
                            <m:rPr>
                              <m:nor/>
                            </m:rPr>
                            <w:rPr>
                              <w:rFonts w:eastAsiaTheme="minorEastAsia"/>
                              <w:i/>
                              <w:iCs/>
                              <w:sz w:val="14"/>
                              <w:szCs w:val="14"/>
                            </w:rPr>
                            <m:t>i</m:t>
                          </m:r>
                        </m:sub>
                      </m:sSub>
                    </m:e>
                  </m:d>
                </m:sup>
              </m:sSup>
            </m:oMath>
            <w:r w:rsidRPr="00AB30EB">
              <w:rPr>
                <w:rFonts w:eastAsiaTheme="minorEastAsia"/>
                <w:iCs/>
                <w:sz w:val="14"/>
                <w:szCs w:val="14"/>
              </w:rPr>
              <w:t>, donde</w:t>
            </w:r>
            <m:oMath>
              <m:r>
                <w:rPr>
                  <w:rFonts w:ascii="Cambria Math" w:eastAsiaTheme="minorEastAsia" w:hAnsi="Cambria Math"/>
                  <w:sz w:val="14"/>
                  <w:szCs w:val="14"/>
                </w:rPr>
                <m:t xml:space="preserve"> </m:t>
              </m:r>
              <m:r>
                <m:rPr>
                  <m:nor/>
                </m:rPr>
                <w:rPr>
                  <w:rFonts w:eastAsiaTheme="minorEastAsia"/>
                  <w:i/>
                  <w:sz w:val="14"/>
                  <w:szCs w:val="14"/>
                </w:rPr>
                <m:t>θ</m:t>
              </m:r>
              <m:d>
                <m:dPr>
                  <m:ctrlPr>
                    <w:rPr>
                      <w:rFonts w:ascii="Cambria Math" w:eastAsiaTheme="minorEastAsia" w:hAnsi="Cambria Math"/>
                      <w:i/>
                      <w:iCs/>
                      <w:sz w:val="14"/>
                      <w:szCs w:val="14"/>
                    </w:rPr>
                  </m:ctrlPr>
                </m:dPr>
                <m:e>
                  <m:sSub>
                    <m:sSubPr>
                      <m:ctrlPr>
                        <w:rPr>
                          <w:rFonts w:ascii="Cambria Math" w:eastAsiaTheme="minorEastAsia" w:hAnsi="Cambria Math"/>
                          <w:i/>
                          <w:iCs/>
                          <w:sz w:val="14"/>
                          <w:szCs w:val="14"/>
                        </w:rPr>
                      </m:ctrlPr>
                    </m:sSubPr>
                    <m:e>
                      <m:r>
                        <m:rPr>
                          <m:nor/>
                        </m:rPr>
                        <w:rPr>
                          <w:rFonts w:eastAsiaTheme="minorEastAsia"/>
                          <w:i/>
                          <w:sz w:val="14"/>
                          <w:szCs w:val="14"/>
                        </w:rPr>
                        <m:t>s</m:t>
                      </m:r>
                    </m:e>
                    <m:sub>
                      <m:r>
                        <m:rPr>
                          <m:nor/>
                        </m:rPr>
                        <w:rPr>
                          <w:rFonts w:eastAsiaTheme="minorEastAsia"/>
                          <w:i/>
                          <w:iCs/>
                          <w:sz w:val="14"/>
                          <w:szCs w:val="14"/>
                        </w:rPr>
                        <m:t>i</m:t>
                      </m:r>
                    </m:sub>
                  </m:sSub>
                </m:e>
              </m:d>
            </m:oMath>
            <w:r w:rsidRPr="00AB30EB">
              <w:rPr>
                <w:rFonts w:eastAsiaTheme="minorEastAsia"/>
                <w:iCs/>
                <w:sz w:val="14"/>
                <w:szCs w:val="14"/>
              </w:rPr>
              <w:t xml:space="preserve"> es una función linear del número medio de años de educación en la economía (</w:t>
            </w:r>
            <w:r w:rsidRPr="00AB30EB">
              <w:rPr>
                <w:rFonts w:eastAsiaTheme="minorEastAsia"/>
                <w:i/>
                <w:sz w:val="14"/>
                <w:szCs w:val="14"/>
              </w:rPr>
              <w:t>s</w:t>
            </w:r>
            <w:r w:rsidRPr="00AB30EB">
              <w:rPr>
                <w:rFonts w:eastAsiaTheme="minorEastAsia"/>
                <w:iCs/>
                <w:sz w:val="14"/>
                <w:szCs w:val="14"/>
              </w:rPr>
              <w:t>).</w:t>
            </w:r>
          </w:p>
          <w:p w14:paraId="374097E2" w14:textId="36C9513E" w:rsidR="00D77AD0" w:rsidRPr="00AB30EB" w:rsidRDefault="00D77AD0">
            <w:pPr>
              <w:pStyle w:val="Prrafodelista"/>
              <w:numPr>
                <w:ilvl w:val="0"/>
                <w:numId w:val="12"/>
              </w:numPr>
              <w:tabs>
                <w:tab w:val="left" w:pos="13750"/>
              </w:tabs>
              <w:spacing w:after="0"/>
              <w:ind w:left="125" w:hanging="142"/>
              <w:rPr>
                <w:sz w:val="14"/>
                <w:szCs w:val="14"/>
              </w:rPr>
            </w:pPr>
            <w:r w:rsidRPr="00AB30EB">
              <w:rPr>
                <w:sz w:val="14"/>
                <w:szCs w:val="14"/>
              </w:rPr>
              <w:t xml:space="preserve">Se asume </w:t>
            </w:r>
            <m:oMath>
              <m:r>
                <m:rPr>
                  <m:nor/>
                </m:rPr>
                <w:rPr>
                  <w:sz w:val="14"/>
                  <w:szCs w:val="14"/>
                </w:rPr>
                <m:t>α</m:t>
              </m:r>
              <m:r>
                <w:rPr>
                  <w:rFonts w:ascii="Cambria Math" w:hAnsi="Cambria Math"/>
                  <w:sz w:val="14"/>
                  <w:szCs w:val="14"/>
                </w:rPr>
                <m:t>=</m:t>
              </m:r>
              <m:f>
                <m:fPr>
                  <m:type m:val="skw"/>
                  <m:ctrlPr>
                    <w:rPr>
                      <w:rFonts w:ascii="Cambria Math" w:hAnsi="Cambria Math"/>
                      <w:i/>
                      <w:sz w:val="14"/>
                      <w:szCs w:val="14"/>
                    </w:rPr>
                  </m:ctrlPr>
                </m:fPr>
                <m:num>
                  <m:r>
                    <m:rPr>
                      <m:nor/>
                    </m:rPr>
                    <w:rPr>
                      <w:sz w:val="14"/>
                      <w:szCs w:val="14"/>
                    </w:rPr>
                    <m:t>1</m:t>
                  </m:r>
                </m:num>
                <m:den>
                  <m:r>
                    <m:rPr>
                      <m:nor/>
                    </m:rPr>
                    <w:rPr>
                      <w:sz w:val="14"/>
                      <w:szCs w:val="14"/>
                    </w:rPr>
                    <m:t>3</m:t>
                  </m:r>
                </m:den>
              </m:f>
            </m:oMath>
            <w:r w:rsidRPr="00AB30EB">
              <w:rPr>
                <w:rFonts w:eastAsiaTheme="minorEastAsia"/>
                <w:sz w:val="14"/>
                <w:szCs w:val="14"/>
              </w:rPr>
              <w:t xml:space="preserve"> para todos los países (consistente con la contabilidad observada en los países desarrollados).</w:t>
            </w:r>
          </w:p>
        </w:tc>
      </w:tr>
      <w:tr w:rsidR="00250E1B" w:rsidRPr="00AB30EB" w14:paraId="34793882" w14:textId="77777777" w:rsidTr="00160AC5">
        <w:tc>
          <w:tcPr>
            <w:tcW w:w="1419" w:type="dxa"/>
            <w:tcBorders>
              <w:top w:val="single" w:sz="4" w:space="0" w:color="auto"/>
              <w:left w:val="single" w:sz="4" w:space="0" w:color="auto"/>
              <w:bottom w:val="single" w:sz="4" w:space="0" w:color="auto"/>
            </w:tcBorders>
            <w:vAlign w:val="center"/>
          </w:tcPr>
          <w:p w14:paraId="1DD81BAD" w14:textId="6176FA84" w:rsidR="00D77AD0" w:rsidRPr="00AB30EB" w:rsidRDefault="00D77AD0" w:rsidP="00250E1B">
            <w:pPr>
              <w:tabs>
                <w:tab w:val="left" w:pos="13750"/>
              </w:tabs>
              <w:spacing w:after="0"/>
              <w:jc w:val="right"/>
              <w:rPr>
                <w:sz w:val="16"/>
                <w:szCs w:val="16"/>
                <w:lang w:val="fr-FR"/>
              </w:rPr>
            </w:pPr>
            <w:r w:rsidRPr="00AB30EB">
              <w:rPr>
                <w:sz w:val="16"/>
                <w:szCs w:val="16"/>
              </w:rPr>
              <w:t>Ejercicio</w:t>
            </w:r>
            <w:r w:rsidR="00EE6B71" w:rsidRPr="00AB30EB">
              <w:rPr>
                <w:sz w:val="16"/>
                <w:szCs w:val="16"/>
              </w:rPr>
              <w:t xml:space="preserve"> y objetivos</w:t>
            </w:r>
          </w:p>
        </w:tc>
        <w:tc>
          <w:tcPr>
            <w:tcW w:w="4914" w:type="dxa"/>
            <w:tcBorders>
              <w:top w:val="single" w:sz="4" w:space="0" w:color="auto"/>
              <w:bottom w:val="single" w:sz="4" w:space="0" w:color="auto"/>
            </w:tcBorders>
            <w:vAlign w:val="center"/>
          </w:tcPr>
          <w:p w14:paraId="19BF07FA" w14:textId="6E407AC3" w:rsidR="00D77AD0" w:rsidRPr="00AB30EB" w:rsidRDefault="00D77AD0" w:rsidP="00250E1B">
            <w:pPr>
              <w:tabs>
                <w:tab w:val="left" w:pos="13750"/>
              </w:tabs>
              <w:spacing w:after="0"/>
              <w:rPr>
                <w:rFonts w:eastAsia="Calibri" w:cs="Arial"/>
                <w:iCs/>
                <w:sz w:val="14"/>
                <w:szCs w:val="14"/>
              </w:rPr>
            </w:pPr>
            <w:r w:rsidRPr="00AB30EB">
              <w:rPr>
                <w:rFonts w:eastAsia="Calibri" w:cs="Arial"/>
                <w:iCs/>
                <w:sz w:val="14"/>
                <w:szCs w:val="14"/>
              </w:rPr>
              <w:t>Dos ejercicios:</w:t>
            </w:r>
          </w:p>
          <w:p w14:paraId="50A1BB4A" w14:textId="13F50AE5" w:rsidR="00D77AD0" w:rsidRPr="00AB30EB" w:rsidRDefault="00D77AD0" w:rsidP="00250E1B">
            <w:pPr>
              <w:tabs>
                <w:tab w:val="left" w:pos="13750"/>
              </w:tabs>
              <w:spacing w:after="0"/>
              <w:rPr>
                <w:rFonts w:eastAsia="Calibri" w:cs="Arial"/>
                <w:iCs/>
                <w:sz w:val="14"/>
                <w:szCs w:val="14"/>
              </w:rPr>
            </w:pPr>
            <w:r w:rsidRPr="00AB30EB">
              <w:rPr>
                <w:rFonts w:eastAsia="Calibri" w:cs="Arial"/>
                <w:iCs/>
                <w:sz w:val="14"/>
                <w:szCs w:val="14"/>
              </w:rPr>
              <w:t xml:space="preserve">- </w:t>
            </w:r>
            <w:r w:rsidRPr="00AB30EB">
              <w:rPr>
                <w:rFonts w:eastAsia="Calibri" w:cs="Arial"/>
                <w:iCs/>
                <w:sz w:val="14"/>
                <w:szCs w:val="14"/>
                <w:u w:val="single"/>
              </w:rPr>
              <w:t>Modelo de Solow</w:t>
            </w:r>
          </w:p>
          <w:p w14:paraId="3AAFC217" w14:textId="521EF1C8" w:rsidR="00AA1259" w:rsidRPr="00AB30EB" w:rsidRDefault="00AA1259" w:rsidP="00250E1B">
            <w:pPr>
              <w:tabs>
                <w:tab w:val="left" w:pos="13750"/>
              </w:tabs>
              <w:spacing w:after="0"/>
              <w:rPr>
                <w:rFonts w:eastAsia="Calibri" w:cs="Arial"/>
                <w:iCs/>
                <w:sz w:val="14"/>
                <w:szCs w:val="14"/>
              </w:rPr>
            </w:pPr>
            <w:r w:rsidRPr="00AB30EB">
              <w:rPr>
                <w:rFonts w:eastAsia="Calibri" w:cs="Arial"/>
                <w:iCs/>
                <w:sz w:val="14"/>
                <w:szCs w:val="14"/>
              </w:rPr>
              <w:t xml:space="preserve">Estiman por MCO una función que estima la renta per cápita </w:t>
            </w:r>
            <w:r w:rsidR="005A741F" w:rsidRPr="00AB30EB">
              <w:rPr>
                <w:rFonts w:eastAsia="Calibri" w:cs="Arial"/>
                <w:iCs/>
                <w:sz w:val="14"/>
                <w:szCs w:val="14"/>
              </w:rPr>
              <w:t>e</w:t>
            </w:r>
            <w:r w:rsidRPr="00AB30EB">
              <w:rPr>
                <w:rFonts w:eastAsia="Calibri" w:cs="Arial"/>
                <w:iCs/>
                <w:sz w:val="14"/>
                <w:szCs w:val="14"/>
              </w:rPr>
              <w:t>n función de los distintos parámetros del modelo de Solow.</w:t>
            </w:r>
          </w:p>
          <w:p w14:paraId="082E5921" w14:textId="1CFB405E" w:rsidR="00503818" w:rsidRPr="00AB30EB" w:rsidRDefault="00000000" w:rsidP="00503818">
            <w:pPr>
              <w:tabs>
                <w:tab w:val="left" w:pos="13750"/>
              </w:tabs>
              <w:spacing w:after="0"/>
              <w:jc w:val="center"/>
              <w:rPr>
                <w:rFonts w:eastAsia="Calibri" w:cs="Arial"/>
                <w:iCs/>
                <w:sz w:val="14"/>
                <w:szCs w:val="14"/>
              </w:rPr>
            </w:pPr>
            <m:oMathPara>
              <m:oMath>
                <m:sSup>
                  <m:sSupPr>
                    <m:ctrlPr>
                      <w:rPr>
                        <w:rFonts w:ascii="Cambria Math" w:hAnsi="Cambria Math"/>
                        <w:i/>
                        <w:iCs/>
                        <w:sz w:val="14"/>
                        <w:szCs w:val="14"/>
                      </w:rPr>
                    </m:ctrlPr>
                  </m:sSupPr>
                  <m:e>
                    <m:acc>
                      <m:accPr>
                        <m:chr m:val="̃"/>
                        <m:ctrlPr>
                          <w:rPr>
                            <w:rFonts w:ascii="Cambria Math" w:hAnsi="Cambria Math"/>
                            <w:i/>
                            <w:iCs/>
                            <w:sz w:val="14"/>
                            <w:szCs w:val="14"/>
                          </w:rPr>
                        </m:ctrlPr>
                      </m:accPr>
                      <m:e>
                        <m:sSub>
                          <m:sSubPr>
                            <m:ctrlPr>
                              <w:rPr>
                                <w:rFonts w:ascii="Cambria Math" w:hAnsi="Cambria Math"/>
                                <w:i/>
                                <w:iCs/>
                                <w:sz w:val="14"/>
                                <w:szCs w:val="14"/>
                              </w:rPr>
                            </m:ctrlPr>
                          </m:sSubPr>
                          <m:e>
                            <m:r>
                              <m:rPr>
                                <m:nor/>
                              </m:rPr>
                              <w:rPr>
                                <w:i/>
                                <w:iCs/>
                                <w:sz w:val="14"/>
                                <w:szCs w:val="14"/>
                              </w:rPr>
                              <m:t>k</m:t>
                            </m:r>
                          </m:e>
                          <m:sub>
                            <m:r>
                              <m:rPr>
                                <m:nor/>
                              </m:rPr>
                              <w:rPr>
                                <w:i/>
                                <w:iCs/>
                                <w:sz w:val="14"/>
                                <w:szCs w:val="14"/>
                              </w:rPr>
                              <m:t>t</m:t>
                            </m:r>
                          </m:sub>
                        </m:sSub>
                      </m:e>
                    </m:acc>
                  </m:e>
                  <m:sup>
                    <m:r>
                      <m:rPr>
                        <m:nor/>
                      </m:rPr>
                      <w:rPr>
                        <w:i/>
                        <w:sz w:val="14"/>
                        <w:szCs w:val="14"/>
                      </w:rPr>
                      <m:t>ss</m:t>
                    </m:r>
                  </m:sup>
                </m:sSup>
                <m:r>
                  <w:rPr>
                    <w:rFonts w:ascii="Cambria Math" w:hAnsi="Cambria Math"/>
                    <w:sz w:val="14"/>
                    <w:szCs w:val="14"/>
                  </w:rPr>
                  <m:t>=</m:t>
                </m:r>
                <m:sSup>
                  <m:sSupPr>
                    <m:ctrlPr>
                      <w:rPr>
                        <w:rFonts w:ascii="Cambria Math" w:hAnsi="Cambria Math"/>
                        <w:i/>
                        <w:iCs/>
                        <w:sz w:val="14"/>
                        <w:szCs w:val="14"/>
                        <w:lang w:val="fr-FR"/>
                      </w:rPr>
                    </m:ctrlPr>
                  </m:sSupPr>
                  <m:e>
                    <m:d>
                      <m:dPr>
                        <m:ctrlPr>
                          <w:rPr>
                            <w:rFonts w:ascii="Cambria Math" w:hAnsi="Cambria Math"/>
                            <w:i/>
                            <w:iCs/>
                            <w:sz w:val="14"/>
                            <w:szCs w:val="14"/>
                            <w:lang w:val="fr-FR"/>
                          </w:rPr>
                        </m:ctrlPr>
                      </m:dPr>
                      <m:e>
                        <m:f>
                          <m:fPr>
                            <m:ctrlPr>
                              <w:rPr>
                                <w:rFonts w:ascii="Cambria Math" w:hAnsi="Cambria Math"/>
                                <w:i/>
                                <w:iCs/>
                                <w:sz w:val="14"/>
                                <w:szCs w:val="14"/>
                                <w:lang w:val="fr-FR"/>
                              </w:rPr>
                            </m:ctrlPr>
                          </m:fPr>
                          <m:num>
                            <m:r>
                              <m:rPr>
                                <m:nor/>
                              </m:rPr>
                              <w:rPr>
                                <w:i/>
                                <w:iCs/>
                                <w:sz w:val="14"/>
                                <w:szCs w:val="14"/>
                              </w:rPr>
                              <m:t>s</m:t>
                            </m:r>
                          </m:num>
                          <m:den>
                            <m:r>
                              <m:rPr>
                                <m:nor/>
                              </m:rPr>
                              <w:rPr>
                                <w:i/>
                                <w:sz w:val="14"/>
                                <w:szCs w:val="14"/>
                                <w:lang w:val="fr-FR"/>
                              </w:rPr>
                              <m:t>δ</m:t>
                            </m:r>
                            <m:r>
                              <w:rPr>
                                <w:rFonts w:ascii="Cambria Math" w:hAnsi="Cambria Math"/>
                                <w:sz w:val="14"/>
                                <w:szCs w:val="14"/>
                              </w:rPr>
                              <m:t>+</m:t>
                            </m:r>
                            <m:r>
                              <m:rPr>
                                <m:nor/>
                              </m:rPr>
                              <w:rPr>
                                <w:i/>
                                <w:iCs/>
                                <w:sz w:val="14"/>
                                <w:szCs w:val="14"/>
                              </w:rPr>
                              <m:t>n</m:t>
                            </m:r>
                            <m:r>
                              <w:rPr>
                                <w:rFonts w:ascii="Cambria Math" w:hAnsi="Cambria Math"/>
                                <w:sz w:val="14"/>
                                <w:szCs w:val="14"/>
                              </w:rPr>
                              <m:t>+</m:t>
                            </m:r>
                            <m:r>
                              <m:rPr>
                                <m:nor/>
                              </m:rPr>
                              <w:rPr>
                                <w:i/>
                                <w:iCs/>
                                <w:sz w:val="14"/>
                                <w:szCs w:val="14"/>
                              </w:rPr>
                              <m:t>g</m:t>
                            </m:r>
                          </m:den>
                        </m:f>
                      </m:e>
                    </m:d>
                  </m:e>
                  <m:sup>
                    <m:f>
                      <m:fPr>
                        <m:ctrlPr>
                          <w:rPr>
                            <w:rFonts w:ascii="Cambria Math" w:hAnsi="Cambria Math"/>
                            <w:i/>
                            <w:iCs/>
                            <w:sz w:val="14"/>
                            <w:szCs w:val="14"/>
                            <w:lang w:val="fr-FR"/>
                          </w:rPr>
                        </m:ctrlPr>
                      </m:fPr>
                      <m:num>
                        <m:r>
                          <m:rPr>
                            <m:nor/>
                          </m:rPr>
                          <w:rPr>
                            <w:i/>
                            <w:iCs/>
                            <w:sz w:val="14"/>
                            <w:szCs w:val="14"/>
                          </w:rPr>
                          <m:t>1</m:t>
                        </m:r>
                      </m:num>
                      <m:den>
                        <m:r>
                          <m:rPr>
                            <m:nor/>
                          </m:rPr>
                          <w:rPr>
                            <w:i/>
                            <w:iCs/>
                            <w:sz w:val="14"/>
                            <w:szCs w:val="14"/>
                          </w:rPr>
                          <m:t>1</m:t>
                        </m:r>
                        <m:r>
                          <w:rPr>
                            <w:rFonts w:ascii="Cambria Math" w:hAnsi="Cambria Math"/>
                            <w:sz w:val="14"/>
                            <w:szCs w:val="14"/>
                          </w:rPr>
                          <m:t>-</m:t>
                        </m:r>
                        <m:r>
                          <m:rPr>
                            <m:nor/>
                          </m:rPr>
                          <w:rPr>
                            <w:i/>
                            <w:iCs/>
                            <w:sz w:val="14"/>
                            <w:szCs w:val="14"/>
                          </w:rPr>
                          <m:t>α</m:t>
                        </m:r>
                      </m:den>
                    </m:f>
                  </m:sup>
                </m:sSup>
              </m:oMath>
            </m:oMathPara>
          </w:p>
          <w:p w14:paraId="4D73CB42" w14:textId="77777777" w:rsidR="00D77AD0" w:rsidRPr="00AB30EB" w:rsidRDefault="00D77AD0" w:rsidP="00250E1B">
            <w:pPr>
              <w:tabs>
                <w:tab w:val="left" w:pos="13750"/>
              </w:tabs>
              <w:spacing w:after="0"/>
              <w:rPr>
                <w:rFonts w:eastAsia="Calibri" w:cs="Arial"/>
                <w:iCs/>
                <w:sz w:val="14"/>
                <w:szCs w:val="14"/>
              </w:rPr>
            </w:pPr>
            <w:r w:rsidRPr="00AB30EB">
              <w:rPr>
                <w:rFonts w:eastAsia="Calibri" w:cs="Arial"/>
                <w:iCs/>
                <w:sz w:val="14"/>
                <w:szCs w:val="14"/>
              </w:rPr>
              <w:t xml:space="preserve">- </w:t>
            </w:r>
            <w:r w:rsidRPr="00AB30EB">
              <w:rPr>
                <w:rFonts w:eastAsia="Calibri" w:cs="Arial"/>
                <w:iCs/>
                <w:sz w:val="14"/>
                <w:szCs w:val="14"/>
                <w:u w:val="single"/>
              </w:rPr>
              <w:t>Modelo de Solow con capital humano</w:t>
            </w:r>
          </w:p>
          <w:p w14:paraId="7A7FBD5D" w14:textId="497A1B43" w:rsidR="00AA1259" w:rsidRPr="00AB30EB" w:rsidRDefault="00AA1259" w:rsidP="00250E1B">
            <w:pPr>
              <w:tabs>
                <w:tab w:val="left" w:pos="13750"/>
              </w:tabs>
              <w:spacing w:after="0"/>
              <w:rPr>
                <w:sz w:val="14"/>
                <w:szCs w:val="14"/>
              </w:rPr>
            </w:pPr>
            <w:r w:rsidRPr="00AB30EB">
              <w:rPr>
                <w:sz w:val="14"/>
                <w:szCs w:val="14"/>
              </w:rPr>
              <w:t>Añaden capital humano al modelo de Solow y repiten el ejercicio anterior.</w:t>
            </w:r>
          </w:p>
        </w:tc>
        <w:tc>
          <w:tcPr>
            <w:tcW w:w="4914" w:type="dxa"/>
            <w:tcBorders>
              <w:top w:val="single" w:sz="4" w:space="0" w:color="auto"/>
              <w:bottom w:val="single" w:sz="4" w:space="0" w:color="auto"/>
            </w:tcBorders>
            <w:vAlign w:val="center"/>
          </w:tcPr>
          <w:p w14:paraId="3D5A18CD" w14:textId="77777777" w:rsidR="00D77AD0" w:rsidRPr="00AB30EB" w:rsidRDefault="00D77AD0" w:rsidP="00250E1B">
            <w:pPr>
              <w:tabs>
                <w:tab w:val="left" w:pos="13750"/>
              </w:tabs>
              <w:spacing w:after="0"/>
              <w:rPr>
                <w:sz w:val="14"/>
                <w:szCs w:val="14"/>
              </w:rPr>
            </w:pPr>
            <w:r w:rsidRPr="00AB30EB">
              <w:rPr>
                <w:sz w:val="14"/>
                <w:szCs w:val="14"/>
              </w:rPr>
              <w:t>Se centra en analizar cómo las diferencias en capital humano y productividad pueden explicar los diferentes niveles de renta por trabajador entre países.</w:t>
            </w:r>
          </w:p>
          <w:p w14:paraId="11908B34" w14:textId="4476364E" w:rsidR="00D77AD0" w:rsidRPr="00AB30EB" w:rsidRDefault="00D77AD0" w:rsidP="00250E1B">
            <w:pPr>
              <w:tabs>
                <w:tab w:val="left" w:pos="13750"/>
              </w:tabs>
              <w:spacing w:after="0"/>
              <w:rPr>
                <w:sz w:val="14"/>
                <w:szCs w:val="14"/>
              </w:rPr>
            </w:pPr>
            <w:r w:rsidRPr="00AB30EB">
              <w:rPr>
                <w:sz w:val="14"/>
                <w:szCs w:val="14"/>
              </w:rPr>
              <w:t>Adicionalmente, también realizan un estudio más profundo sobre la forma en que las infraestructuras sociales determinan la riqueza de un país, así como los problemas que presenta dicho análisis.</w:t>
            </w:r>
          </w:p>
        </w:tc>
        <w:tc>
          <w:tcPr>
            <w:tcW w:w="4914" w:type="dxa"/>
            <w:tcBorders>
              <w:top w:val="single" w:sz="4" w:space="0" w:color="auto"/>
              <w:bottom w:val="single" w:sz="4" w:space="0" w:color="auto"/>
              <w:right w:val="single" w:sz="4" w:space="0" w:color="auto"/>
            </w:tcBorders>
            <w:vAlign w:val="center"/>
          </w:tcPr>
          <w:p w14:paraId="61562E7B" w14:textId="77777777" w:rsidR="00D77AD0" w:rsidRPr="00AB30EB" w:rsidRDefault="00D77AD0" w:rsidP="00250E1B">
            <w:pPr>
              <w:tabs>
                <w:tab w:val="left" w:pos="13750"/>
              </w:tabs>
              <w:spacing w:after="0"/>
              <w:rPr>
                <w:sz w:val="14"/>
                <w:szCs w:val="14"/>
              </w:rPr>
            </w:pPr>
            <w:r w:rsidRPr="00AB30EB">
              <w:rPr>
                <w:sz w:val="14"/>
                <w:szCs w:val="14"/>
              </w:rPr>
              <w:t>La eficiencia se mide como un residuo (medida de nuestra ignorancia)</w:t>
            </w:r>
            <w:r w:rsidR="0069225A" w:rsidRPr="00AB30EB">
              <w:rPr>
                <w:sz w:val="14"/>
                <w:szCs w:val="14"/>
              </w:rPr>
              <w:t>.</w:t>
            </w:r>
          </w:p>
          <w:p w14:paraId="71390B73" w14:textId="5312D9E2" w:rsidR="0069225A" w:rsidRPr="00AB30EB" w:rsidRDefault="005A741F" w:rsidP="00250E1B">
            <w:pPr>
              <w:tabs>
                <w:tab w:val="left" w:pos="13750"/>
              </w:tabs>
              <w:spacing w:after="0"/>
              <w:rPr>
                <w:i/>
                <w:iCs/>
                <w:sz w:val="14"/>
                <w:szCs w:val="14"/>
              </w:rPr>
            </w:pPr>
            <m:oMathPara>
              <m:oMath>
                <m:r>
                  <w:rPr>
                    <w:rFonts w:ascii="Cambria Math" w:eastAsiaTheme="minorEastAsia" w:hAnsi="Cambria Math"/>
                    <w:sz w:val="14"/>
                    <w:szCs w:val="14"/>
                  </w:rPr>
                  <m:t xml:space="preserve"> </m:t>
                </m:r>
                <m:r>
                  <m:rPr>
                    <m:nor/>
                  </m:rPr>
                  <w:rPr>
                    <w:i/>
                    <w:iCs/>
                    <w:sz w:val="14"/>
                    <w:szCs w:val="14"/>
                  </w:rPr>
                  <m:t>var</m:t>
                </m:r>
                <m:d>
                  <m:dPr>
                    <m:begChr m:val="["/>
                    <m:endChr m:val="]"/>
                    <m:ctrlPr>
                      <w:rPr>
                        <w:rFonts w:ascii="Cambria Math" w:hAnsi="Cambria Math"/>
                        <w:i/>
                        <w:iCs/>
                        <w:sz w:val="14"/>
                        <w:szCs w:val="14"/>
                      </w:rPr>
                    </m:ctrlPr>
                  </m:dPr>
                  <m:e>
                    <m:r>
                      <m:rPr>
                        <m:nor/>
                      </m:rPr>
                      <w:rPr>
                        <w:i/>
                        <w:iCs/>
                        <w:sz w:val="14"/>
                        <w:szCs w:val="14"/>
                      </w:rPr>
                      <m:t>log</m:t>
                    </m:r>
                    <m:d>
                      <m:dPr>
                        <m:ctrlPr>
                          <w:rPr>
                            <w:rFonts w:ascii="Cambria Math" w:hAnsi="Cambria Math"/>
                            <w:i/>
                            <w:iCs/>
                            <w:sz w:val="14"/>
                            <w:szCs w:val="14"/>
                          </w:rPr>
                        </m:ctrlPr>
                      </m:dPr>
                      <m:e>
                        <m:r>
                          <m:rPr>
                            <m:nor/>
                          </m:rPr>
                          <w:rPr>
                            <w:i/>
                            <w:iCs/>
                            <w:sz w:val="14"/>
                            <w:szCs w:val="14"/>
                          </w:rPr>
                          <m:t>y</m:t>
                        </m:r>
                      </m:e>
                    </m:d>
                  </m:e>
                </m:d>
                <m:r>
                  <w:rPr>
                    <w:rFonts w:ascii="Cambria Math" w:eastAsiaTheme="minorEastAsia" w:hAnsi="Cambria Math"/>
                    <w:sz w:val="14"/>
                    <w:szCs w:val="14"/>
                  </w:rPr>
                  <m:t>=</m:t>
                </m:r>
                <m:r>
                  <m:rPr>
                    <m:nor/>
                  </m:rPr>
                  <w:rPr>
                    <w:i/>
                    <w:iCs/>
                    <w:sz w:val="14"/>
                    <w:szCs w:val="14"/>
                  </w:rPr>
                  <m:t>var</m:t>
                </m:r>
                <m:d>
                  <m:dPr>
                    <m:begChr m:val="["/>
                    <m:endChr m:val="]"/>
                    <m:ctrlPr>
                      <w:rPr>
                        <w:rFonts w:ascii="Cambria Math" w:hAnsi="Cambria Math"/>
                        <w:i/>
                        <w:iCs/>
                        <w:sz w:val="14"/>
                        <w:szCs w:val="14"/>
                      </w:rPr>
                    </m:ctrlPr>
                  </m:dPr>
                  <m:e>
                    <m:r>
                      <m:rPr>
                        <m:nor/>
                      </m:rPr>
                      <w:rPr>
                        <w:i/>
                        <w:iCs/>
                        <w:sz w:val="14"/>
                        <w:szCs w:val="14"/>
                      </w:rPr>
                      <m:t>log</m:t>
                    </m:r>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rPr>
                              <m:t>y</m:t>
                            </m:r>
                          </m:e>
                          <m:sub>
                            <m:r>
                              <m:rPr>
                                <m:nor/>
                              </m:rPr>
                              <w:rPr>
                                <w:i/>
                                <w:iCs/>
                                <w:sz w:val="14"/>
                                <w:szCs w:val="14"/>
                              </w:rPr>
                              <m:t>KH</m:t>
                            </m:r>
                          </m:sub>
                        </m:sSub>
                      </m:e>
                    </m:d>
                  </m:e>
                </m:d>
                <m:r>
                  <w:rPr>
                    <w:rFonts w:ascii="Cambria Math" w:hAnsi="Cambria Math"/>
                    <w:sz w:val="14"/>
                    <w:szCs w:val="14"/>
                  </w:rPr>
                  <m:t>+</m:t>
                </m:r>
                <m:r>
                  <m:rPr>
                    <m:nor/>
                  </m:rPr>
                  <w:rPr>
                    <w:i/>
                    <w:iCs/>
                    <w:sz w:val="14"/>
                    <w:szCs w:val="14"/>
                  </w:rPr>
                  <m:t>var</m:t>
                </m:r>
                <m:d>
                  <m:dPr>
                    <m:begChr m:val="["/>
                    <m:endChr m:val="]"/>
                    <m:ctrlPr>
                      <w:rPr>
                        <w:rFonts w:ascii="Cambria Math" w:hAnsi="Cambria Math"/>
                        <w:i/>
                        <w:iCs/>
                        <w:sz w:val="14"/>
                        <w:szCs w:val="14"/>
                      </w:rPr>
                    </m:ctrlPr>
                  </m:dPr>
                  <m:e>
                    <m:r>
                      <m:rPr>
                        <m:nor/>
                      </m:rPr>
                      <w:rPr>
                        <w:i/>
                        <w:iCs/>
                        <w:sz w:val="14"/>
                        <w:szCs w:val="14"/>
                      </w:rPr>
                      <m:t>log</m:t>
                    </m:r>
                    <m:d>
                      <m:dPr>
                        <m:ctrlPr>
                          <w:rPr>
                            <w:rFonts w:ascii="Cambria Math" w:hAnsi="Cambria Math"/>
                            <w:i/>
                            <w:iCs/>
                            <w:sz w:val="14"/>
                            <w:szCs w:val="14"/>
                          </w:rPr>
                        </m:ctrlPr>
                      </m:dPr>
                      <m:e>
                        <m:r>
                          <m:rPr>
                            <m:nor/>
                          </m:rPr>
                          <w:rPr>
                            <w:i/>
                            <w:iCs/>
                            <w:sz w:val="14"/>
                            <w:szCs w:val="14"/>
                          </w:rPr>
                          <m:t>A</m:t>
                        </m:r>
                      </m:e>
                    </m:d>
                  </m:e>
                </m:d>
                <m:r>
                  <w:rPr>
                    <w:rFonts w:ascii="Cambria Math" w:hAnsi="Cambria Math"/>
                    <w:sz w:val="14"/>
                    <w:szCs w:val="14"/>
                  </w:rPr>
                  <m:t>+</m:t>
                </m:r>
                <m:r>
                  <m:rPr>
                    <m:nor/>
                  </m:rPr>
                  <w:rPr>
                    <w:i/>
                    <w:sz w:val="14"/>
                    <w:szCs w:val="14"/>
                  </w:rPr>
                  <m:t>2</m:t>
                </m:r>
                <m:r>
                  <w:rPr>
                    <w:rFonts w:ascii="Cambria Math" w:hAnsi="Cambria Math"/>
                    <w:sz w:val="14"/>
                    <w:szCs w:val="14"/>
                  </w:rPr>
                  <m:t>∙</m:t>
                </m:r>
                <m:r>
                  <m:rPr>
                    <m:nor/>
                  </m:rPr>
                  <w:rPr>
                    <w:i/>
                    <w:iCs/>
                    <w:sz w:val="14"/>
                    <w:szCs w:val="14"/>
                  </w:rPr>
                  <m:t>cov</m:t>
                </m:r>
                <m:d>
                  <m:dPr>
                    <m:begChr m:val="["/>
                    <m:endChr m:val="]"/>
                    <m:ctrlPr>
                      <w:rPr>
                        <w:rFonts w:ascii="Cambria Math" w:hAnsi="Cambria Math"/>
                        <w:i/>
                        <w:iCs/>
                        <w:sz w:val="14"/>
                        <w:szCs w:val="14"/>
                      </w:rPr>
                    </m:ctrlPr>
                  </m:dPr>
                  <m:e>
                    <m:r>
                      <m:rPr>
                        <m:nor/>
                      </m:rPr>
                      <w:rPr>
                        <w:i/>
                        <w:iCs/>
                        <w:sz w:val="14"/>
                        <w:szCs w:val="14"/>
                      </w:rPr>
                      <m:t>log</m:t>
                    </m:r>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rPr>
                              <m:t>y</m:t>
                            </m:r>
                          </m:e>
                          <m:sub>
                            <m:r>
                              <m:rPr>
                                <m:nor/>
                              </m:rPr>
                              <w:rPr>
                                <w:i/>
                                <w:iCs/>
                                <w:sz w:val="14"/>
                                <w:szCs w:val="14"/>
                              </w:rPr>
                              <m:t>KH</m:t>
                            </m:r>
                          </m:sub>
                        </m:sSub>
                      </m:e>
                    </m:d>
                    <m:r>
                      <m:rPr>
                        <m:nor/>
                      </m:rPr>
                      <w:rPr>
                        <w:i/>
                        <w:iCs/>
                        <w:sz w:val="14"/>
                        <w:szCs w:val="14"/>
                      </w:rPr>
                      <m:t>, log</m:t>
                    </m:r>
                    <m:d>
                      <m:dPr>
                        <m:ctrlPr>
                          <w:rPr>
                            <w:rFonts w:ascii="Cambria Math" w:hAnsi="Cambria Math"/>
                            <w:i/>
                            <w:iCs/>
                            <w:sz w:val="14"/>
                            <w:szCs w:val="14"/>
                          </w:rPr>
                        </m:ctrlPr>
                      </m:dPr>
                      <m:e>
                        <m:r>
                          <m:rPr>
                            <m:nor/>
                          </m:rPr>
                          <w:rPr>
                            <w:i/>
                            <w:iCs/>
                            <w:sz w:val="14"/>
                            <w:szCs w:val="14"/>
                          </w:rPr>
                          <m:t>A</m:t>
                        </m:r>
                      </m:e>
                    </m:d>
                  </m:e>
                </m:d>
              </m:oMath>
            </m:oMathPara>
          </w:p>
        </w:tc>
      </w:tr>
      <w:tr w:rsidR="00250E1B" w:rsidRPr="00AB30EB" w14:paraId="4EC54FD8" w14:textId="77777777" w:rsidTr="00160AC5">
        <w:tc>
          <w:tcPr>
            <w:tcW w:w="1419" w:type="dxa"/>
            <w:tcBorders>
              <w:top w:val="single" w:sz="4" w:space="0" w:color="auto"/>
              <w:left w:val="single" w:sz="4" w:space="0" w:color="auto"/>
              <w:bottom w:val="single" w:sz="4" w:space="0" w:color="auto"/>
            </w:tcBorders>
            <w:vAlign w:val="center"/>
          </w:tcPr>
          <w:p w14:paraId="5623F64D" w14:textId="36D31279" w:rsidR="00D77AD0" w:rsidRPr="00AB30EB" w:rsidRDefault="00D77AD0" w:rsidP="00250E1B">
            <w:pPr>
              <w:tabs>
                <w:tab w:val="left" w:pos="13750"/>
              </w:tabs>
              <w:spacing w:after="0"/>
              <w:jc w:val="right"/>
              <w:rPr>
                <w:sz w:val="16"/>
                <w:szCs w:val="16"/>
                <w:lang w:val="fr-FR"/>
              </w:rPr>
            </w:pPr>
            <w:r w:rsidRPr="00AB30EB">
              <w:rPr>
                <w:sz w:val="16"/>
                <w:szCs w:val="16"/>
              </w:rPr>
              <w:t>Resultados e implicaciones</w:t>
            </w:r>
          </w:p>
        </w:tc>
        <w:tc>
          <w:tcPr>
            <w:tcW w:w="4914" w:type="dxa"/>
            <w:tcBorders>
              <w:top w:val="single" w:sz="4" w:space="0" w:color="auto"/>
              <w:bottom w:val="single" w:sz="4" w:space="0" w:color="auto"/>
            </w:tcBorders>
            <w:vAlign w:val="center"/>
          </w:tcPr>
          <w:p w14:paraId="69D184E1" w14:textId="74365146" w:rsidR="00D77AD0" w:rsidRPr="00AB30EB" w:rsidRDefault="00D77AD0" w:rsidP="00231B5D">
            <w:pPr>
              <w:tabs>
                <w:tab w:val="left" w:pos="13750"/>
              </w:tabs>
              <w:spacing w:after="20" w:line="180" w:lineRule="auto"/>
              <w:jc w:val="left"/>
              <w:rPr>
                <w:rFonts w:eastAsia="Calibri" w:cs="Arial"/>
                <w:i/>
                <w:sz w:val="14"/>
                <w:szCs w:val="14"/>
              </w:rPr>
            </w:pPr>
            <w:r w:rsidRPr="00AB30EB">
              <w:rPr>
                <w:rFonts w:eastAsia="Calibri" w:cs="Arial"/>
                <w:iCs/>
                <w:sz w:val="14"/>
                <w:szCs w:val="14"/>
              </w:rPr>
              <w:t>En estado estacionario la acumulación de capital dependerá de</w:t>
            </w:r>
            <w:r w:rsidR="005A741F" w:rsidRPr="00AB30EB">
              <w:rPr>
                <w:rFonts w:eastAsia="Calibri" w:cs="Arial"/>
                <w:iCs/>
                <w:sz w:val="14"/>
                <w:szCs w:val="14"/>
              </w:rPr>
              <w:t xml:space="preserve"> </w:t>
            </w:r>
            <w:r w:rsidR="00FF4D51">
              <w:rPr>
                <w:rFonts w:eastAsia="Calibri" w:cs="Arial"/>
                <w:iCs/>
                <w:sz w:val="14"/>
                <w:szCs w:val="14"/>
              </w:rPr>
              <w:t>4 </w:t>
            </w:r>
            <w:r w:rsidRPr="00AB30EB">
              <w:rPr>
                <w:rFonts w:eastAsia="Calibri" w:cs="Arial"/>
                <w:iCs/>
                <w:sz w:val="14"/>
                <w:szCs w:val="14"/>
              </w:rPr>
              <w:t>factores:</w:t>
            </w:r>
            <w:r w:rsidR="00FF4D51">
              <w:rPr>
                <w:rFonts w:eastAsia="Calibri" w:cs="Arial"/>
                <w:iCs/>
                <w:sz w:val="14"/>
                <w:szCs w:val="14"/>
              </w:rPr>
              <w:br/>
            </w:r>
            <w:r w:rsidRPr="00AB30EB">
              <w:rPr>
                <w:rFonts w:eastAsia="Calibri" w:cs="Arial"/>
                <w:i/>
                <w:sz w:val="14"/>
                <w:szCs w:val="14"/>
              </w:rPr>
              <w:t>s</w:t>
            </w:r>
            <w:r w:rsidRPr="00AB30EB">
              <w:rPr>
                <w:rFonts w:eastAsia="Calibri" w:cs="Arial"/>
                <w:iCs/>
                <w:sz w:val="14"/>
                <w:szCs w:val="14"/>
              </w:rPr>
              <w:t xml:space="preserve">, </w:t>
            </w:r>
            <w:r w:rsidRPr="00AB30EB">
              <w:rPr>
                <w:rFonts w:eastAsia="Calibri" w:cs="Arial"/>
                <w:i/>
                <w:sz w:val="14"/>
                <w:szCs w:val="14"/>
              </w:rPr>
              <w:t>n</w:t>
            </w:r>
            <w:r w:rsidR="00727081" w:rsidRPr="00AB30EB">
              <w:rPr>
                <w:rFonts w:eastAsia="Calibri" w:cs="Arial"/>
                <w:iCs/>
                <w:sz w:val="14"/>
                <w:szCs w:val="14"/>
              </w:rPr>
              <w:t>,</w:t>
            </w:r>
            <w:r w:rsidRPr="00AB30EB">
              <w:rPr>
                <w:rFonts w:eastAsia="Calibri" w:cs="Arial"/>
                <w:iCs/>
                <w:sz w:val="14"/>
                <w:szCs w:val="14"/>
              </w:rPr>
              <w:t xml:space="preserve"> </w:t>
            </w:r>
            <m:oMath>
              <m:sSub>
                <m:sSubPr>
                  <m:ctrlPr>
                    <w:rPr>
                      <w:rFonts w:ascii="Cambria Math" w:eastAsiaTheme="minorEastAsia" w:hAnsi="Cambria Math"/>
                      <w:i/>
                      <w:sz w:val="14"/>
                      <w:szCs w:val="14"/>
                    </w:rPr>
                  </m:ctrlPr>
                </m:sSubPr>
                <m:e>
                  <m:r>
                    <m:rPr>
                      <m:nor/>
                    </m:rPr>
                    <w:rPr>
                      <w:rFonts w:eastAsiaTheme="minorEastAsia"/>
                      <w:i/>
                      <w:sz w:val="14"/>
                      <w:szCs w:val="14"/>
                    </w:rPr>
                    <m:t>γ</m:t>
                  </m:r>
                </m:e>
                <m:sub>
                  <m:r>
                    <m:rPr>
                      <m:nor/>
                    </m:rPr>
                    <w:rPr>
                      <w:rFonts w:eastAsiaTheme="minorEastAsia"/>
                      <w:i/>
                      <w:sz w:val="14"/>
                      <w:szCs w:val="14"/>
                    </w:rPr>
                    <m:t>A</m:t>
                  </m:r>
                </m:sub>
              </m:sSub>
            </m:oMath>
            <w:r w:rsidRPr="00AB30EB">
              <w:rPr>
                <w:rFonts w:eastAsia="Calibri" w:cs="Arial"/>
                <w:sz w:val="14"/>
                <w:szCs w:val="14"/>
              </w:rPr>
              <w:t xml:space="preserve"> y </w:t>
            </w:r>
            <w:bookmarkStart w:id="85" w:name="_Hlk59618492"/>
            <m:oMath>
              <m:r>
                <m:rPr>
                  <m:nor/>
                </m:rPr>
                <w:rPr>
                  <w:i/>
                  <w:iCs/>
                  <w:sz w:val="14"/>
                  <w:szCs w:val="14"/>
                </w:rPr>
                <m:t>δ</m:t>
              </m:r>
            </m:oMath>
            <w:bookmarkEnd w:id="85"/>
            <w:r w:rsidRPr="00AB30EB">
              <w:rPr>
                <w:rFonts w:eastAsia="Calibri" w:cs="Arial"/>
                <w:sz w:val="14"/>
                <w:szCs w:val="14"/>
              </w:rPr>
              <w:t>.</w:t>
            </w:r>
          </w:p>
          <w:p w14:paraId="25E38907" w14:textId="77777777" w:rsidR="00D77AD0" w:rsidRPr="00AB30EB" w:rsidRDefault="00D77AD0" w:rsidP="00250E1B">
            <w:pPr>
              <w:tabs>
                <w:tab w:val="left" w:pos="13750"/>
              </w:tabs>
              <w:spacing w:after="0"/>
              <w:rPr>
                <w:rFonts w:eastAsia="Calibri" w:cs="Arial"/>
                <w:iCs/>
                <w:sz w:val="14"/>
                <w:szCs w:val="14"/>
              </w:rPr>
            </w:pPr>
            <w:r w:rsidRPr="00AB30EB">
              <w:rPr>
                <w:rFonts w:eastAsia="Calibri" w:cs="Arial"/>
                <w:iCs/>
                <w:sz w:val="14"/>
                <w:szCs w:val="14"/>
              </w:rPr>
              <w:t>Estiman por MCO una función que estima la renta per cápita in función de los distintos parámetros del modelo de Solow.</w:t>
            </w:r>
          </w:p>
          <w:p w14:paraId="250C8A7E" w14:textId="71D26732" w:rsidR="00D77AD0" w:rsidRPr="00AB30EB" w:rsidRDefault="00D77AD0" w:rsidP="00250E1B">
            <w:pPr>
              <w:tabs>
                <w:tab w:val="left" w:pos="13750"/>
              </w:tabs>
              <w:spacing w:after="0"/>
              <w:rPr>
                <w:rFonts w:eastAsia="Times New Roman"/>
                <w:iCs/>
                <w:sz w:val="14"/>
                <w:szCs w:val="14"/>
              </w:rPr>
            </w:pPr>
            <w:r w:rsidRPr="00AB30EB">
              <w:rPr>
                <w:rFonts w:eastAsia="Calibri" w:cs="Arial"/>
                <w:iCs/>
                <w:sz w:val="14"/>
                <w:szCs w:val="14"/>
              </w:rPr>
              <w:t xml:space="preserve">Sin embargo, sus resultados estiman </w:t>
            </w:r>
            <m:oMath>
              <m:r>
                <m:rPr>
                  <m:nor/>
                </m:rPr>
                <w:rPr>
                  <w:i/>
                  <w:iCs/>
                  <w:sz w:val="14"/>
                  <w:szCs w:val="14"/>
                </w:rPr>
                <m:t>α</m:t>
              </m:r>
              <m:r>
                <w:rPr>
                  <w:rFonts w:ascii="Cambria Math" w:hAnsi="Cambria Math"/>
                  <w:sz w:val="14"/>
                  <w:szCs w:val="14"/>
                </w:rPr>
                <m:t>=</m:t>
              </m:r>
              <m:f>
                <m:fPr>
                  <m:type m:val="skw"/>
                  <m:ctrlPr>
                    <w:rPr>
                      <w:rFonts w:ascii="Cambria Math" w:hAnsi="Cambria Math"/>
                      <w:i/>
                      <w:iCs/>
                      <w:sz w:val="14"/>
                      <w:szCs w:val="14"/>
                    </w:rPr>
                  </m:ctrlPr>
                </m:fPr>
                <m:num>
                  <m:r>
                    <m:rPr>
                      <m:nor/>
                    </m:rPr>
                    <w:rPr>
                      <w:i/>
                      <w:iCs/>
                      <w:sz w:val="14"/>
                      <w:szCs w:val="14"/>
                    </w:rPr>
                    <m:t>2</m:t>
                  </m:r>
                </m:num>
                <m:den>
                  <m:r>
                    <m:rPr>
                      <m:nor/>
                    </m:rPr>
                    <w:rPr>
                      <w:i/>
                      <w:iCs/>
                      <w:sz w:val="14"/>
                      <w:szCs w:val="14"/>
                    </w:rPr>
                    <m:t>3</m:t>
                  </m:r>
                </m:den>
              </m:f>
            </m:oMath>
            <w:r w:rsidRPr="00AB30EB">
              <w:rPr>
                <w:rFonts w:eastAsia="Times New Roman"/>
                <w:iCs/>
                <w:sz w:val="14"/>
                <w:szCs w:val="14"/>
              </w:rPr>
              <w:t xml:space="preserve"> (muy distinto al </w:t>
            </w:r>
            <m:oMath>
              <m:f>
                <m:fPr>
                  <m:type m:val="skw"/>
                  <m:ctrlPr>
                    <w:rPr>
                      <w:rFonts w:ascii="Cambria Math" w:hAnsi="Cambria Math"/>
                      <w:i/>
                      <w:iCs/>
                      <w:sz w:val="14"/>
                      <w:szCs w:val="14"/>
                    </w:rPr>
                  </m:ctrlPr>
                </m:fPr>
                <m:num>
                  <m:r>
                    <m:rPr>
                      <m:nor/>
                    </m:rPr>
                    <w:rPr>
                      <w:i/>
                      <w:iCs/>
                      <w:sz w:val="14"/>
                      <w:szCs w:val="14"/>
                    </w:rPr>
                    <m:t>1</m:t>
                  </m:r>
                </m:num>
                <m:den>
                  <m:r>
                    <m:rPr>
                      <m:nor/>
                    </m:rPr>
                    <w:rPr>
                      <w:i/>
                      <w:iCs/>
                      <w:sz w:val="14"/>
                      <w:szCs w:val="14"/>
                    </w:rPr>
                    <m:t>3</m:t>
                  </m:r>
                </m:den>
              </m:f>
            </m:oMath>
            <w:r w:rsidRPr="00AB30EB">
              <w:rPr>
                <w:rFonts w:eastAsia="Times New Roman"/>
                <w:iCs/>
                <w:sz w:val="14"/>
                <w:szCs w:val="14"/>
              </w:rPr>
              <w:t xml:space="preserve"> observado en la realidad).</w:t>
            </w:r>
          </w:p>
          <w:p w14:paraId="6D29B90C" w14:textId="19F6CF1F" w:rsidR="00D77AD0" w:rsidRPr="00AB30EB" w:rsidRDefault="00D77AD0" w:rsidP="00231B5D">
            <w:pPr>
              <w:tabs>
                <w:tab w:val="left" w:pos="13750"/>
              </w:tabs>
              <w:spacing w:after="80"/>
              <w:rPr>
                <w:rFonts w:eastAsia="Times New Roman"/>
                <w:iCs/>
                <w:sz w:val="14"/>
                <w:szCs w:val="14"/>
              </w:rPr>
            </w:pPr>
            <w:r w:rsidRPr="00AB30EB">
              <w:rPr>
                <w:rFonts w:eastAsia="Times New Roman"/>
                <w:iCs/>
                <w:sz w:val="14"/>
                <w:szCs w:val="14"/>
              </w:rPr>
              <w:t xml:space="preserve">Además </w:t>
            </w:r>
            <m:oMath>
              <m:sSup>
                <m:sSupPr>
                  <m:ctrlPr>
                    <w:rPr>
                      <w:rFonts w:ascii="Cambria Math" w:eastAsia="Times New Roman" w:hAnsi="Cambria Math"/>
                      <w:i/>
                      <w:iCs/>
                      <w:sz w:val="14"/>
                      <w:szCs w:val="14"/>
                    </w:rPr>
                  </m:ctrlPr>
                </m:sSupPr>
                <m:e>
                  <m:r>
                    <m:rPr>
                      <m:nor/>
                    </m:rPr>
                    <w:rPr>
                      <w:rFonts w:eastAsia="Times New Roman"/>
                      <w:i/>
                      <w:iCs/>
                      <w:sz w:val="14"/>
                      <w:szCs w:val="14"/>
                    </w:rPr>
                    <m:t>R</m:t>
                  </m:r>
                </m:e>
                <m:sup>
                  <m:r>
                    <m:rPr>
                      <m:nor/>
                    </m:rPr>
                    <w:rPr>
                      <w:rFonts w:eastAsia="Times New Roman"/>
                      <w:i/>
                      <w:iCs/>
                      <w:sz w:val="14"/>
                      <w:szCs w:val="14"/>
                    </w:rPr>
                    <m:t>2</m:t>
                  </m:r>
                </m:sup>
              </m:sSup>
              <m:r>
                <w:rPr>
                  <w:rFonts w:ascii="Cambria Math" w:eastAsia="Times New Roman" w:hAnsi="Cambria Math"/>
                  <w:sz w:val="14"/>
                  <w:szCs w:val="14"/>
                </w:rPr>
                <m:t>=</m:t>
              </m:r>
              <m:r>
                <m:rPr>
                  <m:nor/>
                </m:rPr>
                <w:rPr>
                  <w:rFonts w:eastAsia="Times New Roman"/>
                  <w:i/>
                  <w:iCs/>
                  <w:sz w:val="14"/>
                  <w:szCs w:val="14"/>
                </w:rPr>
                <m:t>0.6</m:t>
              </m:r>
            </m:oMath>
            <w:r w:rsidRPr="00AB30EB">
              <w:rPr>
                <w:rFonts w:eastAsia="Times New Roman"/>
                <w:iCs/>
                <w:sz w:val="14"/>
                <w:szCs w:val="14"/>
              </w:rPr>
              <w:t>, por lo que el modelo (la acumulación de capital físico) solo explica el 60 % de la variación en la renta per cápita.</w:t>
            </w:r>
          </w:p>
          <w:p w14:paraId="74ACE0D1" w14:textId="77777777" w:rsidR="00D77AD0" w:rsidRPr="00AB30EB" w:rsidRDefault="00D77AD0" w:rsidP="00250E1B">
            <w:pPr>
              <w:tabs>
                <w:tab w:val="left" w:pos="13750"/>
              </w:tabs>
              <w:spacing w:after="0"/>
              <w:rPr>
                <w:rFonts w:eastAsia="Calibri" w:cs="Arial"/>
                <w:iCs/>
                <w:sz w:val="14"/>
                <w:szCs w:val="14"/>
              </w:rPr>
            </w:pPr>
            <w:r w:rsidRPr="00AB30EB">
              <w:rPr>
                <w:rFonts w:eastAsia="Calibri" w:cs="Arial"/>
                <w:iCs/>
                <w:sz w:val="14"/>
                <w:szCs w:val="14"/>
              </w:rPr>
              <w:t>Por estas limitaciones deciden controlar por el capital humano en el segundo ejercicio, y obtienen resultados más satisfactorios:</w:t>
            </w:r>
          </w:p>
          <w:p w14:paraId="27399BA7" w14:textId="605904A7" w:rsidR="00D77AD0" w:rsidRPr="00AB30EB" w:rsidRDefault="00000000">
            <w:pPr>
              <w:pStyle w:val="Prrafodelista"/>
              <w:numPr>
                <w:ilvl w:val="0"/>
                <w:numId w:val="10"/>
              </w:numPr>
              <w:tabs>
                <w:tab w:val="left" w:pos="13750"/>
              </w:tabs>
              <w:spacing w:after="0"/>
              <w:ind w:left="266" w:hanging="142"/>
              <w:rPr>
                <w:rFonts w:eastAsia="Calibri" w:cs="Arial"/>
                <w:i/>
                <w:iCs/>
                <w:sz w:val="14"/>
                <w:szCs w:val="14"/>
                <w:lang w:val="fr-FR"/>
              </w:rPr>
            </w:pPr>
            <m:oMath>
              <m:sSub>
                <m:sSubPr>
                  <m:ctrlPr>
                    <w:rPr>
                      <w:rFonts w:ascii="Cambria Math" w:hAnsi="Cambria Math"/>
                      <w:i/>
                      <w:iCs/>
                      <w:sz w:val="14"/>
                      <w:szCs w:val="14"/>
                      <w:lang w:val="fr-FR"/>
                    </w:rPr>
                  </m:ctrlPr>
                </m:sSubPr>
                <m:e>
                  <m:r>
                    <m:rPr>
                      <m:nor/>
                    </m:rPr>
                    <w:rPr>
                      <w:i/>
                      <w:iCs/>
                      <w:sz w:val="14"/>
                      <w:szCs w:val="14"/>
                      <w:lang w:val="fr-FR"/>
                    </w:rPr>
                    <m:t>Y</m:t>
                  </m:r>
                </m:e>
                <m:sub>
                  <m:r>
                    <m:rPr>
                      <m:nor/>
                    </m:rPr>
                    <w:rPr>
                      <w:i/>
                      <w:iCs/>
                      <w:sz w:val="14"/>
                      <w:szCs w:val="14"/>
                      <w:lang w:val="fr-FR"/>
                    </w:rPr>
                    <m:t>t</m:t>
                  </m:r>
                </m:sub>
              </m:sSub>
              <m:r>
                <w:rPr>
                  <w:rFonts w:ascii="Cambria Math" w:hAnsi="Cambria Math"/>
                  <w:sz w:val="14"/>
                  <w:szCs w:val="14"/>
                  <w:lang w:val="fr-FR"/>
                </w:rPr>
                <m:t>=</m:t>
              </m:r>
              <m:sSubSup>
                <m:sSubSupPr>
                  <m:ctrlPr>
                    <w:rPr>
                      <w:rFonts w:ascii="Cambria Math" w:hAnsi="Cambria Math"/>
                      <w:i/>
                      <w:iCs/>
                      <w:sz w:val="14"/>
                      <w:szCs w:val="14"/>
                    </w:rPr>
                  </m:ctrlPr>
                </m:sSubSupPr>
                <m:e>
                  <m:r>
                    <m:rPr>
                      <m:nor/>
                    </m:rPr>
                    <w:rPr>
                      <w:i/>
                      <w:iCs/>
                      <w:sz w:val="14"/>
                      <w:szCs w:val="14"/>
                      <w:lang w:val="fr-FR"/>
                    </w:rPr>
                    <m:t>K</m:t>
                  </m:r>
                </m:e>
                <m:sub>
                  <m:r>
                    <m:rPr>
                      <m:nor/>
                    </m:rPr>
                    <w:rPr>
                      <w:i/>
                      <w:iCs/>
                      <w:sz w:val="14"/>
                      <w:szCs w:val="14"/>
                      <w:lang w:val="fr-FR"/>
                    </w:rPr>
                    <m:t>t</m:t>
                  </m:r>
                </m:sub>
                <m:sup>
                  <m:f>
                    <m:fPr>
                      <m:type m:val="skw"/>
                      <m:ctrlPr>
                        <w:rPr>
                          <w:rFonts w:ascii="Cambria Math" w:hAnsi="Cambria Math"/>
                          <w:i/>
                          <w:iCs/>
                          <w:sz w:val="14"/>
                          <w:szCs w:val="14"/>
                        </w:rPr>
                      </m:ctrlPr>
                    </m:fPr>
                    <m:num>
                      <m:r>
                        <m:rPr>
                          <m:nor/>
                        </m:rPr>
                        <w:rPr>
                          <w:i/>
                          <w:iCs/>
                          <w:sz w:val="14"/>
                          <w:szCs w:val="14"/>
                          <w:lang w:val="fr-FR"/>
                        </w:rPr>
                        <m:t>1</m:t>
                      </m:r>
                    </m:num>
                    <m:den>
                      <m:r>
                        <m:rPr>
                          <m:nor/>
                        </m:rPr>
                        <w:rPr>
                          <w:i/>
                          <w:iCs/>
                          <w:sz w:val="14"/>
                          <w:szCs w:val="14"/>
                          <w:lang w:val="fr-FR"/>
                        </w:rPr>
                        <m:t>3</m:t>
                      </m:r>
                    </m:den>
                  </m:f>
                </m:sup>
              </m:sSubSup>
              <m:r>
                <w:rPr>
                  <w:rFonts w:ascii="Cambria Math" w:hAnsi="Cambria Math"/>
                  <w:sz w:val="14"/>
                  <w:szCs w:val="14"/>
                  <w:lang w:val="fr-FR"/>
                </w:rPr>
                <m:t>∙</m:t>
              </m:r>
              <m:sSubSup>
                <m:sSubSupPr>
                  <m:ctrlPr>
                    <w:rPr>
                      <w:rFonts w:ascii="Cambria Math" w:hAnsi="Cambria Math"/>
                      <w:i/>
                      <w:iCs/>
                      <w:sz w:val="14"/>
                      <w:szCs w:val="14"/>
                      <w:lang w:val="fr-FR"/>
                    </w:rPr>
                  </m:ctrlPr>
                </m:sSubSupPr>
                <m:e>
                  <m:r>
                    <m:rPr>
                      <m:nor/>
                    </m:rPr>
                    <w:rPr>
                      <w:i/>
                      <w:iCs/>
                      <w:sz w:val="14"/>
                      <w:szCs w:val="14"/>
                      <w:lang w:val="fr-FR"/>
                    </w:rPr>
                    <m:t>H</m:t>
                  </m:r>
                </m:e>
                <m:sub>
                  <m:r>
                    <m:rPr>
                      <m:nor/>
                    </m:rPr>
                    <w:rPr>
                      <w:i/>
                      <w:iCs/>
                      <w:sz w:val="14"/>
                      <w:szCs w:val="14"/>
                      <w:lang w:val="fr-FR"/>
                    </w:rPr>
                    <m:t>t</m:t>
                  </m:r>
                </m:sub>
                <m:sup>
                  <m:f>
                    <m:fPr>
                      <m:type m:val="skw"/>
                      <m:ctrlPr>
                        <w:rPr>
                          <w:rFonts w:ascii="Cambria Math" w:hAnsi="Cambria Math"/>
                          <w:i/>
                          <w:iCs/>
                          <w:sz w:val="14"/>
                          <w:szCs w:val="14"/>
                        </w:rPr>
                      </m:ctrlPr>
                    </m:fPr>
                    <m:num>
                      <m:r>
                        <m:rPr>
                          <m:nor/>
                        </m:rPr>
                        <w:rPr>
                          <w:i/>
                          <w:iCs/>
                          <w:sz w:val="14"/>
                          <w:szCs w:val="14"/>
                          <w:lang w:val="fr-FR"/>
                        </w:rPr>
                        <m:t>1</m:t>
                      </m:r>
                    </m:num>
                    <m:den>
                      <m:r>
                        <m:rPr>
                          <m:nor/>
                        </m:rPr>
                        <w:rPr>
                          <w:i/>
                          <w:iCs/>
                          <w:sz w:val="14"/>
                          <w:szCs w:val="14"/>
                          <w:lang w:val="fr-FR"/>
                        </w:rPr>
                        <m:t>3</m:t>
                      </m:r>
                    </m:den>
                  </m:f>
                </m:sup>
              </m:sSubSup>
              <m:r>
                <w:rPr>
                  <w:rFonts w:ascii="Cambria Math" w:hAnsi="Cambria Math"/>
                  <w:sz w:val="14"/>
                  <w:szCs w:val="14"/>
                  <w:lang w:val="fr-FR"/>
                </w:rPr>
                <m:t>∙</m:t>
              </m:r>
              <m:sSup>
                <m:sSupPr>
                  <m:ctrlPr>
                    <w:rPr>
                      <w:rFonts w:ascii="Cambria Math" w:hAnsi="Cambria Math"/>
                      <w:i/>
                      <w:iCs/>
                      <w:sz w:val="14"/>
                      <w:szCs w:val="14"/>
                    </w:rPr>
                  </m:ctrlPr>
                </m:sSupPr>
                <m:e>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lang w:val="fr-FR"/>
                            </w:rPr>
                            <m:t>A</m:t>
                          </m:r>
                        </m:e>
                        <m:sub>
                          <m:r>
                            <m:rPr>
                              <m:nor/>
                            </m:rPr>
                            <w:rPr>
                              <w:i/>
                              <w:iCs/>
                              <w:sz w:val="14"/>
                              <w:szCs w:val="14"/>
                              <w:lang w:val="fr-FR"/>
                            </w:rPr>
                            <m:t>t</m:t>
                          </m:r>
                        </m:sub>
                      </m:sSub>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L</m:t>
                          </m:r>
                        </m:e>
                        <m:sub>
                          <m:r>
                            <m:rPr>
                              <m:nor/>
                            </m:rPr>
                            <w:rPr>
                              <w:i/>
                              <w:iCs/>
                              <w:sz w:val="14"/>
                              <w:szCs w:val="14"/>
                              <w:lang w:val="fr-FR"/>
                            </w:rPr>
                            <m:t>t</m:t>
                          </m:r>
                        </m:sub>
                      </m:sSub>
                    </m:e>
                  </m:d>
                </m:e>
                <m:sup>
                  <m:f>
                    <m:fPr>
                      <m:type m:val="skw"/>
                      <m:ctrlPr>
                        <w:rPr>
                          <w:rFonts w:ascii="Cambria Math" w:hAnsi="Cambria Math"/>
                          <w:i/>
                          <w:iCs/>
                          <w:sz w:val="14"/>
                          <w:szCs w:val="14"/>
                        </w:rPr>
                      </m:ctrlPr>
                    </m:fPr>
                    <m:num>
                      <m:r>
                        <m:rPr>
                          <m:nor/>
                        </m:rPr>
                        <w:rPr>
                          <w:i/>
                          <w:iCs/>
                          <w:sz w:val="14"/>
                          <w:szCs w:val="14"/>
                          <w:lang w:val="fr-FR"/>
                        </w:rPr>
                        <m:t>1</m:t>
                      </m:r>
                    </m:num>
                    <m:den>
                      <m:r>
                        <m:rPr>
                          <m:nor/>
                        </m:rPr>
                        <w:rPr>
                          <w:i/>
                          <w:iCs/>
                          <w:sz w:val="14"/>
                          <w:szCs w:val="14"/>
                          <w:lang w:val="fr-FR"/>
                        </w:rPr>
                        <m:t>3</m:t>
                      </m:r>
                    </m:den>
                  </m:f>
                </m:sup>
              </m:sSup>
            </m:oMath>
          </w:p>
          <w:p w14:paraId="2979A546" w14:textId="6F5C8D76" w:rsidR="00D77AD0" w:rsidRPr="00AB30EB" w:rsidRDefault="00000000">
            <w:pPr>
              <w:pStyle w:val="Prrafodelista"/>
              <w:numPr>
                <w:ilvl w:val="0"/>
                <w:numId w:val="10"/>
              </w:numPr>
              <w:tabs>
                <w:tab w:val="left" w:pos="13750"/>
              </w:tabs>
              <w:spacing w:after="0"/>
              <w:ind w:left="266" w:hanging="142"/>
              <w:rPr>
                <w:rFonts w:eastAsia="Calibri" w:cs="Arial"/>
                <w:i/>
                <w:iCs/>
                <w:sz w:val="14"/>
                <w:szCs w:val="14"/>
              </w:rPr>
            </w:pPr>
            <m:oMath>
              <m:sSup>
                <m:sSupPr>
                  <m:ctrlPr>
                    <w:rPr>
                      <w:rFonts w:ascii="Cambria Math" w:eastAsia="Times New Roman" w:hAnsi="Cambria Math"/>
                      <w:i/>
                      <w:iCs/>
                      <w:sz w:val="14"/>
                      <w:szCs w:val="14"/>
                    </w:rPr>
                  </m:ctrlPr>
                </m:sSupPr>
                <m:e>
                  <m:r>
                    <m:rPr>
                      <m:nor/>
                    </m:rPr>
                    <w:rPr>
                      <w:rFonts w:eastAsia="Times New Roman"/>
                      <w:i/>
                      <w:iCs/>
                      <w:sz w:val="14"/>
                      <w:szCs w:val="14"/>
                    </w:rPr>
                    <m:t>R</m:t>
                  </m:r>
                </m:e>
                <m:sup>
                  <m:r>
                    <m:rPr>
                      <m:nor/>
                    </m:rPr>
                    <w:rPr>
                      <w:rFonts w:eastAsia="Times New Roman"/>
                      <w:i/>
                      <w:iCs/>
                      <w:sz w:val="14"/>
                      <w:szCs w:val="14"/>
                    </w:rPr>
                    <m:t>2</m:t>
                  </m:r>
                </m:sup>
              </m:sSup>
              <m:r>
                <w:rPr>
                  <w:rFonts w:ascii="Cambria Math" w:eastAsia="Times New Roman" w:hAnsi="Cambria Math"/>
                  <w:sz w:val="14"/>
                  <w:szCs w:val="14"/>
                </w:rPr>
                <m:t>=</m:t>
              </m:r>
              <m:r>
                <m:rPr>
                  <m:nor/>
                </m:rPr>
                <w:rPr>
                  <w:rFonts w:eastAsia="Times New Roman"/>
                  <w:i/>
                  <w:iCs/>
                  <w:sz w:val="14"/>
                  <w:szCs w:val="14"/>
                </w:rPr>
                <m:t>0.8</m:t>
              </m:r>
            </m:oMath>
            <w:r w:rsidR="00D77AD0" w:rsidRPr="00AB30EB">
              <w:rPr>
                <w:rFonts w:eastAsia="Calibri" w:cs="Arial"/>
                <w:i/>
                <w:iCs/>
                <w:sz w:val="14"/>
                <w:szCs w:val="14"/>
              </w:rPr>
              <w:t xml:space="preserve"> </w:t>
            </w:r>
            <w:r w:rsidR="00D77AD0" w:rsidRPr="00AB30EB">
              <w:rPr>
                <w:rFonts w:ascii="Times New Roman" w:hAnsi="Times New Roman" w:cs="Times New Roman"/>
                <w:sz w:val="14"/>
                <w:szCs w:val="14"/>
              </w:rPr>
              <w:t>→</w:t>
            </w:r>
            <w:r w:rsidR="00D77AD0" w:rsidRPr="00AB30EB">
              <w:rPr>
                <w:sz w:val="14"/>
                <w:szCs w:val="14"/>
              </w:rPr>
              <w:t xml:space="preserve"> El 80</w:t>
            </w:r>
            <w:r w:rsidR="00D77AD0" w:rsidRPr="00AB30EB">
              <w:rPr>
                <w:rFonts w:cs="Palatino Linotype"/>
                <w:sz w:val="14"/>
                <w:szCs w:val="14"/>
              </w:rPr>
              <w:t> </w:t>
            </w:r>
            <w:r w:rsidR="00D77AD0" w:rsidRPr="00AB30EB">
              <w:rPr>
                <w:sz w:val="14"/>
                <w:szCs w:val="14"/>
              </w:rPr>
              <w:t>% de la variaci</w:t>
            </w:r>
            <w:r w:rsidR="00D77AD0" w:rsidRPr="00AB30EB">
              <w:rPr>
                <w:rFonts w:cs="Palatino Linotype"/>
                <w:sz w:val="14"/>
                <w:szCs w:val="14"/>
              </w:rPr>
              <w:t>ó</w:t>
            </w:r>
            <w:r w:rsidR="00D77AD0" w:rsidRPr="00AB30EB">
              <w:rPr>
                <w:sz w:val="14"/>
                <w:szCs w:val="14"/>
              </w:rPr>
              <w:t>n en la renta per c</w:t>
            </w:r>
            <w:r w:rsidR="00D77AD0" w:rsidRPr="00AB30EB">
              <w:rPr>
                <w:rFonts w:cs="Palatino Linotype"/>
                <w:sz w:val="14"/>
                <w:szCs w:val="14"/>
              </w:rPr>
              <w:t>á</w:t>
            </w:r>
            <w:r w:rsidR="00D77AD0" w:rsidRPr="00AB30EB">
              <w:rPr>
                <w:sz w:val="14"/>
                <w:szCs w:val="14"/>
              </w:rPr>
              <w:t>pita se explica por cambios en los factores productivos.</w:t>
            </w:r>
          </w:p>
        </w:tc>
        <w:tc>
          <w:tcPr>
            <w:tcW w:w="4914" w:type="dxa"/>
            <w:tcBorders>
              <w:top w:val="single" w:sz="4" w:space="0" w:color="auto"/>
              <w:bottom w:val="single" w:sz="4" w:space="0" w:color="auto"/>
            </w:tcBorders>
            <w:vAlign w:val="center"/>
          </w:tcPr>
          <w:p w14:paraId="4AD36D2A" w14:textId="3FAFE2C6" w:rsidR="00D77AD0" w:rsidRPr="00AB30EB" w:rsidRDefault="00000000">
            <w:pPr>
              <w:pStyle w:val="Prrafodelista"/>
              <w:numPr>
                <w:ilvl w:val="0"/>
                <w:numId w:val="10"/>
              </w:numPr>
              <w:tabs>
                <w:tab w:val="left" w:pos="13750"/>
              </w:tabs>
              <w:spacing w:after="0"/>
              <w:ind w:left="270" w:hanging="141"/>
              <w:rPr>
                <w:sz w:val="14"/>
                <w:szCs w:val="14"/>
              </w:rPr>
            </w:pPr>
            <m:oMath>
              <m:sSup>
                <m:sSupPr>
                  <m:ctrlPr>
                    <w:rPr>
                      <w:rFonts w:ascii="Cambria Math" w:eastAsia="Times New Roman" w:hAnsi="Cambria Math"/>
                      <w:i/>
                      <w:iCs/>
                      <w:sz w:val="14"/>
                      <w:szCs w:val="14"/>
                    </w:rPr>
                  </m:ctrlPr>
                </m:sSupPr>
                <m:e>
                  <m:r>
                    <m:rPr>
                      <m:nor/>
                    </m:rPr>
                    <w:rPr>
                      <w:rFonts w:eastAsia="Times New Roman"/>
                      <w:i/>
                      <w:iCs/>
                      <w:sz w:val="14"/>
                      <w:szCs w:val="14"/>
                    </w:rPr>
                    <m:t>R</m:t>
                  </m:r>
                </m:e>
                <m:sup>
                  <m:r>
                    <m:rPr>
                      <m:nor/>
                    </m:rPr>
                    <w:rPr>
                      <w:rFonts w:eastAsia="Times New Roman"/>
                      <w:i/>
                      <w:iCs/>
                      <w:sz w:val="14"/>
                      <w:szCs w:val="14"/>
                    </w:rPr>
                    <m:t>2</m:t>
                  </m:r>
                </m:sup>
              </m:sSup>
              <m:r>
                <w:rPr>
                  <w:rFonts w:ascii="Cambria Math" w:eastAsia="Times New Roman" w:hAnsi="Cambria Math"/>
                  <w:sz w:val="14"/>
                  <w:szCs w:val="14"/>
                </w:rPr>
                <m:t>=</m:t>
              </m:r>
              <m:r>
                <m:rPr>
                  <m:nor/>
                </m:rPr>
                <w:rPr>
                  <w:rFonts w:eastAsia="Times New Roman"/>
                  <w:i/>
                  <w:iCs/>
                  <w:sz w:val="14"/>
                  <w:szCs w:val="14"/>
                </w:rPr>
                <m:t>0.79</m:t>
              </m:r>
            </m:oMath>
            <w:r w:rsidR="00D77AD0" w:rsidRPr="00AB30EB">
              <w:rPr>
                <w:sz w:val="14"/>
                <w:szCs w:val="14"/>
              </w:rPr>
              <w:t xml:space="preserve"> </w:t>
            </w:r>
            <w:r w:rsidR="00D77AD0" w:rsidRPr="00AB30EB">
              <w:rPr>
                <w:rFonts w:ascii="Times New Roman" w:hAnsi="Times New Roman" w:cs="Times New Roman"/>
                <w:sz w:val="14"/>
                <w:szCs w:val="14"/>
              </w:rPr>
              <w:t>→</w:t>
            </w:r>
            <w:r w:rsidR="00D77AD0" w:rsidRPr="00AB30EB">
              <w:rPr>
                <w:sz w:val="14"/>
                <w:szCs w:val="14"/>
              </w:rPr>
              <w:t xml:space="preserve"> El 79</w:t>
            </w:r>
            <w:r w:rsidR="00D77AD0" w:rsidRPr="00AB30EB">
              <w:rPr>
                <w:rFonts w:cs="Palatino Linotype"/>
                <w:sz w:val="14"/>
                <w:szCs w:val="14"/>
              </w:rPr>
              <w:t> </w:t>
            </w:r>
            <w:r w:rsidR="00D77AD0" w:rsidRPr="00AB30EB">
              <w:rPr>
                <w:sz w:val="14"/>
                <w:szCs w:val="14"/>
              </w:rPr>
              <w:t>% de la varianza en renta por trabajador entre pa</w:t>
            </w:r>
            <w:r w:rsidR="00D77AD0" w:rsidRPr="00AB30EB">
              <w:rPr>
                <w:rFonts w:cs="Palatino Linotype"/>
                <w:sz w:val="14"/>
                <w:szCs w:val="14"/>
              </w:rPr>
              <w:t>í</w:t>
            </w:r>
            <w:r w:rsidR="00D77AD0" w:rsidRPr="00AB30EB">
              <w:rPr>
                <w:sz w:val="14"/>
                <w:szCs w:val="14"/>
              </w:rPr>
              <w:t>ses se explica por la variaci</w:t>
            </w:r>
            <w:r w:rsidR="00D77AD0" w:rsidRPr="00AB30EB">
              <w:rPr>
                <w:rFonts w:cs="Palatino Linotype"/>
                <w:sz w:val="14"/>
                <w:szCs w:val="14"/>
              </w:rPr>
              <w:t>ó</w:t>
            </w:r>
            <w:r w:rsidR="00D77AD0" w:rsidRPr="00AB30EB">
              <w:rPr>
                <w:sz w:val="14"/>
                <w:szCs w:val="14"/>
              </w:rPr>
              <w:t>n en el residuo PTF.</w:t>
            </w:r>
          </w:p>
          <w:p w14:paraId="43636C11" w14:textId="15184E64" w:rsidR="00D77AD0" w:rsidRPr="00AB30EB" w:rsidRDefault="00D77AD0">
            <w:pPr>
              <w:pStyle w:val="Prrafodelista"/>
              <w:numPr>
                <w:ilvl w:val="0"/>
                <w:numId w:val="10"/>
              </w:numPr>
              <w:tabs>
                <w:tab w:val="left" w:pos="13750"/>
              </w:tabs>
              <w:spacing w:after="0"/>
              <w:ind w:left="270" w:hanging="141"/>
              <w:rPr>
                <w:sz w:val="14"/>
                <w:szCs w:val="14"/>
              </w:rPr>
            </w:pPr>
            <w:r w:rsidRPr="00AB30EB">
              <w:rPr>
                <w:sz w:val="14"/>
                <w:szCs w:val="14"/>
              </w:rPr>
              <w:t>La producción por trabajador de los cinco países con mayor producción por trabajador es 31,7 veces mayor que los cinco países con niveles más bajos. ¿A qu</w:t>
            </w:r>
            <w:r w:rsidR="00A20E08" w:rsidRPr="00AB30EB">
              <w:rPr>
                <w:sz w:val="14"/>
                <w:szCs w:val="14"/>
              </w:rPr>
              <w:t>é</w:t>
            </w:r>
            <w:r w:rsidRPr="00AB30EB">
              <w:rPr>
                <w:sz w:val="14"/>
                <w:szCs w:val="14"/>
              </w:rPr>
              <w:t xml:space="preserve"> se debe?:</w:t>
            </w:r>
          </w:p>
          <w:p w14:paraId="1BF78D46" w14:textId="77777777" w:rsidR="00D77AD0" w:rsidRPr="00AB30EB" w:rsidRDefault="00D77AD0">
            <w:pPr>
              <w:pStyle w:val="Prrafodelista"/>
              <w:numPr>
                <w:ilvl w:val="0"/>
                <w:numId w:val="11"/>
              </w:numPr>
              <w:tabs>
                <w:tab w:val="left" w:pos="13750"/>
              </w:tabs>
              <w:spacing w:after="0"/>
              <w:ind w:left="696" w:hanging="153"/>
              <w:rPr>
                <w:sz w:val="14"/>
                <w:szCs w:val="14"/>
              </w:rPr>
            </w:pPr>
            <w:r w:rsidRPr="00AB30EB">
              <w:rPr>
                <w:sz w:val="14"/>
                <w:szCs w:val="14"/>
              </w:rPr>
              <w:t>Principalmente a la diferencia en los niveles de productividad, ya que la diferencia en estos es de un factor de 8,3.</w:t>
            </w:r>
          </w:p>
          <w:p w14:paraId="46B602F3" w14:textId="3024FCF2" w:rsidR="00D77AD0" w:rsidRPr="00AB30EB" w:rsidRDefault="00D77AD0">
            <w:pPr>
              <w:pStyle w:val="Prrafodelista"/>
              <w:numPr>
                <w:ilvl w:val="0"/>
                <w:numId w:val="11"/>
              </w:numPr>
              <w:tabs>
                <w:tab w:val="left" w:pos="13750"/>
              </w:tabs>
              <w:spacing w:after="0"/>
              <w:ind w:left="696" w:hanging="153"/>
              <w:rPr>
                <w:sz w:val="14"/>
                <w:szCs w:val="14"/>
              </w:rPr>
            </w:pPr>
            <w:r w:rsidRPr="00AB30EB">
              <w:rPr>
                <w:sz w:val="14"/>
                <w:szCs w:val="14"/>
              </w:rPr>
              <w:t>Las diferencias en la intensidad del capital físico o humano son de una ratio del 1,8 y 2,2 respectivamente.</w:t>
            </w:r>
          </w:p>
          <w:p w14:paraId="0468CEFB" w14:textId="77777777" w:rsidR="00D77AD0" w:rsidRPr="00AB30EB" w:rsidRDefault="00D77AD0">
            <w:pPr>
              <w:pStyle w:val="Prrafodelista"/>
              <w:numPr>
                <w:ilvl w:val="0"/>
                <w:numId w:val="10"/>
              </w:numPr>
              <w:tabs>
                <w:tab w:val="left" w:pos="13750"/>
              </w:tabs>
              <w:spacing w:after="0"/>
              <w:ind w:left="270" w:hanging="141"/>
              <w:rPr>
                <w:sz w:val="14"/>
                <w:szCs w:val="14"/>
              </w:rPr>
            </w:pPr>
            <w:r w:rsidRPr="00AB30EB">
              <w:rPr>
                <w:sz w:val="14"/>
                <w:szCs w:val="14"/>
              </w:rPr>
              <w:t>La acumulación de factores, por lo tanto, no parece explicar las diferencias en renta per cápita entre países, lo que apunta como principal factor de crecimiento a la productividad agregada.</w:t>
            </w:r>
          </w:p>
          <w:p w14:paraId="3AC6444C" w14:textId="58EFAE09" w:rsidR="00D77AD0" w:rsidRPr="00AB30EB" w:rsidRDefault="00D77AD0">
            <w:pPr>
              <w:pStyle w:val="Prrafodelista"/>
              <w:numPr>
                <w:ilvl w:val="0"/>
                <w:numId w:val="10"/>
              </w:numPr>
              <w:tabs>
                <w:tab w:val="left" w:pos="13750"/>
              </w:tabs>
              <w:spacing w:after="0"/>
              <w:ind w:left="270" w:hanging="141"/>
              <w:rPr>
                <w:sz w:val="14"/>
                <w:szCs w:val="14"/>
              </w:rPr>
            </w:pPr>
            <w:r w:rsidRPr="00AB30EB">
              <w:rPr>
                <w:sz w:val="14"/>
                <w:szCs w:val="14"/>
              </w:rPr>
              <w:t>Estos resultados son muy diferentes a los de MRW ya que ambos miden el capital humano (</w:t>
            </w:r>
            <w:r w:rsidRPr="00AB30EB">
              <w:rPr>
                <w:i/>
                <w:iCs/>
                <w:sz w:val="14"/>
                <w:szCs w:val="14"/>
              </w:rPr>
              <w:t>h</w:t>
            </w:r>
            <w:r w:rsidRPr="00AB30EB">
              <w:rPr>
                <w:sz w:val="14"/>
                <w:szCs w:val="14"/>
              </w:rPr>
              <w:t>) de diferente manera (traducen de distinta manera los años de educación en cada país en la función de producción).</w:t>
            </w:r>
          </w:p>
        </w:tc>
        <w:tc>
          <w:tcPr>
            <w:tcW w:w="4914" w:type="dxa"/>
            <w:tcBorders>
              <w:top w:val="single" w:sz="4" w:space="0" w:color="auto"/>
              <w:bottom w:val="single" w:sz="4" w:space="0" w:color="auto"/>
              <w:right w:val="single" w:sz="4" w:space="0" w:color="auto"/>
            </w:tcBorders>
            <w:vAlign w:val="center"/>
          </w:tcPr>
          <w:p w14:paraId="5C147397" w14:textId="599BA097" w:rsidR="00B715B5" w:rsidRPr="00AB30EB" w:rsidRDefault="00B715B5" w:rsidP="00B32E78">
            <w:pPr>
              <w:tabs>
                <w:tab w:val="left" w:pos="13750"/>
              </w:tabs>
              <w:spacing w:after="0" w:line="228" w:lineRule="auto"/>
              <w:rPr>
                <w:rFonts w:eastAsiaTheme="minorEastAsia"/>
                <w:noProof/>
                <w:sz w:val="14"/>
                <w:szCs w:val="14"/>
              </w:rPr>
            </w:pPr>
            <w:r w:rsidRPr="00AB30EB">
              <w:rPr>
                <w:noProof/>
                <w:sz w:val="14"/>
                <w:szCs w:val="14"/>
              </w:rPr>
              <w:t xml:space="preserve">Propone dos medidas de éxito del modelo </w:t>
            </w:r>
            <m:oMath>
              <m:r>
                <m:rPr>
                  <m:nor/>
                </m:rPr>
                <w:rPr>
                  <w:i/>
                  <w:sz w:val="14"/>
                  <w:szCs w:val="14"/>
                </w:rPr>
                <m:t>y = A</m:t>
              </m:r>
              <m:r>
                <w:rPr>
                  <w:rFonts w:ascii="Cambria Math" w:eastAsiaTheme="minorEastAsia" w:hAnsi="Cambria Math"/>
                  <w:spacing w:val="-2"/>
                  <w:sz w:val="14"/>
                  <w:szCs w:val="14"/>
                </w:rPr>
                <m:t>∙</m:t>
              </m:r>
              <m:sSub>
                <m:sSubPr>
                  <m:ctrlPr>
                    <w:rPr>
                      <w:rFonts w:ascii="Cambria Math" w:hAnsi="Cambria Math"/>
                      <w:i/>
                      <w:sz w:val="14"/>
                      <w:szCs w:val="14"/>
                    </w:rPr>
                  </m:ctrlPr>
                </m:sSubPr>
                <m:e>
                  <m:r>
                    <m:rPr>
                      <m:nor/>
                    </m:rPr>
                    <w:rPr>
                      <w:i/>
                      <w:sz w:val="14"/>
                      <w:szCs w:val="14"/>
                    </w:rPr>
                    <m:t>y</m:t>
                  </m:r>
                </m:e>
                <m:sub>
                  <m:r>
                    <m:rPr>
                      <m:nor/>
                    </m:rPr>
                    <w:rPr>
                      <w:i/>
                      <w:iCs/>
                      <w:sz w:val="14"/>
                      <w:szCs w:val="14"/>
                    </w:rPr>
                    <m:t>KH</m:t>
                  </m:r>
                </m:sub>
              </m:sSub>
            </m:oMath>
            <w:r w:rsidRPr="00AB30EB">
              <w:rPr>
                <w:rFonts w:eastAsiaTheme="minorEastAsia"/>
                <w:noProof/>
                <w:sz w:val="14"/>
                <w:szCs w:val="1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80"/>
              <w:gridCol w:w="2318"/>
            </w:tblGrid>
            <w:tr w:rsidR="00EE6B71" w:rsidRPr="00AB30EB" w14:paraId="1014E9DA" w14:textId="77777777" w:rsidTr="00B85A51">
              <w:tc>
                <w:tcPr>
                  <w:tcW w:w="2429" w:type="dxa"/>
                  <w:vAlign w:val="center"/>
                </w:tcPr>
                <w:p w14:paraId="674E0043" w14:textId="78C99102" w:rsidR="00EE6B71" w:rsidRPr="00AB30EB" w:rsidRDefault="00EE6B71" w:rsidP="00B32E78">
                  <w:pPr>
                    <w:tabs>
                      <w:tab w:val="left" w:pos="13750"/>
                    </w:tabs>
                    <w:spacing w:after="0" w:line="228" w:lineRule="auto"/>
                    <w:jc w:val="right"/>
                    <w:rPr>
                      <w:noProof/>
                      <w:sz w:val="14"/>
                      <w:szCs w:val="14"/>
                    </w:rPr>
                  </w:pPr>
                  <w:r w:rsidRPr="00AB30EB">
                    <w:rPr>
                      <w:noProof/>
                      <w:sz w:val="14"/>
                      <w:szCs w:val="14"/>
                    </w:rPr>
                    <w:drawing>
                      <wp:inline distT="0" distB="0" distL="0" distR="0" wp14:anchorId="67CCF56E" wp14:editId="131C9CE8">
                        <wp:extent cx="948267" cy="234066"/>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78288" cy="241476"/>
                                </a:xfrm>
                                <a:prstGeom prst="rect">
                                  <a:avLst/>
                                </a:prstGeom>
                              </pic:spPr>
                            </pic:pic>
                          </a:graphicData>
                        </a:graphic>
                      </wp:inline>
                    </w:drawing>
                  </w:r>
                </w:p>
              </w:tc>
              <w:tc>
                <w:tcPr>
                  <w:tcW w:w="2429" w:type="dxa"/>
                  <w:vAlign w:val="center"/>
                </w:tcPr>
                <w:p w14:paraId="366D0992" w14:textId="44263DCE" w:rsidR="00EE6B71" w:rsidRPr="00AB30EB" w:rsidRDefault="00EE6B71" w:rsidP="00B32E78">
                  <w:pPr>
                    <w:tabs>
                      <w:tab w:val="left" w:pos="13750"/>
                    </w:tabs>
                    <w:spacing w:after="0" w:line="228" w:lineRule="auto"/>
                    <w:jc w:val="left"/>
                    <w:rPr>
                      <w:noProof/>
                      <w:sz w:val="14"/>
                      <w:szCs w:val="14"/>
                    </w:rPr>
                  </w:pPr>
                  <w:r w:rsidRPr="00AB30EB">
                    <w:rPr>
                      <w:noProof/>
                      <w:sz w:val="14"/>
                      <w:szCs w:val="14"/>
                    </w:rPr>
                    <w:t>=0.39</w:t>
                  </w:r>
                </w:p>
              </w:tc>
            </w:tr>
            <w:tr w:rsidR="00EE6B71" w:rsidRPr="00AB30EB" w14:paraId="374CE762" w14:textId="77777777" w:rsidTr="00B85A51">
              <w:tc>
                <w:tcPr>
                  <w:tcW w:w="2429" w:type="dxa"/>
                  <w:vAlign w:val="center"/>
                </w:tcPr>
                <w:p w14:paraId="0D5C126F" w14:textId="67BDDBF7" w:rsidR="00EE6B71" w:rsidRPr="00AB30EB" w:rsidRDefault="00EE6B71" w:rsidP="00B32E78">
                  <w:pPr>
                    <w:tabs>
                      <w:tab w:val="left" w:pos="13750"/>
                    </w:tabs>
                    <w:spacing w:after="0" w:line="228" w:lineRule="auto"/>
                    <w:jc w:val="right"/>
                    <w:rPr>
                      <w:noProof/>
                      <w:sz w:val="14"/>
                      <w:szCs w:val="14"/>
                    </w:rPr>
                  </w:pPr>
                  <w:r w:rsidRPr="00AB30EB">
                    <w:rPr>
                      <w:noProof/>
                      <w:sz w:val="14"/>
                      <w:szCs w:val="14"/>
                    </w:rPr>
                    <w:drawing>
                      <wp:inline distT="0" distB="0" distL="0" distR="0" wp14:anchorId="79AC7A58" wp14:editId="68DE7AE7">
                        <wp:extent cx="787400" cy="25474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808319" cy="261515"/>
                                </a:xfrm>
                                <a:prstGeom prst="rect">
                                  <a:avLst/>
                                </a:prstGeom>
                              </pic:spPr>
                            </pic:pic>
                          </a:graphicData>
                        </a:graphic>
                      </wp:inline>
                    </w:drawing>
                  </w:r>
                </w:p>
              </w:tc>
              <w:tc>
                <w:tcPr>
                  <w:tcW w:w="2429" w:type="dxa"/>
                  <w:vAlign w:val="center"/>
                </w:tcPr>
                <w:p w14:paraId="203BF5AE" w14:textId="1F5D1C8E" w:rsidR="00EE6B71" w:rsidRPr="00AB30EB" w:rsidRDefault="00EE6B71" w:rsidP="00B32E78">
                  <w:pPr>
                    <w:tabs>
                      <w:tab w:val="left" w:pos="13750"/>
                    </w:tabs>
                    <w:spacing w:after="0" w:line="228" w:lineRule="auto"/>
                    <w:jc w:val="left"/>
                    <w:rPr>
                      <w:noProof/>
                      <w:sz w:val="14"/>
                      <w:szCs w:val="14"/>
                    </w:rPr>
                  </w:pPr>
                  <w:r w:rsidRPr="00AB30EB">
                    <w:rPr>
                      <w:noProof/>
                      <w:sz w:val="14"/>
                      <w:szCs w:val="14"/>
                    </w:rPr>
                    <w:t>=0.34</w:t>
                  </w:r>
                </w:p>
              </w:tc>
            </w:tr>
          </w:tbl>
          <w:p w14:paraId="5B42F9D5" w14:textId="60AF4A18" w:rsidR="00EE6B71" w:rsidRPr="00AB30EB" w:rsidRDefault="00EE6B71" w:rsidP="00B32E78">
            <w:pPr>
              <w:tabs>
                <w:tab w:val="left" w:pos="13750"/>
              </w:tabs>
              <w:spacing w:after="0" w:line="228" w:lineRule="auto"/>
              <w:rPr>
                <w:noProof/>
                <w:sz w:val="14"/>
                <w:szCs w:val="14"/>
              </w:rPr>
            </w:pPr>
            <w:r w:rsidRPr="00AB30EB">
              <w:rPr>
                <w:noProof/>
                <w:sz w:val="14"/>
                <w:szCs w:val="14"/>
              </w:rPr>
              <w:t>Esto significa que las diferencias en factores de producción entre países tan solo son capaces de explicar algo menos del 40 % de la varianza en la renta per cápita entre países</w:t>
            </w:r>
            <w:r w:rsidR="00311FA3" w:rsidRPr="00AB30EB">
              <w:rPr>
                <w:noProof/>
                <w:sz w:val="14"/>
                <w:szCs w:val="14"/>
              </w:rPr>
              <w:t>.</w:t>
            </w:r>
          </w:p>
          <w:p w14:paraId="26E11C83" w14:textId="4A6F8659" w:rsidR="00EE6B71" w:rsidRPr="00AB30EB" w:rsidRDefault="00EE6B71" w:rsidP="00B32E78">
            <w:pPr>
              <w:tabs>
                <w:tab w:val="left" w:pos="13750"/>
              </w:tabs>
              <w:spacing w:after="0" w:line="228" w:lineRule="auto"/>
              <w:rPr>
                <w:spacing w:val="-2"/>
                <w:sz w:val="14"/>
                <w:szCs w:val="14"/>
              </w:rPr>
            </w:pPr>
            <w:r w:rsidRPr="00AB30EB">
              <w:rPr>
                <w:spacing w:val="-2"/>
                <w:sz w:val="14"/>
                <w:szCs w:val="14"/>
              </w:rPr>
              <w:t>Posteriormente, realiza análisis de robustez de los resultados, cambiando distintos parámetros del modelo para analizar como cambiarían los resultados:</w:t>
            </w:r>
          </w:p>
          <w:p w14:paraId="056E5B14" w14:textId="77777777"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sz w:val="14"/>
                <w:szCs w:val="14"/>
              </w:rPr>
              <w:t xml:space="preserve">La elasticidad de </w:t>
            </w:r>
            <w:r w:rsidRPr="00AB30EB">
              <w:rPr>
                <w:i/>
                <w:iCs/>
                <w:sz w:val="14"/>
                <w:szCs w:val="14"/>
              </w:rPr>
              <w:t>y</w:t>
            </w:r>
            <w:r w:rsidRPr="00AB30EB">
              <w:rPr>
                <w:sz w:val="14"/>
                <w:szCs w:val="14"/>
              </w:rPr>
              <w:t xml:space="preserve"> con respecto al capital físico: </w:t>
            </w:r>
            <m:oMath>
              <m:r>
                <m:rPr>
                  <m:nor/>
                </m:rPr>
                <w:rPr>
                  <w:iCs/>
                  <w:sz w:val="14"/>
                  <w:szCs w:val="14"/>
                </w:rPr>
                <m:t>α</m:t>
              </m:r>
            </m:oMath>
          </w:p>
          <w:p w14:paraId="67DACB95" w14:textId="7A7F7ADA"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rFonts w:eastAsiaTheme="minorEastAsia"/>
                <w:sz w:val="14"/>
                <w:szCs w:val="14"/>
              </w:rPr>
              <w:t xml:space="preserve">Analizando diferentes </w:t>
            </w:r>
            <w:r w:rsidR="00A20E08" w:rsidRPr="00AB30EB">
              <w:rPr>
                <w:rFonts w:eastAsiaTheme="minorEastAsia"/>
                <w:sz w:val="14"/>
                <w:szCs w:val="14"/>
              </w:rPr>
              <w:t>submuestras</w:t>
            </w:r>
          </w:p>
          <w:p w14:paraId="4A48D2EC" w14:textId="77777777"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rFonts w:eastAsiaTheme="minorEastAsia"/>
                <w:sz w:val="14"/>
                <w:szCs w:val="14"/>
              </w:rPr>
              <w:t xml:space="preserve">La tasa de depreciación </w:t>
            </w:r>
            <m:oMath>
              <m:r>
                <m:rPr>
                  <m:nor/>
                </m:rPr>
                <w:rPr>
                  <w:i/>
                  <w:iCs/>
                  <w:sz w:val="14"/>
                  <w:szCs w:val="14"/>
                </w:rPr>
                <m:t>δ</m:t>
              </m:r>
            </m:oMath>
            <w:r w:rsidRPr="00AB30EB">
              <w:rPr>
                <w:rFonts w:eastAsiaTheme="minorEastAsia"/>
                <w:sz w:val="14"/>
                <w:szCs w:val="14"/>
              </w:rPr>
              <w:t xml:space="preserve"> y el stock de capital inicial </w:t>
            </w:r>
            <w:r w:rsidRPr="00AB30EB">
              <w:rPr>
                <w:rFonts w:eastAsiaTheme="minorEastAsia"/>
                <w:i/>
                <w:iCs/>
                <w:sz w:val="14"/>
                <w:szCs w:val="14"/>
              </w:rPr>
              <w:t>K</w:t>
            </w:r>
            <w:r w:rsidRPr="00AB30EB">
              <w:rPr>
                <w:rFonts w:eastAsiaTheme="minorEastAsia"/>
                <w:i/>
                <w:iCs/>
                <w:sz w:val="14"/>
                <w:szCs w:val="14"/>
                <w:vertAlign w:val="subscript"/>
              </w:rPr>
              <w:t>0</w:t>
            </w:r>
          </w:p>
          <w:p w14:paraId="32499483" w14:textId="77777777"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rFonts w:eastAsiaTheme="minorEastAsia"/>
                <w:sz w:val="14"/>
                <w:szCs w:val="14"/>
              </w:rPr>
              <w:t>La relación entre educación y capital humano</w:t>
            </w:r>
          </w:p>
          <w:p w14:paraId="7E2DFA0F" w14:textId="661375E6"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rFonts w:eastAsiaTheme="minorEastAsia"/>
                <w:sz w:val="14"/>
                <w:szCs w:val="14"/>
              </w:rPr>
              <w:t>Diferencias en capital humano entre países</w:t>
            </w:r>
          </w:p>
          <w:p w14:paraId="64AF7536" w14:textId="77777777"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rFonts w:eastAsiaTheme="minorEastAsia"/>
                <w:sz w:val="14"/>
                <w:szCs w:val="14"/>
              </w:rPr>
              <w:t>Experiencia</w:t>
            </w:r>
          </w:p>
          <w:p w14:paraId="1FF80744" w14:textId="77777777"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rFonts w:eastAsiaTheme="minorEastAsia"/>
                <w:sz w:val="14"/>
                <w:szCs w:val="14"/>
              </w:rPr>
              <w:t>Horas trabajadas</w:t>
            </w:r>
          </w:p>
          <w:p w14:paraId="6336F797" w14:textId="0BEEDFFC" w:rsidR="00EE6B71" w:rsidRPr="00AB30EB" w:rsidRDefault="00EE6B71">
            <w:pPr>
              <w:pStyle w:val="Prrafodelista"/>
              <w:numPr>
                <w:ilvl w:val="0"/>
                <w:numId w:val="10"/>
              </w:numPr>
              <w:tabs>
                <w:tab w:val="left" w:pos="13750"/>
              </w:tabs>
              <w:spacing w:after="0" w:line="228" w:lineRule="auto"/>
              <w:ind w:left="440" w:hanging="80"/>
              <w:rPr>
                <w:rFonts w:eastAsiaTheme="minorEastAsia"/>
                <w:sz w:val="14"/>
                <w:szCs w:val="14"/>
              </w:rPr>
            </w:pPr>
            <w:r w:rsidRPr="00AB30EB">
              <w:rPr>
                <w:rFonts w:eastAsiaTheme="minorEastAsia"/>
                <w:sz w:val="14"/>
                <w:szCs w:val="14"/>
              </w:rPr>
              <w:t>Calidad del capital</w:t>
            </w:r>
          </w:p>
        </w:tc>
      </w:tr>
    </w:tbl>
    <w:p w14:paraId="51F36E9C" w14:textId="3AD621F6" w:rsidR="00316D02" w:rsidRPr="00BD2D9C" w:rsidRDefault="00316D02" w:rsidP="00BD2D9C">
      <w:pPr>
        <w:tabs>
          <w:tab w:val="left" w:pos="13750"/>
        </w:tabs>
        <w:rPr>
          <w:sz w:val="2"/>
          <w:szCs w:val="2"/>
        </w:rPr>
      </w:pPr>
    </w:p>
    <w:sectPr w:rsidR="00316D02" w:rsidRPr="00BD2D9C" w:rsidSect="00044EEC">
      <w:headerReference w:type="even" r:id="rId52"/>
      <w:headerReference w:type="default" r:id="rId53"/>
      <w:footerReference w:type="even" r:id="rId54"/>
      <w:footerReference w:type="default" r:id="rId55"/>
      <w:pgSz w:w="16838" w:h="11906" w:orient="landscape"/>
      <w:pgMar w:top="142" w:right="567" w:bottom="142" w:left="56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3B9BC" w14:textId="77777777" w:rsidR="00254BB6" w:rsidRDefault="00254BB6" w:rsidP="00B77C0F">
      <w:r>
        <w:separator/>
      </w:r>
    </w:p>
  </w:endnote>
  <w:endnote w:type="continuationSeparator" w:id="0">
    <w:p w14:paraId="1FE68BFE" w14:textId="77777777" w:rsidR="00254BB6" w:rsidRDefault="00254BB6"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46307" w:rsidRPr="00FE7391" w14:paraId="5DB109A7" w14:textId="77777777" w:rsidTr="002320EB">
      <w:trPr>
        <w:trHeight w:val="138"/>
        <w:jc w:val="center"/>
      </w:trPr>
      <w:tc>
        <w:tcPr>
          <w:tcW w:w="1134" w:type="dxa"/>
          <w:vAlign w:val="center"/>
        </w:tcPr>
        <w:p w14:paraId="79359AD0" w14:textId="77777777" w:rsidR="00E46307" w:rsidRPr="00FE7391" w:rsidRDefault="00E46307" w:rsidP="00C44422">
          <w:pPr>
            <w:pStyle w:val="Encabezado"/>
            <w:tabs>
              <w:tab w:val="clear" w:pos="4252"/>
              <w:tab w:val="clear" w:pos="8504"/>
              <w:tab w:val="right" w:pos="924"/>
              <w:tab w:val="center" w:pos="1310"/>
            </w:tabs>
            <w:spacing w:after="0"/>
            <w:contextualSpacing/>
            <w:rPr>
              <w:i/>
              <w:iCs/>
              <w:color w:val="5F2987"/>
              <w:sz w:val="18"/>
              <w:szCs w:val="18"/>
            </w:rPr>
          </w:pPr>
          <w:r w:rsidRPr="00FE7391">
            <w:rPr>
              <w:b/>
              <w:bCs/>
              <w:i/>
              <w:iCs/>
              <w:color w:val="5F2987"/>
              <w:spacing w:val="-6"/>
              <w:sz w:val="18"/>
              <w:szCs w:val="18"/>
            </w:rPr>
            <w:fldChar w:fldCharType="begin"/>
          </w:r>
          <w:r w:rsidRPr="00FE7391">
            <w:rPr>
              <w:b/>
              <w:bCs/>
              <w:i/>
              <w:iCs/>
              <w:color w:val="5F2987"/>
              <w:spacing w:val="-6"/>
              <w:sz w:val="18"/>
              <w:szCs w:val="18"/>
            </w:rPr>
            <w:instrText>PAGE  \* Arabic  \* MERGEFORMAT</w:instrText>
          </w:r>
          <w:r w:rsidRPr="00FE7391">
            <w:rPr>
              <w:b/>
              <w:bCs/>
              <w:i/>
              <w:iCs/>
              <w:color w:val="5F2987"/>
              <w:spacing w:val="-6"/>
              <w:sz w:val="18"/>
              <w:szCs w:val="18"/>
            </w:rPr>
            <w:fldChar w:fldCharType="separate"/>
          </w:r>
          <w:r w:rsidRPr="00FE7391">
            <w:rPr>
              <w:b/>
              <w:bCs/>
              <w:i/>
              <w:iCs/>
              <w:color w:val="5F2987"/>
              <w:spacing w:val="-6"/>
              <w:sz w:val="18"/>
              <w:szCs w:val="18"/>
            </w:rPr>
            <w:t>8</w:t>
          </w:r>
          <w:r w:rsidRPr="00FE7391">
            <w:rPr>
              <w:b/>
              <w:bCs/>
              <w:i/>
              <w:iCs/>
              <w:color w:val="5F2987"/>
              <w:spacing w:val="-6"/>
              <w:sz w:val="18"/>
              <w:szCs w:val="18"/>
            </w:rPr>
            <w:fldChar w:fldCharType="end"/>
          </w:r>
          <w:r w:rsidRPr="00FE7391">
            <w:rPr>
              <w:b/>
              <w:bCs/>
              <w:i/>
              <w:iCs/>
              <w:color w:val="5F2987"/>
              <w:spacing w:val="-6"/>
              <w:sz w:val="18"/>
              <w:szCs w:val="18"/>
            </w:rPr>
            <w:t>/</w:t>
          </w:r>
          <w:r w:rsidRPr="00FE7391">
            <w:rPr>
              <w:b/>
              <w:bCs/>
              <w:i/>
              <w:iCs/>
              <w:color w:val="5F2987"/>
              <w:spacing w:val="-6"/>
              <w:sz w:val="18"/>
              <w:szCs w:val="18"/>
            </w:rPr>
            <w:fldChar w:fldCharType="begin"/>
          </w:r>
          <w:r w:rsidRPr="00FE7391">
            <w:rPr>
              <w:b/>
              <w:bCs/>
              <w:i/>
              <w:iCs/>
              <w:color w:val="5F2987"/>
              <w:spacing w:val="-6"/>
              <w:sz w:val="18"/>
              <w:szCs w:val="18"/>
            </w:rPr>
            <w:instrText>NUMPAGES  \* Arabic  \* MERGEFORMAT</w:instrText>
          </w:r>
          <w:r w:rsidRPr="00FE7391">
            <w:rPr>
              <w:b/>
              <w:bCs/>
              <w:i/>
              <w:iCs/>
              <w:color w:val="5F2987"/>
              <w:spacing w:val="-6"/>
              <w:sz w:val="18"/>
              <w:szCs w:val="18"/>
            </w:rPr>
            <w:fldChar w:fldCharType="separate"/>
          </w:r>
          <w:r w:rsidRPr="00FE7391">
            <w:rPr>
              <w:b/>
              <w:bCs/>
              <w:i/>
              <w:iCs/>
              <w:color w:val="5F2987"/>
              <w:spacing w:val="-6"/>
              <w:sz w:val="18"/>
              <w:szCs w:val="18"/>
            </w:rPr>
            <w:t>11</w:t>
          </w:r>
          <w:r w:rsidRPr="00FE7391">
            <w:rPr>
              <w:b/>
              <w:bCs/>
              <w:i/>
              <w:iCs/>
              <w:color w:val="5F2987"/>
              <w:spacing w:val="-6"/>
              <w:sz w:val="18"/>
              <w:szCs w:val="18"/>
            </w:rPr>
            <w:fldChar w:fldCharType="end"/>
          </w:r>
        </w:p>
      </w:tc>
      <w:tc>
        <w:tcPr>
          <w:tcW w:w="7088" w:type="dxa"/>
          <w:vAlign w:val="center"/>
        </w:tcPr>
        <w:p w14:paraId="18811DD8" w14:textId="77777777" w:rsidR="00E46307" w:rsidRPr="00FE7391" w:rsidRDefault="00E46307" w:rsidP="00C44422">
          <w:pPr>
            <w:pStyle w:val="Encabezado"/>
            <w:spacing w:after="0"/>
            <w:ind w:right="-110"/>
            <w:contextualSpacing/>
            <w:jc w:val="center"/>
            <w:rPr>
              <w:i/>
              <w:iCs/>
              <w:color w:val="5F2987"/>
              <w:sz w:val="18"/>
              <w:szCs w:val="18"/>
            </w:rPr>
          </w:pPr>
        </w:p>
      </w:tc>
      <w:tc>
        <w:tcPr>
          <w:tcW w:w="2551" w:type="dxa"/>
          <w:vAlign w:val="center"/>
        </w:tcPr>
        <w:p w14:paraId="2C6299BF" w14:textId="77777777" w:rsidR="00E46307" w:rsidRPr="00FE7391" w:rsidRDefault="00E46307" w:rsidP="00C44422">
          <w:pPr>
            <w:pStyle w:val="Encabezado"/>
            <w:spacing w:after="0"/>
            <w:contextualSpacing/>
            <w:jc w:val="right"/>
            <w:rPr>
              <w:b/>
              <w:bCs/>
              <w:i/>
              <w:iCs/>
              <w:color w:val="5F2987"/>
              <w:spacing w:val="-6"/>
              <w:sz w:val="18"/>
              <w:szCs w:val="18"/>
            </w:rPr>
          </w:pPr>
        </w:p>
      </w:tc>
    </w:tr>
  </w:tbl>
  <w:p w14:paraId="6509D0EF" w14:textId="77777777" w:rsidR="00FD2AC8" w:rsidRPr="00FD2AC8" w:rsidRDefault="00FD2AC8" w:rsidP="00FD2AC8">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E46307" w:rsidRPr="00FE7391" w14:paraId="49B8BA76" w14:textId="77777777" w:rsidTr="002320EB">
      <w:trPr>
        <w:trHeight w:val="138"/>
        <w:jc w:val="center"/>
      </w:trPr>
      <w:tc>
        <w:tcPr>
          <w:tcW w:w="1134" w:type="dxa"/>
          <w:vAlign w:val="center"/>
        </w:tcPr>
        <w:p w14:paraId="4D356EFF" w14:textId="77777777" w:rsidR="00E46307" w:rsidRPr="00FE7391" w:rsidRDefault="00E46307"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5F00C19" w14:textId="77777777" w:rsidR="00E46307" w:rsidRPr="00FE7391" w:rsidRDefault="00E46307" w:rsidP="00C44422">
          <w:pPr>
            <w:pStyle w:val="Encabezado"/>
            <w:spacing w:after="0"/>
            <w:ind w:right="-110"/>
            <w:contextualSpacing/>
            <w:jc w:val="center"/>
            <w:rPr>
              <w:i/>
              <w:iCs/>
              <w:color w:val="5F2987"/>
              <w:sz w:val="18"/>
              <w:szCs w:val="18"/>
            </w:rPr>
          </w:pPr>
        </w:p>
      </w:tc>
      <w:tc>
        <w:tcPr>
          <w:tcW w:w="2551" w:type="dxa"/>
          <w:vAlign w:val="center"/>
        </w:tcPr>
        <w:p w14:paraId="350CDE4B" w14:textId="77777777" w:rsidR="00E46307" w:rsidRPr="00FE7391" w:rsidRDefault="00E46307" w:rsidP="00C44422">
          <w:pPr>
            <w:pStyle w:val="Encabezado"/>
            <w:spacing w:after="0"/>
            <w:contextualSpacing/>
            <w:jc w:val="right"/>
            <w:rPr>
              <w:b/>
              <w:bCs/>
              <w:i/>
              <w:iCs/>
              <w:color w:val="5F2987"/>
              <w:spacing w:val="-6"/>
              <w:sz w:val="18"/>
              <w:szCs w:val="18"/>
            </w:rPr>
          </w:pPr>
          <w:r w:rsidRPr="00FE7391">
            <w:rPr>
              <w:b/>
              <w:bCs/>
              <w:i/>
              <w:iCs/>
              <w:color w:val="5F2987"/>
              <w:spacing w:val="-6"/>
              <w:sz w:val="18"/>
              <w:szCs w:val="18"/>
            </w:rPr>
            <w:fldChar w:fldCharType="begin"/>
          </w:r>
          <w:r w:rsidRPr="00FE7391">
            <w:rPr>
              <w:b/>
              <w:bCs/>
              <w:i/>
              <w:iCs/>
              <w:color w:val="5F2987"/>
              <w:spacing w:val="-6"/>
              <w:sz w:val="18"/>
              <w:szCs w:val="18"/>
            </w:rPr>
            <w:instrText>PAGE  \* Arabic  \* MERGEFORMAT</w:instrText>
          </w:r>
          <w:r w:rsidRPr="00FE7391">
            <w:rPr>
              <w:b/>
              <w:bCs/>
              <w:i/>
              <w:iCs/>
              <w:color w:val="5F2987"/>
              <w:spacing w:val="-6"/>
              <w:sz w:val="18"/>
              <w:szCs w:val="18"/>
            </w:rPr>
            <w:fldChar w:fldCharType="separate"/>
          </w:r>
          <w:r w:rsidRPr="00FE7391">
            <w:rPr>
              <w:b/>
              <w:bCs/>
              <w:i/>
              <w:iCs/>
              <w:color w:val="5F2987"/>
              <w:spacing w:val="-6"/>
              <w:sz w:val="18"/>
              <w:szCs w:val="18"/>
            </w:rPr>
            <w:t>1</w:t>
          </w:r>
          <w:r w:rsidRPr="00FE7391">
            <w:rPr>
              <w:b/>
              <w:bCs/>
              <w:i/>
              <w:iCs/>
              <w:color w:val="5F2987"/>
              <w:spacing w:val="-6"/>
              <w:sz w:val="18"/>
              <w:szCs w:val="18"/>
            </w:rPr>
            <w:fldChar w:fldCharType="end"/>
          </w:r>
          <w:r w:rsidRPr="00FE7391">
            <w:rPr>
              <w:b/>
              <w:bCs/>
              <w:i/>
              <w:iCs/>
              <w:color w:val="5F2987"/>
              <w:spacing w:val="-6"/>
              <w:sz w:val="18"/>
              <w:szCs w:val="18"/>
            </w:rPr>
            <w:t>/</w:t>
          </w:r>
          <w:r w:rsidRPr="00FE7391">
            <w:rPr>
              <w:b/>
              <w:bCs/>
              <w:i/>
              <w:iCs/>
              <w:color w:val="5F2987"/>
              <w:spacing w:val="-6"/>
              <w:sz w:val="18"/>
              <w:szCs w:val="18"/>
            </w:rPr>
            <w:fldChar w:fldCharType="begin"/>
          </w:r>
          <w:r w:rsidRPr="00FE7391">
            <w:rPr>
              <w:b/>
              <w:bCs/>
              <w:i/>
              <w:iCs/>
              <w:color w:val="5F2987"/>
              <w:spacing w:val="-6"/>
              <w:sz w:val="18"/>
              <w:szCs w:val="18"/>
            </w:rPr>
            <w:instrText>NUMPAGES  \* Arabic  \* MERGEFORMAT</w:instrText>
          </w:r>
          <w:r w:rsidRPr="00FE7391">
            <w:rPr>
              <w:b/>
              <w:bCs/>
              <w:i/>
              <w:iCs/>
              <w:color w:val="5F2987"/>
              <w:spacing w:val="-6"/>
              <w:sz w:val="18"/>
              <w:szCs w:val="18"/>
            </w:rPr>
            <w:fldChar w:fldCharType="separate"/>
          </w:r>
          <w:r w:rsidRPr="00FE7391">
            <w:rPr>
              <w:b/>
              <w:bCs/>
              <w:i/>
              <w:iCs/>
              <w:color w:val="5F2987"/>
              <w:spacing w:val="-6"/>
              <w:sz w:val="18"/>
              <w:szCs w:val="18"/>
            </w:rPr>
            <w:t>2</w:t>
          </w:r>
          <w:r w:rsidRPr="00FE7391">
            <w:rPr>
              <w:b/>
              <w:bCs/>
              <w:i/>
              <w:iCs/>
              <w:color w:val="5F2987"/>
              <w:spacing w:val="-6"/>
              <w:sz w:val="18"/>
              <w:szCs w:val="18"/>
            </w:rPr>
            <w:fldChar w:fldCharType="end"/>
          </w:r>
        </w:p>
      </w:tc>
    </w:tr>
  </w:tbl>
  <w:p w14:paraId="34954C8D" w14:textId="56D5A8DB" w:rsidR="004A05AC" w:rsidRPr="00FD2AC8" w:rsidRDefault="004A05AC" w:rsidP="00FD2AC8">
    <w:pPr>
      <w:pStyle w:val="Piedepgina"/>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2AC8" w:rsidRPr="00FE7391" w14:paraId="06AB61E5" w14:textId="77777777" w:rsidTr="0054604D">
      <w:trPr>
        <w:trHeight w:val="138"/>
        <w:jc w:val="center"/>
      </w:trPr>
      <w:tc>
        <w:tcPr>
          <w:tcW w:w="1134" w:type="dxa"/>
          <w:vAlign w:val="center"/>
        </w:tcPr>
        <w:p w14:paraId="261890EF" w14:textId="77777777" w:rsidR="00FD2AC8" w:rsidRPr="00FE7391" w:rsidRDefault="00FD2AC8" w:rsidP="0054604D">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77CEBE8" w14:textId="77777777" w:rsidR="00FD2AC8" w:rsidRPr="00FE7391" w:rsidRDefault="00FD2AC8" w:rsidP="0054604D">
          <w:pPr>
            <w:pStyle w:val="Encabezado"/>
            <w:spacing w:after="0"/>
            <w:ind w:right="-110"/>
            <w:contextualSpacing/>
            <w:jc w:val="center"/>
            <w:rPr>
              <w:i/>
              <w:iCs/>
              <w:color w:val="5F2987"/>
              <w:sz w:val="18"/>
              <w:szCs w:val="18"/>
            </w:rPr>
          </w:pPr>
        </w:p>
      </w:tc>
      <w:tc>
        <w:tcPr>
          <w:tcW w:w="2551" w:type="dxa"/>
          <w:vAlign w:val="center"/>
        </w:tcPr>
        <w:p w14:paraId="2E72D6E9" w14:textId="77777777" w:rsidR="00FD2AC8" w:rsidRPr="00FE7391" w:rsidRDefault="00FD2AC8" w:rsidP="0054604D">
          <w:pPr>
            <w:pStyle w:val="Encabezado"/>
            <w:spacing w:after="0"/>
            <w:contextualSpacing/>
            <w:jc w:val="right"/>
            <w:rPr>
              <w:b/>
              <w:bCs/>
              <w:i/>
              <w:iCs/>
              <w:color w:val="5F2987"/>
              <w:spacing w:val="-6"/>
              <w:sz w:val="18"/>
              <w:szCs w:val="18"/>
            </w:rPr>
          </w:pPr>
          <w:r w:rsidRPr="00FE7391">
            <w:rPr>
              <w:b/>
              <w:bCs/>
              <w:i/>
              <w:iCs/>
              <w:color w:val="5F2987"/>
              <w:spacing w:val="-6"/>
              <w:sz w:val="18"/>
              <w:szCs w:val="18"/>
            </w:rPr>
            <w:fldChar w:fldCharType="begin"/>
          </w:r>
          <w:r w:rsidRPr="00FE7391">
            <w:rPr>
              <w:b/>
              <w:bCs/>
              <w:i/>
              <w:iCs/>
              <w:color w:val="5F2987"/>
              <w:spacing w:val="-6"/>
              <w:sz w:val="18"/>
              <w:szCs w:val="18"/>
            </w:rPr>
            <w:instrText>PAGE  \* Arabic  \* MERGEFORMAT</w:instrText>
          </w:r>
          <w:r w:rsidRPr="00FE7391">
            <w:rPr>
              <w:b/>
              <w:bCs/>
              <w:i/>
              <w:iCs/>
              <w:color w:val="5F2987"/>
              <w:spacing w:val="-6"/>
              <w:sz w:val="18"/>
              <w:szCs w:val="18"/>
            </w:rPr>
            <w:fldChar w:fldCharType="separate"/>
          </w:r>
          <w:r w:rsidRPr="00FE7391">
            <w:rPr>
              <w:b/>
              <w:bCs/>
              <w:i/>
              <w:iCs/>
              <w:color w:val="5F2987"/>
              <w:spacing w:val="-6"/>
              <w:sz w:val="18"/>
              <w:szCs w:val="18"/>
            </w:rPr>
            <w:t>1</w:t>
          </w:r>
          <w:r w:rsidRPr="00FE7391">
            <w:rPr>
              <w:b/>
              <w:bCs/>
              <w:i/>
              <w:iCs/>
              <w:color w:val="5F2987"/>
              <w:spacing w:val="-6"/>
              <w:sz w:val="18"/>
              <w:szCs w:val="18"/>
            </w:rPr>
            <w:fldChar w:fldCharType="end"/>
          </w:r>
          <w:r w:rsidRPr="00FE7391">
            <w:rPr>
              <w:b/>
              <w:bCs/>
              <w:i/>
              <w:iCs/>
              <w:color w:val="5F2987"/>
              <w:spacing w:val="-6"/>
              <w:sz w:val="18"/>
              <w:szCs w:val="18"/>
            </w:rPr>
            <w:t>/</w:t>
          </w:r>
          <w:r w:rsidRPr="00FE7391">
            <w:rPr>
              <w:b/>
              <w:bCs/>
              <w:i/>
              <w:iCs/>
              <w:color w:val="5F2987"/>
              <w:spacing w:val="-6"/>
              <w:sz w:val="18"/>
              <w:szCs w:val="18"/>
            </w:rPr>
            <w:fldChar w:fldCharType="begin"/>
          </w:r>
          <w:r w:rsidRPr="00FE7391">
            <w:rPr>
              <w:b/>
              <w:bCs/>
              <w:i/>
              <w:iCs/>
              <w:color w:val="5F2987"/>
              <w:spacing w:val="-6"/>
              <w:sz w:val="18"/>
              <w:szCs w:val="18"/>
            </w:rPr>
            <w:instrText>NUMPAGES  \* Arabic  \* MERGEFORMAT</w:instrText>
          </w:r>
          <w:r w:rsidRPr="00FE7391">
            <w:rPr>
              <w:b/>
              <w:bCs/>
              <w:i/>
              <w:iCs/>
              <w:color w:val="5F2987"/>
              <w:spacing w:val="-6"/>
              <w:sz w:val="18"/>
              <w:szCs w:val="18"/>
            </w:rPr>
            <w:fldChar w:fldCharType="separate"/>
          </w:r>
          <w:r w:rsidRPr="00FE7391">
            <w:rPr>
              <w:b/>
              <w:bCs/>
              <w:i/>
              <w:iCs/>
              <w:color w:val="5F2987"/>
              <w:spacing w:val="-6"/>
              <w:sz w:val="18"/>
              <w:szCs w:val="18"/>
            </w:rPr>
            <w:t>2</w:t>
          </w:r>
          <w:r w:rsidRPr="00FE7391">
            <w:rPr>
              <w:b/>
              <w:bCs/>
              <w:i/>
              <w:iCs/>
              <w:color w:val="5F2987"/>
              <w:spacing w:val="-6"/>
              <w:sz w:val="18"/>
              <w:szCs w:val="18"/>
            </w:rPr>
            <w:fldChar w:fldCharType="end"/>
          </w:r>
        </w:p>
      </w:tc>
    </w:tr>
  </w:tbl>
  <w:p w14:paraId="7D5663BF" w14:textId="77777777" w:rsidR="00FD2AC8" w:rsidRPr="00FD2AC8" w:rsidRDefault="00FD2AC8" w:rsidP="00FD2AC8">
    <w:pPr>
      <w:pStyle w:val="Piedepgina"/>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5978"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293"/>
      <w:gridCol w:w="2551"/>
    </w:tblGrid>
    <w:tr w:rsidR="00E46307" w:rsidRPr="00C44422" w14:paraId="746D709F" w14:textId="77777777" w:rsidTr="00E46307">
      <w:trPr>
        <w:trHeight w:val="138"/>
        <w:jc w:val="center"/>
      </w:trPr>
      <w:tc>
        <w:tcPr>
          <w:tcW w:w="1134" w:type="dxa"/>
          <w:vAlign w:val="center"/>
        </w:tcPr>
        <w:p w14:paraId="20AAE426" w14:textId="77777777" w:rsidR="00E46307" w:rsidRPr="00C44422" w:rsidRDefault="00E46307" w:rsidP="00C44422">
          <w:pPr>
            <w:pStyle w:val="Encabezado"/>
            <w:tabs>
              <w:tab w:val="clear" w:pos="4252"/>
              <w:tab w:val="clear" w:pos="8504"/>
              <w:tab w:val="right" w:pos="924"/>
              <w:tab w:val="center" w:pos="1310"/>
            </w:tabs>
            <w:spacing w:after="0"/>
            <w:contextualSpacing/>
            <w:rPr>
              <w:i/>
              <w:iCs/>
              <w:color w:val="5F2987"/>
              <w:sz w:val="16"/>
              <w:szCs w:val="16"/>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8</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11</w:t>
          </w:r>
          <w:r w:rsidRPr="00C44422">
            <w:rPr>
              <w:b/>
              <w:bCs/>
              <w:i/>
              <w:iCs/>
              <w:color w:val="5F2987"/>
              <w:spacing w:val="-6"/>
              <w:sz w:val="18"/>
              <w:szCs w:val="18"/>
            </w:rPr>
            <w:fldChar w:fldCharType="end"/>
          </w:r>
        </w:p>
      </w:tc>
      <w:tc>
        <w:tcPr>
          <w:tcW w:w="12293" w:type="dxa"/>
          <w:vAlign w:val="center"/>
        </w:tcPr>
        <w:p w14:paraId="56FF5A06" w14:textId="77777777" w:rsidR="00E46307" w:rsidRPr="00C44422" w:rsidRDefault="00E46307" w:rsidP="00C44422">
          <w:pPr>
            <w:pStyle w:val="Encabezado"/>
            <w:spacing w:after="0"/>
            <w:ind w:right="-110"/>
            <w:contextualSpacing/>
            <w:jc w:val="center"/>
            <w:rPr>
              <w:i/>
              <w:iCs/>
              <w:color w:val="5F2987"/>
              <w:sz w:val="16"/>
              <w:szCs w:val="16"/>
            </w:rPr>
          </w:pPr>
        </w:p>
      </w:tc>
      <w:tc>
        <w:tcPr>
          <w:tcW w:w="2551" w:type="dxa"/>
          <w:vAlign w:val="center"/>
        </w:tcPr>
        <w:p w14:paraId="1D2D7851" w14:textId="77777777" w:rsidR="00E46307" w:rsidRPr="00C44422" w:rsidRDefault="00E46307" w:rsidP="00C44422">
          <w:pPr>
            <w:pStyle w:val="Encabezado"/>
            <w:spacing w:after="0"/>
            <w:contextualSpacing/>
            <w:jc w:val="right"/>
            <w:rPr>
              <w:b/>
              <w:bCs/>
              <w:i/>
              <w:iCs/>
              <w:color w:val="5F2987"/>
              <w:spacing w:val="-6"/>
              <w:sz w:val="18"/>
              <w:szCs w:val="18"/>
            </w:rPr>
          </w:pPr>
        </w:p>
      </w:tc>
    </w:tr>
  </w:tbl>
  <w:p w14:paraId="2586829E" w14:textId="77777777" w:rsidR="00E46307" w:rsidRPr="00FD2AC8" w:rsidRDefault="00E46307" w:rsidP="00FD2AC8">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5648"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7426"/>
    </w:tblGrid>
    <w:tr w:rsidR="00E46307" w:rsidRPr="00044EEC" w14:paraId="4A7C2F4E" w14:textId="77777777" w:rsidTr="00E46307">
      <w:trPr>
        <w:trHeight w:val="138"/>
        <w:jc w:val="center"/>
      </w:trPr>
      <w:tc>
        <w:tcPr>
          <w:tcW w:w="1134" w:type="dxa"/>
          <w:vAlign w:val="center"/>
        </w:tcPr>
        <w:p w14:paraId="269C9F3F" w14:textId="77777777" w:rsidR="00E46307" w:rsidRPr="00044EEC" w:rsidRDefault="00E46307"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195F419" w14:textId="77777777" w:rsidR="00E46307" w:rsidRPr="00044EEC" w:rsidRDefault="00E46307" w:rsidP="00C44422">
          <w:pPr>
            <w:pStyle w:val="Encabezado"/>
            <w:spacing w:after="0"/>
            <w:ind w:right="-110"/>
            <w:contextualSpacing/>
            <w:jc w:val="center"/>
            <w:rPr>
              <w:i/>
              <w:iCs/>
              <w:color w:val="5F2987"/>
              <w:sz w:val="18"/>
              <w:szCs w:val="18"/>
            </w:rPr>
          </w:pPr>
        </w:p>
      </w:tc>
      <w:tc>
        <w:tcPr>
          <w:tcW w:w="7426" w:type="dxa"/>
          <w:vAlign w:val="center"/>
        </w:tcPr>
        <w:p w14:paraId="50C25679" w14:textId="77777777" w:rsidR="00E46307" w:rsidRPr="00044EEC" w:rsidRDefault="00E46307" w:rsidP="00C44422">
          <w:pPr>
            <w:pStyle w:val="Encabezado"/>
            <w:spacing w:after="0"/>
            <w:contextualSpacing/>
            <w:jc w:val="right"/>
            <w:rPr>
              <w:b/>
              <w:bCs/>
              <w:i/>
              <w:iCs/>
              <w:color w:val="5F2987"/>
              <w:spacing w:val="-6"/>
              <w:sz w:val="18"/>
              <w:szCs w:val="18"/>
            </w:rPr>
          </w:pPr>
          <w:r w:rsidRPr="00044EEC">
            <w:rPr>
              <w:b/>
              <w:bCs/>
              <w:i/>
              <w:iCs/>
              <w:color w:val="5F2987"/>
              <w:spacing w:val="-6"/>
              <w:sz w:val="18"/>
              <w:szCs w:val="18"/>
            </w:rPr>
            <w:fldChar w:fldCharType="begin"/>
          </w:r>
          <w:r w:rsidRPr="00044EEC">
            <w:rPr>
              <w:b/>
              <w:bCs/>
              <w:i/>
              <w:iCs/>
              <w:color w:val="5F2987"/>
              <w:spacing w:val="-6"/>
              <w:sz w:val="18"/>
              <w:szCs w:val="18"/>
            </w:rPr>
            <w:instrText>PAGE  \* Arabic  \* MERGEFORMAT</w:instrText>
          </w:r>
          <w:r w:rsidRPr="00044EEC">
            <w:rPr>
              <w:b/>
              <w:bCs/>
              <w:i/>
              <w:iCs/>
              <w:color w:val="5F2987"/>
              <w:spacing w:val="-6"/>
              <w:sz w:val="18"/>
              <w:szCs w:val="18"/>
            </w:rPr>
            <w:fldChar w:fldCharType="separate"/>
          </w:r>
          <w:r w:rsidRPr="00044EEC">
            <w:rPr>
              <w:b/>
              <w:bCs/>
              <w:i/>
              <w:iCs/>
              <w:color w:val="5F2987"/>
              <w:spacing w:val="-6"/>
              <w:sz w:val="18"/>
              <w:szCs w:val="18"/>
            </w:rPr>
            <w:t>1</w:t>
          </w:r>
          <w:r w:rsidRPr="00044EEC">
            <w:rPr>
              <w:b/>
              <w:bCs/>
              <w:i/>
              <w:iCs/>
              <w:color w:val="5F2987"/>
              <w:spacing w:val="-6"/>
              <w:sz w:val="18"/>
              <w:szCs w:val="18"/>
            </w:rPr>
            <w:fldChar w:fldCharType="end"/>
          </w:r>
          <w:r w:rsidRPr="00044EEC">
            <w:rPr>
              <w:b/>
              <w:bCs/>
              <w:i/>
              <w:iCs/>
              <w:color w:val="5F2987"/>
              <w:spacing w:val="-6"/>
              <w:sz w:val="18"/>
              <w:szCs w:val="18"/>
            </w:rPr>
            <w:t>/</w:t>
          </w:r>
          <w:r w:rsidRPr="00044EEC">
            <w:rPr>
              <w:b/>
              <w:bCs/>
              <w:i/>
              <w:iCs/>
              <w:color w:val="5F2987"/>
              <w:spacing w:val="-6"/>
              <w:sz w:val="18"/>
              <w:szCs w:val="18"/>
            </w:rPr>
            <w:fldChar w:fldCharType="begin"/>
          </w:r>
          <w:r w:rsidRPr="00044EEC">
            <w:rPr>
              <w:b/>
              <w:bCs/>
              <w:i/>
              <w:iCs/>
              <w:color w:val="5F2987"/>
              <w:spacing w:val="-6"/>
              <w:sz w:val="18"/>
              <w:szCs w:val="18"/>
            </w:rPr>
            <w:instrText>NUMPAGES  \* Arabic  \* MERGEFORMAT</w:instrText>
          </w:r>
          <w:r w:rsidRPr="00044EEC">
            <w:rPr>
              <w:b/>
              <w:bCs/>
              <w:i/>
              <w:iCs/>
              <w:color w:val="5F2987"/>
              <w:spacing w:val="-6"/>
              <w:sz w:val="18"/>
              <w:szCs w:val="18"/>
            </w:rPr>
            <w:fldChar w:fldCharType="separate"/>
          </w:r>
          <w:r w:rsidRPr="00044EEC">
            <w:rPr>
              <w:b/>
              <w:bCs/>
              <w:i/>
              <w:iCs/>
              <w:color w:val="5F2987"/>
              <w:spacing w:val="-6"/>
              <w:sz w:val="18"/>
              <w:szCs w:val="18"/>
            </w:rPr>
            <w:t>2</w:t>
          </w:r>
          <w:r w:rsidRPr="00044EEC">
            <w:rPr>
              <w:b/>
              <w:bCs/>
              <w:i/>
              <w:iCs/>
              <w:color w:val="5F2987"/>
              <w:spacing w:val="-6"/>
              <w:sz w:val="18"/>
              <w:szCs w:val="18"/>
            </w:rPr>
            <w:fldChar w:fldCharType="end"/>
          </w:r>
        </w:p>
      </w:tc>
    </w:tr>
  </w:tbl>
  <w:p w14:paraId="192FAAE4" w14:textId="77777777" w:rsidR="00E46307" w:rsidRPr="00FD2AC8" w:rsidRDefault="00E46307" w:rsidP="00FD2AC8">
    <w:pPr>
      <w:pStyle w:val="Piedepgina"/>
      <w:ind w:right="-449"/>
      <w:jc w:val="right"/>
      <w:rPr>
        <w:color w:val="5F2987"/>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F2B122" w14:textId="77777777" w:rsidR="00254BB6" w:rsidRPr="00C60758" w:rsidRDefault="00254BB6" w:rsidP="00E32FC0">
      <w:pPr>
        <w:spacing w:after="0" w:line="240" w:lineRule="auto"/>
        <w:rPr>
          <w:sz w:val="16"/>
          <w:szCs w:val="16"/>
        </w:rPr>
      </w:pPr>
      <w:r w:rsidRPr="00C60758">
        <w:rPr>
          <w:sz w:val="16"/>
          <w:szCs w:val="16"/>
        </w:rPr>
        <w:separator/>
      </w:r>
    </w:p>
  </w:footnote>
  <w:footnote w:type="continuationSeparator" w:id="0">
    <w:p w14:paraId="1C431B04" w14:textId="77777777" w:rsidR="00254BB6" w:rsidRPr="00C60758" w:rsidRDefault="00254BB6" w:rsidP="00C60758">
      <w:pPr>
        <w:spacing w:after="0" w:line="240" w:lineRule="auto"/>
        <w:rPr>
          <w:sz w:val="16"/>
          <w:szCs w:val="16"/>
        </w:rPr>
      </w:pPr>
      <w:r w:rsidRPr="00C60758">
        <w:rPr>
          <w:sz w:val="16"/>
          <w:szCs w:val="16"/>
        </w:rPr>
        <w:continuationSeparator/>
      </w:r>
    </w:p>
  </w:footnote>
  <w:footnote w:type="continuationNotice" w:id="1">
    <w:p w14:paraId="4BB80AEE" w14:textId="77777777" w:rsidR="00254BB6" w:rsidRPr="006D4424" w:rsidRDefault="00254BB6" w:rsidP="006D4424">
      <w:pPr>
        <w:spacing w:after="0" w:line="192" w:lineRule="auto"/>
        <w:jc w:val="right"/>
        <w:rPr>
          <w:sz w:val="16"/>
          <w:szCs w:val="16"/>
        </w:rPr>
      </w:pPr>
      <w:r w:rsidRPr="006D4424">
        <w:rPr>
          <w:rFonts w:ascii="Cambria Math" w:hAnsi="Cambria Math" w:cs="Cambria Math"/>
          <w:color w:val="202122"/>
          <w:sz w:val="16"/>
          <w:szCs w:val="16"/>
          <w:shd w:val="clear" w:color="auto" w:fill="FFFFFF"/>
        </w:rPr>
        <w:t>↪</w:t>
      </w:r>
    </w:p>
  </w:footnote>
  <w:footnote w:id="2">
    <w:p w14:paraId="7BA19634" w14:textId="77777777" w:rsidR="005E2195" w:rsidRPr="005171AF" w:rsidRDefault="005E2195" w:rsidP="005E2195">
      <w:pPr>
        <w:pStyle w:val="Textonotapie"/>
      </w:pPr>
      <w:r>
        <w:rPr>
          <w:rStyle w:val="Refdenotaalpie"/>
        </w:rPr>
        <w:footnoteRef/>
      </w:r>
      <w:r>
        <w:t xml:space="preserve"> </w:t>
      </w:r>
      <w:r>
        <w:rPr>
          <w:smallCaps/>
        </w:rPr>
        <w:t>Robert Lucas</w:t>
      </w:r>
      <w:r>
        <w:t xml:space="preserve"> fue galardonado con el Premio Nobel de Economía en 1995 </w:t>
      </w:r>
      <w:r w:rsidRPr="005171AF">
        <w:t>«Por desarrollar la hipótesis de las expectativas racionales, que transformó el análisis de la macroeconomía y permitió profundizar en el conocimiento de la política económica».</w:t>
      </w:r>
    </w:p>
  </w:footnote>
  <w:footnote w:id="3">
    <w:p w14:paraId="010C40A1" w14:textId="77777777" w:rsidR="005E2195" w:rsidRPr="005E2195" w:rsidRDefault="005E2195" w:rsidP="005E2195">
      <w:pPr>
        <w:pStyle w:val="Textonotapie"/>
      </w:pPr>
      <w:r>
        <w:rPr>
          <w:rStyle w:val="Refdenotaalpie"/>
        </w:rPr>
        <w:footnoteRef/>
      </w:r>
      <w:r w:rsidRPr="005171AF">
        <w:rPr>
          <w:lang w:val="en-US"/>
        </w:rPr>
        <w:t xml:space="preserve"> Lucas, R. E. (1988). On the mechanics of economic development. </w:t>
      </w:r>
      <w:r w:rsidRPr="005E2195">
        <w:rPr>
          <w:i/>
          <w:iCs/>
        </w:rPr>
        <w:t>Journal of Monetary Economics, 22</w:t>
      </w:r>
      <w:r w:rsidRPr="005E2195">
        <w:t xml:space="preserve">(1), 3-42. </w:t>
      </w:r>
      <w:hyperlink r:id="rId1" w:history="1">
        <w:r w:rsidRPr="005E2195">
          <w:rPr>
            <w:rStyle w:val="Hipervnculo"/>
          </w:rPr>
          <w:t>https://doi.org/10.1016/0304-3932(88)90168-7</w:t>
        </w:r>
      </w:hyperlink>
    </w:p>
  </w:footnote>
  <w:footnote w:id="4">
    <w:p w14:paraId="7E3AD73F" w14:textId="11ECDAC5" w:rsidR="005E2195" w:rsidRDefault="005E2195">
      <w:pPr>
        <w:pStyle w:val="Textonotapie"/>
      </w:pPr>
      <w:r>
        <w:rPr>
          <w:rStyle w:val="Refdenotaalpie"/>
        </w:rPr>
        <w:footnoteRef/>
      </w:r>
      <w:r>
        <w:t xml:space="preserve"> Las rentas reales medias en </w:t>
      </w:r>
      <w:r w:rsidR="003A2F0C">
        <w:t>Estados Unidos</w:t>
      </w:r>
      <w:r>
        <w:t xml:space="preserve"> y Europa occidental es entre 10 y 30</w:t>
      </w:r>
      <w:r w:rsidR="00221ED0">
        <w:t> </w:t>
      </w:r>
      <w:r>
        <w:t>veces mayor que hace un siglo, y entre 50 y 300</w:t>
      </w:r>
      <w:r w:rsidR="00221ED0">
        <w:t> </w:t>
      </w:r>
      <w:r>
        <w:t>veces más grande que hace dos siglos.</w:t>
      </w:r>
    </w:p>
  </w:footnote>
  <w:footnote w:id="5">
    <w:p w14:paraId="2A051789" w14:textId="77777777" w:rsidR="00903C48" w:rsidRDefault="00903C48" w:rsidP="00903C48">
      <w:pPr>
        <w:pStyle w:val="Textonotapie"/>
        <w:keepNext/>
        <w:spacing w:after="0"/>
      </w:pPr>
      <w:r>
        <w:rPr>
          <w:rStyle w:val="Refdenotaalpie"/>
        </w:rPr>
        <w:footnoteRef/>
      </w:r>
      <w:r>
        <w:t xml:space="preserve"> </w:t>
      </w:r>
      <w:r>
        <w:rPr>
          <w:smallCaps/>
        </w:rPr>
        <w:t>Panagariya</w:t>
      </w:r>
      <w:r>
        <w:t>, partiendo de datos de 3 décadas, divide a los países en 3 grupos:</w:t>
      </w:r>
    </w:p>
    <w:p w14:paraId="2064B844" w14:textId="77777777" w:rsidR="00903C48" w:rsidRDefault="00903C48">
      <w:pPr>
        <w:pStyle w:val="Textonotapie"/>
        <w:numPr>
          <w:ilvl w:val="0"/>
          <w:numId w:val="23"/>
        </w:numPr>
        <w:spacing w:after="0"/>
        <w:ind w:left="283" w:hanging="170"/>
      </w:pPr>
      <w:r>
        <w:rPr>
          <w:i/>
          <w:iCs/>
        </w:rPr>
        <w:t>Milagros del crecimiento</w:t>
      </w:r>
      <w:r w:rsidRPr="009632CE">
        <w:t>:</w:t>
      </w:r>
      <w:r>
        <w:t xml:space="preserve"> Si experimentaron una tasa de crecimiento media anual per cápita de más del 3 %.</w:t>
      </w:r>
    </w:p>
    <w:p w14:paraId="52FDC5D8" w14:textId="754B44ED" w:rsidR="00903C48" w:rsidRDefault="00903C48">
      <w:pPr>
        <w:pStyle w:val="Textonotapie"/>
        <w:numPr>
          <w:ilvl w:val="0"/>
          <w:numId w:val="23"/>
        </w:numPr>
        <w:spacing w:after="0"/>
        <w:ind w:left="283" w:hanging="170"/>
      </w:pPr>
      <w:r>
        <w:rPr>
          <w:i/>
          <w:iCs/>
        </w:rPr>
        <w:t>Fracasos del crecimiento</w:t>
      </w:r>
      <w:r>
        <w:t>: Si experimentaron una tasa negativ</w:t>
      </w:r>
      <w:r w:rsidR="008F5025">
        <w:t>a.</w:t>
      </w:r>
    </w:p>
    <w:p w14:paraId="73AFDC6B" w14:textId="63A03B85" w:rsidR="00903C48" w:rsidRDefault="00903C48">
      <w:pPr>
        <w:pStyle w:val="Textonotapie"/>
        <w:numPr>
          <w:ilvl w:val="0"/>
          <w:numId w:val="23"/>
        </w:numPr>
        <w:ind w:left="283" w:hanging="170"/>
      </w:pPr>
      <w:r w:rsidRPr="00903C48">
        <w:rPr>
          <w:i/>
          <w:iCs/>
        </w:rPr>
        <w:t>Resto</w:t>
      </w:r>
      <w:r w:rsidR="008F5025">
        <w:t>.</w:t>
      </w:r>
    </w:p>
  </w:footnote>
  <w:footnote w:id="6">
    <w:p w14:paraId="6BBFC0EF" w14:textId="77777777" w:rsidR="00193277" w:rsidRDefault="00193277" w:rsidP="00193277">
      <w:pPr>
        <w:pStyle w:val="Textonotapie"/>
        <w:keepNext/>
        <w:spacing w:after="0"/>
      </w:pPr>
      <w:r>
        <w:rPr>
          <w:rStyle w:val="Refdenotaalpie"/>
        </w:rPr>
        <w:footnoteRef/>
      </w:r>
      <w:r>
        <w:t xml:space="preserve"> Estos autores buscan explicar las fuentes del progreso de las naciones, es decir, factores que actúan como motor de crecimiento económico. Destacan las aportaciones de:</w:t>
      </w:r>
    </w:p>
    <w:p w14:paraId="3659723B" w14:textId="77777777" w:rsidR="00193277" w:rsidRDefault="00193277">
      <w:pPr>
        <w:pStyle w:val="Textonotapie"/>
        <w:numPr>
          <w:ilvl w:val="0"/>
          <w:numId w:val="15"/>
        </w:numPr>
        <w:spacing w:after="0"/>
        <w:ind w:left="283" w:hanging="113"/>
      </w:pPr>
      <w:r>
        <w:rPr>
          <w:smallCaps/>
        </w:rPr>
        <w:t>Adam Smith</w:t>
      </w:r>
      <w:r>
        <w:t xml:space="preserve"> hablaba de la </w:t>
      </w:r>
      <w:r>
        <w:rPr>
          <w:i/>
          <w:iCs/>
        </w:rPr>
        <w:t>división del trabajo</w:t>
      </w:r>
      <w:r>
        <w:t>, que permitía mayor especialización y ganancias en productividad.</w:t>
      </w:r>
    </w:p>
    <w:p w14:paraId="2080205F" w14:textId="77777777" w:rsidR="00193277" w:rsidRDefault="00193277">
      <w:pPr>
        <w:pStyle w:val="Textonotapie"/>
        <w:numPr>
          <w:ilvl w:val="0"/>
          <w:numId w:val="15"/>
        </w:numPr>
        <w:ind w:left="283" w:hanging="113"/>
      </w:pPr>
      <w:r>
        <w:rPr>
          <w:smallCaps/>
        </w:rPr>
        <w:t>David Ricardo</w:t>
      </w:r>
      <w:r>
        <w:t xml:space="preserve"> subrayó el papel del </w:t>
      </w:r>
      <w:r>
        <w:rPr>
          <w:i/>
          <w:iCs/>
        </w:rPr>
        <w:t>comercio internacional</w:t>
      </w:r>
      <w:r>
        <w:t>, clave ante los rendimientos decrecientes en el cultivo de las tierras.</w:t>
      </w:r>
    </w:p>
  </w:footnote>
  <w:footnote w:id="7">
    <w:p w14:paraId="671C812A" w14:textId="77777777" w:rsidR="00193277" w:rsidRPr="00E73BC9" w:rsidRDefault="00193277" w:rsidP="00193277">
      <w:pPr>
        <w:pStyle w:val="Textonotapie"/>
        <w:rPr>
          <w:spacing w:val="-2"/>
        </w:rPr>
      </w:pPr>
      <w:r w:rsidRPr="00E73BC9">
        <w:rPr>
          <w:rStyle w:val="Refdenotaalpie"/>
          <w:spacing w:val="-2"/>
        </w:rPr>
        <w:footnoteRef/>
      </w:r>
      <w:r w:rsidRPr="00E73BC9">
        <w:rPr>
          <w:spacing w:val="-2"/>
        </w:rPr>
        <w:t xml:space="preserve"> </w:t>
      </w:r>
      <w:r w:rsidRPr="00E73BC9">
        <w:rPr>
          <w:smallCaps/>
          <w:spacing w:val="-2"/>
        </w:rPr>
        <w:t>Robert Solow</w:t>
      </w:r>
      <w:r w:rsidRPr="00E73BC9">
        <w:rPr>
          <w:spacing w:val="-2"/>
        </w:rPr>
        <w:t xml:space="preserve"> fue galardonado con el Premio Nobel de Economía en 1987 «Por sus contribuciones a la teoría del crecimiento económico».</w:t>
      </w:r>
    </w:p>
  </w:footnote>
  <w:footnote w:id="8">
    <w:p w14:paraId="3DD9A08D" w14:textId="23078B78" w:rsidR="00C91F00" w:rsidRDefault="00C91F00">
      <w:pPr>
        <w:pStyle w:val="Textonotapie"/>
      </w:pPr>
      <w:r>
        <w:rPr>
          <w:rStyle w:val="Refdenotaalpie"/>
        </w:rPr>
        <w:footnoteRef/>
      </w:r>
      <w:r>
        <w:t xml:space="preserve"> En una muestra de 127 países en la que se recoge el producto per cápita (producto por ciudadano en activo) de cada país en 1988, los </w:t>
      </w:r>
      <w:r w:rsidR="005B7E9D">
        <w:t>5 </w:t>
      </w:r>
      <w:r>
        <w:t xml:space="preserve">países más ricos tenían un producto per cápita medio 32 veces mayor que el de los </w:t>
      </w:r>
      <w:r w:rsidR="005B7E9D">
        <w:t>5 </w:t>
      </w:r>
      <w:r>
        <w:t xml:space="preserve">países más pobres y los </w:t>
      </w:r>
      <w:r w:rsidR="005B7E9D">
        <w:t>20 </w:t>
      </w:r>
      <w:r>
        <w:t xml:space="preserve">países más ricos tenían un producto per cápita medio 23 veces mayor que el de los </w:t>
      </w:r>
      <w:r w:rsidR="005B7E9D">
        <w:t>20 </w:t>
      </w:r>
      <w:r>
        <w:t>países más pobres. En ese año, el producto per cápita de los Estados Unidos, el país con mayor producto per cápita, era 35 veces el producto per cápita de Níger, el país que ocupaba el último puesto en este ranking.</w:t>
      </w:r>
    </w:p>
  </w:footnote>
  <w:footnote w:id="9">
    <w:p w14:paraId="7CC53933" w14:textId="77777777" w:rsidR="00F339CD" w:rsidRDefault="00F339CD" w:rsidP="00F339CD">
      <w:pPr>
        <w:pStyle w:val="Textonotapie"/>
        <w:spacing w:after="0"/>
      </w:pPr>
      <w:r>
        <w:rPr>
          <w:rStyle w:val="Refdenotaalpie"/>
        </w:rPr>
        <w:footnoteRef/>
      </w:r>
      <w:r>
        <w:t xml:space="preserve"> Sin embargo, se ha observado una caída de la participación del trabajo en la renta de algunas economías avanzadas en los últimos años, por lo que cabe preguntarse si está disminuyendo la remuneración relativa del factor trabajo.</w:t>
      </w:r>
    </w:p>
    <w:p w14:paraId="35306113" w14:textId="77777777" w:rsidR="00F339CD" w:rsidRDefault="00F339CD" w:rsidP="00F339CD">
      <w:pPr>
        <w:pStyle w:val="Textonotapie"/>
        <w:spacing w:after="0"/>
        <w:jc w:val="left"/>
      </w:pPr>
      <w:r>
        <w:t xml:space="preserve">Este hecho de </w:t>
      </w:r>
      <w:r w:rsidRPr="00E32FC0">
        <w:rPr>
          <w:smallCaps/>
        </w:rPr>
        <w:t>Kaldor</w:t>
      </w:r>
      <w:r>
        <w:t>, es el que está siendo más sujeto a controversia durante los últimos años.</w:t>
      </w:r>
    </w:p>
    <w:p w14:paraId="1C08E002" w14:textId="77777777" w:rsidR="00F339CD" w:rsidRPr="00486B7E" w:rsidRDefault="00F339CD" w:rsidP="00F339CD">
      <w:pPr>
        <w:pStyle w:val="Textonotapie"/>
        <w:rPr>
          <w:spacing w:val="-2"/>
        </w:rPr>
      </w:pPr>
      <w:r w:rsidRPr="00486B7E">
        <w:rPr>
          <w:spacing w:val="-2"/>
        </w:rPr>
        <w:t>También hay cierta evidencia de que las tasas de rentabilidad real del capital tienden a caer hacia un cierto rango al desarrollarse la economía.</w:t>
      </w:r>
    </w:p>
  </w:footnote>
  <w:footnote w:id="10">
    <w:p w14:paraId="6D6862D7" w14:textId="77777777" w:rsidR="00535E41" w:rsidRDefault="00535E41" w:rsidP="00535E41">
      <w:pPr>
        <w:pStyle w:val="Textonotapie"/>
        <w:keepNext/>
        <w:spacing w:after="0"/>
      </w:pPr>
      <w:r>
        <w:rPr>
          <w:rStyle w:val="Refdenotaalpie"/>
        </w:rPr>
        <w:footnoteRef/>
      </w:r>
      <w:r>
        <w:t xml:space="preserve"> Esto se ve reflejado en la siguiente gráfica que refleja cuánto han crecido los países en función de su nivel de PIB per cápita en 1960. Se aprecia cómo los países más ricos (i.e. los más cercanos a la frontera tecnológica) han crecido a tasas similares, mientras que entre los menos avanzados existe una mayor dispersión (esto se debe a que algunos países como Corea del Sur han conseguido disminuir drásticamente la brecha con los países desarrollados, pero otros han perdido esta oportunidad debido a un peor desarrollo institucional).</w:t>
      </w:r>
    </w:p>
    <w:p w14:paraId="58A4BB01" w14:textId="77777777" w:rsidR="00535E41" w:rsidRDefault="00535E41" w:rsidP="00535E41">
      <w:pPr>
        <w:pStyle w:val="Textonotapie"/>
        <w:jc w:val="center"/>
      </w:pPr>
      <w:r>
        <w:rPr>
          <w:noProof/>
        </w:rPr>
        <w:drawing>
          <wp:inline distT="0" distB="0" distL="0" distR="0" wp14:anchorId="42A6FA97" wp14:editId="78DDEFA7">
            <wp:extent cx="2026839" cy="1197429"/>
            <wp:effectExtent l="0" t="0" r="0" b="3175"/>
            <wp:docPr id="779809402" name="Imagen 1" descr="Imagen de la pantalla de un celular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809402" name="Imagen 1" descr="Imagen de la pantalla de un celular con letras&#10;&#10;Descripción generada automáticamente con confianza media"/>
                    <pic:cNvPicPr/>
                  </pic:nvPicPr>
                  <pic:blipFill>
                    <a:blip r:embed="rId2"/>
                    <a:stretch>
                      <a:fillRect/>
                    </a:stretch>
                  </pic:blipFill>
                  <pic:spPr>
                    <a:xfrm>
                      <a:off x="0" y="0"/>
                      <a:ext cx="2046195" cy="1208864"/>
                    </a:xfrm>
                    <a:prstGeom prst="rect">
                      <a:avLst/>
                    </a:prstGeom>
                  </pic:spPr>
                </pic:pic>
              </a:graphicData>
            </a:graphic>
          </wp:inline>
        </w:drawing>
      </w:r>
    </w:p>
  </w:footnote>
  <w:footnote w:id="11">
    <w:p w14:paraId="642C7793" w14:textId="4292DA39" w:rsidR="00B93BD4" w:rsidRDefault="00B93BD4">
      <w:pPr>
        <w:pStyle w:val="Textonotapie"/>
      </w:pPr>
      <w:r>
        <w:rPr>
          <w:rStyle w:val="Refdenotaalpie"/>
        </w:rPr>
        <w:footnoteRef/>
      </w:r>
      <w:r>
        <w:t xml:space="preserve"> De nuevo, es una contrapartida a un hecho estilizado de </w:t>
      </w:r>
      <w:r>
        <w:rPr>
          <w:smallCaps/>
        </w:rPr>
        <w:t>Kaldor</w:t>
      </w:r>
      <w:r>
        <w:t>: si el aumento en la relación capital/trabajo ha sucedido sin una disminución en la retribución del capital es, quizás, porque el progreso tecnológico ha impedido la disminución del producto marginal del capital. Un fenómeno similar ocurre con el capital humano en vez del físico: el aumento sostenido del ratio capital humano frente a trabajo no cualificado, no se ha visto acompañado de una disminución en su precio relativo. Y de nuevo, una posible interpretación de este hecho sería que el progreso tecnológico sesgado hacia la utilización de trabajo cualificado ha aumentado la demanda relativa de trabajadores cualificados y compensado el efecto del aumento de su oferta relativa, manteniendo constante el salario relativo.</w:t>
      </w:r>
    </w:p>
  </w:footnote>
  <w:footnote w:id="12">
    <w:p w14:paraId="0C89A6BE" w14:textId="77777777" w:rsidR="00504506" w:rsidRDefault="00504506" w:rsidP="00504506">
      <w:pPr>
        <w:pStyle w:val="Textonotapie"/>
        <w:keepNext/>
        <w:spacing w:after="0"/>
      </w:pPr>
      <w:r>
        <w:rPr>
          <w:rStyle w:val="Refdenotaalpie"/>
        </w:rPr>
        <w:footnoteRef/>
      </w:r>
      <w:r>
        <w:t xml:space="preserve"> Podríamos pensar, sin pérdida de generalidad, en la función de producción Cobb-Douglas, que es el ejemplo más común de función de producción utilizada en macroeconomía.</w:t>
      </w:r>
    </w:p>
    <w:p w14:paraId="17CE90AE" w14:textId="77777777" w:rsidR="00504506" w:rsidRPr="003276BD" w:rsidRDefault="00000000" w:rsidP="00504506">
      <w:pPr>
        <w:pStyle w:val="Textonotapie"/>
        <w:spacing w:after="0"/>
        <w:rPr>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L</m:t>
                  </m:r>
                </m:e>
                <m:sub>
                  <m:r>
                    <m:rPr>
                      <m:nor/>
                    </m:rPr>
                    <w:rPr>
                      <w:i/>
                      <w:lang w:val="fr-FR"/>
                    </w:rPr>
                    <m:t>t</m:t>
                  </m:r>
                </m:sub>
              </m:sSub>
            </m:e>
            <m:sup>
              <m:r>
                <m:rPr>
                  <m:nor/>
                </m:rPr>
                <w:rPr>
                  <w:i/>
                  <w:iCs/>
                </w:rPr>
                <m:t>β</m:t>
              </m:r>
            </m:sup>
          </m:sSup>
        </m:oMath>
      </m:oMathPara>
    </w:p>
    <w:p w14:paraId="6A912BE4" w14:textId="77777777" w:rsidR="00504506" w:rsidRPr="003276BD" w:rsidRDefault="00504506" w:rsidP="00504506">
      <w:pPr>
        <w:pStyle w:val="Textonotapie"/>
        <w:keepNext/>
        <w:spacing w:after="0"/>
      </w:pPr>
      <w:r w:rsidRPr="003276BD">
        <w:t>Concretamente consideraremos una función de producción Cobb-Douglas con rendimientos constantes a escala</w:t>
      </w:r>
      <w:r>
        <w:t xml:space="preserve"> (</w:t>
      </w:r>
      <m:oMath>
        <m:r>
          <m:rPr>
            <m:nor/>
          </m:rPr>
          <w:rPr>
            <w:i/>
          </w:rPr>
          <m:t>α</m:t>
        </m:r>
        <m:r>
          <w:rPr>
            <w:rFonts w:ascii="Cambria Math"/>
          </w:rPr>
          <m:t>+</m:t>
        </m:r>
        <m:r>
          <m:rPr>
            <m:nor/>
          </m:rPr>
          <w:rPr>
            <w:i/>
            <w:iCs/>
          </w:rPr>
          <m:t>β</m:t>
        </m:r>
        <m:r>
          <w:rPr>
            <w:rFonts w:ascii="Cambria Math"/>
          </w:rPr>
          <m:t>=</m:t>
        </m:r>
        <m:r>
          <m:rPr>
            <m:nor/>
          </m:rPr>
          <w:rPr>
            <w:i/>
          </w:rPr>
          <m:t>1</m:t>
        </m:r>
      </m:oMath>
      <w:r>
        <w:t>) y productividades marginales decrecientes (</w:t>
      </w:r>
      <m:oMath>
        <m:r>
          <w:rPr>
            <w:rFonts w:ascii="Cambria Math" w:hAnsi="Cambria Math"/>
          </w:rPr>
          <m:t xml:space="preserve"> </m:t>
        </m:r>
        <m:r>
          <m:rPr>
            <m:nor/>
          </m:rPr>
          <w:rPr>
            <w:i/>
          </w:rPr>
          <m:t>α</m:t>
        </m:r>
        <m:r>
          <w:rPr>
            <w:rFonts w:ascii="Cambria Math" w:eastAsiaTheme="minorEastAsia" w:hAnsi="Cambria Math"/>
          </w:rPr>
          <m:t>∈</m:t>
        </m:r>
        <m:d>
          <m:dPr>
            <m:ctrlPr>
              <w:rPr>
                <w:rFonts w:ascii="Cambria Math" w:eastAsiaTheme="minorEastAsia" w:hAnsi="Cambria Math"/>
                <w:i/>
                <w:sz w:val="14"/>
                <w:szCs w:val="22"/>
              </w:rPr>
            </m:ctrlPr>
          </m:dPr>
          <m:e>
            <m:r>
              <m:rPr>
                <m:nor/>
              </m:rPr>
              <w:rPr>
                <w:i/>
              </w:rPr>
              <m:t>0,1</m:t>
            </m:r>
          </m:e>
        </m:d>
      </m:oMath>
      <w:r>
        <w:rPr>
          <w:rFonts w:eastAsiaTheme="minorEastAsia"/>
        </w:rPr>
        <w:t xml:space="preserve"> y </w:t>
      </w:r>
      <m:oMath>
        <m:r>
          <w:rPr>
            <w:rFonts w:ascii="Cambria Math" w:eastAsiaTheme="minorEastAsia" w:hAnsi="Cambria Math"/>
          </w:rPr>
          <m:t xml:space="preserve"> </m:t>
        </m:r>
        <m:r>
          <m:rPr>
            <m:nor/>
          </m:rPr>
          <w:rPr>
            <w:i/>
            <w:iCs/>
          </w:rPr>
          <m:t>β</m:t>
        </m:r>
        <m:r>
          <w:rPr>
            <w:rFonts w:ascii="Cambria Math" w:eastAsiaTheme="minorEastAsia" w:hAnsi="Cambria Math"/>
          </w:rPr>
          <m:t>∈</m:t>
        </m:r>
        <m:d>
          <m:dPr>
            <m:ctrlPr>
              <w:rPr>
                <w:rFonts w:ascii="Cambria Math" w:eastAsiaTheme="minorEastAsia" w:hAnsi="Cambria Math"/>
                <w:i/>
                <w:sz w:val="14"/>
                <w:szCs w:val="22"/>
              </w:rPr>
            </m:ctrlPr>
          </m:dPr>
          <m:e>
            <m:r>
              <m:rPr>
                <m:nor/>
              </m:rPr>
              <w:rPr>
                <w:i/>
              </w:rPr>
              <m:t>0,1</m:t>
            </m:r>
          </m:e>
        </m:d>
        <m:r>
          <w:rPr>
            <w:rFonts w:ascii="Cambria Math" w:eastAsiaTheme="minorEastAsia" w:hAnsi="Cambria Math"/>
            <w:sz w:val="14"/>
            <w:szCs w:val="22"/>
          </w:rPr>
          <m:t xml:space="preserve"> </m:t>
        </m:r>
      </m:oMath>
      <w:r>
        <w:t>):</w:t>
      </w:r>
    </w:p>
    <w:p w14:paraId="5E4DAB02" w14:textId="77777777" w:rsidR="00504506" w:rsidRPr="00AC3070" w:rsidRDefault="00000000" w:rsidP="00504506">
      <w:pPr>
        <w:pStyle w:val="Textonotapie"/>
        <w:spacing w:after="0"/>
        <w:rPr>
          <w:rFonts w:eastAsiaTheme="minorEastAsia"/>
          <w:i/>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r>
            <w:rPr>
              <w:rFonts w:ascii="Cambria Math" w:hAnsi="Cambria Math"/>
              <w:lang w:val="fr-FR"/>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e>
              </m:d>
            </m:e>
            <m:sup>
              <m:r>
                <m:rPr>
                  <m:nor/>
                </m:rPr>
                <w:rPr>
                  <w:i/>
                  <w:lang w:val="fr-FR"/>
                </w:rPr>
                <m:t>1</m:t>
              </m:r>
              <m:r>
                <w:rPr>
                  <w:rFonts w:ascii="Cambria Math" w:hAnsi="Cambria Math"/>
                  <w:lang w:val="fr-FR"/>
                </w:rPr>
                <m:t>-</m:t>
              </m:r>
              <m:r>
                <m:rPr>
                  <m:nor/>
                </m:rPr>
                <w:rPr>
                  <w:i/>
                </w:rPr>
                <m:t>α</m:t>
              </m:r>
            </m:sup>
          </m:sSup>
        </m:oMath>
      </m:oMathPara>
    </w:p>
    <w:p w14:paraId="64A65C1E" w14:textId="22ECD7ED" w:rsidR="00504506" w:rsidRPr="00C60758" w:rsidRDefault="00504506" w:rsidP="00504506">
      <w:pPr>
        <w:pStyle w:val="Textonotapie"/>
        <w:spacing w:after="0"/>
        <w:rPr>
          <w:rFonts w:eastAsiaTheme="minorEastAsia"/>
          <w:iCs/>
          <w:spacing w:val="-1"/>
        </w:rPr>
      </w:pPr>
      <w:r w:rsidRPr="00C60758">
        <w:rPr>
          <w:rFonts w:eastAsiaTheme="minorEastAsia"/>
          <w:iCs/>
          <w:smallCaps/>
          <w:spacing w:val="-1"/>
        </w:rPr>
        <w:t>Paul Douglas</w:t>
      </w:r>
      <w:r w:rsidRPr="00C60758">
        <w:rPr>
          <w:rFonts w:eastAsiaTheme="minorEastAsia"/>
          <w:iCs/>
          <w:spacing w:val="-1"/>
        </w:rPr>
        <w:t xml:space="preserve"> fue un senador por Illinois entre 1949 y 1966. Cuando todavía era profesor de economía, </w:t>
      </w:r>
      <w:r w:rsidRPr="00C60758">
        <w:rPr>
          <w:rFonts w:eastAsiaTheme="minorEastAsia"/>
          <w:iCs/>
          <w:smallCaps/>
          <w:spacing w:val="-1"/>
        </w:rPr>
        <w:t>Douglas</w:t>
      </w:r>
      <w:r w:rsidRPr="00C60758">
        <w:rPr>
          <w:rFonts w:eastAsiaTheme="minorEastAsia"/>
          <w:iCs/>
          <w:spacing w:val="-1"/>
        </w:rPr>
        <w:t xml:space="preserve"> descubrió un hecho sorprendente: la división de la renta nacional entre trabajadores y capitalistas permanecía más o menos constante en el tiempo. En particular, descubrió que los trabajadores en Estados Unidos se quedan con, más o menos, el 70</w:t>
      </w:r>
      <w:r w:rsidR="00C60758" w:rsidRPr="00C60758">
        <w:rPr>
          <w:rFonts w:eastAsiaTheme="minorEastAsia"/>
          <w:iCs/>
          <w:spacing w:val="-1"/>
        </w:rPr>
        <w:t> %</w:t>
      </w:r>
      <w:r w:rsidRPr="00C60758">
        <w:rPr>
          <w:rFonts w:eastAsiaTheme="minorEastAsia"/>
          <w:iCs/>
          <w:spacing w:val="-1"/>
        </w:rPr>
        <w:t xml:space="preserve"> de la renta total mientras que los capitalistas se quedan con el 30</w:t>
      </w:r>
      <w:r w:rsidR="00C60758" w:rsidRPr="00C60758">
        <w:rPr>
          <w:rFonts w:eastAsiaTheme="minorEastAsia"/>
          <w:iCs/>
          <w:spacing w:val="-1"/>
        </w:rPr>
        <w:t> %</w:t>
      </w:r>
      <w:r w:rsidRPr="00C60758">
        <w:rPr>
          <w:rFonts w:eastAsiaTheme="minorEastAsia"/>
          <w:iCs/>
          <w:spacing w:val="-1"/>
        </w:rPr>
        <w:t>. Esto le llevó a indagar las condiciones bajo las cuales las rentas de los factores mantenían proporciones constantes.</w:t>
      </w:r>
    </w:p>
    <w:p w14:paraId="5D28D66B" w14:textId="77777777" w:rsidR="00504506" w:rsidRDefault="00504506" w:rsidP="00504506">
      <w:pPr>
        <w:pStyle w:val="Textonotapie"/>
        <w:keepNext/>
        <w:spacing w:after="0"/>
        <w:rPr>
          <w:rFonts w:eastAsiaTheme="minorEastAsia"/>
          <w:iCs/>
        </w:rPr>
      </w:pPr>
      <w:r>
        <w:rPr>
          <w:rFonts w:eastAsiaTheme="minorEastAsia"/>
          <w:iCs/>
        </w:rPr>
        <w:t xml:space="preserve">Como no sabía solucionar el problema, </w:t>
      </w:r>
      <w:r>
        <w:rPr>
          <w:rFonts w:eastAsiaTheme="minorEastAsia"/>
          <w:iCs/>
          <w:smallCaps/>
        </w:rPr>
        <w:t>Douglas</w:t>
      </w:r>
      <w:r>
        <w:rPr>
          <w:rFonts w:eastAsiaTheme="minorEastAsia"/>
          <w:iCs/>
        </w:rPr>
        <w:t xml:space="preserve"> le preguntó a un matemático amigo suyo llamado </w:t>
      </w:r>
      <w:r>
        <w:rPr>
          <w:rFonts w:eastAsiaTheme="minorEastAsia"/>
          <w:iCs/>
          <w:smallCaps/>
        </w:rPr>
        <w:t>Charles Cobb</w:t>
      </w:r>
      <w:r>
        <w:rPr>
          <w:rFonts w:eastAsiaTheme="minorEastAsia"/>
          <w:iCs/>
        </w:rPr>
        <w:t xml:space="preserve"> si había una función de producción tal que, si los factores de producción cobraban sus productos marginales, la proporción de la renta agregada que se quedaba cada uno de ellos fuera constante. La función de producción, pues, debería tener las dos propiedades siguientes:</w:t>
      </w:r>
    </w:p>
    <w:p w14:paraId="02B6B9D1" w14:textId="77777777" w:rsidR="00504506" w:rsidRPr="006869AF" w:rsidRDefault="00504506" w:rsidP="00504506">
      <w:pPr>
        <w:pStyle w:val="Textonotapie"/>
        <w:keepNext/>
        <w:spacing w:after="0"/>
        <w:rPr>
          <w:rFonts w:eastAsiaTheme="minorEastAsia"/>
          <w:iCs/>
        </w:rPr>
      </w:pPr>
      <m:oMathPara>
        <m:oMath>
          <m:r>
            <m:rPr>
              <m:nor/>
            </m:rPr>
            <w:rPr>
              <w:i/>
              <w:iCs/>
            </w:rPr>
            <m:t>Renta del capital</m:t>
          </m:r>
          <m:r>
            <w:rPr>
              <w:rFonts w:ascii="Cambria Math" w:hAnsi="Cambria Math"/>
            </w:rPr>
            <m:t>=</m:t>
          </m:r>
          <m:r>
            <m:rPr>
              <m:nor/>
            </m:rPr>
            <w:rPr>
              <w:i/>
              <w:iCs/>
            </w:rPr>
            <m:t>Producto marginal del capital</m:t>
          </m:r>
          <m:r>
            <w:rPr>
              <w:rFonts w:ascii="Cambria Math" w:hAnsi="Cambria Math"/>
            </w:rPr>
            <m:t>∙</m:t>
          </m:r>
          <m:r>
            <m:rPr>
              <m:nor/>
            </m:rPr>
            <w:rPr>
              <w:i/>
              <w:iCs/>
            </w:rPr>
            <m:t>K</m:t>
          </m:r>
          <m:r>
            <w:rPr>
              <w:rFonts w:ascii="Cambria Math" w:eastAsiaTheme="minorEastAsia" w:hAnsi="Cambria Math"/>
            </w:rPr>
            <m:t>=</m:t>
          </m:r>
          <m:r>
            <m:rPr>
              <m:nor/>
            </m:rPr>
            <w:rPr>
              <w:rFonts w:eastAsiaTheme="minorEastAsia"/>
              <w:i/>
              <w:iCs/>
            </w:rPr>
            <m:t>α</m:t>
          </m:r>
          <m:r>
            <w:rPr>
              <w:rFonts w:ascii="Cambria Math" w:eastAsiaTheme="minorEastAsia" w:hAnsi="Cambria Math"/>
            </w:rPr>
            <m:t>∙</m:t>
          </m:r>
          <m:r>
            <m:rPr>
              <m:nor/>
            </m:rPr>
            <w:rPr>
              <w:rFonts w:eastAsiaTheme="minorEastAsia"/>
              <w:i/>
              <w:iCs/>
            </w:rPr>
            <m:t>Y</m:t>
          </m:r>
        </m:oMath>
      </m:oMathPara>
    </w:p>
    <w:p w14:paraId="0FCDAB26" w14:textId="614E2024" w:rsidR="00504506" w:rsidRDefault="00504506" w:rsidP="000C1286">
      <w:pPr>
        <w:pStyle w:val="Textonotapie"/>
        <w:spacing w:after="0"/>
        <w:rPr>
          <w:rFonts w:eastAsiaTheme="minorEastAsia"/>
        </w:rPr>
      </w:pPr>
      <m:oMathPara>
        <m:oMath>
          <m:r>
            <m:rPr>
              <m:nor/>
            </m:rPr>
            <w:rPr>
              <w:i/>
              <w:iCs/>
            </w:rPr>
            <m:t>Renta del trabajo</m:t>
          </m:r>
          <m:r>
            <w:rPr>
              <w:rFonts w:ascii="Cambria Math" w:hAnsi="Cambria Math"/>
            </w:rPr>
            <m:t>=</m:t>
          </m:r>
          <m:r>
            <m:rPr>
              <m:nor/>
            </m:rPr>
            <w:rPr>
              <w:i/>
              <w:iCs/>
            </w:rPr>
            <m:t>Producto marginal del trabajo</m:t>
          </m:r>
          <m:r>
            <w:rPr>
              <w:rFonts w:ascii="Cambria Math" w:hAnsi="Cambria Math"/>
            </w:rPr>
            <m:t>∙</m:t>
          </m:r>
          <m:r>
            <m:rPr>
              <m:nor/>
            </m:rPr>
            <w:rPr>
              <w:i/>
              <w:iCs/>
            </w:rPr>
            <m:t>L</m:t>
          </m:r>
          <m:r>
            <w:rPr>
              <w:rFonts w:ascii="Cambria Math" w:eastAsiaTheme="minorEastAsia" w:hAnsi="Cambria Math"/>
            </w:rPr>
            <m:t>=</m:t>
          </m:r>
          <m:r>
            <m:rPr>
              <m:sty m:val="p"/>
            </m:rPr>
            <w:rPr>
              <w:rFonts w:ascii="Cambria Math" w:eastAsiaTheme="minorEastAsia" w:hAnsi="Cambria Math"/>
            </w:rPr>
            <m:t>(</m:t>
          </m:r>
          <m:r>
            <m:rPr>
              <m:nor/>
            </m:rPr>
            <w:rPr>
              <w:rFonts w:eastAsiaTheme="minorEastAsia"/>
              <w:i/>
              <w:iCs/>
            </w:rPr>
            <m:t>1</m:t>
          </m:r>
          <m:r>
            <w:rPr>
              <w:rFonts w:ascii="Cambria Math" w:eastAsiaTheme="minorEastAsia" w:hAnsi="Cambria Math"/>
            </w:rPr>
            <m:t>-</m:t>
          </m:r>
          <m:r>
            <m:rPr>
              <m:nor/>
            </m:rPr>
            <w:rPr>
              <w:rFonts w:eastAsiaTheme="minorEastAsia"/>
              <w:i/>
              <w:iCs/>
            </w:rPr>
            <m:t>α</m:t>
          </m:r>
          <m:r>
            <m:rPr>
              <m:sty m:val="p"/>
            </m:rPr>
            <w:rPr>
              <w:rFonts w:ascii="Cambria Math" w:eastAsiaTheme="minorEastAsia" w:hAnsi="Cambria Math"/>
            </w:rPr>
            <m:t>)</m:t>
          </m:r>
          <m:r>
            <w:rPr>
              <w:rFonts w:ascii="Cambria Math" w:eastAsiaTheme="minorEastAsia" w:hAnsi="Cambria Math"/>
            </w:rPr>
            <m:t>∙</m:t>
          </m:r>
          <m:r>
            <m:rPr>
              <m:nor/>
            </m:rPr>
            <w:rPr>
              <w:rFonts w:eastAsiaTheme="minorEastAsia"/>
              <w:i/>
              <w:iCs/>
            </w:rPr>
            <m:t>Y</m:t>
          </m:r>
          <m:r>
            <m:rPr>
              <m:sty m:val="p"/>
            </m:rPr>
            <w:br/>
          </m:r>
        </m:oMath>
      </m:oMathPara>
      <w:r w:rsidR="000C1286">
        <w:t>d</w:t>
      </w:r>
      <w:r>
        <w:t>onde</w:t>
      </w:r>
      <m:oMath>
        <m:r>
          <w:rPr>
            <w:rFonts w:ascii="Cambria Math" w:hAnsi="Cambria Math"/>
          </w:rPr>
          <m:t xml:space="preserve"> </m:t>
        </m:r>
        <m:r>
          <m:rPr>
            <m:nor/>
          </m:rPr>
          <w:rPr>
            <w:rFonts w:eastAsiaTheme="minorEastAsia"/>
            <w:i/>
            <w:iCs/>
          </w:rPr>
          <m:t>α</m:t>
        </m:r>
        <m:r>
          <w:rPr>
            <w:rFonts w:ascii="Cambria Math" w:eastAsiaTheme="minorEastAsia" w:hAnsi="Cambria Math"/>
          </w:rPr>
          <m:t>∈</m:t>
        </m:r>
        <m:d>
          <m:dPr>
            <m:ctrlPr>
              <w:rPr>
                <w:rFonts w:ascii="Cambria Math" w:eastAsiaTheme="minorEastAsia" w:hAnsi="Cambria Math"/>
              </w:rPr>
            </m:ctrlPr>
          </m:dPr>
          <m:e>
            <m:r>
              <m:rPr>
                <m:nor/>
              </m:rPr>
              <w:rPr>
                <w:rFonts w:eastAsiaTheme="minorEastAsia"/>
                <w:i/>
                <w:iCs/>
              </w:rPr>
              <m:t>0,1</m:t>
            </m:r>
          </m:e>
        </m:d>
      </m:oMath>
      <w:r>
        <w:rPr>
          <w:rFonts w:eastAsiaTheme="minorEastAsia"/>
          <w:iCs/>
        </w:rPr>
        <w:t xml:space="preserve"> es una constante que mide la fracción de la renta que se queda el capital (</w:t>
      </w:r>
      <w:r>
        <w:rPr>
          <w:rFonts w:eastAsiaTheme="minorEastAsia"/>
          <w:i/>
        </w:rPr>
        <w:t>partición del capital</w:t>
      </w:r>
      <w:r>
        <w:rPr>
          <w:rFonts w:eastAsiaTheme="minorEastAsia"/>
          <w:iCs/>
        </w:rPr>
        <w:t xml:space="preserve">). </w:t>
      </w:r>
      <w:r>
        <w:rPr>
          <w:rFonts w:eastAsiaTheme="minorEastAsia"/>
          <w:iCs/>
          <w:smallCaps/>
        </w:rPr>
        <w:t>Charles Cobb</w:t>
      </w:r>
      <w:r>
        <w:rPr>
          <w:rFonts w:eastAsiaTheme="minorEastAsia"/>
          <w:iCs/>
        </w:rPr>
        <w:t xml:space="preserve"> demostró que tal función de producción existía y tomaba la forma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L</m:t>
                </m:r>
              </m:e>
              <m:sub>
                <m:r>
                  <m:rPr>
                    <m:nor/>
                  </m:rPr>
                  <w:rPr>
                    <w:i/>
                  </w:rPr>
                  <m:t>t</m:t>
                </m:r>
              </m:sub>
            </m:sSub>
          </m:e>
          <m:sup>
            <m:r>
              <m:rPr>
                <m:nor/>
              </m:rPr>
              <w:rPr>
                <w:i/>
              </w:rPr>
              <m:t>1</m:t>
            </m:r>
            <m:r>
              <w:rPr>
                <w:rFonts w:ascii="Cambria Math" w:hAnsi="Cambria Math"/>
              </w:rPr>
              <m:t>-</m:t>
            </m:r>
            <m:r>
              <m:rPr>
                <m:nor/>
              </m:rPr>
              <w:rPr>
                <w:i/>
              </w:rPr>
              <m:t>α</m:t>
            </m:r>
          </m:sup>
        </m:sSup>
      </m:oMath>
      <w:r>
        <w:rPr>
          <w:rFonts w:eastAsiaTheme="minorEastAsia"/>
        </w:rPr>
        <w:t>. Esta función de producción pasó a llamarse Cobb-Douglas.</w:t>
      </w:r>
    </w:p>
    <w:p w14:paraId="602B9A15" w14:textId="77777777" w:rsidR="00504506" w:rsidRDefault="00504506" w:rsidP="00504506">
      <w:pPr>
        <w:pStyle w:val="Textonotapie"/>
        <w:keepNext/>
        <w:spacing w:after="0"/>
        <w:rPr>
          <w:rFonts w:eastAsiaTheme="minorEastAsia"/>
        </w:rPr>
      </w:pPr>
      <w:r>
        <w:rPr>
          <w:rFonts w:eastAsiaTheme="minorEastAsia"/>
        </w:rPr>
        <w:t>La función de producción Cobb-Douglas posee las siguientes características:</w:t>
      </w:r>
    </w:p>
    <w:p w14:paraId="03C30A33" w14:textId="77777777" w:rsidR="00504506" w:rsidRDefault="00504506">
      <w:pPr>
        <w:pStyle w:val="Textonotapie"/>
        <w:numPr>
          <w:ilvl w:val="0"/>
          <w:numId w:val="17"/>
        </w:numPr>
        <w:spacing w:after="0"/>
        <w:ind w:left="284" w:hanging="57"/>
        <w:rPr>
          <w:rFonts w:eastAsiaTheme="minorEastAsia"/>
          <w:i/>
          <w:iCs/>
        </w:rPr>
      </w:pPr>
      <w:r w:rsidRPr="00D2028B">
        <w:rPr>
          <w:rFonts w:eastAsiaTheme="minorEastAsia"/>
          <w:i/>
          <w:iCs/>
        </w:rPr>
        <w:t>Monótona</w:t>
      </w:r>
      <w:r>
        <w:rPr>
          <w:rFonts w:eastAsiaTheme="minorEastAsia"/>
        </w:rPr>
        <w:t>;</w:t>
      </w:r>
    </w:p>
    <w:p w14:paraId="6C6AEF96" w14:textId="77777777" w:rsidR="00504506" w:rsidRPr="00D2028B" w:rsidRDefault="00504506">
      <w:pPr>
        <w:pStyle w:val="Textonotapie"/>
        <w:numPr>
          <w:ilvl w:val="0"/>
          <w:numId w:val="17"/>
        </w:numPr>
        <w:spacing w:after="0"/>
        <w:ind w:left="284" w:hanging="57"/>
      </w:pPr>
      <w:r w:rsidRPr="001D7C5F">
        <w:rPr>
          <w:i/>
          <w:iCs/>
        </w:rPr>
        <w:t>Estrictamente convexa</w:t>
      </w:r>
      <w:r>
        <w:t>;</w:t>
      </w:r>
    </w:p>
    <w:p w14:paraId="5D763C03" w14:textId="77777777" w:rsidR="00504506" w:rsidRPr="00D2028B" w:rsidRDefault="00504506">
      <w:pPr>
        <w:pStyle w:val="Textonotapie"/>
        <w:numPr>
          <w:ilvl w:val="0"/>
          <w:numId w:val="17"/>
        </w:numPr>
        <w:spacing w:after="0"/>
        <w:ind w:left="284" w:hanging="57"/>
      </w:pPr>
      <w:r w:rsidRPr="001D7C5F">
        <w:rPr>
          <w:i/>
          <w:iCs/>
        </w:rPr>
        <w:t>Curvas isocuantas asintóticas a los ejes</w:t>
      </w:r>
      <w:r w:rsidRPr="00D2028B">
        <w:t xml:space="preserve"> </w:t>
      </w:r>
      <w:r w:rsidRPr="00D2028B">
        <w:rPr>
          <w:sz w:val="12"/>
          <w:szCs w:val="12"/>
        </w:rPr>
        <w:t>(</w:t>
      </w:r>
      <w:r>
        <w:rPr>
          <w:sz w:val="12"/>
          <w:szCs w:val="12"/>
        </w:rPr>
        <w:t>i.e. si un factor de producción no se usa, el nivel de producción es cero</w:t>
      </w:r>
      <w:r w:rsidRPr="00D2028B">
        <w:rPr>
          <w:sz w:val="12"/>
          <w:szCs w:val="12"/>
        </w:rPr>
        <w:t>)</w:t>
      </w:r>
      <w:r w:rsidRPr="00D2028B">
        <w:t>;</w:t>
      </w:r>
    </w:p>
    <w:p w14:paraId="1BE915EF" w14:textId="77777777" w:rsidR="00504506" w:rsidRDefault="00504506">
      <w:pPr>
        <w:pStyle w:val="Textonotapie"/>
        <w:numPr>
          <w:ilvl w:val="0"/>
          <w:numId w:val="17"/>
        </w:numPr>
        <w:spacing w:after="0"/>
        <w:ind w:left="284" w:hanging="57"/>
      </w:pPr>
      <w:r w:rsidRPr="001D7C5F">
        <w:rPr>
          <w:i/>
          <w:iCs/>
        </w:rPr>
        <w:t xml:space="preserve">Rendimientos constantes a escala en </w:t>
      </w:r>
      <m:oMath>
        <m:sSub>
          <m:sSubPr>
            <m:ctrlPr>
              <w:rPr>
                <w:rFonts w:ascii="Cambria Math" w:hAnsi="Cambria Math"/>
                <w:i/>
                <w:iCs/>
              </w:rPr>
            </m:ctrlPr>
          </m:sSubPr>
          <m:e>
            <m:r>
              <m:rPr>
                <m:nor/>
              </m:rPr>
              <w:rPr>
                <w:i/>
                <w:iCs/>
              </w:rPr>
              <m:t>K</m:t>
            </m:r>
          </m:e>
          <m:sub>
            <m:r>
              <m:rPr>
                <m:nor/>
              </m:rPr>
              <w:rPr>
                <w:i/>
                <w:iCs/>
              </w:rPr>
              <m:t>t</m:t>
            </m:r>
          </m:sub>
        </m:sSub>
        <m:r>
          <m:rPr>
            <m:nor/>
          </m:rPr>
          <w:rPr>
            <w:i/>
            <w:iCs/>
          </w:rPr>
          <m:t>,</m:t>
        </m:r>
        <m:r>
          <m:rPr>
            <m:nor/>
          </m:rPr>
          <w:rPr>
            <w:rFonts w:ascii="Cambria Math" w:hAnsi="Cambria Math"/>
            <w:i/>
            <w:iCs/>
          </w:rPr>
          <m:t xml:space="preserve"> </m:t>
        </m:r>
        <m:sSub>
          <m:sSubPr>
            <m:ctrlPr>
              <w:rPr>
                <w:rFonts w:ascii="Cambria Math" w:hAnsi="Cambria Math"/>
                <w:i/>
                <w:iCs/>
              </w:rPr>
            </m:ctrlPr>
          </m:sSubPr>
          <m:e>
            <m:r>
              <m:rPr>
                <m:nor/>
              </m:rPr>
              <w:rPr>
                <w:i/>
                <w:iCs/>
              </w:rPr>
              <m:t>L</m:t>
            </m:r>
          </m:e>
          <m:sub>
            <m:r>
              <m:rPr>
                <m:nor/>
              </m:rPr>
              <w:rPr>
                <w:i/>
                <w:iCs/>
              </w:rPr>
              <m:t>t</m:t>
            </m:r>
          </m:sub>
        </m:sSub>
      </m:oMath>
      <w:r>
        <w:t xml:space="preserve"> </w:t>
      </w:r>
      <w:r w:rsidRPr="00914A30">
        <w:rPr>
          <w:spacing w:val="-2"/>
          <w:sz w:val="12"/>
          <w:szCs w:val="12"/>
        </w:rPr>
        <w:t>(por lo tanto, la función de producción es homogénea de grado 1</w:t>
      </w:r>
      <w:r w:rsidRPr="00914A30">
        <w:rPr>
          <w:rFonts w:ascii="Times New Roman" w:hAnsi="Times New Roman" w:cs="Times New Roman"/>
          <w:spacing w:val="-2"/>
          <w:sz w:val="12"/>
          <w:szCs w:val="12"/>
        </w:rPr>
        <w:t xml:space="preserve"> </w:t>
      </w:r>
      <m:oMath>
        <m:r>
          <m:rPr>
            <m:sty m:val="p"/>
          </m:rPr>
          <w:rPr>
            <w:rFonts w:ascii="Cambria Math" w:hAnsi="Cambria Math" w:cs="Times New Roman"/>
            <w:spacing w:val="-2"/>
            <w:sz w:val="12"/>
            <w:szCs w:val="12"/>
          </w:rPr>
          <m:t>⇒</m:t>
        </m:r>
      </m:oMath>
      <w:r w:rsidRPr="00914A30">
        <w:rPr>
          <w:rFonts w:ascii="Times New Roman" w:hAnsi="Times New Roman" w:cs="Times New Roman"/>
          <w:spacing w:val="-2"/>
          <w:sz w:val="12"/>
          <w:szCs w:val="12"/>
        </w:rPr>
        <w:t xml:space="preserve"> </w:t>
      </w:r>
      <w:r w:rsidRPr="00914A30">
        <w:rPr>
          <w:spacing w:val="-2"/>
          <w:sz w:val="12"/>
          <w:szCs w:val="12"/>
        </w:rPr>
        <w:t xml:space="preserve">homotética </w:t>
      </w:r>
      <m:oMath>
        <m:r>
          <m:rPr>
            <m:sty m:val="p"/>
          </m:rPr>
          <w:rPr>
            <w:rFonts w:ascii="Cambria Math" w:hAnsi="Cambria Math" w:cs="Times New Roman"/>
            <w:spacing w:val="-2"/>
            <w:sz w:val="12"/>
            <w:szCs w:val="12"/>
          </w:rPr>
          <m:t>⇒</m:t>
        </m:r>
      </m:oMath>
      <w:r w:rsidRPr="00914A30">
        <w:rPr>
          <w:spacing w:val="-2"/>
          <w:sz w:val="12"/>
          <w:szCs w:val="12"/>
        </w:rPr>
        <w:t xml:space="preserve"> forma polar de Gorman)</w:t>
      </w:r>
      <w:r>
        <w:t>;</w:t>
      </w:r>
    </w:p>
    <w:p w14:paraId="57FB394E" w14:textId="77777777" w:rsidR="00504506" w:rsidRDefault="00504506">
      <w:pPr>
        <w:pStyle w:val="Textonotapie"/>
        <w:numPr>
          <w:ilvl w:val="0"/>
          <w:numId w:val="17"/>
        </w:numPr>
        <w:spacing w:after="0"/>
        <w:ind w:left="284" w:hanging="57"/>
      </w:pPr>
      <w:r w:rsidRPr="001D7C5F">
        <w:rPr>
          <w:i/>
          <w:iCs/>
        </w:rPr>
        <w:t>Productividades marginales positivas pero decrecientes</w:t>
      </w:r>
      <w:r>
        <w:t>;</w:t>
      </w:r>
    </w:p>
    <w:p w14:paraId="5BD24A1D" w14:textId="77777777" w:rsidR="00504506" w:rsidRDefault="00504506">
      <w:pPr>
        <w:pStyle w:val="Textonotapie"/>
        <w:numPr>
          <w:ilvl w:val="0"/>
          <w:numId w:val="17"/>
        </w:numPr>
        <w:spacing w:after="0"/>
        <w:ind w:left="284" w:hanging="57"/>
      </w:pPr>
      <w:r w:rsidRPr="001D7C5F">
        <w:rPr>
          <w:i/>
          <w:iCs/>
        </w:rPr>
        <w:t>Cumple las condiciones de Inada</w:t>
      </w:r>
      <w:r>
        <w:t>;</w:t>
      </w:r>
    </w:p>
    <w:p w14:paraId="2D722024" w14:textId="77777777" w:rsidR="00504506" w:rsidRDefault="00504506">
      <w:pPr>
        <w:pStyle w:val="Textonotapie"/>
        <w:numPr>
          <w:ilvl w:val="0"/>
          <w:numId w:val="17"/>
        </w:numPr>
        <w:spacing w:after="0"/>
        <w:ind w:left="284" w:hanging="57"/>
      </w:pPr>
      <w:r>
        <w:t xml:space="preserve">Los </w:t>
      </w:r>
      <w:r w:rsidRPr="001D7C5F">
        <w:rPr>
          <w:i/>
          <w:iCs/>
        </w:rPr>
        <w:t>factores productivos son cooperativos</w:t>
      </w:r>
      <w:r w:rsidRPr="008E1E65">
        <w:t>;</w:t>
      </w:r>
    </w:p>
    <w:p w14:paraId="0E47C43F" w14:textId="77777777" w:rsidR="00504506" w:rsidRDefault="00504506">
      <w:pPr>
        <w:pStyle w:val="Textonotapie"/>
        <w:numPr>
          <w:ilvl w:val="0"/>
          <w:numId w:val="17"/>
        </w:numPr>
        <w:spacing w:after="0"/>
        <w:ind w:left="284" w:hanging="57"/>
      </w:pPr>
      <w:r>
        <w:t xml:space="preserve">La </w:t>
      </w:r>
      <w:r w:rsidRPr="001D7C5F">
        <w:rPr>
          <w:i/>
          <w:iCs/>
        </w:rPr>
        <w:t>proporción de la renta agregada atribuible al trabajo (</w:t>
      </w:r>
      <m:oMath>
        <m:r>
          <m:rPr>
            <m:nor/>
          </m:rPr>
          <w:rPr>
            <w:i/>
            <w:iCs/>
          </w:rPr>
          <m:t>1</m:t>
        </m:r>
        <m:r>
          <w:rPr>
            <w:rFonts w:ascii="Cambria Math" w:hAnsi="Cambria Math"/>
          </w:rPr>
          <m:t>-</m:t>
        </m:r>
        <m:r>
          <m:rPr>
            <m:nor/>
          </m:rPr>
          <w:rPr>
            <w:i/>
            <w:iCs/>
          </w:rPr>
          <m:t>α</m:t>
        </m:r>
      </m:oMath>
      <w:r w:rsidRPr="001D7C5F">
        <w:rPr>
          <w:i/>
          <w:iCs/>
        </w:rPr>
        <w:t>) y al capital (</w:t>
      </w:r>
      <m:oMath>
        <m:r>
          <m:rPr>
            <m:nor/>
          </m:rPr>
          <w:rPr>
            <w:i/>
            <w:iCs/>
          </w:rPr>
          <m:t>α</m:t>
        </m:r>
      </m:oMath>
      <w:r w:rsidRPr="001D7C5F">
        <w:rPr>
          <w:i/>
          <w:iCs/>
        </w:rPr>
        <w:t>) es constante</w:t>
      </w:r>
      <w:r>
        <w:t>;</w:t>
      </w:r>
    </w:p>
    <w:p w14:paraId="72405D15" w14:textId="77777777" w:rsidR="00504506" w:rsidRDefault="00504506">
      <w:pPr>
        <w:pStyle w:val="Textonotapie"/>
        <w:numPr>
          <w:ilvl w:val="0"/>
          <w:numId w:val="17"/>
        </w:numPr>
        <w:spacing w:after="0"/>
        <w:ind w:left="284" w:hanging="57"/>
      </w:pPr>
      <w:r>
        <w:t xml:space="preserve">La </w:t>
      </w:r>
      <w:r w:rsidRPr="001D7C5F">
        <w:rPr>
          <w:i/>
          <w:iCs/>
        </w:rPr>
        <w:t>elasticidad de sustitución es constate e igual a uno</w:t>
      </w:r>
      <w:r>
        <w:t>.</w:t>
      </w:r>
    </w:p>
    <w:p w14:paraId="2A3FD150" w14:textId="77777777" w:rsidR="00504506" w:rsidRPr="00C60758" w:rsidRDefault="00504506">
      <w:pPr>
        <w:pStyle w:val="Textonotapie"/>
        <w:numPr>
          <w:ilvl w:val="0"/>
          <w:numId w:val="17"/>
        </w:numPr>
        <w:ind w:left="284" w:hanging="57"/>
        <w:rPr>
          <w:spacing w:val="-2"/>
        </w:rPr>
      </w:pPr>
      <w:r w:rsidRPr="00C60758">
        <w:rPr>
          <w:i/>
          <w:iCs/>
          <w:spacing w:val="-2"/>
        </w:rPr>
        <w:t>Se</w:t>
      </w:r>
      <w:r w:rsidRPr="00C60758">
        <w:rPr>
          <w:spacing w:val="-2"/>
        </w:rPr>
        <w:t xml:space="preserve"> </w:t>
      </w:r>
      <w:r w:rsidRPr="00C60758">
        <w:rPr>
          <w:i/>
          <w:iCs/>
          <w:spacing w:val="-2"/>
        </w:rPr>
        <w:t>convierte en una función linear en logaritmos</w:t>
      </w:r>
      <w:r w:rsidRPr="00C60758">
        <w:rPr>
          <w:spacing w:val="-2"/>
        </w:rPr>
        <w:t>, lo que hace que se haya convertido en una función popular en el campo de la econometría.</w:t>
      </w:r>
    </w:p>
  </w:footnote>
  <w:footnote w:id="13">
    <w:p w14:paraId="6FA6AC84" w14:textId="35AF3632" w:rsidR="00504506" w:rsidRPr="006130BC" w:rsidRDefault="00504506">
      <w:pPr>
        <w:pStyle w:val="Textonotapie"/>
        <w:rPr>
          <w:smallCaps/>
        </w:rPr>
      </w:pPr>
      <w:r>
        <w:rPr>
          <w:rStyle w:val="Refdenotaalpie"/>
        </w:rPr>
        <w:footnoteRef/>
      </w:r>
      <w:r>
        <w:t xml:space="preserve"> </w:t>
      </w:r>
      <w:r w:rsidRPr="00217CE6">
        <w:rPr>
          <w:spacing w:val="-3"/>
        </w:rPr>
        <w:t xml:space="preserve">Medir cada una de estas variables es un arte en sí mismo, y existen cientos de artículos que buscan refinar estas medidas. Los stocks de capital </w:t>
      </w:r>
      <w:r w:rsidR="00217CE6" w:rsidRPr="00217CE6">
        <w:rPr>
          <w:spacing w:val="-3"/>
        </w:rPr>
        <w:t xml:space="preserve">físico </w:t>
      </w:r>
      <w:r w:rsidRPr="00217CE6">
        <w:rPr>
          <w:spacing w:val="-3"/>
        </w:rPr>
        <w:t xml:space="preserve">se computan habitualmente </w:t>
      </w:r>
      <w:r w:rsidR="00217CE6" w:rsidRPr="00217CE6">
        <w:rPr>
          <w:spacing w:val="-3"/>
        </w:rPr>
        <w:t xml:space="preserve">a través </w:t>
      </w:r>
      <w:r w:rsidRPr="00217CE6">
        <w:rPr>
          <w:spacing w:val="-3"/>
        </w:rPr>
        <w:t xml:space="preserve">de </w:t>
      </w:r>
      <w:r w:rsidR="00217CE6" w:rsidRPr="00217CE6">
        <w:rPr>
          <w:spacing w:val="-3"/>
        </w:rPr>
        <w:t xml:space="preserve">la </w:t>
      </w:r>
      <w:r w:rsidR="006130BC" w:rsidRPr="00217CE6">
        <w:rPr>
          <w:spacing w:val="-3"/>
        </w:rPr>
        <w:t>acumula</w:t>
      </w:r>
      <w:r w:rsidR="00217CE6" w:rsidRPr="00217CE6">
        <w:rPr>
          <w:spacing w:val="-3"/>
        </w:rPr>
        <w:t>ción</w:t>
      </w:r>
      <w:r w:rsidR="006130BC" w:rsidRPr="00217CE6">
        <w:rPr>
          <w:spacing w:val="-3"/>
        </w:rPr>
        <w:t xml:space="preserve"> </w:t>
      </w:r>
      <w:r w:rsidR="00217CE6" w:rsidRPr="00217CE6">
        <w:rPr>
          <w:spacing w:val="-3"/>
        </w:rPr>
        <w:t xml:space="preserve">de </w:t>
      </w:r>
      <w:r w:rsidR="006130BC" w:rsidRPr="00217CE6">
        <w:rPr>
          <w:spacing w:val="-3"/>
        </w:rPr>
        <w:t xml:space="preserve">inversión neta pasada y </w:t>
      </w:r>
      <w:r w:rsidR="00217CE6" w:rsidRPr="00217CE6">
        <w:rPr>
          <w:spacing w:val="-3"/>
        </w:rPr>
        <w:t xml:space="preserve">los stocks de </w:t>
      </w:r>
      <w:r w:rsidR="006130BC" w:rsidRPr="00217CE6">
        <w:rPr>
          <w:spacing w:val="-3"/>
        </w:rPr>
        <w:t xml:space="preserve">capital humano </w:t>
      </w:r>
      <w:r w:rsidR="00217CE6" w:rsidRPr="00217CE6">
        <w:rPr>
          <w:spacing w:val="-3"/>
        </w:rPr>
        <w:t xml:space="preserve">a través </w:t>
      </w:r>
      <w:r w:rsidR="006130BC" w:rsidRPr="00217CE6">
        <w:rPr>
          <w:spacing w:val="-3"/>
        </w:rPr>
        <w:t xml:space="preserve">de </w:t>
      </w:r>
      <w:r w:rsidR="00217CE6" w:rsidRPr="00217CE6">
        <w:rPr>
          <w:spacing w:val="-3"/>
        </w:rPr>
        <w:t xml:space="preserve">la </w:t>
      </w:r>
      <w:r w:rsidR="006130BC" w:rsidRPr="00217CE6">
        <w:rPr>
          <w:spacing w:val="-3"/>
        </w:rPr>
        <w:t xml:space="preserve">población acumulada ajustada por su productividad, evaluada a través de ecuaciones de </w:t>
      </w:r>
      <w:r w:rsidR="006130BC" w:rsidRPr="00217CE6">
        <w:rPr>
          <w:smallCaps/>
          <w:spacing w:val="-3"/>
        </w:rPr>
        <w:t>Mincer</w:t>
      </w:r>
      <w:r w:rsidR="006130BC" w:rsidRPr="00217CE6">
        <w:rPr>
          <w:spacing w:val="-3"/>
        </w:rPr>
        <w:t xml:space="preserve"> que relacionan los años de educación y la renta.</w:t>
      </w:r>
    </w:p>
  </w:footnote>
  <w:footnote w:id="14">
    <w:p w14:paraId="1735B7AF" w14:textId="77777777" w:rsidR="00B94FDE" w:rsidRDefault="00B94FDE" w:rsidP="00B94FDE">
      <w:pPr>
        <w:pStyle w:val="Textonotapie"/>
        <w:keepNext/>
        <w:spacing w:after="0"/>
      </w:pPr>
      <w:r>
        <w:rPr>
          <w:rStyle w:val="Refdenotaalpie"/>
        </w:rPr>
        <w:footnoteRef/>
      </w:r>
      <w:bookmarkStart w:id="29" w:name="_Hlk99027103"/>
      <w:r>
        <w:t xml:space="preserve"> Consideremos una función de producción agregada </w:t>
      </w:r>
      <m:oMath>
        <m:acc>
          <m:accPr>
            <m:chr m:val="̆"/>
            <m:ctrlPr>
              <w:rPr>
                <w:rFonts w:ascii="Cambria Math" w:hAnsi="Cambria Math"/>
                <w:i/>
              </w:rPr>
            </m:ctrlPr>
          </m:accPr>
          <m:e>
            <m:r>
              <m:rPr>
                <m:nor/>
              </m:rPr>
              <w:rPr>
                <w:i/>
              </w:rPr>
              <m:t>F</m:t>
            </m:r>
          </m:e>
        </m:acc>
      </m:oMath>
      <w:r>
        <w:t xml:space="preserve"> y definiremos los siguientes tipos de progreso técnico neutral:</w:t>
      </w:r>
    </w:p>
    <w:p w14:paraId="02D47744" w14:textId="2878BA60" w:rsidR="00B94FDE" w:rsidRPr="00D870FB" w:rsidRDefault="00B94FDE">
      <w:pPr>
        <w:pStyle w:val="Textonotapie"/>
        <w:numPr>
          <w:ilvl w:val="0"/>
          <w:numId w:val="16"/>
        </w:numPr>
        <w:spacing w:after="0"/>
        <w:ind w:left="284" w:hanging="57"/>
      </w:pPr>
      <w:r w:rsidRPr="003F137D">
        <w:rPr>
          <w:i/>
          <w:iCs/>
          <w:u w:val="single"/>
        </w:rPr>
        <w:t xml:space="preserve">Progreso técnico neutral en sentido de </w:t>
      </w:r>
      <w:r w:rsidRPr="00424F24">
        <w:rPr>
          <w:i/>
          <w:iCs/>
          <w:smallCaps/>
          <w:u w:val="single"/>
        </w:rPr>
        <w:t>Hicks</w:t>
      </w:r>
      <w:r>
        <w:t xml:space="preserv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oMath>
      <w:r w:rsidRPr="003F137D">
        <w:t xml:space="preserve">. En el progreso técnico neutral de </w:t>
      </w:r>
      <w:r w:rsidRPr="008C460F">
        <w:rPr>
          <w:smallCaps/>
        </w:rPr>
        <w:t>Hicks</w:t>
      </w:r>
      <w:r w:rsidRPr="003F137D">
        <w:t xml:space="preserve">, el capital y el trabajo son afectados por el progreso </w:t>
      </w:r>
      <w:r>
        <w:t>téc</w:t>
      </w:r>
      <w:r w:rsidRPr="00D870FB">
        <w:t xml:space="preserve">nico. La cantidad de factores utilizados disminuye. Aumenta la eficiencia y la productividad de todos los factores productivos utilizados. </w:t>
      </w:r>
      <w:r w:rsidRPr="00D870FB">
        <w:rPr>
          <w:color w:val="7F7F7F" w:themeColor="text1" w:themeTint="80"/>
          <w:sz w:val="14"/>
          <w:szCs w:val="14"/>
        </w:rPr>
        <w:t>[Desplazamiento de isocuantas representado en el panel</w:t>
      </w:r>
      <w:r w:rsidR="000C1286">
        <w:rPr>
          <w:color w:val="7F7F7F" w:themeColor="text1" w:themeTint="80"/>
          <w:sz w:val="14"/>
          <w:szCs w:val="14"/>
        </w:rPr>
        <w:t> </w:t>
      </w:r>
      <w:r w:rsidRPr="00D870FB">
        <w:rPr>
          <w:color w:val="7F7F7F" w:themeColor="text1" w:themeTint="80"/>
          <w:sz w:val="14"/>
          <w:szCs w:val="14"/>
        </w:rPr>
        <w:t>A]</w:t>
      </w:r>
    </w:p>
    <w:p w14:paraId="2BF01225" w14:textId="2C563C8F" w:rsidR="00B94FDE" w:rsidRPr="00D870FB" w:rsidRDefault="00B94FDE">
      <w:pPr>
        <w:pStyle w:val="Textonotapie"/>
        <w:numPr>
          <w:ilvl w:val="0"/>
          <w:numId w:val="16"/>
        </w:numPr>
        <w:spacing w:after="0"/>
        <w:ind w:left="284" w:hanging="57"/>
      </w:pPr>
      <w:r w:rsidRPr="00D870FB">
        <w:rPr>
          <w:i/>
          <w:iCs/>
          <w:u w:val="single"/>
        </w:rPr>
        <w:t xml:space="preserve">Progreso técnico neutral en sentido de </w:t>
      </w:r>
      <w:r w:rsidRPr="00D870FB">
        <w:rPr>
          <w:i/>
          <w:iCs/>
          <w:smallCaps/>
          <w:u w:val="single"/>
        </w:rPr>
        <w:t>Solow</w:t>
      </w:r>
      <w:r w:rsidRPr="00D870FB">
        <w:rPr>
          <w:i/>
          <w:iCs/>
          <w:u w:val="single"/>
        </w:rPr>
        <w:t xml:space="preserve"> o intensificador del capital</w:t>
      </w:r>
      <w:r w:rsidRPr="00D870FB">
        <w:t xml:space="preserve">: En el progreso técnico neutral de </w:t>
      </w:r>
      <w:r w:rsidRPr="00D870FB">
        <w:rPr>
          <w:smallCaps/>
        </w:rPr>
        <w:t>Solow</w:t>
      </w:r>
      <w:r w:rsidRPr="00D870FB">
        <w:t xml:space="preserve">, la función de producción define al capital de la siguiente manera: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oMath>
      <w:r w:rsidRPr="00D870FB">
        <w:t xml:space="preserve">. En este caso el capital es medido en términos de unidades de eficiencia. El capital es más eficiente. </w:t>
      </w:r>
      <w:r w:rsidRPr="00D870FB">
        <w:rPr>
          <w:color w:val="7F7F7F" w:themeColor="text1" w:themeTint="80"/>
          <w:sz w:val="14"/>
          <w:szCs w:val="14"/>
        </w:rPr>
        <w:t>[Desplazamiento de isocuantas representado en el panel</w:t>
      </w:r>
      <w:r w:rsidR="000C1286">
        <w:rPr>
          <w:color w:val="7F7F7F" w:themeColor="text1" w:themeTint="80"/>
          <w:sz w:val="14"/>
          <w:szCs w:val="14"/>
        </w:rPr>
        <w:t> </w:t>
      </w:r>
      <w:r w:rsidRPr="00D870FB">
        <w:rPr>
          <w:color w:val="7F7F7F" w:themeColor="text1" w:themeTint="80"/>
          <w:sz w:val="14"/>
          <w:szCs w:val="14"/>
        </w:rPr>
        <w:t>B]</w:t>
      </w:r>
    </w:p>
    <w:p w14:paraId="33F4CFE4" w14:textId="4AFEDFFF" w:rsidR="00B94FDE" w:rsidRPr="00D870FB" w:rsidRDefault="00B94FDE">
      <w:pPr>
        <w:pStyle w:val="Textonotapie"/>
        <w:numPr>
          <w:ilvl w:val="0"/>
          <w:numId w:val="16"/>
        </w:numPr>
        <w:spacing w:after="0"/>
        <w:ind w:left="284" w:hanging="57"/>
      </w:pPr>
      <w:r w:rsidRPr="00D870FB">
        <w:rPr>
          <w:i/>
          <w:iCs/>
          <w:u w:val="single"/>
        </w:rPr>
        <w:t xml:space="preserve">Progreso técnico neutral en sentido de </w:t>
      </w:r>
      <w:r w:rsidRPr="00D870FB">
        <w:rPr>
          <w:i/>
          <w:iCs/>
          <w:smallCaps/>
          <w:u w:val="single"/>
        </w:rPr>
        <w:t>Harrod</w:t>
      </w:r>
      <w:r w:rsidRPr="00D870FB">
        <w:rPr>
          <w:i/>
          <w:iCs/>
          <w:u w:val="single"/>
        </w:rPr>
        <w:t xml:space="preserve"> o intensificador del trabajo</w:t>
      </w:r>
      <w:r w:rsidRPr="00D870FB">
        <w:t xml:space="preserve">: En el progreso técnico neutral de </w:t>
      </w:r>
      <w:r w:rsidRPr="00D870FB">
        <w:rPr>
          <w:smallCaps/>
        </w:rPr>
        <w:t>Harrod</w:t>
      </w:r>
      <w:r w:rsidRPr="00D870FB">
        <w:t xml:space="preserve">, la función de producción es modificada por un trabajo que "aprende":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e>
        </m:d>
      </m:oMath>
      <w:r w:rsidRPr="00D870FB">
        <w:t xml:space="preserve">. En este caso el trabajo es medido en términos de unidades de eficiencia y </w:t>
      </w:r>
      <w:r w:rsidRPr="00D870FB">
        <w:rPr>
          <w:i/>
          <w:iCs/>
        </w:rPr>
        <w:t>la relación capital producto permanece constante</w:t>
      </w:r>
      <w:r w:rsidRPr="00D870FB">
        <w:t xml:space="preserve">. </w:t>
      </w:r>
      <w:r w:rsidRPr="00D870FB">
        <w:rPr>
          <w:color w:val="7F7F7F" w:themeColor="text1" w:themeTint="80"/>
          <w:sz w:val="14"/>
          <w:szCs w:val="14"/>
        </w:rPr>
        <w:t>[Desplazamiento de isocuantas representado en el panel</w:t>
      </w:r>
      <w:r w:rsidR="000C1286">
        <w:rPr>
          <w:color w:val="7F7F7F" w:themeColor="text1" w:themeTint="80"/>
          <w:sz w:val="14"/>
          <w:szCs w:val="14"/>
        </w:rPr>
        <w:t> </w:t>
      </w:r>
      <w:r w:rsidRPr="00D870FB">
        <w:rPr>
          <w:color w:val="7F7F7F" w:themeColor="text1" w:themeTint="80"/>
          <w:sz w:val="14"/>
          <w:szCs w:val="14"/>
        </w:rPr>
        <w:t>C]</w:t>
      </w:r>
    </w:p>
    <w:p w14:paraId="51D81C05" w14:textId="77777777" w:rsidR="00B94FDE" w:rsidRDefault="00B94FDE" w:rsidP="00B94FDE">
      <w:pPr>
        <w:pStyle w:val="Textonotapie"/>
        <w:jc w:val="center"/>
      </w:pPr>
      <w:r>
        <w:rPr>
          <w:noProof/>
        </w:rPr>
        <w:drawing>
          <wp:inline distT="0" distB="0" distL="0" distR="0" wp14:anchorId="6AB7BC83" wp14:editId="4A716DF0">
            <wp:extent cx="1554480" cy="600024"/>
            <wp:effectExtent l="0" t="0" r="7620" b="0"/>
            <wp:docPr id="24"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3"/>
                    <a:stretch>
                      <a:fillRect/>
                    </a:stretch>
                  </pic:blipFill>
                  <pic:spPr>
                    <a:xfrm>
                      <a:off x="0" y="0"/>
                      <a:ext cx="1566171" cy="604537"/>
                    </a:xfrm>
                    <a:prstGeom prst="rect">
                      <a:avLst/>
                    </a:prstGeom>
                  </pic:spPr>
                </pic:pic>
              </a:graphicData>
            </a:graphic>
          </wp:inline>
        </w:drawing>
      </w:r>
      <w:bookmarkEnd w:id="29"/>
    </w:p>
  </w:footnote>
  <w:footnote w:id="15">
    <w:p w14:paraId="70814D2C" w14:textId="2E933F98" w:rsidR="000E0F3C" w:rsidRPr="009E100B" w:rsidRDefault="000E0F3C">
      <w:pPr>
        <w:pStyle w:val="Textonotapie"/>
        <w:rPr>
          <w:lang w:val="en-US"/>
        </w:rPr>
      </w:pPr>
      <w:r>
        <w:rPr>
          <w:rStyle w:val="Refdenotaalpie"/>
        </w:rPr>
        <w:footnoteRef/>
      </w:r>
      <w:r w:rsidRPr="009E100B">
        <w:rPr>
          <w:lang w:val="en-US"/>
        </w:rPr>
        <w:t xml:space="preserve"> </w:t>
      </w:r>
      <w:r w:rsidR="009E100B" w:rsidRPr="009E100B">
        <w:rPr>
          <w:lang w:val="en-US"/>
        </w:rPr>
        <w:t xml:space="preserve">Solow, R. M. (1957). Technical Change and the Aggregate Production Function. </w:t>
      </w:r>
      <w:r w:rsidR="009E100B" w:rsidRPr="009E100B">
        <w:rPr>
          <w:i/>
          <w:iCs/>
          <w:lang w:val="en-US"/>
        </w:rPr>
        <w:t>The Review of Economics and Statistics, 39</w:t>
      </w:r>
      <w:r w:rsidR="009E100B" w:rsidRPr="009E100B">
        <w:rPr>
          <w:lang w:val="en-US"/>
        </w:rPr>
        <w:t xml:space="preserve">(3), 312. </w:t>
      </w:r>
      <w:hyperlink r:id="rId4" w:history="1">
        <w:r w:rsidRPr="009E100B">
          <w:rPr>
            <w:rStyle w:val="Hipervnculo"/>
            <w:lang w:val="en-US"/>
          </w:rPr>
          <w:t>http://piketty.pse.ens.fr/files/Solow1957.pdf</w:t>
        </w:r>
      </w:hyperlink>
    </w:p>
  </w:footnote>
  <w:footnote w:id="16">
    <w:p w14:paraId="41C66192" w14:textId="77777777" w:rsidR="009C4133" w:rsidRDefault="001260E2" w:rsidP="009C4133">
      <w:pPr>
        <w:pStyle w:val="Textonotapie"/>
        <w:keepNext/>
        <w:spacing w:after="0"/>
      </w:pPr>
      <w:r>
        <w:rPr>
          <w:rStyle w:val="Refdenotaalpie"/>
        </w:rPr>
        <w:footnoteRef/>
      </w:r>
      <w:r>
        <w:t xml:space="preserve"> En productividad hay que distinguir la </w:t>
      </w:r>
      <w:r w:rsidRPr="005B12D7">
        <w:rPr>
          <w:i/>
          <w:iCs/>
        </w:rPr>
        <w:t>productividad media</w:t>
      </w:r>
      <w:r>
        <w:t xml:space="preserve"> </w:t>
      </w:r>
      <w:r w:rsidR="005B12D7">
        <w:t>(</w:t>
      </w:r>
      <w:r>
        <w:t>que es igual a la producción por unidad de trabajo</w:t>
      </w:r>
      <w:r w:rsidR="005B12D7">
        <w:t>)</w:t>
      </w:r>
      <w:r>
        <w:t xml:space="preserve"> y la </w:t>
      </w:r>
      <w:r w:rsidR="005B12D7">
        <w:rPr>
          <w:i/>
          <w:iCs/>
        </w:rPr>
        <w:t>p</w:t>
      </w:r>
      <w:r w:rsidRPr="005B12D7">
        <w:rPr>
          <w:i/>
          <w:iCs/>
        </w:rPr>
        <w:t xml:space="preserve">roductividad </w:t>
      </w:r>
      <w:r w:rsidR="005B12D7">
        <w:rPr>
          <w:i/>
          <w:iCs/>
        </w:rPr>
        <w:t>t</w:t>
      </w:r>
      <w:r w:rsidRPr="005B12D7">
        <w:rPr>
          <w:i/>
          <w:iCs/>
        </w:rPr>
        <w:t xml:space="preserve">otal de los </w:t>
      </w:r>
      <w:r w:rsidR="005B12D7">
        <w:rPr>
          <w:i/>
          <w:iCs/>
        </w:rPr>
        <w:t>f</w:t>
      </w:r>
      <w:r w:rsidRPr="005B12D7">
        <w:rPr>
          <w:i/>
          <w:iCs/>
        </w:rPr>
        <w:t>actores</w:t>
      </w:r>
      <w:r w:rsidR="005B12D7">
        <w:t xml:space="preserve"> (que mide la diferencia entre el crecimiento de la producción y el crecimiento ponderado de los factores primarios, bajo ciertos supuestos acerca de cómo funciona la economía</w:t>
      </w:r>
      <w:r w:rsidR="009C4133">
        <w:t>)</w:t>
      </w:r>
      <w:r w:rsidR="005B12D7">
        <w:t>.</w:t>
      </w:r>
    </w:p>
    <w:p w14:paraId="4C7FD304" w14:textId="2A0FF8BE" w:rsidR="005B12D7" w:rsidRDefault="005B12D7">
      <w:pPr>
        <w:pStyle w:val="Textonotapie"/>
        <w:numPr>
          <w:ilvl w:val="0"/>
          <w:numId w:val="19"/>
        </w:numPr>
        <w:spacing w:after="0"/>
        <w:ind w:left="283" w:hanging="113"/>
      </w:pPr>
      <w:r>
        <w:t xml:space="preserve">Si la tasa de crecimiento de la </w:t>
      </w:r>
      <w:r w:rsidR="009C4133">
        <w:t>p</w:t>
      </w:r>
      <w:r>
        <w:t xml:space="preserve">roductividad </w:t>
      </w:r>
      <w:r w:rsidR="009C4133">
        <w:t>t</w:t>
      </w:r>
      <w:r>
        <w:t xml:space="preserve">otal de los </w:t>
      </w:r>
      <w:r w:rsidR="009C4133">
        <w:t>f</w:t>
      </w:r>
      <w:r>
        <w:t>actores es positiva, indica que la producción aumenta más que proporcionalmente que los factores capital y trabajo. Su crecimiento es un indicador de progreso y mejora en los estándares de vida.</w:t>
      </w:r>
    </w:p>
    <w:p w14:paraId="17848999" w14:textId="77777777" w:rsidR="009C4133" w:rsidRDefault="005B12D7">
      <w:pPr>
        <w:pStyle w:val="Textonotapie"/>
        <w:numPr>
          <w:ilvl w:val="0"/>
          <w:numId w:val="19"/>
        </w:numPr>
        <w:spacing w:after="0"/>
        <w:ind w:left="283" w:hanging="113"/>
      </w:pPr>
      <w:r>
        <w:t xml:space="preserve">Ojo a los </w:t>
      </w:r>
      <w:r w:rsidRPr="009C4133">
        <w:rPr>
          <w:i/>
          <w:iCs/>
        </w:rPr>
        <w:t>supuestos</w:t>
      </w:r>
      <w:r>
        <w:t>:</w:t>
      </w:r>
    </w:p>
    <w:p w14:paraId="584C4F72" w14:textId="65F92855" w:rsidR="009C4133" w:rsidRDefault="009C4133">
      <w:pPr>
        <w:pStyle w:val="Textonotapie"/>
        <w:numPr>
          <w:ilvl w:val="1"/>
          <w:numId w:val="19"/>
        </w:numPr>
        <w:spacing w:after="0"/>
        <w:ind w:left="567" w:hanging="113"/>
      </w:pPr>
      <w:r>
        <w:t>C</w:t>
      </w:r>
      <w:r w:rsidR="005B12D7">
        <w:t>ompetencia perfecta y que la inversión se dirige a los sectores más rentables (los productores se comportan eficientemente).</w:t>
      </w:r>
    </w:p>
    <w:p w14:paraId="7F6D67B6" w14:textId="2699E3D0" w:rsidR="001260E2" w:rsidRDefault="005B12D7">
      <w:pPr>
        <w:pStyle w:val="Textonotapie"/>
        <w:numPr>
          <w:ilvl w:val="1"/>
          <w:numId w:val="19"/>
        </w:numPr>
        <w:spacing w:after="0"/>
        <w:ind w:left="567" w:hanging="113"/>
      </w:pPr>
      <w:r>
        <w:t>La productividad no cambia en el sector público si los salarios no cambia</w:t>
      </w:r>
      <w:r w:rsidR="009C4133">
        <w:t>n.</w:t>
      </w:r>
      <w:r>
        <w:t xml:space="preserve"> Las Cuentas Nacionales computan como valor añadido del sector público solo el sueldo de los trabajadores públicos.</w:t>
      </w:r>
    </w:p>
    <w:p w14:paraId="78C573A2" w14:textId="7DE996C2" w:rsidR="009C4133" w:rsidRPr="009C4133" w:rsidRDefault="009C4133">
      <w:pPr>
        <w:pStyle w:val="Textonotapie"/>
        <w:numPr>
          <w:ilvl w:val="0"/>
          <w:numId w:val="19"/>
        </w:numPr>
        <w:ind w:left="283" w:hanging="113"/>
        <w:rPr>
          <w:spacing w:val="-3"/>
        </w:rPr>
      </w:pPr>
      <w:r w:rsidRPr="009C4133">
        <w:rPr>
          <w:spacing w:val="-3"/>
        </w:rPr>
        <w:t xml:space="preserve">Aun así, se cree que en agregado es un indicador aceptable. </w:t>
      </w:r>
      <w:r w:rsidRPr="009C4133">
        <w:rPr>
          <w:i/>
          <w:iCs/>
          <w:spacing w:val="-3"/>
        </w:rPr>
        <w:t>En España, la productividad es contracíclica</w:t>
      </w:r>
      <w:r w:rsidRPr="009C4133">
        <w:rPr>
          <w:spacing w:val="-3"/>
        </w:rPr>
        <w:t xml:space="preserve"> por la construcción y el sector servicios.</w:t>
      </w:r>
    </w:p>
  </w:footnote>
  <w:footnote w:id="17">
    <w:p w14:paraId="5FBA4AB4" w14:textId="42DE274C" w:rsidR="00426653" w:rsidRDefault="00426653" w:rsidP="00426653">
      <w:pPr>
        <w:pStyle w:val="Textonotapie"/>
      </w:pPr>
      <w:r>
        <w:rPr>
          <w:rStyle w:val="Refdenotaalpie"/>
        </w:rPr>
        <w:footnoteRef/>
      </w:r>
      <w:r>
        <w:t xml:space="preserve"> </w:t>
      </w:r>
      <w:r w:rsidRPr="00426653">
        <w:t xml:space="preserve">Cuando </w:t>
      </w:r>
      <w:r>
        <w:t xml:space="preserve">se cumple </w:t>
      </w:r>
      <w:r w:rsidRPr="00426653">
        <w:t xml:space="preserve">la condición </w:t>
      </w:r>
      <m:oMath>
        <m:r>
          <m:rPr>
            <m:nor/>
          </m:rPr>
          <w:rPr>
            <w:i/>
            <w:iCs/>
          </w:rPr>
          <m:t>Y</m:t>
        </m:r>
        <m:r>
          <w:rPr>
            <w:rFonts w:ascii="Cambria Math" w:hAnsi="Cambria Math"/>
          </w:rPr>
          <m:t>=</m:t>
        </m:r>
        <m:r>
          <m:rPr>
            <m:nor/>
          </m:rPr>
          <w:rPr>
            <w:i/>
            <w:iCs/>
          </w:rPr>
          <m:t>r</m:t>
        </m:r>
        <m:r>
          <w:rPr>
            <w:rFonts w:ascii="Cambria Math" w:eastAsiaTheme="minorEastAsia" w:hAnsi="Cambria Math"/>
          </w:rPr>
          <m:t>∙</m:t>
        </m:r>
        <m:r>
          <m:rPr>
            <m:nor/>
          </m:rPr>
          <w:rPr>
            <w:i/>
            <w:iCs/>
          </w:rPr>
          <m:t>K</m:t>
        </m:r>
        <m:r>
          <w:rPr>
            <w:rFonts w:ascii="Cambria Math" w:hAnsi="Cambria Math"/>
          </w:rPr>
          <m:t>+</m:t>
        </m:r>
        <m:r>
          <m:rPr>
            <m:nor/>
          </m:rPr>
          <w:rPr>
            <w:i/>
            <w:iCs/>
          </w:rPr>
          <m:t>w</m:t>
        </m:r>
        <m:r>
          <w:rPr>
            <w:rFonts w:ascii="Cambria Math" w:eastAsiaTheme="minorEastAsia" w:hAnsi="Cambria Math"/>
          </w:rPr>
          <m:t>∙</m:t>
        </m:r>
        <m:r>
          <m:rPr>
            <m:nor/>
          </m:rPr>
          <w:rPr>
            <w:i/>
            <w:iCs/>
          </w:rPr>
          <m:t>L</m:t>
        </m:r>
      </m:oMath>
      <w:r w:rsidRPr="00426653">
        <w:t>, el enfoque primal y</w:t>
      </w:r>
      <w:r w:rsidR="00285EEA">
        <w:t xml:space="preserve"> el enfoque</w:t>
      </w:r>
      <w:r w:rsidRPr="00426653">
        <w:t xml:space="preserve"> dual deben ofrecer resultados idénticos, y cualquier diferencia s</w:t>
      </w:r>
      <w:r w:rsidR="001655C0">
        <w:t>ó</w:t>
      </w:r>
      <w:r w:rsidRPr="00426653">
        <w:t>lo puede responder al uso de distintas fuentes de datos.</w:t>
      </w:r>
    </w:p>
  </w:footnote>
  <w:footnote w:id="18">
    <w:p w14:paraId="7BC59B6D" w14:textId="0FF9AF5B" w:rsidR="00853B2B" w:rsidRDefault="00853B2B" w:rsidP="00853B2B">
      <w:pPr>
        <w:pStyle w:val="Textonotapie"/>
      </w:pPr>
      <w:r>
        <w:rPr>
          <w:rStyle w:val="Refdenotaalpie"/>
        </w:rPr>
        <w:footnoteRef/>
      </w:r>
      <w:r w:rsidR="009B3CA7">
        <w:t xml:space="preserve"> </w:t>
      </w:r>
      <w:r>
        <w:t>Esto puede estar relacionado con el grado de concentración empresarial, derivado de mayores economías de escala y de red presentes en la nueva economía digital. Las economías de escala implican que solo las empresas más grandes podrán hacer frente a grandes inversiones en datos, ordenadores y talento para competir.</w:t>
      </w:r>
    </w:p>
  </w:footnote>
  <w:footnote w:id="19">
    <w:p w14:paraId="2512D9B1" w14:textId="30DD7859" w:rsidR="00F54CE2" w:rsidRDefault="00F54CE2">
      <w:pPr>
        <w:pStyle w:val="Textonotapie"/>
      </w:pPr>
      <w:r>
        <w:rPr>
          <w:rStyle w:val="Refdenotaalpie"/>
        </w:rPr>
        <w:footnoteRef/>
      </w:r>
      <w:r>
        <w:t xml:space="preserve"> Aquí hay que tener mucho cuidado con la causalidad simultánea.</w:t>
      </w:r>
    </w:p>
  </w:footnote>
  <w:footnote w:id="20">
    <w:p w14:paraId="48E1257E" w14:textId="0D6E4F2A" w:rsidR="0032238F" w:rsidRDefault="0032238F" w:rsidP="0032238F">
      <w:pPr>
        <w:pStyle w:val="Textonotapie"/>
      </w:pPr>
      <w:r>
        <w:rPr>
          <w:rStyle w:val="Refdenotaalpie"/>
        </w:rPr>
        <w:footnoteRef/>
      </w:r>
      <w:r>
        <w:t xml:space="preserve"> Crecimiento sobre sistema político y liberalización (</w:t>
      </w:r>
      <w:r w:rsidRPr="0032238F">
        <w:rPr>
          <w:smallCaps/>
        </w:rPr>
        <w:t>Giavazzi</w:t>
      </w:r>
      <w:r>
        <w:t xml:space="preserve"> y </w:t>
      </w:r>
      <w:r w:rsidRPr="0032238F">
        <w:rPr>
          <w:smallCaps/>
        </w:rPr>
        <w:t>Tabellini</w:t>
      </w:r>
      <w:r>
        <w:t>) mejor liberalizar primero y democratizar después.</w:t>
      </w:r>
    </w:p>
    <w:p w14:paraId="35FB8710" w14:textId="2506B584" w:rsidR="0032238F" w:rsidRDefault="0032238F" w:rsidP="0032238F">
      <w:pPr>
        <w:pStyle w:val="Textonotapie"/>
      </w:pPr>
      <w:r w:rsidRPr="0032238F">
        <w:rPr>
          <w:smallCaps/>
        </w:rPr>
        <w:t>Personn</w:t>
      </w:r>
      <w:r>
        <w:t xml:space="preserve"> y </w:t>
      </w:r>
      <w:r w:rsidRPr="0032238F">
        <w:rPr>
          <w:smallCaps/>
        </w:rPr>
        <w:t>Tabellini</w:t>
      </w:r>
      <w:r>
        <w:t>: mejor relación en regímenes presidencialistas que en democracia parlamentaria</w:t>
      </w:r>
    </w:p>
  </w:footnote>
  <w:footnote w:id="21">
    <w:p w14:paraId="6100AF27" w14:textId="3ABBACB3" w:rsidR="00764796" w:rsidRDefault="00764796">
      <w:pPr>
        <w:pStyle w:val="Textonotapie"/>
      </w:pPr>
      <w:r>
        <w:rPr>
          <w:rStyle w:val="Refdenotaalpie"/>
        </w:rPr>
        <w:footnoteRef/>
      </w:r>
      <w:r>
        <w:t xml:space="preserve"> Una forma de usar datos de panel (más usado en la literatura reciente: </w:t>
      </w:r>
      <w:r w:rsidRPr="00D8523A">
        <w:rPr>
          <w:smallCaps/>
        </w:rPr>
        <w:t>Lee</w:t>
      </w:r>
      <w:r>
        <w:t xml:space="preserve"> and </w:t>
      </w:r>
      <w:r w:rsidRPr="00D8523A">
        <w:rPr>
          <w:smallCaps/>
        </w:rPr>
        <w:t>Gordon</w:t>
      </w:r>
      <w:r>
        <w:t xml:space="preserve">, </w:t>
      </w:r>
      <w:r w:rsidRPr="00D8523A">
        <w:rPr>
          <w:smallCaps/>
        </w:rPr>
        <w:t>Wildman</w:t>
      </w:r>
      <w:r>
        <w:t>) es coger la media en subperiodos de 5 años, para coger efectos de medio plazo y suavizar posibles efectos del ciclo económico.</w:t>
      </w:r>
    </w:p>
  </w:footnote>
  <w:footnote w:id="22">
    <w:p w14:paraId="30D49DE8" w14:textId="52BF56A1" w:rsidR="0032238F" w:rsidRDefault="0032238F">
      <w:pPr>
        <w:pStyle w:val="Textonotapie"/>
      </w:pPr>
      <w:r>
        <w:rPr>
          <w:rStyle w:val="Refdenotaalpie"/>
        </w:rPr>
        <w:footnoteRef/>
      </w:r>
      <w:r>
        <w:t xml:space="preserve"> </w:t>
      </w:r>
      <w:r w:rsidRPr="0032238F">
        <w:t>Puede haber problemas de multicolinealidad: subconjunto de variables explicativas muy altamente correlacionadas. Difícil separar efectos individuales.</w:t>
      </w:r>
    </w:p>
  </w:footnote>
  <w:footnote w:id="23">
    <w:p w14:paraId="51A0A1F3" w14:textId="67C0A43A" w:rsidR="0032238F" w:rsidRDefault="0032238F" w:rsidP="00E821BC">
      <w:pPr>
        <w:pStyle w:val="Textonotapie"/>
        <w:spacing w:after="0"/>
      </w:pPr>
      <w:r>
        <w:rPr>
          <w:rStyle w:val="Refdenotaalpie"/>
        </w:rPr>
        <w:footnoteRef/>
      </w:r>
      <w:r>
        <w:t xml:space="preserve"> ¿Hay endogeneidad? Ojo puede haber causalidad inversa. </w:t>
      </w:r>
      <w:r w:rsidR="00E821BC">
        <w:t xml:space="preserve">Un </w:t>
      </w:r>
      <w:r>
        <w:t xml:space="preserve">crecimiento mayor puede inducir mayor gasto y mayores impuestos. Además el gobierno puede realizar políticas expansivas en caso de </w:t>
      </w:r>
      <w:r w:rsidR="00D8523A">
        <w:t>desaceleración.</w:t>
      </w:r>
    </w:p>
    <w:p w14:paraId="1A18A16B" w14:textId="2C680524" w:rsidR="0032238F" w:rsidRPr="00D8523A" w:rsidRDefault="0032238F">
      <w:pPr>
        <w:pStyle w:val="Textonotapie"/>
        <w:numPr>
          <w:ilvl w:val="0"/>
          <w:numId w:val="25"/>
        </w:numPr>
        <w:spacing w:after="0"/>
        <w:ind w:left="283" w:hanging="113"/>
      </w:pPr>
      <w:r w:rsidRPr="00D8523A">
        <w:rPr>
          <w:i/>
          <w:iCs/>
        </w:rPr>
        <w:t>Test de Hausman</w:t>
      </w:r>
      <w:r w:rsidRPr="00D8523A">
        <w:t xml:space="preserve">: </w:t>
      </w:r>
      <w:r w:rsidR="00E821BC">
        <w:t>L</w:t>
      </w:r>
      <w:r w:rsidR="00D8523A" w:rsidRPr="00D8523A">
        <w:t xml:space="preserve">a hipótesis nula es que la covarianza entre los regresores y otros factores no </w:t>
      </w:r>
      <w:r w:rsidR="00D8523A">
        <w:t>observados es cero</w:t>
      </w:r>
      <w:r w:rsidRPr="00D8523A">
        <w:t>.</w:t>
      </w:r>
    </w:p>
    <w:p w14:paraId="5BA16610" w14:textId="06148D94" w:rsidR="0032238F" w:rsidRDefault="00D8523A">
      <w:pPr>
        <w:pStyle w:val="Textonotapie"/>
        <w:numPr>
          <w:ilvl w:val="0"/>
          <w:numId w:val="25"/>
        </w:numPr>
        <w:ind w:left="283" w:hanging="113"/>
      </w:pPr>
      <w:r w:rsidRPr="00D8523A">
        <w:rPr>
          <w:i/>
          <w:iCs/>
        </w:rPr>
        <w:t xml:space="preserve">Test de </w:t>
      </w:r>
      <w:r w:rsidR="0032238F" w:rsidRPr="00D8523A">
        <w:rPr>
          <w:i/>
          <w:iCs/>
        </w:rPr>
        <w:t>Jarque</w:t>
      </w:r>
      <w:r w:rsidRPr="00D8523A">
        <w:rPr>
          <w:i/>
          <w:iCs/>
        </w:rPr>
        <w:t>-</w:t>
      </w:r>
      <w:r w:rsidR="0032238F" w:rsidRPr="00D8523A">
        <w:rPr>
          <w:i/>
          <w:iCs/>
        </w:rPr>
        <w:t>Bera</w:t>
      </w:r>
      <w:r w:rsidR="0032238F">
        <w:t xml:space="preserve">: </w:t>
      </w:r>
      <w:r w:rsidR="00E821BC">
        <w:t>E</w:t>
      </w:r>
      <w:r w:rsidR="0032238F">
        <w:t>rrores deben seguir una distribución normal.</w:t>
      </w:r>
    </w:p>
  </w:footnote>
  <w:footnote w:id="24">
    <w:p w14:paraId="08953F1D" w14:textId="77777777" w:rsidR="00B70F11" w:rsidRPr="00901660" w:rsidRDefault="00B70F11" w:rsidP="00B70F11">
      <w:pPr>
        <w:pStyle w:val="Textonotapie"/>
      </w:pPr>
      <w:r>
        <w:rPr>
          <w:rStyle w:val="Refdenotaalpie"/>
        </w:rPr>
        <w:footnoteRef/>
      </w:r>
      <w:r>
        <w:t xml:space="preserve"> </w:t>
      </w:r>
      <w:r>
        <w:rPr>
          <w:smallCaps/>
        </w:rPr>
        <w:t>Douglass North</w:t>
      </w:r>
      <w:r>
        <w:t xml:space="preserve"> fue galardonado con el Premio Nobel de Economía en 1993 junto con </w:t>
      </w:r>
      <w:r w:rsidRPr="00901660">
        <w:rPr>
          <w:smallCaps/>
        </w:rPr>
        <w:t>Robert Fogel</w:t>
      </w:r>
      <w:r>
        <w:t xml:space="preserve"> </w:t>
      </w:r>
      <w:r w:rsidRPr="00901660">
        <w:t>«Por renovar la investigación de la historia económica, aplicando teorías y métodos para explicar los cambios tanto económicos como institucionales».</w:t>
      </w:r>
    </w:p>
  </w:footnote>
  <w:footnote w:id="25">
    <w:p w14:paraId="4C14FFB5" w14:textId="7D1E84B0" w:rsidR="004C5C01" w:rsidRDefault="004C5C01">
      <w:pPr>
        <w:pStyle w:val="Textonotapie"/>
      </w:pPr>
      <w:r>
        <w:rPr>
          <w:rStyle w:val="Refdenotaalpie"/>
        </w:rPr>
        <w:footnoteRef/>
      </w:r>
      <w:r>
        <w:t xml:space="preserve"> </w:t>
      </w:r>
      <w:r w:rsidRPr="004C5C01">
        <w:t xml:space="preserve">El </w:t>
      </w:r>
      <w:r w:rsidRPr="004C5C01">
        <w:rPr>
          <w:i/>
          <w:iCs/>
        </w:rPr>
        <w:t>consenso de Washington</w:t>
      </w:r>
      <w:r w:rsidRPr="004C5C01">
        <w:t xml:space="preserve"> es un conjunto de </w:t>
      </w:r>
      <w:r>
        <w:t>10 </w:t>
      </w:r>
      <w:r w:rsidRPr="004C5C01">
        <w:t xml:space="preserve">recomendaciones de política económica formuladas en 1989 por el economista inglés </w:t>
      </w:r>
      <w:r w:rsidRPr="004C5C01">
        <w:rPr>
          <w:smallCaps/>
        </w:rPr>
        <w:t>John Williamson</w:t>
      </w:r>
      <w:r w:rsidRPr="004C5C01">
        <w:t>, que tenían como objetivo orientar a los países en desarrollo inmersos en la crisis económica para que lograsen salir de la misma. Algunas de estas recomendaciones son la disciplina fiscal, la liberalización comercial, la privatización de empresas públicas y la desregulación de los</w:t>
      </w:r>
      <w:r>
        <w:t xml:space="preserve"> mercados</w:t>
      </w:r>
      <w:r w:rsidRPr="004C5C01">
        <w:t>. El consenso de Washington fue impulsado por varios organismos financieros internacionales como el Fondo Monetario Internacional, el Banco Mundial y el Departamento del Tesoro de Estados Unidos.</w:t>
      </w:r>
    </w:p>
  </w:footnote>
  <w:footnote w:id="26">
    <w:p w14:paraId="264D0224" w14:textId="68EDD745" w:rsidR="00FC08AA" w:rsidRDefault="00FC08AA">
      <w:pPr>
        <w:pStyle w:val="Textonotapie"/>
      </w:pPr>
      <w:r>
        <w:rPr>
          <w:rStyle w:val="Refdenotaalpie"/>
        </w:rPr>
        <w:footnoteRef/>
      </w:r>
      <w:r>
        <w:t xml:space="preserve"> También pueden existir problemas de variables omitidas.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1E440D" w:rsidRPr="00C44422" w14:paraId="4577D0EC"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177C56E0" w14:textId="1C158E76" w:rsidR="001E440D" w:rsidRPr="00851FCE" w:rsidRDefault="001E440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3.A.45</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181D9570" w14:textId="2753E30B" w:rsidR="001E440D" w:rsidRPr="00851FCE" w:rsidRDefault="001E440D" w:rsidP="00C80BBD">
              <w:pPr>
                <w:pStyle w:val="Encabezado"/>
                <w:spacing w:after="0"/>
                <w:ind w:right="-110"/>
                <w:contextualSpacing/>
                <w:jc w:val="center"/>
                <w:rPr>
                  <w:i/>
                  <w:iCs/>
                  <w:color w:val="5F2987"/>
                  <w:sz w:val="18"/>
                  <w:szCs w:val="18"/>
                </w:rPr>
              </w:pPr>
              <w:r>
                <w:rPr>
                  <w:i/>
                  <w:iCs/>
                  <w:color w:val="5F2987"/>
                  <w:sz w:val="18"/>
                  <w:szCs w:val="18"/>
                </w:rPr>
                <w:t>Evidencia empírica sobre el crecimiento económico y la distribución de la renta entre los factores de producción. Contabilidad del crecimiento, con especial referencia a la productividad total de los factores. Convergencia económica internacional.</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41FA96CB" w14:textId="77777777" w:rsidR="001E440D" w:rsidRPr="00C44422" w:rsidRDefault="001E440D"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1F2819AB" w14:textId="77777777" w:rsidR="00FD2AC8" w:rsidRPr="00E32FC0" w:rsidRDefault="00FD2AC8" w:rsidP="00FE7391">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1E440D" w:rsidRPr="00C44422" w14:paraId="78CFC49F" w14:textId="77777777" w:rsidTr="009F6145">
      <w:trPr>
        <w:trHeight w:val="136"/>
        <w:jc w:val="center"/>
      </w:trPr>
      <w:sdt>
        <w:sdtPr>
          <w:rPr>
            <w:b/>
            <w:bCs/>
            <w:i/>
            <w:iCs/>
            <w:caps/>
            <w:color w:val="5F2987"/>
            <w:sz w:val="18"/>
            <w:szCs w:val="18"/>
          </w:rPr>
          <w:alias w:val="Title"/>
          <w:tag w:val=""/>
          <w:id w:val="1853676819"/>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7B70455C" w14:textId="1D478A63" w:rsidR="001E440D" w:rsidRPr="00851FCE" w:rsidRDefault="001E440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3.A.45</w:t>
              </w:r>
            </w:p>
          </w:tc>
        </w:sdtContent>
      </w:sdt>
      <w:tc>
        <w:tcPr>
          <w:tcW w:w="7937" w:type="dxa"/>
          <w:vAlign w:val="center"/>
        </w:tcPr>
        <w:sdt>
          <w:sdtPr>
            <w:rPr>
              <w:i/>
              <w:iCs/>
              <w:color w:val="5F2987"/>
              <w:sz w:val="18"/>
              <w:szCs w:val="18"/>
            </w:rPr>
            <w:alias w:val="Subject"/>
            <w:tag w:val=""/>
            <w:id w:val="-1860955397"/>
            <w:dataBinding w:prefixMappings="xmlns:ns0='http://purl.org/dc/elements/1.1/' xmlns:ns1='http://schemas.openxmlformats.org/package/2006/metadata/core-properties' " w:xpath="/ns1:coreProperties[1]/ns0:subject[1]" w:storeItemID="{6C3C8BC8-F283-45AE-878A-BAB7291924A1}"/>
            <w:text/>
          </w:sdtPr>
          <w:sdtContent>
            <w:p w14:paraId="1D21E56B" w14:textId="7DB26EC7" w:rsidR="001E440D" w:rsidRPr="00851FCE" w:rsidRDefault="001E440D" w:rsidP="00C80BBD">
              <w:pPr>
                <w:pStyle w:val="Encabezado"/>
                <w:spacing w:after="0"/>
                <w:ind w:right="-110"/>
                <w:contextualSpacing/>
                <w:jc w:val="center"/>
                <w:rPr>
                  <w:i/>
                  <w:iCs/>
                  <w:color w:val="5F2987"/>
                  <w:sz w:val="18"/>
                  <w:szCs w:val="18"/>
                </w:rPr>
              </w:pPr>
              <w:r>
                <w:rPr>
                  <w:i/>
                  <w:iCs/>
                  <w:color w:val="5F2987"/>
                  <w:sz w:val="18"/>
                  <w:szCs w:val="18"/>
                </w:rPr>
                <w:t>Evidencia empírica sobre el crecimiento económico y la distribución de la renta entre los factores de producción. Contabilidad del crecimiento, con especial referencia a la productividad total de los factores. Convergencia económica internacional.</w:t>
              </w:r>
            </w:p>
          </w:sdtContent>
        </w:sdt>
      </w:tc>
      <w:sdt>
        <w:sdtPr>
          <w:rPr>
            <w:b/>
            <w:bCs/>
            <w:i/>
            <w:iCs/>
            <w:color w:val="5F2987"/>
            <w:spacing w:val="-6"/>
            <w:sz w:val="18"/>
            <w:szCs w:val="18"/>
          </w:rPr>
          <w:alias w:val="Author"/>
          <w:tag w:val=""/>
          <w:id w:val="1900711010"/>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86AEB40" w14:textId="77777777" w:rsidR="001E440D" w:rsidRPr="00C44422" w:rsidRDefault="001E440D"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D2AC8" w:rsidRPr="00BE1B62" w14:paraId="0D7CC4C7" w14:textId="77777777" w:rsidTr="00715E2D">
      <w:tc>
        <w:tcPr>
          <w:tcW w:w="3261" w:type="dxa"/>
          <w:tcBorders>
            <w:bottom w:val="thickThinSmallGap" w:sz="12" w:space="0" w:color="5F2987"/>
          </w:tcBorders>
        </w:tcPr>
        <w:p w14:paraId="12685EFA" w14:textId="14DE0D28" w:rsidR="00FD2AC8" w:rsidRPr="00BE1B62" w:rsidRDefault="00FD2AC8" w:rsidP="0054604D">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7846DF">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9106354" w14:textId="77777777" w:rsidR="00FD2AC8" w:rsidRPr="00BE1B62" w:rsidRDefault="00FD2AC8" w:rsidP="0054604D">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D29A564B75AC471287B96315D7B7AFBA"/>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4BF646F" w14:textId="1D0E7636" w:rsidR="00FD2AC8" w:rsidRPr="00BE1B62" w:rsidRDefault="00567B9B" w:rsidP="0054604D">
              <w:pPr>
                <w:pStyle w:val="Encabezado"/>
                <w:spacing w:after="0"/>
                <w:jc w:val="right"/>
                <w:rPr>
                  <w:i/>
                  <w:iCs/>
                  <w:color w:val="5F2987"/>
                  <w:spacing w:val="-6"/>
                  <w:sz w:val="18"/>
                  <w:szCs w:val="18"/>
                </w:rPr>
              </w:pPr>
              <w:r>
                <w:rPr>
                  <w:i/>
                  <w:iCs/>
                  <w:color w:val="5F2987"/>
                  <w:spacing w:val="-6"/>
                  <w:sz w:val="20"/>
                  <w:szCs w:val="20"/>
                </w:rPr>
                <w:t>3.A.45</w:t>
              </w:r>
            </w:p>
          </w:tc>
        </w:sdtContent>
      </w:sdt>
    </w:tr>
  </w:tbl>
  <w:p w14:paraId="1B6B7A1A" w14:textId="77777777" w:rsidR="00FD2AC8" w:rsidRPr="00FD2AC8" w:rsidRDefault="00FD2AC8" w:rsidP="00FD2AC8">
    <w:pPr>
      <w:pStyle w:val="Encabezado"/>
      <w:spacing w:after="0" w:line="240"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6037"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352"/>
      <w:gridCol w:w="2551"/>
    </w:tblGrid>
    <w:tr w:rsidR="00E46307" w:rsidRPr="00C44422" w14:paraId="385825AD" w14:textId="77777777" w:rsidTr="00E46307">
      <w:trPr>
        <w:trHeight w:val="136"/>
        <w:jc w:val="center"/>
      </w:trPr>
      <w:sdt>
        <w:sdtPr>
          <w:rPr>
            <w:b/>
            <w:bCs/>
            <w:i/>
            <w:iCs/>
            <w:caps/>
            <w:color w:val="5F2987"/>
            <w:sz w:val="18"/>
            <w:szCs w:val="18"/>
          </w:rPr>
          <w:alias w:val="Title"/>
          <w:tag w:val=""/>
          <w:id w:val="1442807070"/>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43A1CCC" w14:textId="1357BFEE" w:rsidR="00E46307" w:rsidRPr="00C44422" w:rsidRDefault="00567B9B" w:rsidP="00C4442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3.A.45</w:t>
              </w:r>
            </w:p>
          </w:tc>
        </w:sdtContent>
      </w:sdt>
      <w:tc>
        <w:tcPr>
          <w:tcW w:w="12352" w:type="dxa"/>
          <w:vAlign w:val="center"/>
        </w:tcPr>
        <w:sdt>
          <w:sdtPr>
            <w:rPr>
              <w:i/>
              <w:iCs/>
              <w:color w:val="5F2987"/>
              <w:sz w:val="18"/>
              <w:szCs w:val="18"/>
            </w:rPr>
            <w:alias w:val="Subject"/>
            <w:tag w:val=""/>
            <w:id w:val="1136219866"/>
            <w:dataBinding w:prefixMappings="xmlns:ns0='http://purl.org/dc/elements/1.1/' xmlns:ns1='http://schemas.openxmlformats.org/package/2006/metadata/core-properties' " w:xpath="/ns1:coreProperties[1]/ns0:subject[1]" w:storeItemID="{6C3C8BC8-F283-45AE-878A-BAB7291924A1}"/>
            <w:text/>
          </w:sdtPr>
          <w:sdtContent>
            <w:p w14:paraId="246FAB22" w14:textId="644275C3" w:rsidR="00E46307" w:rsidRPr="00C44422" w:rsidRDefault="00582A93" w:rsidP="00C44422">
              <w:pPr>
                <w:pStyle w:val="Encabezado"/>
                <w:spacing w:after="0"/>
                <w:ind w:right="-110"/>
                <w:contextualSpacing/>
                <w:jc w:val="center"/>
                <w:rPr>
                  <w:i/>
                  <w:iCs/>
                  <w:color w:val="5F2987"/>
                  <w:sz w:val="18"/>
                  <w:szCs w:val="18"/>
                </w:rPr>
              </w:pPr>
              <w:r>
                <w:rPr>
                  <w:i/>
                  <w:iCs/>
                  <w:color w:val="5F2987"/>
                  <w:sz w:val="18"/>
                  <w:szCs w:val="18"/>
                </w:rPr>
                <w:t>Evidencia empírica sobre el crecimiento económico y la distribución de la renta entre los factores de producción. Contabilidad del crecimiento, con especial referencia a la productividad total de los factores. Convergencia económica internacional.</w:t>
              </w:r>
            </w:p>
          </w:sdtContent>
        </w:sdt>
      </w:tc>
      <w:sdt>
        <w:sdtPr>
          <w:rPr>
            <w:b/>
            <w:bCs/>
            <w:i/>
            <w:iCs/>
            <w:color w:val="5F2987"/>
            <w:spacing w:val="-6"/>
            <w:sz w:val="18"/>
            <w:szCs w:val="18"/>
          </w:rPr>
          <w:alias w:val="Author"/>
          <w:tag w:val=""/>
          <w:id w:val="1358236800"/>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B04F5D7" w14:textId="77777777" w:rsidR="00E46307" w:rsidRPr="00C44422" w:rsidRDefault="00E46307" w:rsidP="00C4442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8AA3F55" w14:textId="77777777" w:rsidR="00E46307" w:rsidRPr="00FD2AC8" w:rsidRDefault="00E46307" w:rsidP="00FD2AC8">
    <w:pPr>
      <w:pStyle w:val="Encabezado"/>
      <w:spacing w:after="0" w:line="240" w:lineRule="auto"/>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6037"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352"/>
      <w:gridCol w:w="2551"/>
    </w:tblGrid>
    <w:tr w:rsidR="00E46307" w:rsidRPr="00C44422" w14:paraId="6BBFDDA7" w14:textId="77777777" w:rsidTr="00D16A0A">
      <w:trPr>
        <w:trHeight w:val="136"/>
        <w:jc w:val="center"/>
      </w:trPr>
      <w:sdt>
        <w:sdtPr>
          <w:rPr>
            <w:b/>
            <w:bCs/>
            <w:i/>
            <w:iCs/>
            <w:caps/>
            <w:color w:val="5F2987"/>
            <w:sz w:val="18"/>
            <w:szCs w:val="18"/>
          </w:rPr>
          <w:alias w:val="Title"/>
          <w:tag w:val=""/>
          <w:id w:val="137696105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9EC2980" w14:textId="25B7437C" w:rsidR="00E46307" w:rsidRPr="00C44422" w:rsidRDefault="00567B9B" w:rsidP="00E46307">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3.A.45</w:t>
              </w:r>
            </w:p>
          </w:tc>
        </w:sdtContent>
      </w:sdt>
      <w:tc>
        <w:tcPr>
          <w:tcW w:w="12352" w:type="dxa"/>
          <w:vAlign w:val="center"/>
        </w:tcPr>
        <w:sdt>
          <w:sdtPr>
            <w:rPr>
              <w:i/>
              <w:iCs/>
              <w:color w:val="5F2987"/>
              <w:sz w:val="18"/>
              <w:szCs w:val="18"/>
            </w:rPr>
            <w:alias w:val="Subject"/>
            <w:tag w:val=""/>
            <w:id w:val="263201993"/>
            <w:dataBinding w:prefixMappings="xmlns:ns0='http://purl.org/dc/elements/1.1/' xmlns:ns1='http://schemas.openxmlformats.org/package/2006/metadata/core-properties' " w:xpath="/ns1:coreProperties[1]/ns0:subject[1]" w:storeItemID="{6C3C8BC8-F283-45AE-878A-BAB7291924A1}"/>
            <w:text/>
          </w:sdtPr>
          <w:sdtContent>
            <w:p w14:paraId="5400F7FA" w14:textId="4F000579" w:rsidR="00E46307" w:rsidRPr="00C44422" w:rsidRDefault="00582A93" w:rsidP="00E46307">
              <w:pPr>
                <w:pStyle w:val="Encabezado"/>
                <w:spacing w:after="0"/>
                <w:ind w:right="-110"/>
                <w:contextualSpacing/>
                <w:jc w:val="center"/>
                <w:rPr>
                  <w:i/>
                  <w:iCs/>
                  <w:color w:val="5F2987"/>
                  <w:sz w:val="18"/>
                  <w:szCs w:val="18"/>
                </w:rPr>
              </w:pPr>
              <w:r>
                <w:rPr>
                  <w:i/>
                  <w:iCs/>
                  <w:color w:val="5F2987"/>
                  <w:sz w:val="18"/>
                  <w:szCs w:val="18"/>
                </w:rPr>
                <w:t>Evidencia empírica sobre el crecimiento económico y la distribución de la renta entre los factores de producción. Contabilidad del crecimiento, con especial referencia a la productividad total de los factores. Convergencia económica internacional.</w:t>
              </w:r>
            </w:p>
          </w:sdtContent>
        </w:sdt>
      </w:tc>
      <w:sdt>
        <w:sdtPr>
          <w:rPr>
            <w:b/>
            <w:bCs/>
            <w:i/>
            <w:iCs/>
            <w:color w:val="5F2987"/>
            <w:spacing w:val="-6"/>
            <w:sz w:val="18"/>
            <w:szCs w:val="18"/>
          </w:rPr>
          <w:alias w:val="Author"/>
          <w:tag w:val=""/>
          <w:id w:val="-1902741432"/>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443621EA" w14:textId="77777777" w:rsidR="00E46307" w:rsidRPr="00C44422" w:rsidRDefault="00E46307" w:rsidP="00E46307">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77A16CC" w14:textId="77777777" w:rsidR="00E46307" w:rsidRPr="004C465C" w:rsidRDefault="00E46307" w:rsidP="00FF0353">
    <w:pPr>
      <w:pStyle w:val="Encabezad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7359B"/>
    <w:multiLevelType w:val="hybridMultilevel"/>
    <w:tmpl w:val="501A60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5A08E7"/>
    <w:multiLevelType w:val="hybridMultilevel"/>
    <w:tmpl w:val="75C0DAFE"/>
    <w:lvl w:ilvl="0" w:tplc="FC563D8E">
      <w:start w:val="1"/>
      <w:numFmt w:val="lowerLetter"/>
      <w:lvlText w:val="%1)"/>
      <w:lvlJc w:val="left"/>
      <w:pPr>
        <w:ind w:left="720" w:hanging="360"/>
      </w:pPr>
      <w:rPr>
        <w:rFonts w:hint="default"/>
        <w:i/>
        <w:iCs/>
      </w:rPr>
    </w:lvl>
    <w:lvl w:ilvl="1" w:tplc="DB4C9D3C">
      <w:start w:val="1"/>
      <w:numFmt w:val="decimal"/>
      <w:lvlText w:val="%2)"/>
      <w:lvlJc w:val="left"/>
      <w:pPr>
        <w:ind w:left="1440" w:hanging="360"/>
      </w:pPr>
      <w:rPr>
        <w:rFonts w:hint="default"/>
      </w:rPr>
    </w:lvl>
    <w:lvl w:ilvl="2" w:tplc="6434A5B4">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E9D5970"/>
    <w:multiLevelType w:val="hybridMultilevel"/>
    <w:tmpl w:val="75C0DAFE"/>
    <w:lvl w:ilvl="0" w:tplc="FFFFFFFF">
      <w:start w:val="1"/>
      <w:numFmt w:val="lowerLetter"/>
      <w:lvlText w:val="%1)"/>
      <w:lvlJc w:val="left"/>
      <w:pPr>
        <w:ind w:left="720" w:hanging="360"/>
      </w:pPr>
      <w:rPr>
        <w:rFonts w:hint="default"/>
        <w:i/>
        <w:iCs/>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4B76DA"/>
    <w:multiLevelType w:val="hybridMultilevel"/>
    <w:tmpl w:val="99C4A4D4"/>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8" w15:restartNumberingAfterBreak="0">
    <w:nsid w:val="2E3C7364"/>
    <w:multiLevelType w:val="hybridMultilevel"/>
    <w:tmpl w:val="09D0D24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EB72528"/>
    <w:multiLevelType w:val="hybridMultilevel"/>
    <w:tmpl w:val="6C00A294"/>
    <w:lvl w:ilvl="0" w:tplc="FA5E6FB2">
      <w:start w:val="1"/>
      <w:numFmt w:val="lowerRoman"/>
      <w:lvlText w:val="%1)"/>
      <w:lvlJc w:val="right"/>
      <w:pPr>
        <w:ind w:left="1080" w:hanging="72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5A75FE0"/>
    <w:multiLevelType w:val="hybridMultilevel"/>
    <w:tmpl w:val="E1DEB71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67527E1"/>
    <w:multiLevelType w:val="hybridMultilevel"/>
    <w:tmpl w:val="BF360D4C"/>
    <w:lvl w:ilvl="0" w:tplc="61A69C9C">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3052F7C"/>
    <w:multiLevelType w:val="hybridMultilevel"/>
    <w:tmpl w:val="3D0C45A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33560CA"/>
    <w:multiLevelType w:val="hybridMultilevel"/>
    <w:tmpl w:val="925A2504"/>
    <w:lvl w:ilvl="0" w:tplc="54BE51E0">
      <w:start w:val="2005"/>
      <w:numFmt w:val="bullet"/>
      <w:lvlText w:val="-"/>
      <w:lvlJc w:val="left"/>
      <w:pPr>
        <w:ind w:left="720" w:hanging="360"/>
      </w:pPr>
      <w:rPr>
        <w:rFonts w:ascii="Garamond" w:eastAsia="Calibri"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6F49E9"/>
    <w:multiLevelType w:val="hybridMultilevel"/>
    <w:tmpl w:val="58EE1B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2BA3DA5"/>
    <w:multiLevelType w:val="hybridMultilevel"/>
    <w:tmpl w:val="65CA6E82"/>
    <w:lvl w:ilvl="0" w:tplc="B92EBB6A">
      <w:start w:val="2005"/>
      <w:numFmt w:val="bullet"/>
      <w:lvlText w:val="-"/>
      <w:lvlJc w:val="left"/>
      <w:pPr>
        <w:ind w:left="720" w:hanging="360"/>
      </w:pPr>
      <w:rPr>
        <w:rFonts w:ascii="Garamond" w:eastAsia="Calibri"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7F15DD8"/>
    <w:multiLevelType w:val="hybridMultilevel"/>
    <w:tmpl w:val="5E986546"/>
    <w:lvl w:ilvl="0" w:tplc="CF7AF2FA">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6C112726"/>
    <w:multiLevelType w:val="hybridMultilevel"/>
    <w:tmpl w:val="4D869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FF6EB5"/>
    <w:multiLevelType w:val="hybridMultilevel"/>
    <w:tmpl w:val="C3A40F32"/>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F5155DE"/>
    <w:multiLevelType w:val="hybridMultilevel"/>
    <w:tmpl w:val="5E7C2B5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04A26A5"/>
    <w:multiLevelType w:val="hybridMultilevel"/>
    <w:tmpl w:val="88324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E9B49F8"/>
    <w:multiLevelType w:val="hybridMultilevel"/>
    <w:tmpl w:val="09CAD514"/>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num w:numId="1" w16cid:durableId="901059105">
    <w:abstractNumId w:val="2"/>
  </w:num>
  <w:num w:numId="2" w16cid:durableId="702172506">
    <w:abstractNumId w:val="24"/>
  </w:num>
  <w:num w:numId="3" w16cid:durableId="170030153">
    <w:abstractNumId w:val="6"/>
  </w:num>
  <w:num w:numId="4" w16cid:durableId="682976130">
    <w:abstractNumId w:val="19"/>
  </w:num>
  <w:num w:numId="5" w16cid:durableId="1147744094">
    <w:abstractNumId w:val="7"/>
  </w:num>
  <w:num w:numId="6" w16cid:durableId="364140879">
    <w:abstractNumId w:val="10"/>
  </w:num>
  <w:num w:numId="7" w16cid:durableId="2117404146">
    <w:abstractNumId w:val="23"/>
  </w:num>
  <w:num w:numId="8" w16cid:durableId="1117748728">
    <w:abstractNumId w:val="20"/>
  </w:num>
  <w:num w:numId="9" w16cid:durableId="863908942">
    <w:abstractNumId w:val="9"/>
  </w:num>
  <w:num w:numId="10" w16cid:durableId="2126730761">
    <w:abstractNumId w:val="16"/>
  </w:num>
  <w:num w:numId="11" w16cid:durableId="135027560">
    <w:abstractNumId w:val="25"/>
  </w:num>
  <w:num w:numId="12" w16cid:durableId="257758828">
    <w:abstractNumId w:val="14"/>
  </w:num>
  <w:num w:numId="13" w16cid:durableId="1830289746">
    <w:abstractNumId w:val="5"/>
  </w:num>
  <w:num w:numId="14" w16cid:durableId="1608847120">
    <w:abstractNumId w:val="4"/>
  </w:num>
  <w:num w:numId="15" w16cid:durableId="811094652">
    <w:abstractNumId w:val="15"/>
  </w:num>
  <w:num w:numId="16" w16cid:durableId="616836808">
    <w:abstractNumId w:val="18"/>
  </w:num>
  <w:num w:numId="17" w16cid:durableId="1704283044">
    <w:abstractNumId w:val="12"/>
  </w:num>
  <w:num w:numId="18" w16cid:durableId="64843562">
    <w:abstractNumId w:val="21"/>
  </w:num>
  <w:num w:numId="19" w16cid:durableId="15889001">
    <w:abstractNumId w:val="22"/>
  </w:num>
  <w:num w:numId="20" w16cid:durableId="420298265">
    <w:abstractNumId w:val="1"/>
  </w:num>
  <w:num w:numId="21" w16cid:durableId="1632248654">
    <w:abstractNumId w:val="3"/>
  </w:num>
  <w:num w:numId="22" w16cid:durableId="1043792425">
    <w:abstractNumId w:val="13"/>
  </w:num>
  <w:num w:numId="23" w16cid:durableId="1894075594">
    <w:abstractNumId w:val="8"/>
  </w:num>
  <w:num w:numId="24" w16cid:durableId="127360471">
    <w:abstractNumId w:val="11"/>
  </w:num>
  <w:num w:numId="25" w16cid:durableId="457452956">
    <w:abstractNumId w:val="0"/>
  </w:num>
  <w:num w:numId="26" w16cid:durableId="683282173">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B87"/>
    <w:rsid w:val="000002B3"/>
    <w:rsid w:val="00013D2C"/>
    <w:rsid w:val="000248B8"/>
    <w:rsid w:val="0002549F"/>
    <w:rsid w:val="00031D43"/>
    <w:rsid w:val="0003605A"/>
    <w:rsid w:val="00040418"/>
    <w:rsid w:val="0004235B"/>
    <w:rsid w:val="0004310D"/>
    <w:rsid w:val="00044EEC"/>
    <w:rsid w:val="0005285D"/>
    <w:rsid w:val="000716E7"/>
    <w:rsid w:val="00076F03"/>
    <w:rsid w:val="000812D5"/>
    <w:rsid w:val="00082B0C"/>
    <w:rsid w:val="00084B94"/>
    <w:rsid w:val="0009015C"/>
    <w:rsid w:val="00091190"/>
    <w:rsid w:val="00094E26"/>
    <w:rsid w:val="000A3137"/>
    <w:rsid w:val="000A6EA1"/>
    <w:rsid w:val="000B2293"/>
    <w:rsid w:val="000B2783"/>
    <w:rsid w:val="000C1286"/>
    <w:rsid w:val="000C38F7"/>
    <w:rsid w:val="000D39D1"/>
    <w:rsid w:val="000D6481"/>
    <w:rsid w:val="000E0F3C"/>
    <w:rsid w:val="000E3517"/>
    <w:rsid w:val="000F646D"/>
    <w:rsid w:val="0011141E"/>
    <w:rsid w:val="00114FFC"/>
    <w:rsid w:val="0012485E"/>
    <w:rsid w:val="001260E2"/>
    <w:rsid w:val="00130E96"/>
    <w:rsid w:val="0015013E"/>
    <w:rsid w:val="00160AC5"/>
    <w:rsid w:val="00160C77"/>
    <w:rsid w:val="00163188"/>
    <w:rsid w:val="001655C0"/>
    <w:rsid w:val="001815A5"/>
    <w:rsid w:val="001869B6"/>
    <w:rsid w:val="00187111"/>
    <w:rsid w:val="00192070"/>
    <w:rsid w:val="00193277"/>
    <w:rsid w:val="001957CC"/>
    <w:rsid w:val="001A5956"/>
    <w:rsid w:val="001B0D85"/>
    <w:rsid w:val="001B447B"/>
    <w:rsid w:val="001B7D51"/>
    <w:rsid w:val="001C1171"/>
    <w:rsid w:val="001C23CD"/>
    <w:rsid w:val="001D3E0A"/>
    <w:rsid w:val="001D7D94"/>
    <w:rsid w:val="001E440D"/>
    <w:rsid w:val="001F2C96"/>
    <w:rsid w:val="001F437F"/>
    <w:rsid w:val="002024EC"/>
    <w:rsid w:val="00216C79"/>
    <w:rsid w:val="0021774E"/>
    <w:rsid w:val="00217CE6"/>
    <w:rsid w:val="00221ED0"/>
    <w:rsid w:val="00224660"/>
    <w:rsid w:val="00231B5D"/>
    <w:rsid w:val="00233160"/>
    <w:rsid w:val="00236B4F"/>
    <w:rsid w:val="00243DB4"/>
    <w:rsid w:val="00247F0C"/>
    <w:rsid w:val="00250E1B"/>
    <w:rsid w:val="00254BB6"/>
    <w:rsid w:val="0026308C"/>
    <w:rsid w:val="00271361"/>
    <w:rsid w:val="00274814"/>
    <w:rsid w:val="00285C3B"/>
    <w:rsid w:val="00285EEA"/>
    <w:rsid w:val="00292F09"/>
    <w:rsid w:val="00294AD7"/>
    <w:rsid w:val="002A0D2B"/>
    <w:rsid w:val="002A1373"/>
    <w:rsid w:val="002A1386"/>
    <w:rsid w:val="002A17D0"/>
    <w:rsid w:val="002A3679"/>
    <w:rsid w:val="002A53AE"/>
    <w:rsid w:val="002A7603"/>
    <w:rsid w:val="002C0C14"/>
    <w:rsid w:val="002C5483"/>
    <w:rsid w:val="002C6439"/>
    <w:rsid w:val="002C6A3B"/>
    <w:rsid w:val="002C7B4F"/>
    <w:rsid w:val="002D0693"/>
    <w:rsid w:val="002E0C48"/>
    <w:rsid w:val="002E2B8D"/>
    <w:rsid w:val="002E5F5F"/>
    <w:rsid w:val="002E6205"/>
    <w:rsid w:val="002F425E"/>
    <w:rsid w:val="002F4873"/>
    <w:rsid w:val="0030058C"/>
    <w:rsid w:val="003027A8"/>
    <w:rsid w:val="00302A0E"/>
    <w:rsid w:val="0030543B"/>
    <w:rsid w:val="00307C23"/>
    <w:rsid w:val="00311FA3"/>
    <w:rsid w:val="00313ECF"/>
    <w:rsid w:val="00316D02"/>
    <w:rsid w:val="0031762E"/>
    <w:rsid w:val="0032238F"/>
    <w:rsid w:val="00322C7F"/>
    <w:rsid w:val="00324F15"/>
    <w:rsid w:val="00330F9D"/>
    <w:rsid w:val="00335901"/>
    <w:rsid w:val="00341ADC"/>
    <w:rsid w:val="00342648"/>
    <w:rsid w:val="00343F18"/>
    <w:rsid w:val="00346FBC"/>
    <w:rsid w:val="00347341"/>
    <w:rsid w:val="003545D8"/>
    <w:rsid w:val="003572A9"/>
    <w:rsid w:val="0036576D"/>
    <w:rsid w:val="0037022F"/>
    <w:rsid w:val="00372C3D"/>
    <w:rsid w:val="00390E8B"/>
    <w:rsid w:val="00391F7B"/>
    <w:rsid w:val="00394543"/>
    <w:rsid w:val="00397ADC"/>
    <w:rsid w:val="003A2F0C"/>
    <w:rsid w:val="003A60BA"/>
    <w:rsid w:val="003A7E5E"/>
    <w:rsid w:val="003B04F7"/>
    <w:rsid w:val="003B36A2"/>
    <w:rsid w:val="003B7C2C"/>
    <w:rsid w:val="003C7D80"/>
    <w:rsid w:val="003D02DD"/>
    <w:rsid w:val="003D6913"/>
    <w:rsid w:val="003E285D"/>
    <w:rsid w:val="003E2EBA"/>
    <w:rsid w:val="003F529B"/>
    <w:rsid w:val="003F6A4E"/>
    <w:rsid w:val="003F6FD2"/>
    <w:rsid w:val="003F70E5"/>
    <w:rsid w:val="004005AD"/>
    <w:rsid w:val="00407661"/>
    <w:rsid w:val="00424DC8"/>
    <w:rsid w:val="00426653"/>
    <w:rsid w:val="0043161F"/>
    <w:rsid w:val="00431AE3"/>
    <w:rsid w:val="0043553F"/>
    <w:rsid w:val="00444951"/>
    <w:rsid w:val="00444FD6"/>
    <w:rsid w:val="004464AC"/>
    <w:rsid w:val="00447376"/>
    <w:rsid w:val="00451F61"/>
    <w:rsid w:val="004567F5"/>
    <w:rsid w:val="004622C9"/>
    <w:rsid w:val="00470139"/>
    <w:rsid w:val="004740DF"/>
    <w:rsid w:val="004813A8"/>
    <w:rsid w:val="00481E21"/>
    <w:rsid w:val="00485562"/>
    <w:rsid w:val="00486B7E"/>
    <w:rsid w:val="00487CF6"/>
    <w:rsid w:val="004947D4"/>
    <w:rsid w:val="004A05AC"/>
    <w:rsid w:val="004A1FE6"/>
    <w:rsid w:val="004A4DA9"/>
    <w:rsid w:val="004A6BE1"/>
    <w:rsid w:val="004A7F79"/>
    <w:rsid w:val="004B1AAD"/>
    <w:rsid w:val="004C0C34"/>
    <w:rsid w:val="004C465C"/>
    <w:rsid w:val="004C5C01"/>
    <w:rsid w:val="004C5DE5"/>
    <w:rsid w:val="004D3D6A"/>
    <w:rsid w:val="004D5C47"/>
    <w:rsid w:val="004E120F"/>
    <w:rsid w:val="00502A72"/>
    <w:rsid w:val="00502EC8"/>
    <w:rsid w:val="00503818"/>
    <w:rsid w:val="00504506"/>
    <w:rsid w:val="005129DF"/>
    <w:rsid w:val="00535E41"/>
    <w:rsid w:val="00536EFA"/>
    <w:rsid w:val="00541F15"/>
    <w:rsid w:val="0054604D"/>
    <w:rsid w:val="00554E7A"/>
    <w:rsid w:val="00556F6E"/>
    <w:rsid w:val="00557054"/>
    <w:rsid w:val="00563C01"/>
    <w:rsid w:val="00567B9B"/>
    <w:rsid w:val="00580F95"/>
    <w:rsid w:val="00581E5F"/>
    <w:rsid w:val="00582A93"/>
    <w:rsid w:val="0058475D"/>
    <w:rsid w:val="005869CF"/>
    <w:rsid w:val="005A0192"/>
    <w:rsid w:val="005A2142"/>
    <w:rsid w:val="005A3A6C"/>
    <w:rsid w:val="005A741F"/>
    <w:rsid w:val="005B0B94"/>
    <w:rsid w:val="005B12D7"/>
    <w:rsid w:val="005B7739"/>
    <w:rsid w:val="005B7E9D"/>
    <w:rsid w:val="005C131B"/>
    <w:rsid w:val="005D1A8E"/>
    <w:rsid w:val="005D51CF"/>
    <w:rsid w:val="005E2195"/>
    <w:rsid w:val="005E53B9"/>
    <w:rsid w:val="005F0C11"/>
    <w:rsid w:val="005F2976"/>
    <w:rsid w:val="005F7026"/>
    <w:rsid w:val="00602888"/>
    <w:rsid w:val="00606548"/>
    <w:rsid w:val="0060661F"/>
    <w:rsid w:val="00606E13"/>
    <w:rsid w:val="00606F68"/>
    <w:rsid w:val="006114AD"/>
    <w:rsid w:val="006130BC"/>
    <w:rsid w:val="006225DE"/>
    <w:rsid w:val="006258BE"/>
    <w:rsid w:val="006265A2"/>
    <w:rsid w:val="006273C0"/>
    <w:rsid w:val="00633EA7"/>
    <w:rsid w:val="00634131"/>
    <w:rsid w:val="006360F4"/>
    <w:rsid w:val="00636938"/>
    <w:rsid w:val="00637B29"/>
    <w:rsid w:val="00641776"/>
    <w:rsid w:val="006477E3"/>
    <w:rsid w:val="00651CB4"/>
    <w:rsid w:val="00665D19"/>
    <w:rsid w:val="00674B98"/>
    <w:rsid w:val="0067582C"/>
    <w:rsid w:val="00683430"/>
    <w:rsid w:val="0068426C"/>
    <w:rsid w:val="00685DE2"/>
    <w:rsid w:val="0069225A"/>
    <w:rsid w:val="00692E40"/>
    <w:rsid w:val="00693B21"/>
    <w:rsid w:val="00693E74"/>
    <w:rsid w:val="006A43B6"/>
    <w:rsid w:val="006C69B3"/>
    <w:rsid w:val="006D0538"/>
    <w:rsid w:val="006D4424"/>
    <w:rsid w:val="006E1B87"/>
    <w:rsid w:val="006E1CC7"/>
    <w:rsid w:val="006F5193"/>
    <w:rsid w:val="006F6401"/>
    <w:rsid w:val="00702008"/>
    <w:rsid w:val="00712BA3"/>
    <w:rsid w:val="00715E2D"/>
    <w:rsid w:val="0072019A"/>
    <w:rsid w:val="00721D6C"/>
    <w:rsid w:val="007230C5"/>
    <w:rsid w:val="007249F4"/>
    <w:rsid w:val="00727081"/>
    <w:rsid w:val="007325C2"/>
    <w:rsid w:val="0073263F"/>
    <w:rsid w:val="00736AC9"/>
    <w:rsid w:val="00741B8A"/>
    <w:rsid w:val="00764796"/>
    <w:rsid w:val="0077068B"/>
    <w:rsid w:val="00776AEE"/>
    <w:rsid w:val="00780D34"/>
    <w:rsid w:val="00783ADE"/>
    <w:rsid w:val="007846DF"/>
    <w:rsid w:val="007A35EB"/>
    <w:rsid w:val="007A52E1"/>
    <w:rsid w:val="007B4A24"/>
    <w:rsid w:val="007C6E41"/>
    <w:rsid w:val="007D5341"/>
    <w:rsid w:val="007E4A7C"/>
    <w:rsid w:val="007E7FB1"/>
    <w:rsid w:val="007F341D"/>
    <w:rsid w:val="00803CC6"/>
    <w:rsid w:val="00807EFE"/>
    <w:rsid w:val="00812700"/>
    <w:rsid w:val="0081544B"/>
    <w:rsid w:val="0082461F"/>
    <w:rsid w:val="008274D7"/>
    <w:rsid w:val="00830439"/>
    <w:rsid w:val="00832BC1"/>
    <w:rsid w:val="008369CC"/>
    <w:rsid w:val="00837006"/>
    <w:rsid w:val="00842442"/>
    <w:rsid w:val="00845064"/>
    <w:rsid w:val="00853B2B"/>
    <w:rsid w:val="00855772"/>
    <w:rsid w:val="00856C38"/>
    <w:rsid w:val="00862952"/>
    <w:rsid w:val="008653F0"/>
    <w:rsid w:val="008764F9"/>
    <w:rsid w:val="00880683"/>
    <w:rsid w:val="00881D78"/>
    <w:rsid w:val="008821C3"/>
    <w:rsid w:val="00882671"/>
    <w:rsid w:val="00887757"/>
    <w:rsid w:val="00890771"/>
    <w:rsid w:val="00895340"/>
    <w:rsid w:val="008A133E"/>
    <w:rsid w:val="008A2B8E"/>
    <w:rsid w:val="008B06A0"/>
    <w:rsid w:val="008B1ABC"/>
    <w:rsid w:val="008B6805"/>
    <w:rsid w:val="008D0E60"/>
    <w:rsid w:val="008E21FA"/>
    <w:rsid w:val="008E2B0F"/>
    <w:rsid w:val="008E2DA4"/>
    <w:rsid w:val="008E5500"/>
    <w:rsid w:val="008F2590"/>
    <w:rsid w:val="008F28D6"/>
    <w:rsid w:val="008F44E6"/>
    <w:rsid w:val="008F5025"/>
    <w:rsid w:val="00900D26"/>
    <w:rsid w:val="00903C48"/>
    <w:rsid w:val="0091216D"/>
    <w:rsid w:val="0092193E"/>
    <w:rsid w:val="0093792A"/>
    <w:rsid w:val="009400C4"/>
    <w:rsid w:val="00941B06"/>
    <w:rsid w:val="00952A8B"/>
    <w:rsid w:val="009615D5"/>
    <w:rsid w:val="00963AE5"/>
    <w:rsid w:val="0096481D"/>
    <w:rsid w:val="00964FEC"/>
    <w:rsid w:val="00965DB8"/>
    <w:rsid w:val="00971031"/>
    <w:rsid w:val="009778E9"/>
    <w:rsid w:val="00981B56"/>
    <w:rsid w:val="00985A61"/>
    <w:rsid w:val="009A53A3"/>
    <w:rsid w:val="009B38D5"/>
    <w:rsid w:val="009B3A82"/>
    <w:rsid w:val="009B3CA7"/>
    <w:rsid w:val="009B46A1"/>
    <w:rsid w:val="009C0F75"/>
    <w:rsid w:val="009C280E"/>
    <w:rsid w:val="009C4133"/>
    <w:rsid w:val="009C6046"/>
    <w:rsid w:val="009C69E8"/>
    <w:rsid w:val="009E06FF"/>
    <w:rsid w:val="009E100B"/>
    <w:rsid w:val="009E1243"/>
    <w:rsid w:val="009E25C7"/>
    <w:rsid w:val="00A04FF2"/>
    <w:rsid w:val="00A07599"/>
    <w:rsid w:val="00A07725"/>
    <w:rsid w:val="00A07E7B"/>
    <w:rsid w:val="00A10370"/>
    <w:rsid w:val="00A14B53"/>
    <w:rsid w:val="00A20E08"/>
    <w:rsid w:val="00A234D9"/>
    <w:rsid w:val="00A236A3"/>
    <w:rsid w:val="00A30AFA"/>
    <w:rsid w:val="00A3609F"/>
    <w:rsid w:val="00A36BE3"/>
    <w:rsid w:val="00A42628"/>
    <w:rsid w:val="00A443E0"/>
    <w:rsid w:val="00A51B24"/>
    <w:rsid w:val="00A54398"/>
    <w:rsid w:val="00A6505E"/>
    <w:rsid w:val="00A671F9"/>
    <w:rsid w:val="00A73A52"/>
    <w:rsid w:val="00A91F4F"/>
    <w:rsid w:val="00A957B1"/>
    <w:rsid w:val="00A97842"/>
    <w:rsid w:val="00AA1259"/>
    <w:rsid w:val="00AA5190"/>
    <w:rsid w:val="00AA73B4"/>
    <w:rsid w:val="00AB30EB"/>
    <w:rsid w:val="00AB3758"/>
    <w:rsid w:val="00AB650D"/>
    <w:rsid w:val="00AC1400"/>
    <w:rsid w:val="00AC16AC"/>
    <w:rsid w:val="00AC331F"/>
    <w:rsid w:val="00AC5DD5"/>
    <w:rsid w:val="00AD2BD3"/>
    <w:rsid w:val="00AD3A3E"/>
    <w:rsid w:val="00AD472E"/>
    <w:rsid w:val="00AD5A8C"/>
    <w:rsid w:val="00AE448A"/>
    <w:rsid w:val="00AE4D2C"/>
    <w:rsid w:val="00AF2B6D"/>
    <w:rsid w:val="00AF442F"/>
    <w:rsid w:val="00B0080A"/>
    <w:rsid w:val="00B012B9"/>
    <w:rsid w:val="00B05D17"/>
    <w:rsid w:val="00B06692"/>
    <w:rsid w:val="00B14C8B"/>
    <w:rsid w:val="00B1502E"/>
    <w:rsid w:val="00B16D89"/>
    <w:rsid w:val="00B32E78"/>
    <w:rsid w:val="00B40FB4"/>
    <w:rsid w:val="00B43596"/>
    <w:rsid w:val="00B50D06"/>
    <w:rsid w:val="00B70F11"/>
    <w:rsid w:val="00B715B5"/>
    <w:rsid w:val="00B75046"/>
    <w:rsid w:val="00B77C0F"/>
    <w:rsid w:val="00B83A86"/>
    <w:rsid w:val="00B85A51"/>
    <w:rsid w:val="00B9022F"/>
    <w:rsid w:val="00B939A3"/>
    <w:rsid w:val="00B93BD4"/>
    <w:rsid w:val="00B94FDE"/>
    <w:rsid w:val="00BA0913"/>
    <w:rsid w:val="00BA1D0F"/>
    <w:rsid w:val="00BC7264"/>
    <w:rsid w:val="00BD2D9C"/>
    <w:rsid w:val="00BD7BA6"/>
    <w:rsid w:val="00BE7A46"/>
    <w:rsid w:val="00BF7BF2"/>
    <w:rsid w:val="00BF7D27"/>
    <w:rsid w:val="00C00D85"/>
    <w:rsid w:val="00C147A2"/>
    <w:rsid w:val="00C14A6A"/>
    <w:rsid w:val="00C15DBD"/>
    <w:rsid w:val="00C214AB"/>
    <w:rsid w:val="00C2348B"/>
    <w:rsid w:val="00C25568"/>
    <w:rsid w:val="00C4402E"/>
    <w:rsid w:val="00C47423"/>
    <w:rsid w:val="00C60758"/>
    <w:rsid w:val="00C65B10"/>
    <w:rsid w:val="00C66727"/>
    <w:rsid w:val="00C70005"/>
    <w:rsid w:val="00C73466"/>
    <w:rsid w:val="00C76BF4"/>
    <w:rsid w:val="00C81078"/>
    <w:rsid w:val="00C83B8A"/>
    <w:rsid w:val="00C851DA"/>
    <w:rsid w:val="00C91F00"/>
    <w:rsid w:val="00CA5715"/>
    <w:rsid w:val="00CA6A8D"/>
    <w:rsid w:val="00CA73F6"/>
    <w:rsid w:val="00CB3E93"/>
    <w:rsid w:val="00CC5124"/>
    <w:rsid w:val="00CC6A56"/>
    <w:rsid w:val="00CD6EDF"/>
    <w:rsid w:val="00CE084A"/>
    <w:rsid w:val="00CE0A9F"/>
    <w:rsid w:val="00CE2E8E"/>
    <w:rsid w:val="00CF6BBD"/>
    <w:rsid w:val="00CF6FE1"/>
    <w:rsid w:val="00D05D2C"/>
    <w:rsid w:val="00D206B5"/>
    <w:rsid w:val="00D2573E"/>
    <w:rsid w:val="00D34916"/>
    <w:rsid w:val="00D3703B"/>
    <w:rsid w:val="00D43144"/>
    <w:rsid w:val="00D43F40"/>
    <w:rsid w:val="00D5332E"/>
    <w:rsid w:val="00D53A12"/>
    <w:rsid w:val="00D564BC"/>
    <w:rsid w:val="00D57D33"/>
    <w:rsid w:val="00D60EAC"/>
    <w:rsid w:val="00D72074"/>
    <w:rsid w:val="00D74FC8"/>
    <w:rsid w:val="00D77AD0"/>
    <w:rsid w:val="00D81F87"/>
    <w:rsid w:val="00D82F61"/>
    <w:rsid w:val="00D8523A"/>
    <w:rsid w:val="00D852AF"/>
    <w:rsid w:val="00D93E4A"/>
    <w:rsid w:val="00D9531E"/>
    <w:rsid w:val="00DA723A"/>
    <w:rsid w:val="00DA7ABE"/>
    <w:rsid w:val="00DB3942"/>
    <w:rsid w:val="00DC117D"/>
    <w:rsid w:val="00DC30A9"/>
    <w:rsid w:val="00DC6338"/>
    <w:rsid w:val="00DD380A"/>
    <w:rsid w:val="00DD620B"/>
    <w:rsid w:val="00DE3AB8"/>
    <w:rsid w:val="00DE4B34"/>
    <w:rsid w:val="00DE664B"/>
    <w:rsid w:val="00DF0C7F"/>
    <w:rsid w:val="00DF752B"/>
    <w:rsid w:val="00E11C47"/>
    <w:rsid w:val="00E11EB2"/>
    <w:rsid w:val="00E14EF3"/>
    <w:rsid w:val="00E223AC"/>
    <w:rsid w:val="00E31052"/>
    <w:rsid w:val="00E32FC0"/>
    <w:rsid w:val="00E33EC1"/>
    <w:rsid w:val="00E44366"/>
    <w:rsid w:val="00E45274"/>
    <w:rsid w:val="00E46307"/>
    <w:rsid w:val="00E4717D"/>
    <w:rsid w:val="00E6544F"/>
    <w:rsid w:val="00E673F0"/>
    <w:rsid w:val="00E821BC"/>
    <w:rsid w:val="00E926A4"/>
    <w:rsid w:val="00E97044"/>
    <w:rsid w:val="00EB1287"/>
    <w:rsid w:val="00EB35D3"/>
    <w:rsid w:val="00EB707E"/>
    <w:rsid w:val="00EC2559"/>
    <w:rsid w:val="00EC6A7D"/>
    <w:rsid w:val="00EC7D22"/>
    <w:rsid w:val="00ED646B"/>
    <w:rsid w:val="00EE2EC1"/>
    <w:rsid w:val="00EE6B71"/>
    <w:rsid w:val="00EF08D0"/>
    <w:rsid w:val="00EF4F04"/>
    <w:rsid w:val="00EF7797"/>
    <w:rsid w:val="00F06ED2"/>
    <w:rsid w:val="00F11601"/>
    <w:rsid w:val="00F17F8F"/>
    <w:rsid w:val="00F2467B"/>
    <w:rsid w:val="00F25592"/>
    <w:rsid w:val="00F30739"/>
    <w:rsid w:val="00F31647"/>
    <w:rsid w:val="00F31E37"/>
    <w:rsid w:val="00F339CD"/>
    <w:rsid w:val="00F42084"/>
    <w:rsid w:val="00F442E6"/>
    <w:rsid w:val="00F53632"/>
    <w:rsid w:val="00F54CE2"/>
    <w:rsid w:val="00F57ACA"/>
    <w:rsid w:val="00F72CA4"/>
    <w:rsid w:val="00F745C4"/>
    <w:rsid w:val="00F76A6C"/>
    <w:rsid w:val="00F810B2"/>
    <w:rsid w:val="00F877BD"/>
    <w:rsid w:val="00F87AD1"/>
    <w:rsid w:val="00F91429"/>
    <w:rsid w:val="00F96027"/>
    <w:rsid w:val="00F97E7C"/>
    <w:rsid w:val="00FB379F"/>
    <w:rsid w:val="00FB4936"/>
    <w:rsid w:val="00FC08AA"/>
    <w:rsid w:val="00FD095D"/>
    <w:rsid w:val="00FD2AC8"/>
    <w:rsid w:val="00FE0280"/>
    <w:rsid w:val="00FE0542"/>
    <w:rsid w:val="00FE10CF"/>
    <w:rsid w:val="00FE7391"/>
    <w:rsid w:val="00FF0353"/>
    <w:rsid w:val="00FF4D51"/>
    <w:rsid w:val="00FF662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4C0DAD"/>
  <w14:defaultImageDpi w14:val="32767"/>
  <w15:docId w15:val="{CED5A83C-92C1-4FB3-99DE-FE7CC9D6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400"/>
    <w:pPr>
      <w:spacing w:after="120"/>
      <w:jc w:val="both"/>
    </w:pPr>
    <w:rPr>
      <w:rFonts w:ascii="Palatino Linotype" w:eastAsiaTheme="minorHAnsi" w:hAnsi="Palatino Linotype"/>
      <w:lang w:val="es-ES"/>
    </w:rPr>
  </w:style>
  <w:style w:type="paragraph" w:styleId="Ttulo1">
    <w:name w:val="heading 1"/>
    <w:basedOn w:val="Normal"/>
    <w:next w:val="Normal"/>
    <w:link w:val="Ttulo1Car"/>
    <w:uiPriority w:val="9"/>
    <w:qFormat/>
    <w:rsid w:val="00AC1400"/>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AC1400"/>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AC1400"/>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AC1400"/>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AC1400"/>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AC1400"/>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AC1400"/>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AC1400"/>
    <w:pPr>
      <w:ind w:left="993"/>
      <w:outlineLvl w:val="7"/>
    </w:pPr>
    <w:rPr>
      <w:color w:val="321547"/>
      <w:szCs w:val="22"/>
      <w:u w:val="dotDotDash"/>
    </w:rPr>
  </w:style>
  <w:style w:type="paragraph" w:styleId="Ttulo9">
    <w:name w:val="heading 9"/>
    <w:basedOn w:val="Ttulo8"/>
    <w:next w:val="Normal"/>
    <w:link w:val="Ttulo9Car"/>
    <w:uiPriority w:val="9"/>
    <w:unhideWhenUsed/>
    <w:qFormat/>
    <w:rsid w:val="00AC1400"/>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AC1400"/>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AC1400"/>
  </w:style>
  <w:style w:type="paragraph" w:styleId="Encabezado">
    <w:name w:val="header"/>
    <w:basedOn w:val="Normal"/>
    <w:link w:val="EncabezadoCar"/>
    <w:uiPriority w:val="99"/>
    <w:unhideWhenUsed/>
    <w:rsid w:val="00AC1400"/>
    <w:pPr>
      <w:tabs>
        <w:tab w:val="center" w:pos="4252"/>
        <w:tab w:val="right" w:pos="8504"/>
      </w:tabs>
    </w:pPr>
  </w:style>
  <w:style w:type="character" w:customStyle="1" w:styleId="EncabezadoCar">
    <w:name w:val="Encabezado Car"/>
    <w:basedOn w:val="Fuentedeprrafopredeter"/>
    <w:link w:val="Encabezado"/>
    <w:uiPriority w:val="99"/>
    <w:rsid w:val="00AC1400"/>
    <w:rPr>
      <w:rFonts w:ascii="Palatino Linotype" w:eastAsiaTheme="minorHAnsi" w:hAnsi="Palatino Linotype"/>
      <w:lang w:val="es-ES"/>
    </w:rPr>
  </w:style>
  <w:style w:type="paragraph" w:styleId="Piedepgina">
    <w:name w:val="footer"/>
    <w:basedOn w:val="Normal"/>
    <w:link w:val="PiedepginaCar"/>
    <w:uiPriority w:val="99"/>
    <w:unhideWhenUsed/>
    <w:qFormat/>
    <w:rsid w:val="00E926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926A4"/>
    <w:rPr>
      <w:rFonts w:ascii="Palatino Linotype" w:eastAsiaTheme="minorHAnsi" w:hAnsi="Palatino Linotype"/>
      <w:lang w:val="es-ES"/>
    </w:rPr>
  </w:style>
  <w:style w:type="table" w:styleId="Tablaconcuadrcula">
    <w:name w:val="Table Grid"/>
    <w:basedOn w:val="Tablanormal"/>
    <w:uiPriority w:val="39"/>
    <w:rsid w:val="00AC140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C1400"/>
    <w:rPr>
      <w:color w:val="808080"/>
    </w:rPr>
  </w:style>
  <w:style w:type="paragraph" w:styleId="Ttulo">
    <w:name w:val="Title"/>
    <w:basedOn w:val="Normal"/>
    <w:next w:val="Normal"/>
    <w:link w:val="TtuloCar"/>
    <w:uiPriority w:val="10"/>
    <w:qFormat/>
    <w:rsid w:val="00AC1400"/>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AC1400"/>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AC1400"/>
    <w:rPr>
      <w:rFonts w:ascii="Palatino Linotype" w:eastAsiaTheme="minorHAnsi"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AC1400"/>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AC1400"/>
    <w:rPr>
      <w:rFonts w:ascii="Palatino Linotype" w:eastAsiaTheme="minorHAnsi"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AC1400"/>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AC1400"/>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AC1400"/>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AC1400"/>
    <w:rPr>
      <w:color w:val="0563C1" w:themeColor="hyperlink"/>
      <w:u w:val="single"/>
    </w:rPr>
  </w:style>
  <w:style w:type="character" w:customStyle="1" w:styleId="Ttulo3Car">
    <w:name w:val="Título 3 Car"/>
    <w:basedOn w:val="Fuentedeprrafopredeter"/>
    <w:link w:val="Ttulo3"/>
    <w:uiPriority w:val="9"/>
    <w:rsid w:val="00AC1400"/>
    <w:rPr>
      <w:rFonts w:ascii="Palatino Linotype" w:eastAsiaTheme="minorHAnsi" w:hAnsi="Palatino Linotype"/>
      <w:i/>
      <w:iCs/>
      <w:color w:val="5F2987"/>
      <w:u w:val="single"/>
      <w:lang w:val="es-ES"/>
    </w:rPr>
  </w:style>
  <w:style w:type="paragraph" w:styleId="TDC3">
    <w:name w:val="toc 3"/>
    <w:basedOn w:val="Normal"/>
    <w:next w:val="FinTDC"/>
    <w:autoRedefine/>
    <w:uiPriority w:val="39"/>
    <w:unhideWhenUsed/>
    <w:rsid w:val="00AC1400"/>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AC1400"/>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AC1400"/>
    <w:rPr>
      <w:rFonts w:ascii="Palatino Linotype" w:eastAsiaTheme="minorHAnsi"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AC1400"/>
    <w:rPr>
      <w:color w:val="7F7F7F" w:themeColor="text1" w:themeTint="80"/>
      <w:sz w:val="16"/>
    </w:rPr>
  </w:style>
  <w:style w:type="character" w:customStyle="1" w:styleId="NocantarChar">
    <w:name w:val="No cantar Char"/>
    <w:basedOn w:val="Fuentedeprrafopredeter"/>
    <w:link w:val="Nocantar"/>
    <w:rsid w:val="00AC1400"/>
    <w:rPr>
      <w:rFonts w:ascii="Palatino Linotype" w:eastAsiaTheme="minorHAnsi"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AC1400"/>
    <w:pPr>
      <w:numPr>
        <w:numId w:val="0"/>
      </w:numPr>
      <w:ind w:firstLine="142"/>
    </w:pPr>
  </w:style>
  <w:style w:type="character" w:customStyle="1" w:styleId="IntroduccinyconclusinChar">
    <w:name w:val="Introducción y conclusión Char"/>
    <w:basedOn w:val="Ttulo1Car"/>
    <w:link w:val="Introduccinyconclusin"/>
    <w:rsid w:val="00AC1400"/>
    <w:rPr>
      <w:rFonts w:ascii="Palatino Linotype" w:eastAsiaTheme="minorHAnsi" w:hAnsi="Palatino Linotype"/>
      <w:b/>
      <w:bCs/>
      <w:caps/>
      <w:color w:val="E2EFD9" w:themeColor="accent6" w:themeTint="33"/>
      <w:shd w:val="clear" w:color="auto" w:fill="5F2987"/>
      <w:lang w:val="es-ES"/>
    </w:rPr>
  </w:style>
  <w:style w:type="paragraph" w:customStyle="1" w:styleId="Piesdepgina">
    <w:name w:val="Pies de página"/>
    <w:basedOn w:val="Normal"/>
    <w:qFormat/>
    <w:rsid w:val="005A741F"/>
    <w:pPr>
      <w:keepLines/>
      <w:spacing w:after="60" w:line="216" w:lineRule="auto"/>
    </w:pPr>
    <w:rPr>
      <w:sz w:val="15"/>
    </w:rPr>
  </w:style>
  <w:style w:type="numbering" w:customStyle="1" w:styleId="Lista1">
    <w:name w:val="Lista1"/>
    <w:basedOn w:val="Sinlista"/>
    <w:uiPriority w:val="99"/>
    <w:rsid w:val="00AC1400"/>
    <w:pPr>
      <w:numPr>
        <w:numId w:val="3"/>
      </w:numPr>
    </w:pPr>
  </w:style>
  <w:style w:type="paragraph" w:customStyle="1" w:styleId="Nivel1">
    <w:name w:val="Nivel 1"/>
    <w:basedOn w:val="Normal"/>
    <w:qFormat/>
    <w:rsid w:val="00AC1400"/>
    <w:pPr>
      <w:numPr>
        <w:numId w:val="1"/>
      </w:numPr>
      <w:spacing w:before="100" w:after="100"/>
      <w:ind w:left="623" w:hanging="198"/>
    </w:pPr>
  </w:style>
  <w:style w:type="paragraph" w:customStyle="1" w:styleId="Nivel3">
    <w:name w:val="Nivel 3"/>
    <w:basedOn w:val="Nivel2"/>
    <w:link w:val="Nivel3Car"/>
    <w:qFormat/>
    <w:rsid w:val="00AC1400"/>
    <w:pPr>
      <w:numPr>
        <w:ilvl w:val="2"/>
      </w:numPr>
      <w:spacing w:after="0"/>
      <w:ind w:left="1474" w:hanging="198"/>
    </w:pPr>
  </w:style>
  <w:style w:type="paragraph" w:customStyle="1" w:styleId="Letra">
    <w:name w:val="Letra"/>
    <w:basedOn w:val="Nivel1"/>
    <w:qFormat/>
    <w:rsid w:val="00AC1400"/>
    <w:pPr>
      <w:numPr>
        <w:numId w:val="4"/>
      </w:numPr>
      <w:spacing w:before="0" w:after="40"/>
      <w:ind w:left="936" w:hanging="227"/>
    </w:pPr>
  </w:style>
  <w:style w:type="paragraph" w:customStyle="1" w:styleId="Nmero">
    <w:name w:val="Número"/>
    <w:basedOn w:val="Normal"/>
    <w:qFormat/>
    <w:rsid w:val="00AC1400"/>
    <w:pPr>
      <w:numPr>
        <w:numId w:val="5"/>
      </w:numPr>
      <w:spacing w:after="40"/>
      <w:ind w:left="936" w:hanging="227"/>
    </w:pPr>
  </w:style>
  <w:style w:type="paragraph" w:styleId="Textodeglobo">
    <w:name w:val="Balloon Text"/>
    <w:basedOn w:val="Normal"/>
    <w:link w:val="TextodegloboCar"/>
    <w:uiPriority w:val="99"/>
    <w:semiHidden/>
    <w:unhideWhenUsed/>
    <w:rsid w:val="00AC14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1400"/>
    <w:rPr>
      <w:rFonts w:ascii="Segoe UI" w:eastAsiaTheme="minorHAnsi" w:hAnsi="Segoe UI" w:cs="Segoe UI"/>
      <w:sz w:val="18"/>
      <w:szCs w:val="18"/>
      <w:lang w:val="es-ES"/>
    </w:rPr>
  </w:style>
  <w:style w:type="paragraph" w:customStyle="1" w:styleId="Notaalopositor">
    <w:name w:val="Nota al opositor"/>
    <w:basedOn w:val="Normal"/>
    <w:link w:val="NotaalopositorChar"/>
    <w:qFormat/>
    <w:rsid w:val="00AC1400"/>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AC1400"/>
    <w:rPr>
      <w:rFonts w:ascii="Palatino Linotype" w:eastAsiaTheme="minorHAnsi"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AC1400"/>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AC1400"/>
    <w:rPr>
      <w:rFonts w:ascii="Palatino Linotype" w:eastAsiaTheme="minorHAnsi" w:hAnsi="Palatino Linotype"/>
      <w:sz w:val="16"/>
      <w:szCs w:val="20"/>
      <w:lang w:val="es-ES"/>
    </w:rPr>
  </w:style>
  <w:style w:type="character" w:styleId="Refdenotaalpie">
    <w:name w:val="footnote reference"/>
    <w:basedOn w:val="Fuentedeprrafopredeter"/>
    <w:uiPriority w:val="99"/>
    <w:unhideWhenUsed/>
    <w:rsid w:val="00AC1400"/>
    <w:rPr>
      <w:vertAlign w:val="superscript"/>
    </w:rPr>
  </w:style>
  <w:style w:type="character" w:customStyle="1" w:styleId="Ttulo6Car">
    <w:name w:val="Título 6 Car"/>
    <w:basedOn w:val="Fuentedeprrafopredeter"/>
    <w:link w:val="Ttulo6"/>
    <w:uiPriority w:val="9"/>
    <w:rsid w:val="00AC1400"/>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AC1400"/>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AC1400"/>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AC1400"/>
    <w:pPr>
      <w:ind w:left="0"/>
    </w:pPr>
  </w:style>
  <w:style w:type="paragraph" w:customStyle="1" w:styleId="Nivel2SM">
    <w:name w:val="Nivel 2 SM"/>
    <w:basedOn w:val="Nivel2"/>
    <w:qFormat/>
    <w:rsid w:val="00AC1400"/>
    <w:pPr>
      <w:ind w:left="567"/>
    </w:pPr>
  </w:style>
  <w:style w:type="paragraph" w:customStyle="1" w:styleId="Nivel3SM">
    <w:name w:val="Nivel 3 SM"/>
    <w:basedOn w:val="Nivel3"/>
    <w:qFormat/>
    <w:rsid w:val="00AC1400"/>
    <w:pPr>
      <w:ind w:left="963"/>
    </w:pPr>
  </w:style>
  <w:style w:type="paragraph" w:styleId="Encabezadodelista">
    <w:name w:val="toa heading"/>
    <w:basedOn w:val="Normal"/>
    <w:next w:val="Normal"/>
    <w:uiPriority w:val="99"/>
    <w:semiHidden/>
    <w:unhideWhenUsed/>
    <w:rsid w:val="00AC1400"/>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AC1400"/>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AC1400"/>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AC1400"/>
    <w:rPr>
      <w:rFonts w:ascii="Palatino Linotype" w:eastAsiaTheme="minorHAnsi"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AC1400"/>
    <w:rPr>
      <w:color w:val="605E5C"/>
      <w:shd w:val="clear" w:color="auto" w:fill="E1DFDD"/>
    </w:rPr>
  </w:style>
  <w:style w:type="paragraph" w:styleId="Prrafodelista">
    <w:name w:val="List Paragraph"/>
    <w:basedOn w:val="Normal"/>
    <w:uiPriority w:val="34"/>
    <w:rsid w:val="00AC1400"/>
    <w:pPr>
      <w:ind w:left="720"/>
      <w:contextualSpacing/>
    </w:pPr>
  </w:style>
  <w:style w:type="character" w:customStyle="1" w:styleId="Ttulo7Car">
    <w:name w:val="Título 7 Car"/>
    <w:basedOn w:val="Fuentedeprrafopredeter"/>
    <w:link w:val="Ttulo7"/>
    <w:uiPriority w:val="9"/>
    <w:rsid w:val="00AC1400"/>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AC1400"/>
    <w:rPr>
      <w:rFonts w:ascii="Garamond" w:hAnsi="Garamond"/>
      <w:lang w:val="es-ES"/>
    </w:rPr>
  </w:style>
  <w:style w:type="character" w:customStyle="1" w:styleId="FooterChar">
    <w:name w:val="Footer Char"/>
    <w:basedOn w:val="Fuentedeprrafopredeter"/>
    <w:uiPriority w:val="99"/>
    <w:rsid w:val="00AC1400"/>
    <w:rPr>
      <w:rFonts w:ascii="Garamond" w:hAnsi="Garamond"/>
      <w:lang w:val="es-ES"/>
    </w:rPr>
  </w:style>
  <w:style w:type="character" w:customStyle="1" w:styleId="TitleChar">
    <w:name w:val="Title Char"/>
    <w:basedOn w:val="Fuentedeprrafopredeter"/>
    <w:uiPriority w:val="10"/>
    <w:rsid w:val="00AC1400"/>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AC1400"/>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AC1400"/>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AC1400"/>
    <w:rPr>
      <w:rFonts w:ascii="Garamond" w:hAnsi="Garamond"/>
      <w:i/>
      <w:iCs/>
      <w:color w:val="5F2987"/>
      <w:u w:val="single"/>
      <w:lang w:val="es-ES"/>
    </w:rPr>
  </w:style>
  <w:style w:type="character" w:customStyle="1" w:styleId="Heading4Char">
    <w:name w:val="Heading 4 Char"/>
    <w:basedOn w:val="Fuentedeprrafopredeter"/>
    <w:uiPriority w:val="9"/>
    <w:rsid w:val="00AC1400"/>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AC1400"/>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AC1400"/>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AC1400"/>
    <w:rPr>
      <w:rFonts w:ascii="Garamond" w:hAnsi="Garamond"/>
      <w:sz w:val="16"/>
      <w:szCs w:val="20"/>
      <w:lang w:val="es-ES"/>
    </w:rPr>
  </w:style>
  <w:style w:type="character" w:customStyle="1" w:styleId="Heading6Char">
    <w:name w:val="Heading 6 Char"/>
    <w:basedOn w:val="Fuentedeprrafopredeter"/>
    <w:uiPriority w:val="9"/>
    <w:semiHidden/>
    <w:rsid w:val="00AC1400"/>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AC1400"/>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AC1400"/>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AC1400"/>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AC1400"/>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AC1400"/>
    <w:rPr>
      <w:rFonts w:ascii="Palatino Linotype" w:eastAsiaTheme="minorHAnsi"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AC1400"/>
    <w:pPr>
      <w:spacing w:line="240" w:lineRule="auto"/>
      <w:ind w:left="567" w:hanging="567"/>
    </w:pPr>
  </w:style>
  <w:style w:type="paragraph" w:customStyle="1" w:styleId="Ttuloimagen">
    <w:name w:val="Título imagen"/>
    <w:basedOn w:val="PiedeImagen"/>
    <w:next w:val="Imagen"/>
    <w:link w:val="TtuloimagenCar"/>
    <w:qFormat/>
    <w:rsid w:val="00AC1400"/>
    <w:pPr>
      <w:keepNext/>
      <w:spacing w:after="0"/>
    </w:pPr>
    <w:rPr>
      <w:i w:val="0"/>
      <w:smallCaps/>
      <w:sz w:val="20"/>
    </w:rPr>
  </w:style>
  <w:style w:type="character" w:customStyle="1" w:styleId="TtuloimagenCar">
    <w:name w:val="Título imagen Car"/>
    <w:basedOn w:val="ImagenCar"/>
    <w:link w:val="Ttuloimagen"/>
    <w:rsid w:val="00AC1400"/>
    <w:rPr>
      <w:rFonts w:ascii="Palatino Linotype" w:eastAsiaTheme="minorHAnsi"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AC1400"/>
    <w:pPr>
      <w:ind w:left="1100"/>
    </w:pPr>
  </w:style>
  <w:style w:type="character" w:customStyle="1" w:styleId="Ttulo8Car">
    <w:name w:val="Título 8 Car"/>
    <w:basedOn w:val="Fuentedeprrafopredeter"/>
    <w:link w:val="Ttulo8"/>
    <w:uiPriority w:val="9"/>
    <w:rsid w:val="00AC1400"/>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AC1400"/>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AC1400"/>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AC1400"/>
    <w:rPr>
      <w:rFonts w:eastAsiaTheme="minorEastAsia"/>
      <w:lang w:val="es-ES" w:eastAsia="es-ES"/>
    </w:rPr>
  </w:style>
  <w:style w:type="paragraph" w:customStyle="1" w:styleId="Nmeroromano">
    <w:name w:val="Número romano"/>
    <w:basedOn w:val="Prrafodelista"/>
    <w:qFormat/>
    <w:rsid w:val="00AC1400"/>
    <w:pPr>
      <w:numPr>
        <w:numId w:val="26"/>
      </w:numPr>
      <w:spacing w:after="100"/>
      <w:ind w:left="567" w:hanging="113"/>
    </w:pPr>
  </w:style>
  <w:style w:type="paragraph" w:customStyle="1" w:styleId="Saltodettulos">
    <w:name w:val="Salto de títulos"/>
    <w:basedOn w:val="Normal"/>
    <w:rsid w:val="00AC1400"/>
    <w:pPr>
      <w:spacing w:after="0" w:line="240" w:lineRule="auto"/>
    </w:pPr>
    <w:rPr>
      <w:color w:val="FFFFFF"/>
      <w:sz w:val="2"/>
    </w:rPr>
  </w:style>
  <w:style w:type="paragraph" w:styleId="TDC7">
    <w:name w:val="toc 7"/>
    <w:basedOn w:val="Normal"/>
    <w:next w:val="FinTDC"/>
    <w:autoRedefine/>
    <w:uiPriority w:val="39"/>
    <w:unhideWhenUsed/>
    <w:rsid w:val="00AC1400"/>
    <w:pPr>
      <w:spacing w:after="0" w:line="20" w:lineRule="atLeast"/>
      <w:ind w:left="1418"/>
      <w:jc w:val="left"/>
    </w:pPr>
    <w:rPr>
      <w:i/>
      <w:color w:val="5F2987"/>
      <w:sz w:val="12"/>
    </w:rPr>
  </w:style>
  <w:style w:type="paragraph" w:customStyle="1" w:styleId="FinTDC">
    <w:name w:val="FinTDC"/>
    <w:basedOn w:val="Nivel1"/>
    <w:qFormat/>
    <w:rsid w:val="00AC1400"/>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AC1400"/>
    <w:pPr>
      <w:spacing w:after="0" w:line="240" w:lineRule="auto"/>
      <w:jc w:val="left"/>
    </w:pPr>
    <w:rPr>
      <w:sz w:val="15"/>
    </w:rPr>
  </w:style>
  <w:style w:type="paragraph" w:styleId="TDC9">
    <w:name w:val="toc 9"/>
    <w:basedOn w:val="TDC8"/>
    <w:next w:val="FinTDC"/>
    <w:autoRedefine/>
    <w:uiPriority w:val="39"/>
    <w:semiHidden/>
    <w:unhideWhenUsed/>
    <w:rsid w:val="00AC1400"/>
    <w:pPr>
      <w:ind w:left="1760"/>
    </w:pPr>
  </w:style>
  <w:style w:type="paragraph" w:customStyle="1" w:styleId="Apartado0">
    <w:name w:val="Apartado 0"/>
    <w:basedOn w:val="Ttulo1"/>
    <w:next w:val="Normal"/>
    <w:link w:val="Apartado0Car"/>
    <w:qFormat/>
    <w:rsid w:val="00AC1400"/>
    <w:pPr>
      <w:numPr>
        <w:numId w:val="13"/>
      </w:numPr>
      <w:ind w:left="357" w:hanging="357"/>
    </w:pPr>
  </w:style>
  <w:style w:type="character" w:customStyle="1" w:styleId="Apartado0Car">
    <w:name w:val="Apartado 0 Car"/>
    <w:basedOn w:val="Ttulo1Car"/>
    <w:link w:val="Apartado0"/>
    <w:rsid w:val="00AC1400"/>
    <w:rPr>
      <w:rFonts w:ascii="Palatino Linotype" w:eastAsiaTheme="minorHAnsi"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AC1400"/>
    <w:pPr>
      <w:numPr>
        <w:ilvl w:val="3"/>
      </w:numPr>
      <w:ind w:left="1899" w:hanging="198"/>
    </w:pPr>
  </w:style>
  <w:style w:type="paragraph" w:customStyle="1" w:styleId="Nivel5">
    <w:name w:val="Nivel 5"/>
    <w:basedOn w:val="Nivel4"/>
    <w:link w:val="Nivel5Car"/>
    <w:qFormat/>
    <w:rsid w:val="00AC1400"/>
    <w:pPr>
      <w:numPr>
        <w:ilvl w:val="4"/>
      </w:numPr>
      <w:ind w:left="2155" w:hanging="170"/>
    </w:pPr>
  </w:style>
  <w:style w:type="character" w:customStyle="1" w:styleId="Nivel2Car">
    <w:name w:val="Nivel 2 Car"/>
    <w:basedOn w:val="Fuentedeprrafopredeter"/>
    <w:link w:val="Nivel2"/>
    <w:rsid w:val="00AC1400"/>
    <w:rPr>
      <w:rFonts w:ascii="Palatino Linotype" w:eastAsiaTheme="minorHAnsi" w:hAnsi="Palatino Linotype"/>
      <w:lang w:val="es-ES"/>
    </w:rPr>
  </w:style>
  <w:style w:type="character" w:customStyle="1" w:styleId="Nivel3Car">
    <w:name w:val="Nivel 3 Car"/>
    <w:basedOn w:val="Nivel2Car"/>
    <w:link w:val="Nivel3"/>
    <w:rsid w:val="00AC1400"/>
    <w:rPr>
      <w:rFonts w:ascii="Palatino Linotype" w:eastAsiaTheme="minorHAnsi" w:hAnsi="Palatino Linotype"/>
      <w:lang w:val="es-ES"/>
    </w:rPr>
  </w:style>
  <w:style w:type="character" w:customStyle="1" w:styleId="Nivel4Car">
    <w:name w:val="Nivel 4 Car"/>
    <w:basedOn w:val="Nivel3Car"/>
    <w:link w:val="Nivel4"/>
    <w:rsid w:val="00AC1400"/>
    <w:rPr>
      <w:rFonts w:ascii="Palatino Linotype" w:eastAsiaTheme="minorHAnsi" w:hAnsi="Palatino Linotype"/>
      <w:lang w:val="es-ES"/>
    </w:rPr>
  </w:style>
  <w:style w:type="paragraph" w:customStyle="1" w:styleId="Nivel6">
    <w:name w:val="Nivel 6"/>
    <w:basedOn w:val="Nivel5"/>
    <w:link w:val="Nivel6Car"/>
    <w:qFormat/>
    <w:rsid w:val="00AC1400"/>
    <w:pPr>
      <w:numPr>
        <w:ilvl w:val="5"/>
      </w:numPr>
      <w:ind w:left="2438" w:hanging="227"/>
    </w:pPr>
  </w:style>
  <w:style w:type="character" w:customStyle="1" w:styleId="Nivel5Car">
    <w:name w:val="Nivel 5 Car"/>
    <w:basedOn w:val="Nivel4Car"/>
    <w:link w:val="Nivel5"/>
    <w:rsid w:val="00AC1400"/>
    <w:rPr>
      <w:rFonts w:ascii="Palatino Linotype" w:eastAsiaTheme="minorHAnsi" w:hAnsi="Palatino Linotype"/>
      <w:lang w:val="es-ES"/>
    </w:rPr>
  </w:style>
  <w:style w:type="paragraph" w:customStyle="1" w:styleId="Nivel7">
    <w:name w:val="Nivel 7"/>
    <w:basedOn w:val="Nivel5"/>
    <w:link w:val="Nivel7Car"/>
    <w:qFormat/>
    <w:rsid w:val="00AC1400"/>
    <w:pPr>
      <w:numPr>
        <w:ilvl w:val="6"/>
      </w:numPr>
      <w:ind w:left="2722" w:hanging="170"/>
    </w:pPr>
  </w:style>
  <w:style w:type="character" w:customStyle="1" w:styleId="Nivel6Car">
    <w:name w:val="Nivel 6 Car"/>
    <w:basedOn w:val="Nivel5Car"/>
    <w:link w:val="Nivel6"/>
    <w:rsid w:val="00AC1400"/>
    <w:rPr>
      <w:rFonts w:ascii="Palatino Linotype" w:eastAsiaTheme="minorHAnsi" w:hAnsi="Palatino Linotype"/>
      <w:lang w:val="es-ES"/>
    </w:rPr>
  </w:style>
  <w:style w:type="character" w:customStyle="1" w:styleId="Nivel7Car">
    <w:name w:val="Nivel 7 Car"/>
    <w:basedOn w:val="Nivel5Car"/>
    <w:link w:val="Nivel7"/>
    <w:rsid w:val="00AC1400"/>
    <w:rPr>
      <w:rFonts w:ascii="Palatino Linotype" w:eastAsiaTheme="minorHAnsi" w:hAnsi="Palatino Linotype"/>
      <w:lang w:val="es-ES"/>
    </w:rPr>
  </w:style>
  <w:style w:type="paragraph" w:styleId="Descripcin">
    <w:name w:val="caption"/>
    <w:basedOn w:val="Normal"/>
    <w:next w:val="Normal"/>
    <w:uiPriority w:val="35"/>
    <w:unhideWhenUsed/>
    <w:qFormat/>
    <w:rsid w:val="00AC1400"/>
    <w:pPr>
      <w:spacing w:after="200" w:line="240" w:lineRule="auto"/>
    </w:pPr>
    <w:rPr>
      <w:i/>
      <w:iCs/>
      <w:color w:val="44546A" w:themeColor="text2"/>
      <w:sz w:val="18"/>
      <w:szCs w:val="18"/>
    </w:rPr>
  </w:style>
  <w:style w:type="paragraph" w:customStyle="1" w:styleId="Ttulo10">
    <w:name w:val="Título 10"/>
    <w:basedOn w:val="Ttulo9"/>
    <w:link w:val="Ttulo10Car"/>
    <w:qFormat/>
    <w:rsid w:val="00AC1400"/>
    <w:pPr>
      <w:ind w:left="1276"/>
    </w:pPr>
    <w:rPr>
      <w:w w:val="97"/>
      <w:sz w:val="20"/>
    </w:rPr>
  </w:style>
  <w:style w:type="character" w:customStyle="1" w:styleId="Ttulo10Car">
    <w:name w:val="Título 10 Car"/>
    <w:basedOn w:val="Ttulo9Car"/>
    <w:link w:val="Ttulo10"/>
    <w:rsid w:val="00AC1400"/>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AC1400"/>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customStyle="1" w:styleId="frac">
    <w:name w:val="frac"/>
    <w:basedOn w:val="Fuentedeprrafopredeter"/>
    <w:rsid w:val="005E2195"/>
  </w:style>
  <w:style w:type="character" w:customStyle="1" w:styleId="num">
    <w:name w:val="num"/>
    <w:basedOn w:val="Fuentedeprrafopredeter"/>
    <w:rsid w:val="005E2195"/>
  </w:style>
  <w:style w:type="character" w:customStyle="1" w:styleId="den">
    <w:name w:val="den"/>
    <w:basedOn w:val="Fuentedeprrafopredeter"/>
    <w:rsid w:val="005E2195"/>
  </w:style>
  <w:style w:type="character" w:styleId="Hipervnculovisitado">
    <w:name w:val="FollowedHyperlink"/>
    <w:basedOn w:val="Fuentedeprrafopredeter"/>
    <w:uiPriority w:val="99"/>
    <w:semiHidden/>
    <w:unhideWhenUsed/>
    <w:rsid w:val="002A0D2B"/>
    <w:rPr>
      <w:color w:val="954F72" w:themeColor="followedHyperlink"/>
      <w:u w:val="single"/>
    </w:rPr>
  </w:style>
  <w:style w:type="paragraph" w:customStyle="1" w:styleId="Nivel8">
    <w:name w:val="Nivel 8"/>
    <w:basedOn w:val="Nivel7"/>
    <w:link w:val="Nivel8Car"/>
    <w:qFormat/>
    <w:rsid w:val="00AC1400"/>
    <w:pPr>
      <w:numPr>
        <w:ilvl w:val="7"/>
      </w:numPr>
      <w:ind w:left="3005" w:hanging="170"/>
    </w:pPr>
  </w:style>
  <w:style w:type="character" w:customStyle="1" w:styleId="Nivel8Car">
    <w:name w:val="Nivel 8 Car"/>
    <w:basedOn w:val="Nivel7Car"/>
    <w:link w:val="Nivel8"/>
    <w:rsid w:val="00AC1400"/>
    <w:rPr>
      <w:rFonts w:ascii="Palatino Linotype" w:eastAsiaTheme="minorHAnsi" w:hAnsi="Palatino Linotype"/>
      <w:lang w:val="es-ES"/>
    </w:rPr>
  </w:style>
  <w:style w:type="paragraph" w:customStyle="1" w:styleId="Advertencia">
    <w:name w:val="Advertencia"/>
    <w:basedOn w:val="Normal"/>
    <w:next w:val="Normal"/>
    <w:link w:val="AdvertenciaCar"/>
    <w:qFormat/>
    <w:rsid w:val="00AC1400"/>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AC1400"/>
    <w:rPr>
      <w:rFonts w:ascii="Palatino Linotype" w:eastAsiaTheme="minorHAnsi"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AC14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C1400"/>
    <w:rPr>
      <w:rFonts w:ascii="Palatino Linotype" w:eastAsiaTheme="minorHAnsi" w:hAnsi="Palatino Linotype"/>
      <w:sz w:val="20"/>
      <w:szCs w:val="20"/>
      <w:lang w:val="es-ES"/>
    </w:rPr>
  </w:style>
  <w:style w:type="character" w:styleId="Refdenotaalfinal">
    <w:name w:val="endnote reference"/>
    <w:basedOn w:val="Fuentedeprrafopredeter"/>
    <w:uiPriority w:val="99"/>
    <w:semiHidden/>
    <w:unhideWhenUsed/>
    <w:rsid w:val="00AC14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880555">
      <w:bodyDiv w:val="1"/>
      <w:marLeft w:val="0"/>
      <w:marRight w:val="0"/>
      <w:marTop w:val="0"/>
      <w:marBottom w:val="0"/>
      <w:divBdr>
        <w:top w:val="none" w:sz="0" w:space="0" w:color="auto"/>
        <w:left w:val="none" w:sz="0" w:space="0" w:color="auto"/>
        <w:bottom w:val="none" w:sz="0" w:space="0" w:color="auto"/>
        <w:right w:val="none" w:sz="0" w:space="0" w:color="auto"/>
      </w:divBdr>
      <w:divsChild>
        <w:div w:id="47343944">
          <w:marLeft w:val="480"/>
          <w:marRight w:val="0"/>
          <w:marTop w:val="0"/>
          <w:marBottom w:val="0"/>
          <w:divBdr>
            <w:top w:val="none" w:sz="0" w:space="0" w:color="auto"/>
            <w:left w:val="none" w:sz="0" w:space="0" w:color="auto"/>
            <w:bottom w:val="none" w:sz="0" w:space="0" w:color="auto"/>
            <w:right w:val="none" w:sz="0" w:space="0" w:color="auto"/>
          </w:divBdr>
          <w:divsChild>
            <w:div w:id="68618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5477">
      <w:bodyDiv w:val="1"/>
      <w:marLeft w:val="0"/>
      <w:marRight w:val="0"/>
      <w:marTop w:val="0"/>
      <w:marBottom w:val="0"/>
      <w:divBdr>
        <w:top w:val="none" w:sz="0" w:space="0" w:color="auto"/>
        <w:left w:val="none" w:sz="0" w:space="0" w:color="auto"/>
        <w:bottom w:val="none" w:sz="0" w:space="0" w:color="auto"/>
        <w:right w:val="none" w:sz="0" w:space="0" w:color="auto"/>
      </w:divBdr>
      <w:divsChild>
        <w:div w:id="827095796">
          <w:marLeft w:val="0"/>
          <w:marRight w:val="0"/>
          <w:marTop w:val="0"/>
          <w:marBottom w:val="0"/>
          <w:divBdr>
            <w:top w:val="none" w:sz="0" w:space="0" w:color="auto"/>
            <w:left w:val="none" w:sz="0" w:space="0" w:color="auto"/>
            <w:bottom w:val="none" w:sz="0" w:space="0" w:color="auto"/>
            <w:right w:val="none" w:sz="0" w:space="0" w:color="auto"/>
          </w:divBdr>
        </w:div>
        <w:div w:id="2146197345">
          <w:marLeft w:val="0"/>
          <w:marRight w:val="0"/>
          <w:marTop w:val="0"/>
          <w:marBottom w:val="0"/>
          <w:divBdr>
            <w:top w:val="none" w:sz="0" w:space="0" w:color="auto"/>
            <w:left w:val="none" w:sz="0" w:space="0" w:color="auto"/>
            <w:bottom w:val="none" w:sz="0" w:space="0" w:color="auto"/>
            <w:right w:val="none" w:sz="0" w:space="0" w:color="auto"/>
          </w:divBdr>
        </w:div>
        <w:div w:id="677654600">
          <w:marLeft w:val="0"/>
          <w:marRight w:val="0"/>
          <w:marTop w:val="0"/>
          <w:marBottom w:val="0"/>
          <w:divBdr>
            <w:top w:val="none" w:sz="0" w:space="0" w:color="auto"/>
            <w:left w:val="none" w:sz="0" w:space="0" w:color="auto"/>
            <w:bottom w:val="none" w:sz="0" w:space="0" w:color="auto"/>
            <w:right w:val="none" w:sz="0" w:space="0" w:color="auto"/>
          </w:divBdr>
        </w:div>
        <w:div w:id="1610239822">
          <w:marLeft w:val="0"/>
          <w:marRight w:val="0"/>
          <w:marTop w:val="0"/>
          <w:marBottom w:val="0"/>
          <w:divBdr>
            <w:top w:val="none" w:sz="0" w:space="0" w:color="auto"/>
            <w:left w:val="none" w:sz="0" w:space="0" w:color="auto"/>
            <w:bottom w:val="none" w:sz="0" w:space="0" w:color="auto"/>
            <w:right w:val="none" w:sz="0" w:space="0" w:color="auto"/>
          </w:divBdr>
        </w:div>
      </w:divsChild>
    </w:div>
    <w:div w:id="335813164">
      <w:bodyDiv w:val="1"/>
      <w:marLeft w:val="0"/>
      <w:marRight w:val="0"/>
      <w:marTop w:val="0"/>
      <w:marBottom w:val="0"/>
      <w:divBdr>
        <w:top w:val="none" w:sz="0" w:space="0" w:color="auto"/>
        <w:left w:val="none" w:sz="0" w:space="0" w:color="auto"/>
        <w:bottom w:val="none" w:sz="0" w:space="0" w:color="auto"/>
        <w:right w:val="none" w:sz="0" w:space="0" w:color="auto"/>
      </w:divBdr>
      <w:divsChild>
        <w:div w:id="124853407">
          <w:marLeft w:val="480"/>
          <w:marRight w:val="0"/>
          <w:marTop w:val="0"/>
          <w:marBottom w:val="0"/>
          <w:divBdr>
            <w:top w:val="none" w:sz="0" w:space="0" w:color="auto"/>
            <w:left w:val="none" w:sz="0" w:space="0" w:color="auto"/>
            <w:bottom w:val="none" w:sz="0" w:space="0" w:color="auto"/>
            <w:right w:val="none" w:sz="0" w:space="0" w:color="auto"/>
          </w:divBdr>
          <w:divsChild>
            <w:div w:id="97426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182874">
      <w:bodyDiv w:val="1"/>
      <w:marLeft w:val="0"/>
      <w:marRight w:val="0"/>
      <w:marTop w:val="0"/>
      <w:marBottom w:val="0"/>
      <w:divBdr>
        <w:top w:val="none" w:sz="0" w:space="0" w:color="auto"/>
        <w:left w:val="none" w:sz="0" w:space="0" w:color="auto"/>
        <w:bottom w:val="none" w:sz="0" w:space="0" w:color="auto"/>
        <w:right w:val="none" w:sz="0" w:space="0" w:color="auto"/>
      </w:divBdr>
    </w:div>
    <w:div w:id="526337519">
      <w:bodyDiv w:val="1"/>
      <w:marLeft w:val="0"/>
      <w:marRight w:val="0"/>
      <w:marTop w:val="0"/>
      <w:marBottom w:val="0"/>
      <w:divBdr>
        <w:top w:val="none" w:sz="0" w:space="0" w:color="auto"/>
        <w:left w:val="none" w:sz="0" w:space="0" w:color="auto"/>
        <w:bottom w:val="none" w:sz="0" w:space="0" w:color="auto"/>
        <w:right w:val="none" w:sz="0" w:space="0" w:color="auto"/>
      </w:divBdr>
    </w:div>
    <w:div w:id="1000158308">
      <w:bodyDiv w:val="1"/>
      <w:marLeft w:val="0"/>
      <w:marRight w:val="0"/>
      <w:marTop w:val="0"/>
      <w:marBottom w:val="0"/>
      <w:divBdr>
        <w:top w:val="none" w:sz="0" w:space="0" w:color="auto"/>
        <w:left w:val="none" w:sz="0" w:space="0" w:color="auto"/>
        <w:bottom w:val="none" w:sz="0" w:space="0" w:color="auto"/>
        <w:right w:val="none" w:sz="0" w:space="0" w:color="auto"/>
      </w:divBdr>
      <w:divsChild>
        <w:div w:id="583884131">
          <w:marLeft w:val="480"/>
          <w:marRight w:val="0"/>
          <w:marTop w:val="0"/>
          <w:marBottom w:val="0"/>
          <w:divBdr>
            <w:top w:val="none" w:sz="0" w:space="0" w:color="auto"/>
            <w:left w:val="none" w:sz="0" w:space="0" w:color="auto"/>
            <w:bottom w:val="none" w:sz="0" w:space="0" w:color="auto"/>
            <w:right w:val="none" w:sz="0" w:space="0" w:color="auto"/>
          </w:divBdr>
          <w:divsChild>
            <w:div w:id="17770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8772">
      <w:bodyDiv w:val="1"/>
      <w:marLeft w:val="0"/>
      <w:marRight w:val="0"/>
      <w:marTop w:val="0"/>
      <w:marBottom w:val="0"/>
      <w:divBdr>
        <w:top w:val="none" w:sz="0" w:space="0" w:color="auto"/>
        <w:left w:val="none" w:sz="0" w:space="0" w:color="auto"/>
        <w:bottom w:val="none" w:sz="0" w:space="0" w:color="auto"/>
        <w:right w:val="none" w:sz="0" w:space="0" w:color="auto"/>
      </w:divBdr>
      <w:divsChild>
        <w:div w:id="1428043234">
          <w:marLeft w:val="480"/>
          <w:marRight w:val="0"/>
          <w:marTop w:val="0"/>
          <w:marBottom w:val="0"/>
          <w:divBdr>
            <w:top w:val="none" w:sz="0" w:space="0" w:color="auto"/>
            <w:left w:val="none" w:sz="0" w:space="0" w:color="auto"/>
            <w:bottom w:val="none" w:sz="0" w:space="0" w:color="auto"/>
            <w:right w:val="none" w:sz="0" w:space="0" w:color="auto"/>
          </w:divBdr>
          <w:divsChild>
            <w:div w:id="19763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18881">
      <w:bodyDiv w:val="1"/>
      <w:marLeft w:val="0"/>
      <w:marRight w:val="0"/>
      <w:marTop w:val="0"/>
      <w:marBottom w:val="0"/>
      <w:divBdr>
        <w:top w:val="none" w:sz="0" w:space="0" w:color="auto"/>
        <w:left w:val="none" w:sz="0" w:space="0" w:color="auto"/>
        <w:bottom w:val="none" w:sz="0" w:space="0" w:color="auto"/>
        <w:right w:val="none" w:sz="0" w:space="0" w:color="auto"/>
      </w:divBdr>
    </w:div>
    <w:div w:id="1326593660">
      <w:bodyDiv w:val="1"/>
      <w:marLeft w:val="0"/>
      <w:marRight w:val="0"/>
      <w:marTop w:val="0"/>
      <w:marBottom w:val="0"/>
      <w:divBdr>
        <w:top w:val="none" w:sz="0" w:space="0" w:color="auto"/>
        <w:left w:val="none" w:sz="0" w:space="0" w:color="auto"/>
        <w:bottom w:val="none" w:sz="0" w:space="0" w:color="auto"/>
        <w:right w:val="none" w:sz="0" w:space="0" w:color="auto"/>
      </w:divBdr>
    </w:div>
    <w:div w:id="1404373328">
      <w:bodyDiv w:val="1"/>
      <w:marLeft w:val="0"/>
      <w:marRight w:val="0"/>
      <w:marTop w:val="0"/>
      <w:marBottom w:val="0"/>
      <w:divBdr>
        <w:top w:val="none" w:sz="0" w:space="0" w:color="auto"/>
        <w:left w:val="none" w:sz="0" w:space="0" w:color="auto"/>
        <w:bottom w:val="none" w:sz="0" w:space="0" w:color="auto"/>
        <w:right w:val="none" w:sz="0" w:space="0" w:color="auto"/>
      </w:divBdr>
    </w:div>
    <w:div w:id="1640112106">
      <w:bodyDiv w:val="1"/>
      <w:marLeft w:val="0"/>
      <w:marRight w:val="0"/>
      <w:marTop w:val="0"/>
      <w:marBottom w:val="0"/>
      <w:divBdr>
        <w:top w:val="none" w:sz="0" w:space="0" w:color="auto"/>
        <w:left w:val="none" w:sz="0" w:space="0" w:color="auto"/>
        <w:bottom w:val="none" w:sz="0" w:space="0" w:color="auto"/>
        <w:right w:val="none" w:sz="0" w:space="0" w:color="auto"/>
      </w:divBdr>
    </w:div>
    <w:div w:id="1876968583">
      <w:bodyDiv w:val="1"/>
      <w:marLeft w:val="0"/>
      <w:marRight w:val="0"/>
      <w:marTop w:val="0"/>
      <w:marBottom w:val="0"/>
      <w:divBdr>
        <w:top w:val="none" w:sz="0" w:space="0" w:color="auto"/>
        <w:left w:val="none" w:sz="0" w:space="0" w:color="auto"/>
        <w:bottom w:val="none" w:sz="0" w:space="0" w:color="auto"/>
        <w:right w:val="none" w:sz="0" w:space="0" w:color="auto"/>
      </w:divBdr>
    </w:div>
    <w:div w:id="1900627530">
      <w:bodyDiv w:val="1"/>
      <w:marLeft w:val="0"/>
      <w:marRight w:val="0"/>
      <w:marTop w:val="0"/>
      <w:marBottom w:val="0"/>
      <w:divBdr>
        <w:top w:val="none" w:sz="0" w:space="0" w:color="auto"/>
        <w:left w:val="none" w:sz="0" w:space="0" w:color="auto"/>
        <w:bottom w:val="none" w:sz="0" w:space="0" w:color="auto"/>
        <w:right w:val="none" w:sz="0" w:space="0" w:color="auto"/>
      </w:divBdr>
      <w:divsChild>
        <w:div w:id="186021689">
          <w:marLeft w:val="480"/>
          <w:marRight w:val="0"/>
          <w:marTop w:val="0"/>
          <w:marBottom w:val="0"/>
          <w:divBdr>
            <w:top w:val="none" w:sz="0" w:space="0" w:color="auto"/>
            <w:left w:val="none" w:sz="0" w:space="0" w:color="auto"/>
            <w:bottom w:val="none" w:sz="0" w:space="0" w:color="auto"/>
            <w:right w:val="none" w:sz="0" w:space="0" w:color="auto"/>
          </w:divBdr>
          <w:divsChild>
            <w:div w:id="3284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09900">
      <w:bodyDiv w:val="1"/>
      <w:marLeft w:val="0"/>
      <w:marRight w:val="0"/>
      <w:marTop w:val="0"/>
      <w:marBottom w:val="0"/>
      <w:divBdr>
        <w:top w:val="none" w:sz="0" w:space="0" w:color="auto"/>
        <w:left w:val="none" w:sz="0" w:space="0" w:color="auto"/>
        <w:bottom w:val="none" w:sz="0" w:space="0" w:color="auto"/>
        <w:right w:val="none" w:sz="0" w:space="0" w:color="auto"/>
      </w:divBdr>
      <w:divsChild>
        <w:div w:id="327370198">
          <w:marLeft w:val="0"/>
          <w:marRight w:val="0"/>
          <w:marTop w:val="0"/>
          <w:marBottom w:val="0"/>
          <w:divBdr>
            <w:top w:val="none" w:sz="0" w:space="0" w:color="auto"/>
            <w:left w:val="none" w:sz="0" w:space="0" w:color="auto"/>
            <w:bottom w:val="none" w:sz="0" w:space="0" w:color="auto"/>
            <w:right w:val="none" w:sz="0" w:space="0" w:color="auto"/>
          </w:divBdr>
        </w:div>
        <w:div w:id="1363551996">
          <w:marLeft w:val="0"/>
          <w:marRight w:val="0"/>
          <w:marTop w:val="0"/>
          <w:marBottom w:val="0"/>
          <w:divBdr>
            <w:top w:val="none" w:sz="0" w:space="0" w:color="auto"/>
            <w:left w:val="none" w:sz="0" w:space="0" w:color="auto"/>
            <w:bottom w:val="none" w:sz="0" w:space="0" w:color="auto"/>
            <w:right w:val="none" w:sz="0" w:space="0" w:color="auto"/>
          </w:divBdr>
        </w:div>
        <w:div w:id="549921225">
          <w:marLeft w:val="0"/>
          <w:marRight w:val="0"/>
          <w:marTop w:val="0"/>
          <w:marBottom w:val="0"/>
          <w:divBdr>
            <w:top w:val="none" w:sz="0" w:space="0" w:color="auto"/>
            <w:left w:val="none" w:sz="0" w:space="0" w:color="auto"/>
            <w:bottom w:val="none" w:sz="0" w:space="0" w:color="auto"/>
            <w:right w:val="none" w:sz="0" w:space="0" w:color="auto"/>
          </w:divBdr>
        </w:div>
        <w:div w:id="1564831518">
          <w:marLeft w:val="0"/>
          <w:marRight w:val="0"/>
          <w:marTop w:val="0"/>
          <w:marBottom w:val="0"/>
          <w:divBdr>
            <w:top w:val="none" w:sz="0" w:space="0" w:color="auto"/>
            <w:left w:val="none" w:sz="0" w:space="0" w:color="auto"/>
            <w:bottom w:val="none" w:sz="0" w:space="0" w:color="auto"/>
            <w:right w:val="none" w:sz="0" w:space="0" w:color="auto"/>
          </w:divBdr>
        </w:div>
      </w:divsChild>
    </w:div>
    <w:div w:id="203190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1389/lsepress.ame" TargetMode="External"/><Relationship Id="rId18" Type="http://schemas.openxmlformats.org/officeDocument/2006/relationships/image" Target="media/image12.png"/><Relationship Id="rId26" Type="http://schemas.openxmlformats.org/officeDocument/2006/relationships/hyperlink" Target="https://eprints.ucm.es/id/eprint/55279/1/T41082.pdf" TargetMode="External"/><Relationship Id="rId39" Type="http://schemas.openxmlformats.org/officeDocument/2006/relationships/hyperlink" Target="https://www.reed.edu/economics/parker/s13/314/Coursebook/Ch_06.pdf" TargetMode="External"/><Relationship Id="rId21" Type="http://schemas.openxmlformats.org/officeDocument/2006/relationships/hyperlink" Target="https://eprints.ucm.es/id/eprint/55279/1/T41082.pdf" TargetMode="External"/><Relationship Id="rId34" Type="http://schemas.openxmlformats.org/officeDocument/2006/relationships/hyperlink" Target="https://bfi.uchicago.edu/wp-content/uploads/2021/11/BFI_WP_2021-136.pdf" TargetMode="External"/><Relationship Id="rId42" Type="http://schemas.openxmlformats.org/officeDocument/2006/relationships/hyperlink" Target="https://web.stanford.edu/~chadj/" TargetMode="External"/><Relationship Id="rId47" Type="http://schemas.openxmlformats.org/officeDocument/2006/relationships/footer" Target="footer2.xml"/><Relationship Id="rId50" Type="http://schemas.openxmlformats.org/officeDocument/2006/relationships/image" Target="media/image25.png"/><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0.png"/><Relationship Id="rId11" Type="http://schemas.openxmlformats.org/officeDocument/2006/relationships/image" Target="media/image5.png"/><Relationship Id="rId24" Type="http://schemas.openxmlformats.org/officeDocument/2006/relationships/image" Target="media/image17.jpg"/><Relationship Id="rId32" Type="http://schemas.openxmlformats.org/officeDocument/2006/relationships/image" Target="media/image22.png"/><Relationship Id="rId37" Type="http://schemas.openxmlformats.org/officeDocument/2006/relationships/image" Target="media/image24.png"/><Relationship Id="rId40" Type="http://schemas.openxmlformats.org/officeDocument/2006/relationships/hyperlink" Target="https://www.reed.edu/economics/parker/s13/314/Coursebook/Ch_06.pdf" TargetMode="External"/><Relationship Id="rId45" Type="http://schemas.openxmlformats.org/officeDocument/2006/relationships/header" Target="header2.xml"/><Relationship Id="rId53" Type="http://schemas.openxmlformats.org/officeDocument/2006/relationships/header" Target="header5.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8.png"/><Relationship Id="rId22" Type="http://schemas.openxmlformats.org/officeDocument/2006/relationships/image" Target="media/image15.jpg"/><Relationship Id="rId27" Type="http://schemas.openxmlformats.org/officeDocument/2006/relationships/image" Target="media/image19.png"/><Relationship Id="rId30" Type="http://schemas.openxmlformats.org/officeDocument/2006/relationships/hyperlink" Target="https://doi.org/10.1016/bs.hesmac.2016.03.002" TargetMode="External"/><Relationship Id="rId35" Type="http://schemas.openxmlformats.org/officeDocument/2006/relationships/image" Target="media/image23.png"/><Relationship Id="rId43" Type="http://schemas.openxmlformats.org/officeDocument/2006/relationships/hyperlink" Target="https://www.quia.com/quiz/6562924.html" TargetMode="External"/><Relationship Id="rId48" Type="http://schemas.openxmlformats.org/officeDocument/2006/relationships/header" Target="header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hyperlink" Target="https://doi.org/10.31389/lsepress.ame" TargetMode="External"/><Relationship Id="rId38" Type="http://schemas.openxmlformats.org/officeDocument/2006/relationships/hyperlink" Target="https://t.co/S7U5PS6uDy" TargetMode="External"/><Relationship Id="rId46"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hyperlink" Target="http://klenow.com/Externalities_and_Growth.pdf"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jpg"/><Relationship Id="rId28" Type="http://schemas.openxmlformats.org/officeDocument/2006/relationships/hyperlink" Target="https://doi.org/10.1016/bs.hesmac.2016.03.002" TargetMode="External"/><Relationship Id="rId36" Type="http://schemas.openxmlformats.org/officeDocument/2006/relationships/hyperlink" Target="https://www.nber.org/system/files/working_papers/w28992/w28992.pdf" TargetMode="External"/><Relationship Id="rId49" Type="http://schemas.openxmlformats.org/officeDocument/2006/relationships/footer" Target="footer3.xml"/><Relationship Id="rId57" Type="http://schemas.openxmlformats.org/officeDocument/2006/relationships/glossaryDocument" Target="glossary/document.xml"/><Relationship Id="rId10" Type="http://schemas.openxmlformats.org/officeDocument/2006/relationships/image" Target="media/image4.png"/><Relationship Id="rId31" Type="http://schemas.openxmlformats.org/officeDocument/2006/relationships/image" Target="media/image21.png"/><Relationship Id="rId44" Type="http://schemas.openxmlformats.org/officeDocument/2006/relationships/header" Target="header1.xml"/><Relationship Id="rId5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3.png"/><Relationship Id="rId1" Type="http://schemas.openxmlformats.org/officeDocument/2006/relationships/hyperlink" Target="https://doi.org/10.1016/0304-3932(88)90168-7" TargetMode="External"/><Relationship Id="rId4" Type="http://schemas.openxmlformats.org/officeDocument/2006/relationships/hyperlink" Target="http://piketty.pse.ens.fr/files/Solow1957.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40D971359C3434F93360253D7CF9C5D"/>
        <w:category>
          <w:name w:val="General"/>
          <w:gallery w:val="placeholder"/>
        </w:category>
        <w:types>
          <w:type w:val="bbPlcHdr"/>
        </w:types>
        <w:behaviors>
          <w:behavior w:val="content"/>
        </w:behaviors>
        <w:guid w:val="{B9BD1FCF-B539-4D61-8CEE-F42B4D227AA7}"/>
      </w:docPartPr>
      <w:docPartBody>
        <w:p w:rsidR="00244AA6" w:rsidRDefault="00244AA6">
          <w:pPr>
            <w:pStyle w:val="040D971359C3434F93360253D7CF9C5D"/>
          </w:pPr>
          <w:r w:rsidRPr="001B5103">
            <w:rPr>
              <w:rStyle w:val="Textodelmarcadordeposicin"/>
            </w:rPr>
            <w:t>[Title]</w:t>
          </w:r>
        </w:p>
      </w:docPartBody>
    </w:docPart>
    <w:docPart>
      <w:docPartPr>
        <w:name w:val="35DB1947304E4F17ACD237C797452A14"/>
        <w:category>
          <w:name w:val="General"/>
          <w:gallery w:val="placeholder"/>
        </w:category>
        <w:types>
          <w:type w:val="bbPlcHdr"/>
        </w:types>
        <w:behaviors>
          <w:behavior w:val="content"/>
        </w:behaviors>
        <w:guid w:val="{8F47ABE5-69A3-4272-885C-20E088986DF9}"/>
      </w:docPartPr>
      <w:docPartBody>
        <w:p w:rsidR="00244AA6" w:rsidRDefault="00244AA6">
          <w:pPr>
            <w:pStyle w:val="35DB1947304E4F17ACD237C797452A14"/>
          </w:pPr>
          <w:r w:rsidRPr="001B5103">
            <w:rPr>
              <w:rStyle w:val="Textodelmarcadordeposicin"/>
            </w:rPr>
            <w:t>[Subject]</w:t>
          </w:r>
        </w:p>
      </w:docPartBody>
    </w:docPart>
    <w:docPart>
      <w:docPartPr>
        <w:name w:val="D29A564B75AC471287B96315D7B7AFBA"/>
        <w:category>
          <w:name w:val="General"/>
          <w:gallery w:val="placeholder"/>
        </w:category>
        <w:types>
          <w:type w:val="bbPlcHdr"/>
        </w:types>
        <w:behaviors>
          <w:behavior w:val="content"/>
        </w:behaviors>
        <w:guid w:val="{4DE574D1-F0CC-4B8B-A371-90062DACA3EA}"/>
      </w:docPartPr>
      <w:docPartBody>
        <w:p w:rsidR="00DF23BD" w:rsidRDefault="00A43720" w:rsidP="00A43720">
          <w:pPr>
            <w:pStyle w:val="D29A564B75AC471287B96315D7B7AFBA"/>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AA6"/>
    <w:rsid w:val="0003534D"/>
    <w:rsid w:val="000834B6"/>
    <w:rsid w:val="00171A5C"/>
    <w:rsid w:val="001D307D"/>
    <w:rsid w:val="001D490B"/>
    <w:rsid w:val="002258CE"/>
    <w:rsid w:val="002349FB"/>
    <w:rsid w:val="00244AA6"/>
    <w:rsid w:val="00381FD0"/>
    <w:rsid w:val="004114B3"/>
    <w:rsid w:val="004A31AB"/>
    <w:rsid w:val="005E0F11"/>
    <w:rsid w:val="006258BE"/>
    <w:rsid w:val="006312AE"/>
    <w:rsid w:val="0067582C"/>
    <w:rsid w:val="00722228"/>
    <w:rsid w:val="00743EA0"/>
    <w:rsid w:val="007827EC"/>
    <w:rsid w:val="007E216C"/>
    <w:rsid w:val="008A1F3F"/>
    <w:rsid w:val="008C39EE"/>
    <w:rsid w:val="008F5E78"/>
    <w:rsid w:val="009832E0"/>
    <w:rsid w:val="009A0EC3"/>
    <w:rsid w:val="009A504F"/>
    <w:rsid w:val="009E1C26"/>
    <w:rsid w:val="00A2322D"/>
    <w:rsid w:val="00A43720"/>
    <w:rsid w:val="00AD5CBB"/>
    <w:rsid w:val="00AF4465"/>
    <w:rsid w:val="00B272F0"/>
    <w:rsid w:val="00B757F6"/>
    <w:rsid w:val="00B8414C"/>
    <w:rsid w:val="00C21118"/>
    <w:rsid w:val="00C42DBE"/>
    <w:rsid w:val="00DF23BD"/>
    <w:rsid w:val="00DF2FB1"/>
    <w:rsid w:val="00E01A69"/>
    <w:rsid w:val="00E129A3"/>
    <w:rsid w:val="00E85F15"/>
    <w:rsid w:val="00F203A8"/>
    <w:rsid w:val="00F70B85"/>
    <w:rsid w:val="00F71B4F"/>
    <w:rsid w:val="00FE3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43EA0"/>
    <w:rPr>
      <w:color w:val="808080"/>
    </w:rPr>
  </w:style>
  <w:style w:type="paragraph" w:customStyle="1" w:styleId="040D971359C3434F93360253D7CF9C5D">
    <w:name w:val="040D971359C3434F93360253D7CF9C5D"/>
  </w:style>
  <w:style w:type="paragraph" w:customStyle="1" w:styleId="35DB1947304E4F17ACD237C797452A14">
    <w:name w:val="35DB1947304E4F17ACD237C797452A14"/>
  </w:style>
  <w:style w:type="paragraph" w:customStyle="1" w:styleId="D29A564B75AC471287B96315D7B7AFBA">
    <w:name w:val="D29A564B75AC471287B96315D7B7AFBA"/>
    <w:rsid w:val="00A43720"/>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438" row="7">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34DF32B3-84F6-4C5A-B36C-204AEAA05D14}">
  <we:reference id="wa104380646" version="1.0.0.0" store="en-US" storeType="OMEX"/>
  <we:alternateReferences>
    <we:reference id="wa104380646" version="1.0.0.0" store="WA104380646"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92979260-08C1-4ED2-8726-2F9CDAA35A40}">
  <we:reference id="wa104312191" version="1.2.0.0" store="en-US" storeType="OMEX"/>
  <we:alternateReferences>
    <we:reference id="wa104312191" version="1.2.0.0" store="WA10431219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A2AAC-F185-4579-AD02-E916BDCB7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13</TotalTime>
  <Pages>1</Pages>
  <Words>14485</Words>
  <Characters>79672</Characters>
  <Application>Microsoft Office Word</Application>
  <DocSecurity>0</DocSecurity>
  <Lines>663</Lines>
  <Paragraphs>187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3.A.45</vt:lpstr>
      <vt:lpstr>3.A.44</vt:lpstr>
    </vt:vector>
  </TitlesOfParts>
  <Company/>
  <LinksUpToDate>false</LinksUpToDate>
  <CharactersWithSpaces>93970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3.A.45</dc:title>
  <dc:subject>Evidencia empírica sobre el crecimiento económico y la distribución de la renta entre los factores de producción. Contabilidad del crecimiento, con especial referencia a la productividad total de los factores. Convergencia económica internacional.</dc:subject>
  <dc:creator>Víctor Gutiérrez Marcos</dc:creator>
  <cp:keywords/>
  <dc:description/>
  <cp:lastModifiedBy>Víctor Gutiérrez Marcos</cp:lastModifiedBy>
  <dcterms:created xsi:type="dcterms:W3CDTF">2024-07-18T20:49:00Z</dcterms:created>
  <dcterms:modified xsi:type="dcterms:W3CDTF">2024-08-10T13:58:00Z</dcterms:modified>
</cp:coreProperties>
</file>