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3C2809" w14:textId="3D82BD98" w:rsidR="00307C23" w:rsidRDefault="00000000" w:rsidP="004C0C34">
      <w:pPr>
        <w:pStyle w:val="Ttulo"/>
      </w:pPr>
      <w:sdt>
        <w:sdtPr>
          <w:rPr>
            <w:i/>
            <w:iCs w:val="0"/>
            <w:u w:val="single"/>
          </w:rPr>
          <w:alias w:val="Title"/>
          <w:tag w:val=""/>
          <w:id w:val="-780801520"/>
          <w:placeholder>
            <w:docPart w:val="8D3BEAFE6B0D437282A591D19B724618"/>
          </w:placeholder>
          <w:dataBinding w:prefixMappings="xmlns:ns0='http://purl.org/dc/elements/1.1/' xmlns:ns1='http://schemas.openxmlformats.org/package/2006/metadata/core-properties' " w:xpath="/ns1:coreProperties[1]/ns0:title[1]" w:storeItemID="{6C3C8BC8-F283-45AE-878A-BAB7291924A1}"/>
          <w:text/>
        </w:sdtPr>
        <w:sdtContent>
          <w:r w:rsidR="006C1AA4">
            <w:rPr>
              <w:i/>
              <w:iCs w:val="0"/>
              <w:u w:val="single"/>
            </w:rPr>
            <w:t>3.A.3</w:t>
          </w:r>
          <w:r w:rsidR="005936EF">
            <w:rPr>
              <w:i/>
              <w:iCs w:val="0"/>
              <w:u w:val="single"/>
            </w:rPr>
            <w:t>7</w:t>
          </w:r>
        </w:sdtContent>
      </w:sdt>
      <w:r w:rsidR="00C851DA">
        <w:t xml:space="preserve"> :</w:t>
      </w:r>
      <w:r w:rsidR="00C81078" w:rsidRPr="004C0C34">
        <w:t xml:space="preserve"> </w:t>
      </w:r>
      <w:sdt>
        <w:sdtPr>
          <w:alias w:val="Subject"/>
          <w:tag w:val=""/>
          <w:id w:val="-1903059896"/>
          <w:placeholder>
            <w:docPart w:val="107D48692FA44EF3ABEE46C5960FD5BE"/>
          </w:placeholder>
          <w:dataBinding w:prefixMappings="xmlns:ns0='http://purl.org/dc/elements/1.1/' xmlns:ns1='http://schemas.openxmlformats.org/package/2006/metadata/core-properties' " w:xpath="/ns1:coreProperties[1]/ns0:subject[1]" w:storeItemID="{6C3C8BC8-F283-45AE-878A-BAB7291924A1}"/>
          <w:text/>
        </w:sdtPr>
        <w:sdtContent>
          <w:r w:rsidR="005936EF">
            <w:t>P</w:t>
          </w:r>
          <w:r w:rsidR="006C1AA4">
            <w:t>olítica monetaria (II)</w:t>
          </w:r>
          <w:r w:rsidR="005936EF">
            <w:t>.</w:t>
          </w:r>
          <w:r w:rsidR="006C1AA4">
            <w:t xml:space="preserve"> </w:t>
          </w:r>
          <w:r w:rsidR="005936EF">
            <w:t>L</w:t>
          </w:r>
          <w:r w:rsidR="006C1AA4">
            <w:t>os mecanismos de transmisión de la política monetaria</w:t>
          </w:r>
          <w:r w:rsidR="005936EF">
            <w:t xml:space="preserve"> convencional. Rigideces de precios, rigideces de salarios y fricciones financieras</w:t>
          </w:r>
          <w:r w:rsidR="006C1AA4">
            <w:t xml:space="preserve">. </w:t>
          </w:r>
          <w:r w:rsidR="005936EF">
            <w:t>Los mecanismos de transmisión de la política monetaria no convencional.</w:t>
          </w:r>
        </w:sdtContent>
      </w:sdt>
    </w:p>
    <w:p w14:paraId="29B3C5D0" w14:textId="77777777" w:rsidR="00CF07FC" w:rsidRDefault="00CF07FC" w:rsidP="00CF07FC">
      <w:pPr>
        <w:pStyle w:val="Notaalopositor"/>
        <w:spacing w:after="0"/>
      </w:pPr>
      <w:r>
        <w:t>Con el cambio de temario, a partir de la convocatoria de 2023 este tema pasará a ser:</w:t>
      </w:r>
    </w:p>
    <w:p w14:paraId="70B87B5A" w14:textId="0E52C8BF" w:rsidR="00CF07FC" w:rsidRDefault="00CF07FC" w:rsidP="00CF07FC">
      <w:pPr>
        <w:pStyle w:val="Notaalopositor"/>
      </w:pPr>
      <w:r>
        <w:t>3.A.37: Política monetaria (II). Los mecanismos de transmisión de la política monetaria convencional. Rigideces de precios, rigideces de salarios y fricciones financieras. Los mecanismos de transmisión de la política monetaria no convencional.</w:t>
      </w:r>
    </w:p>
    <w:p w14:paraId="45961638" w14:textId="77777777" w:rsidR="008C588C" w:rsidRDefault="008C588C" w:rsidP="008C588C">
      <w:pPr>
        <w:pStyle w:val="Notaalopositor"/>
      </w:pPr>
      <w:r w:rsidRPr="00AB4BEA">
        <w:t xml:space="preserve">De este modo, con lo escrito en este documento este tema estaría </w:t>
      </w:r>
      <w:r>
        <w:rPr>
          <w:b/>
          <w:bCs/>
        </w:rPr>
        <w:t>cambia bastante</w:t>
      </w:r>
      <w:r w:rsidRPr="00FC696F">
        <w:t>.</w:t>
      </w:r>
      <w:r>
        <w:t xml:space="preserve"> Se recomienda ajustar el contenido del tema a lo sugerido en la guía.</w:t>
      </w:r>
    </w:p>
    <w:p w14:paraId="70610DC6" w14:textId="6969CAC1" w:rsidR="00CF07FC" w:rsidRDefault="00CF07FC" w:rsidP="00CF07FC">
      <w:pPr>
        <w:pStyle w:val="Notaalopositor"/>
        <w:jc w:val="center"/>
      </w:pPr>
      <w:r w:rsidRPr="00CF07FC">
        <w:rPr>
          <w:noProof/>
        </w:rPr>
        <w:drawing>
          <wp:inline distT="0" distB="0" distL="0" distR="0" wp14:anchorId="37E64C9F" wp14:editId="3E7593CE">
            <wp:extent cx="2880000" cy="3020586"/>
            <wp:effectExtent l="0" t="0" r="0" b="8890"/>
            <wp:docPr id="23" name="Imagen 23"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Texto&#10;&#10;Descripción generada automáticamente con confianza media"/>
                    <pic:cNvPicPr/>
                  </pic:nvPicPr>
                  <pic:blipFill>
                    <a:blip r:embed="rId8"/>
                    <a:stretch>
                      <a:fillRect/>
                    </a:stretch>
                  </pic:blipFill>
                  <pic:spPr>
                    <a:xfrm>
                      <a:off x="0" y="0"/>
                      <a:ext cx="2880000" cy="3020586"/>
                    </a:xfrm>
                    <a:prstGeom prst="rect">
                      <a:avLst/>
                    </a:prstGeom>
                  </pic:spPr>
                </pic:pic>
              </a:graphicData>
            </a:graphic>
          </wp:inline>
        </w:drawing>
      </w:r>
    </w:p>
    <w:p w14:paraId="21D8BE8F" w14:textId="2F6ECA2D" w:rsidR="0021774E" w:rsidRDefault="0021774E" w:rsidP="00354A35">
      <w:pPr>
        <w:pStyle w:val="Introduccinyconclusin"/>
        <w:rPr>
          <w:rStyle w:val="IntroduccinyconclusinChar"/>
          <w:b/>
          <w:bCs/>
          <w:caps/>
          <w:shd w:val="clear" w:color="auto" w:fill="auto"/>
        </w:rPr>
      </w:pPr>
      <w:bookmarkStart w:id="0" w:name="_Toc55382054"/>
      <w:bookmarkStart w:id="1" w:name="_Toc55382089"/>
      <w:bookmarkStart w:id="2" w:name="_Toc55382517"/>
      <w:bookmarkStart w:id="3" w:name="_Toc55382751"/>
      <w:r w:rsidRPr="00B9022F">
        <w:t>I</w:t>
      </w:r>
      <w:r w:rsidRPr="00B9022F">
        <w:rPr>
          <w:rStyle w:val="IntroduccinyconclusinChar"/>
          <w:b/>
          <w:bCs/>
          <w:caps/>
          <w:shd w:val="clear" w:color="auto" w:fill="auto"/>
        </w:rPr>
        <w:t>NTRODUCCIÓN</w:t>
      </w:r>
      <w:bookmarkEnd w:id="0"/>
      <w:bookmarkEnd w:id="1"/>
      <w:bookmarkEnd w:id="2"/>
      <w:bookmarkEnd w:id="3"/>
    </w:p>
    <w:p w14:paraId="484EFE88" w14:textId="41B63CCA" w:rsidR="00192DFD" w:rsidRPr="000609E2" w:rsidRDefault="00192DFD" w:rsidP="00096281">
      <w:pPr>
        <w:pStyle w:val="Cajadeanotaciones"/>
        <w:spacing w:after="0"/>
        <w:rPr>
          <w:rStyle w:val="Hipervnculo"/>
          <w:sz w:val="19"/>
          <w:szCs w:val="19"/>
        </w:rPr>
      </w:pPr>
      <w:bookmarkStart w:id="4" w:name="_Hlk121039621"/>
      <w:r w:rsidRPr="000609E2">
        <w:rPr>
          <w:sz w:val="19"/>
          <w:szCs w:val="19"/>
        </w:rPr>
        <w:t xml:space="preserve">Cambio de objetivo del BCE: </w:t>
      </w:r>
      <w:hyperlink r:id="rId9" w:history="1">
        <w:r w:rsidRPr="000609E2">
          <w:rPr>
            <w:rStyle w:val="Hipervnculo"/>
            <w:sz w:val="19"/>
            <w:szCs w:val="19"/>
          </w:rPr>
          <w:t>https://www.ecb.europa.eu/home/search/review/html/price-stability-objective.es.html</w:t>
        </w:r>
      </w:hyperlink>
    </w:p>
    <w:p w14:paraId="42778D28" w14:textId="45EEA490" w:rsidR="00096281" w:rsidRPr="000609E2" w:rsidRDefault="00000000" w:rsidP="00192DFD">
      <w:pPr>
        <w:pStyle w:val="Cajadeanotaciones"/>
        <w:rPr>
          <w:sz w:val="19"/>
          <w:szCs w:val="19"/>
        </w:rPr>
      </w:pPr>
      <w:hyperlink r:id="rId10" w:history="1">
        <w:r w:rsidR="00096281" w:rsidRPr="000609E2">
          <w:rPr>
            <w:rStyle w:val="Hipervnculo"/>
            <w:sz w:val="19"/>
            <w:szCs w:val="19"/>
          </w:rPr>
          <w:t>https://economia3.com/banco-central-europeo/</w:t>
        </w:r>
      </w:hyperlink>
    </w:p>
    <w:bookmarkEnd w:id="4"/>
    <w:p w14:paraId="13132CE6" w14:textId="0CE9ACEF" w:rsidR="00B77C0F" w:rsidRDefault="00B77C0F" w:rsidP="00417A95">
      <w:pPr>
        <w:pStyle w:val="Nivel1"/>
        <w:keepNext/>
        <w:spacing w:before="0" w:after="0"/>
      </w:pPr>
      <w:r w:rsidRPr="00FF571B">
        <w:rPr>
          <w:b/>
          <w:bCs/>
          <w:i/>
          <w:iCs/>
        </w:rPr>
        <w:t>Enganche</w:t>
      </w:r>
      <w:r>
        <w:t>:</w:t>
      </w:r>
    </w:p>
    <w:p w14:paraId="3D9B0E9D" w14:textId="77777777" w:rsidR="009E7B25" w:rsidRDefault="009E7B25" w:rsidP="009E7B25">
      <w:pPr>
        <w:pStyle w:val="Nivel2"/>
        <w:keepNext/>
        <w:spacing w:after="0"/>
      </w:pPr>
      <w:bookmarkStart w:id="5" w:name="_Hlk121039642"/>
      <w:r w:rsidRPr="005442AA">
        <w:t xml:space="preserve">La evolución económica a lo largo de 2022 y del período transcurrido de 2023 ha venido marcada por </w:t>
      </w:r>
      <w:r>
        <w:t>2 </w:t>
      </w:r>
      <w:r w:rsidRPr="005442AA">
        <w:t>desarrollos contrapuestos.</w:t>
      </w:r>
    </w:p>
    <w:p w14:paraId="008C7F0C" w14:textId="77777777" w:rsidR="009E7B25" w:rsidRDefault="009E7B25" w:rsidP="009E7B25">
      <w:pPr>
        <w:pStyle w:val="Nivel3"/>
      </w:pPr>
      <w:r w:rsidRPr="005442AA">
        <w:t>Al comienzo del pasado año, el levantamiento de las restricciones asociadas a la pandemia condujo a una intensa recuperación de la actividad.</w:t>
      </w:r>
    </w:p>
    <w:p w14:paraId="28F292F4" w14:textId="77777777" w:rsidR="009E7B25" w:rsidRPr="005442AA" w:rsidRDefault="009E7B25" w:rsidP="009E7B25">
      <w:pPr>
        <w:pStyle w:val="Nivel3"/>
        <w:keepNext/>
      </w:pPr>
      <w:r w:rsidRPr="005442AA">
        <w:t xml:space="preserve">Con posterioridad, la invasión rusa de Ucrania aceleró el repunte de los precios de las materias primas que venía produciéndose desde 2021, lo que llevó a una intensificación de las </w:t>
      </w:r>
      <w:r w:rsidRPr="005442AA">
        <w:rPr>
          <w:i/>
          <w:iCs/>
        </w:rPr>
        <w:t>presiones inflacionistas</w:t>
      </w:r>
      <w:r w:rsidRPr="005442AA">
        <w:t xml:space="preserve"> y, en respuesta a ello, a un </w:t>
      </w:r>
      <w:r w:rsidRPr="005442AA">
        <w:rPr>
          <w:i/>
          <w:iCs/>
        </w:rPr>
        <w:t>endurecimiento de las políticas monetarias</w:t>
      </w:r>
      <w:r w:rsidRPr="005442AA">
        <w:t>. Como resultado, se produjo una notable desaceleración del producto interior bruto (PIB) real en la segunda mitad del año.</w:t>
      </w:r>
    </w:p>
    <w:p w14:paraId="7CFC58D4" w14:textId="7AD144AB" w:rsidR="009E7B25" w:rsidRPr="005442AA" w:rsidRDefault="009E7B25" w:rsidP="009E7B25">
      <w:pPr>
        <w:pStyle w:val="Nivel2"/>
        <w:keepNext/>
        <w:numPr>
          <w:ilvl w:val="0"/>
          <w:numId w:val="0"/>
        </w:numPr>
        <w:spacing w:after="0"/>
        <w:ind w:left="1049"/>
        <w:jc w:val="right"/>
        <w:rPr>
          <w:sz w:val="15"/>
          <w:szCs w:val="15"/>
          <w:highlight w:val="yellow"/>
        </w:rPr>
      </w:pPr>
      <w:r w:rsidRPr="005442AA">
        <w:t>Ban</w:t>
      </w:r>
      <w:r>
        <w:t>co de España</w:t>
      </w:r>
      <w:r w:rsidRPr="005442AA">
        <w:t xml:space="preserve"> (2023)</w:t>
      </w:r>
      <w:r>
        <w:t xml:space="preserve">. </w:t>
      </w:r>
      <w:r w:rsidRPr="005442AA">
        <w:rPr>
          <w:i/>
          <w:iCs/>
        </w:rPr>
        <w:t>Informe Anual 2022</w:t>
      </w:r>
      <w:r>
        <w:t xml:space="preserve">. </w:t>
      </w:r>
      <w:hyperlink r:id="rId11" w:history="1">
        <w:r w:rsidRPr="005442AA">
          <w:rPr>
            <w:rStyle w:val="Hipervnculo"/>
            <w:sz w:val="15"/>
            <w:szCs w:val="15"/>
          </w:rPr>
          <w:t>https://www.bde.es/f/webbe/SES/Secciones/Publicaciones/PublicacionesAnuales/InformesAnuales/22/Fich/InfAnual_2022.pdf</w:t>
        </w:r>
      </w:hyperlink>
    </w:p>
    <w:p w14:paraId="77E8BF93" w14:textId="77777777" w:rsidR="009E7B25" w:rsidRDefault="009E7B25" w:rsidP="009E7B25">
      <w:pPr>
        <w:pStyle w:val="Nivel2"/>
        <w:keepNext/>
        <w:spacing w:after="0"/>
      </w:pPr>
      <w:r w:rsidRPr="00880393">
        <w:t>Este brote inflacionista ha provocado</w:t>
      </w:r>
      <w:r>
        <w:t xml:space="preserve"> que la tasa de inflación (medida por el IPC) fuera del 8,4 % en 2022</w:t>
      </w:r>
      <w:r>
        <w:rPr>
          <w:rStyle w:val="Refdenotaalpie"/>
        </w:rPr>
        <w:footnoteReference w:id="2"/>
      </w:r>
      <w:r>
        <w:t>, alcanzando un máximo desde la década de 1980 y, por lo tanto, nunca vistos desde la adopción del euro.</w:t>
      </w:r>
    </w:p>
    <w:p w14:paraId="370A6B0E" w14:textId="77777777" w:rsidR="009E7B25" w:rsidRPr="00880393" w:rsidRDefault="009E7B25" w:rsidP="009E7B25">
      <w:pPr>
        <w:pStyle w:val="Nivel3"/>
      </w:pPr>
      <w:r>
        <w:t>De este modo, el Banco Central Europeo, se enfrenta a una situación delicada y única desde su creación en 1998.</w:t>
      </w:r>
    </w:p>
    <w:p w14:paraId="25B9CD48" w14:textId="77777777" w:rsidR="009E7B25" w:rsidRPr="00BA0EF8" w:rsidRDefault="009E7B25" w:rsidP="009E7B25">
      <w:pPr>
        <w:pStyle w:val="Nivel3"/>
        <w:keepNext/>
      </w:pPr>
      <w:r>
        <w:lastRenderedPageBreak/>
        <w:t xml:space="preserve">A la vista de las fluctuaciones que suceden en la economía, y la inestabilidad económica que las acompaña, los encargados de formular políticas económicas se enfrentan a la siguiente pregunta: </w:t>
      </w:r>
      <w:r w:rsidRPr="00CF17C6">
        <w:rPr>
          <w:i/>
          <w:iCs/>
        </w:rPr>
        <w:t>¿qué políticas económicas (si acaso hay alguna) pueden ser implementadas para reducir las fluctuaciones de la producción y la inflación en el futuro?</w:t>
      </w:r>
    </w:p>
    <w:p w14:paraId="64050AC9" w14:textId="1ECAD99A" w:rsidR="009E7B25" w:rsidRDefault="009E7B25" w:rsidP="009E7B25">
      <w:pPr>
        <w:pStyle w:val="Nivel4"/>
        <w:rPr>
          <w:spacing w:val="-1"/>
        </w:rPr>
      </w:pPr>
      <w:r w:rsidRPr="00CC2D19">
        <w:rPr>
          <w:i/>
          <w:iCs/>
          <w:spacing w:val="-1"/>
        </w:rPr>
        <w:t>En esta exposición</w:t>
      </w:r>
      <w:r w:rsidRPr="00CC2D19">
        <w:rPr>
          <w:spacing w:val="-1"/>
        </w:rPr>
        <w:t xml:space="preserve">, estudiaremos </w:t>
      </w:r>
      <w:r>
        <w:rPr>
          <w:i/>
          <w:iCs/>
          <w:spacing w:val="-1"/>
        </w:rPr>
        <w:t>los mecanismos de transmisión de la política monetaria y evaluaremos la evidencia empírica acerca de esta cuestión</w:t>
      </w:r>
      <w:r w:rsidRPr="00CC2D19">
        <w:rPr>
          <w:spacing w:val="-1"/>
        </w:rPr>
        <w:t>.</w:t>
      </w:r>
    </w:p>
    <w:p w14:paraId="0B9DF743" w14:textId="77777777" w:rsidR="00CF17C6" w:rsidRDefault="00CF17C6" w:rsidP="00CF17C6">
      <w:pPr>
        <w:pStyle w:val="Nivel1"/>
        <w:keepNext/>
        <w:spacing w:after="0"/>
      </w:pPr>
      <w:r w:rsidRPr="00FF571B">
        <w:rPr>
          <w:b/>
          <w:bCs/>
          <w:i/>
          <w:iCs/>
        </w:rPr>
        <w:t>Relevancia</w:t>
      </w:r>
      <w:r w:rsidRPr="000A3137">
        <w:t>:</w:t>
      </w:r>
    </w:p>
    <w:p w14:paraId="462375F8" w14:textId="5AA33110" w:rsidR="00CF17C6" w:rsidRPr="001311E5" w:rsidRDefault="00E03C13" w:rsidP="00CF17C6">
      <w:pPr>
        <w:pStyle w:val="Nivel2"/>
        <w:rPr>
          <w:spacing w:val="-2"/>
        </w:rPr>
      </w:pPr>
      <w:r w:rsidRPr="001311E5">
        <w:rPr>
          <w:spacing w:val="-2"/>
        </w:rPr>
        <w:t>Esto nos servirá para entender mejor el papel que tiene la política monetaria en la economía.</w:t>
      </w:r>
    </w:p>
    <w:bookmarkEnd w:id="5"/>
    <w:p w14:paraId="61AE28D4" w14:textId="6B8C82F4" w:rsidR="00A51B24" w:rsidRDefault="00FF571B" w:rsidP="00EB648B">
      <w:pPr>
        <w:pStyle w:val="Nivel1"/>
        <w:keepNext/>
        <w:spacing w:after="0"/>
      </w:pPr>
      <w:r w:rsidRPr="00FF571B">
        <w:rPr>
          <w:b/>
          <w:bCs/>
          <w:i/>
          <w:iCs/>
        </w:rPr>
        <w:t>Contextualización</w:t>
      </w:r>
      <w:r w:rsidR="00A51B24">
        <w:t>:</w:t>
      </w:r>
    </w:p>
    <w:p w14:paraId="4B9A73AA" w14:textId="53AD9DA7" w:rsidR="00CF17C6" w:rsidRDefault="00CF17C6" w:rsidP="00CF17C6">
      <w:pPr>
        <w:pStyle w:val="Nivel2"/>
        <w:keepNext/>
        <w:spacing w:after="0"/>
      </w:pPr>
      <w:bookmarkStart w:id="6" w:name="_Hlk121039696"/>
      <w:r>
        <w:t>Antes de entrar en el análisis, comencemos con lo básico:</w:t>
      </w:r>
    </w:p>
    <w:p w14:paraId="72A5604A" w14:textId="498698A3" w:rsidR="00CF17C6" w:rsidRDefault="00BB3300" w:rsidP="00CF17C6">
      <w:pPr>
        <w:pStyle w:val="Nivel3"/>
      </w:pPr>
      <w:r>
        <w:t xml:space="preserve">La </w:t>
      </w:r>
      <w:r w:rsidRPr="00CF17C6">
        <w:rPr>
          <w:b/>
          <w:bCs/>
        </w:rPr>
        <w:t>macroeconomía</w:t>
      </w:r>
      <w:r>
        <w:t xml:space="preserve"> es la disciplina que estudia el funcionamiento de la economía en su conjunto, valiéndose de la agregación de la conducta de los agentes.</w:t>
      </w:r>
    </w:p>
    <w:p w14:paraId="0888CBE6" w14:textId="768E0552" w:rsidR="00BB3300" w:rsidRDefault="00BB3300" w:rsidP="00B21C3B">
      <w:pPr>
        <w:pStyle w:val="Nivel3"/>
        <w:keepNext/>
      </w:pPr>
      <w:r>
        <w:t xml:space="preserve">Una de las cuestiones centrales en el análisis macroeconómico es el estudio de la </w:t>
      </w:r>
      <w:r w:rsidRPr="00FD7472">
        <w:rPr>
          <w:b/>
          <w:bCs/>
        </w:rPr>
        <w:t>política monetaria</w:t>
      </w:r>
      <w:r w:rsidR="00FD7472">
        <w:t xml:space="preserve">, que </w:t>
      </w:r>
      <w:r w:rsidR="00CF17C6">
        <w:t>comprende toda actuación</w:t>
      </w:r>
      <w:r>
        <w:t xml:space="preserve"> por l</w:t>
      </w:r>
      <w:r w:rsidR="00E03C13">
        <w:t>a</w:t>
      </w:r>
      <w:r>
        <w:t xml:space="preserve"> que la autoridad monetaria de un país controla la oferta de dinero </w:t>
      </w:r>
      <w:r w:rsidR="00CF17C6">
        <w:t>y/</w:t>
      </w:r>
      <w:r>
        <w:t xml:space="preserve">o el tipo de interés </w:t>
      </w:r>
      <w:r w:rsidR="00CF17C6">
        <w:t>(i.e. la cantidad y/o el precio de dinero) con el propósito de</w:t>
      </w:r>
      <w:r>
        <w:t xml:space="preserve"> conseguir </w:t>
      </w:r>
      <w:r w:rsidR="00CF17C6">
        <w:t>determinad</w:t>
      </w:r>
      <w:r>
        <w:t xml:space="preserve">os objetivos, </w:t>
      </w:r>
      <w:r w:rsidR="00CF17C6">
        <w:t>que pueden ir desde la estabilidad de precios hasta la estabilidad</w:t>
      </w:r>
      <w:r>
        <w:t xml:space="preserve"> de tipos de cambio</w:t>
      </w:r>
      <w:r w:rsidR="00CF17C6">
        <w:t>, pasando por la consecución de un determinado nivel de actividad económica</w:t>
      </w:r>
      <w:r>
        <w:t>.</w:t>
      </w:r>
    </w:p>
    <w:p w14:paraId="2738E6CE" w14:textId="138DC71C" w:rsidR="00CF17C6" w:rsidRDefault="00CF17C6" w:rsidP="00FD7472">
      <w:pPr>
        <w:pStyle w:val="Nivel4"/>
      </w:pPr>
      <w:r>
        <w:t xml:space="preserve">El </w:t>
      </w:r>
      <w:r>
        <w:rPr>
          <w:i/>
          <w:iCs/>
          <w:u w:val="single"/>
        </w:rPr>
        <w:t>diseño</w:t>
      </w:r>
      <w:r>
        <w:t xml:space="preserve"> de la política monetaria hace referencia a los objetivos </w:t>
      </w:r>
      <w:r w:rsidR="00E03C13">
        <w:t>perseguidos</w:t>
      </w:r>
      <w:r>
        <w:t xml:space="preserve"> y el planteamiento </w:t>
      </w:r>
      <w:r w:rsidR="00E03C13">
        <w:t xml:space="preserve">adoptado </w:t>
      </w:r>
      <w:r w:rsidR="00E03C13" w:rsidRPr="00E03C13">
        <w:rPr>
          <w:sz w:val="19"/>
          <w:szCs w:val="19"/>
        </w:rPr>
        <w:t>(política monetaria reglada o discrecional)</w:t>
      </w:r>
      <w:r w:rsidR="00E03C13">
        <w:t xml:space="preserve"> por</w:t>
      </w:r>
      <w:r>
        <w:t xml:space="preserve"> la autoridad monetaria</w:t>
      </w:r>
      <w:r w:rsidR="001E7E82">
        <w:rPr>
          <w:rStyle w:val="Refdenotaalpie"/>
        </w:rPr>
        <w:footnoteReference w:id="3"/>
      </w:r>
      <w:r>
        <w:t>.</w:t>
      </w:r>
    </w:p>
    <w:p w14:paraId="575F31AC" w14:textId="45EFCB74" w:rsidR="00CF17C6" w:rsidRDefault="00CF17C6" w:rsidP="00FD7472">
      <w:pPr>
        <w:pStyle w:val="Nivel4"/>
      </w:pPr>
      <w:r>
        <w:t xml:space="preserve">La </w:t>
      </w:r>
      <w:r>
        <w:rPr>
          <w:i/>
          <w:iCs/>
          <w:u w:val="single"/>
        </w:rPr>
        <w:t>instrumentación</w:t>
      </w:r>
      <w:r>
        <w:t xml:space="preserve"> de la política monetaria hace referencia a acciones concretas llevadas a cabo para controlar la cantidad y/o el precio del dinero (p.ej. operaciones de mercado abierto)</w:t>
      </w:r>
      <w:r w:rsidR="001E7E82">
        <w:rPr>
          <w:rStyle w:val="Refdenotaalpie"/>
        </w:rPr>
        <w:footnoteReference w:id="4"/>
      </w:r>
      <w:r>
        <w:t>.</w:t>
      </w:r>
    </w:p>
    <w:p w14:paraId="721D2056" w14:textId="49AFFE73" w:rsidR="00CF17C6" w:rsidRDefault="00CF17C6" w:rsidP="00F1669E">
      <w:pPr>
        <w:pStyle w:val="Nivel4"/>
        <w:keepNext/>
      </w:pPr>
      <w:r>
        <w:t xml:space="preserve">Los </w:t>
      </w:r>
      <w:r>
        <w:rPr>
          <w:i/>
          <w:iCs/>
          <w:u w:val="single"/>
        </w:rPr>
        <w:t>mecanismos de transmisión</w:t>
      </w:r>
      <w:r>
        <w:t xml:space="preserve"> representan los diferentes canales a través de los cuales la política monetaria afecta a la economía en general.</w:t>
      </w:r>
    </w:p>
    <w:p w14:paraId="7FC16F78" w14:textId="514F2BF1" w:rsidR="00AD191E" w:rsidRDefault="00AD191E" w:rsidP="00AD191E">
      <w:pPr>
        <w:pStyle w:val="Nivel5"/>
      </w:pPr>
      <w:r>
        <w:t>Esta es una cuestión de particular relevancia en el contexto reciente, en el que se ha hablado de una ruptura del mecanismo de transmisión del tipo de interés (durante la crisis financiera de 2008), lo que ha llevado a recurrir a la denominada política monetaria no</w:t>
      </w:r>
      <w:r w:rsidR="00F1669E">
        <w:t> </w:t>
      </w:r>
      <w:r>
        <w:t>convencional.</w:t>
      </w:r>
    </w:p>
    <w:p w14:paraId="388A6B36" w14:textId="11E54464" w:rsidR="00CF17C6" w:rsidRDefault="00CF17C6" w:rsidP="00FD7472">
      <w:pPr>
        <w:pStyle w:val="Nivel4"/>
      </w:pPr>
      <w:r>
        <w:t xml:space="preserve">Finalmente, los </w:t>
      </w:r>
      <w:r>
        <w:rPr>
          <w:i/>
          <w:iCs/>
          <w:u w:val="single"/>
        </w:rPr>
        <w:t>efectos</w:t>
      </w:r>
      <w:r>
        <w:t xml:space="preserve"> de la política monetaria </w:t>
      </w:r>
      <w:r w:rsidR="00D8703C">
        <w:t>sobre el nivel de actividad o sobre los precios ha representado uno de los principales debates entre diferentes autores y escuelas de pensamiento económico.</w:t>
      </w:r>
    </w:p>
    <w:p w14:paraId="57A60392" w14:textId="77777777" w:rsidR="00FD6DD1" w:rsidRPr="00333756" w:rsidRDefault="00FD6DD1" w:rsidP="00FD6DD1">
      <w:pPr>
        <w:pStyle w:val="Nivel2"/>
        <w:keepNext/>
        <w:spacing w:after="0"/>
        <w:rPr>
          <w:spacing w:val="-4"/>
        </w:rPr>
      </w:pPr>
      <w:r w:rsidRPr="00932134">
        <w:rPr>
          <w:spacing w:val="-2"/>
        </w:rPr>
        <w:lastRenderedPageBreak/>
        <w:t xml:space="preserve">La </w:t>
      </w:r>
      <w:r w:rsidRPr="00932134">
        <w:rPr>
          <w:b/>
          <w:bCs/>
          <w:spacing w:val="-2"/>
        </w:rPr>
        <w:t>economía monetaria</w:t>
      </w:r>
      <w:r w:rsidRPr="00932134">
        <w:rPr>
          <w:spacing w:val="-2"/>
        </w:rPr>
        <w:t xml:space="preserve"> estudia la </w:t>
      </w:r>
      <w:r w:rsidRPr="00932134">
        <w:rPr>
          <w:i/>
          <w:iCs/>
          <w:spacing w:val="-2"/>
        </w:rPr>
        <w:t>relación</w:t>
      </w:r>
      <w:r w:rsidRPr="00932134">
        <w:rPr>
          <w:spacing w:val="-2"/>
        </w:rPr>
        <w:t xml:space="preserve"> entre las </w:t>
      </w:r>
      <w:r w:rsidRPr="00932134">
        <w:rPr>
          <w:i/>
          <w:iCs/>
          <w:spacing w:val="-2"/>
        </w:rPr>
        <w:t>variables económicas reales a nivel agregado</w:t>
      </w:r>
      <w:r w:rsidRPr="00932134">
        <w:rPr>
          <w:spacing w:val="-2"/>
        </w:rPr>
        <w:t xml:space="preserve"> </w:t>
      </w:r>
      <w:r w:rsidRPr="00333756">
        <w:rPr>
          <w:spacing w:val="-4"/>
          <w:sz w:val="19"/>
          <w:szCs w:val="19"/>
        </w:rPr>
        <w:t>(p.ej. nivel de producción real, tipo de interés real, empleo, tipos de cambio reales)</w:t>
      </w:r>
      <w:r w:rsidRPr="00333756">
        <w:rPr>
          <w:spacing w:val="-4"/>
        </w:rPr>
        <w:t xml:space="preserve"> y las </w:t>
      </w:r>
      <w:r w:rsidRPr="00333756">
        <w:rPr>
          <w:i/>
          <w:iCs/>
          <w:spacing w:val="-4"/>
        </w:rPr>
        <w:t>variables nominales</w:t>
      </w:r>
      <w:r w:rsidRPr="00333756">
        <w:rPr>
          <w:spacing w:val="-4"/>
        </w:rPr>
        <w:t xml:space="preserve"> </w:t>
      </w:r>
      <w:r w:rsidRPr="00333756">
        <w:rPr>
          <w:spacing w:val="-4"/>
          <w:sz w:val="19"/>
          <w:szCs w:val="19"/>
        </w:rPr>
        <w:t>(p.ej. tasa de inflación, tipos de interés nominales, tipos de cambio nominales y oferta monetaria)</w:t>
      </w:r>
      <w:r w:rsidRPr="00333756">
        <w:rPr>
          <w:spacing w:val="-4"/>
        </w:rPr>
        <w:t>.</w:t>
      </w:r>
    </w:p>
    <w:p w14:paraId="16E3CA50" w14:textId="77777777" w:rsidR="00FD6DD1" w:rsidRDefault="00FD6DD1" w:rsidP="00FD6DD1">
      <w:pPr>
        <w:pStyle w:val="Nivel3"/>
        <w:keepNext/>
      </w:pPr>
      <w:r>
        <w:t xml:space="preserve">Así definida, la </w:t>
      </w:r>
      <w:r w:rsidRPr="00FD5003">
        <w:t>economía monetaria</w:t>
      </w:r>
      <w:r>
        <w:t xml:space="preserve"> se solapa con la macroeconomía en general, y estos dos campos han compartido una historia común a lo largo de la mayoría de los últimos 50 años.</w:t>
      </w:r>
    </w:p>
    <w:p w14:paraId="3BD52379" w14:textId="77777777" w:rsidR="00FD6DD1" w:rsidRDefault="00FD6DD1" w:rsidP="00FD6DD1">
      <w:pPr>
        <w:pStyle w:val="Nivel4"/>
      </w:pPr>
      <w:r>
        <w:t>Esta afirmación fue particularmente cierta durante la década de 1970 debido a la reintegración de la economía monetaria con la macroeconomía producida por los debates entre los keynesianos y los monetaristas.</w:t>
      </w:r>
    </w:p>
    <w:p w14:paraId="7ABEAC93" w14:textId="77777777" w:rsidR="00FD6DD1" w:rsidRDefault="00FD6DD1" w:rsidP="00FD6DD1">
      <w:pPr>
        <w:pStyle w:val="Nivel4"/>
      </w:pPr>
      <w:r>
        <w:t xml:space="preserve">La contribución seminal de </w:t>
      </w:r>
      <w:r>
        <w:rPr>
          <w:smallCaps/>
        </w:rPr>
        <w:t>Lucas</w:t>
      </w:r>
      <w:r>
        <w:t xml:space="preserve"> (1972) proporcionó los fundamentos teóricos para los modelos de fluctuaciones económicas en los que el dinero era el factor impulsor fundamental tras los movimientos en el output real.</w:t>
      </w:r>
    </w:p>
    <w:p w14:paraId="7FEF7883" w14:textId="77777777" w:rsidR="00FD6DD1" w:rsidRPr="0040463A" w:rsidRDefault="00FD6DD1" w:rsidP="00FD6DD1">
      <w:pPr>
        <w:pStyle w:val="Nivel4"/>
        <w:rPr>
          <w:spacing w:val="-2"/>
        </w:rPr>
      </w:pPr>
      <w:r w:rsidRPr="0040463A">
        <w:rPr>
          <w:spacing w:val="-2"/>
        </w:rPr>
        <w:t>La aparición de los modelos de ciclo real</w:t>
      </w:r>
      <w:r w:rsidRPr="0040463A">
        <w:rPr>
          <w:rStyle w:val="Refdenotaalpie"/>
          <w:spacing w:val="-2"/>
        </w:rPr>
        <w:footnoteReference w:id="5"/>
      </w:r>
      <w:r w:rsidRPr="0040463A">
        <w:rPr>
          <w:spacing w:val="-2"/>
        </w:rPr>
        <w:t xml:space="preserve"> durante los años 80 y comienzos de los</w:t>
      </w:r>
      <w:r>
        <w:rPr>
          <w:spacing w:val="-2"/>
        </w:rPr>
        <w:t xml:space="preserve"> años </w:t>
      </w:r>
      <w:r w:rsidRPr="0040463A">
        <w:rPr>
          <w:spacing w:val="-2"/>
        </w:rPr>
        <w:t xml:space="preserve">90, basados en la contribución de </w:t>
      </w:r>
      <w:r w:rsidRPr="0040463A">
        <w:rPr>
          <w:smallCaps/>
          <w:spacing w:val="-2"/>
        </w:rPr>
        <w:t>Kydland</w:t>
      </w:r>
      <w:r w:rsidRPr="0040463A">
        <w:rPr>
          <w:spacing w:val="-2"/>
        </w:rPr>
        <w:t xml:space="preserve"> y </w:t>
      </w:r>
      <w:r w:rsidRPr="0040463A">
        <w:rPr>
          <w:smallCaps/>
          <w:spacing w:val="-2"/>
        </w:rPr>
        <w:t>Prescott</w:t>
      </w:r>
      <w:r w:rsidRPr="0040463A">
        <w:rPr>
          <w:spacing w:val="-2"/>
        </w:rPr>
        <w:t xml:space="preserve"> (1982) y centrándose explícitamente en factores no monetarios como las fuerzas impulsoras tras los ciclos económicos tendió a separar la economía monetaria de la macroeconomía.</w:t>
      </w:r>
    </w:p>
    <w:p w14:paraId="20EF3633" w14:textId="77777777" w:rsidR="00FD6DD1" w:rsidRPr="00015405" w:rsidRDefault="00FD6DD1" w:rsidP="00FD6DD1">
      <w:pPr>
        <w:pStyle w:val="Nivel4"/>
        <w:rPr>
          <w:spacing w:val="-3"/>
        </w:rPr>
      </w:pPr>
      <w:r w:rsidRPr="00015405">
        <w:rPr>
          <w:spacing w:val="-3"/>
        </w:rPr>
        <w:t xml:space="preserve">Más recientemente, el enfoque del ciclo real ha sido utilizado para incorporar factores monetarios en modelos de equilibrio general dinámico estocástico (EDGE). </w:t>
      </w:r>
      <w:r w:rsidRPr="003B749A">
        <w:rPr>
          <w:spacing w:val="-5"/>
        </w:rPr>
        <w:t>A día de hoy, la macroeconomía y la economía monetaria comparten herramientas asociadas con enfoques dinámico-estocásticos para modelizar la economía agregada.</w:t>
      </w:r>
    </w:p>
    <w:bookmarkEnd w:id="6"/>
    <w:p w14:paraId="27D1C3B3" w14:textId="24BE15DE" w:rsidR="00A42628" w:rsidRDefault="00B77C0F" w:rsidP="00EB648B">
      <w:pPr>
        <w:pStyle w:val="Nivel1"/>
        <w:keepNext/>
        <w:spacing w:after="0"/>
      </w:pPr>
      <w:r w:rsidRPr="00FF571B">
        <w:rPr>
          <w:b/>
          <w:bCs/>
          <w:i/>
          <w:iCs/>
        </w:rPr>
        <w:t>Problemática</w:t>
      </w:r>
      <w:r w:rsidR="00FF571B" w:rsidRPr="00FF571B">
        <w:rPr>
          <w:b/>
          <w:bCs/>
          <w:i/>
          <w:iCs/>
        </w:rPr>
        <w:t xml:space="preserve"> (</w:t>
      </w:r>
      <w:r w:rsidR="00FF571B">
        <w:rPr>
          <w:b/>
          <w:bCs/>
          <w:i/>
          <w:iCs/>
        </w:rPr>
        <w:t>Preguntas clave</w:t>
      </w:r>
      <w:r w:rsidR="00FF571B" w:rsidRPr="00FF571B">
        <w:rPr>
          <w:b/>
          <w:bCs/>
          <w:i/>
          <w:iCs/>
        </w:rPr>
        <w:t>)</w:t>
      </w:r>
      <w:r w:rsidRPr="000A3137">
        <w:t>:</w:t>
      </w:r>
    </w:p>
    <w:p w14:paraId="1510EA2E" w14:textId="30E66648" w:rsidR="0075062A" w:rsidRDefault="0075062A" w:rsidP="0075062A">
      <w:pPr>
        <w:pStyle w:val="Nivel2"/>
      </w:pPr>
      <w:bookmarkStart w:id="7" w:name="_Hlk121039852"/>
      <w:r>
        <w:t>¿Tiene la política monetaria efecto real?</w:t>
      </w:r>
    </w:p>
    <w:p w14:paraId="6EA3F90C" w14:textId="67149FF7" w:rsidR="0075062A" w:rsidRPr="000A3137" w:rsidRDefault="0075062A" w:rsidP="0075062A">
      <w:pPr>
        <w:pStyle w:val="Nivel2"/>
      </w:pPr>
      <w:r>
        <w:t>Sabiendo que no es neutral en el ciclo, ¿cuáles son los mecanismos de transmisión?</w:t>
      </w:r>
    </w:p>
    <w:bookmarkEnd w:id="7"/>
    <w:p w14:paraId="354D74F5" w14:textId="5FB749A6" w:rsidR="00A42628" w:rsidRDefault="00FF571B" w:rsidP="00EB648B">
      <w:pPr>
        <w:pStyle w:val="Nivel1"/>
        <w:keepNext/>
        <w:spacing w:after="0"/>
      </w:pPr>
      <w:r w:rsidRPr="00FF571B">
        <w:rPr>
          <w:b/>
          <w:bCs/>
          <w:i/>
          <w:iCs/>
        </w:rPr>
        <w:t>Estructura</w:t>
      </w:r>
      <w:r w:rsidR="00B77C0F" w:rsidRPr="000A3137">
        <w:t>:</w:t>
      </w:r>
    </w:p>
    <w:p w14:paraId="453023E6" w14:textId="1ECACD94" w:rsidR="00BB3300" w:rsidRPr="005C702F" w:rsidRDefault="00BB3300" w:rsidP="00BB3300">
      <w:pPr>
        <w:pStyle w:val="Nivel2"/>
        <w:rPr>
          <w:highlight w:val="yellow"/>
        </w:rPr>
      </w:pPr>
      <w:r w:rsidRPr="005C702F">
        <w:rPr>
          <w:highlight w:val="yellow"/>
        </w:rPr>
        <w:t>Por un lado, la primera parte del tema se centrará en el análisis de los efectos de la política monetaria. Para ello es imprescindible explicar el problema de identificación de los shocks monetarios, es decir, explicar cómo al reaccionar la política monetaria al propio estado de la economía no es fácil aislar cu</w:t>
      </w:r>
      <w:r w:rsidR="008C3B6E" w:rsidRPr="005C702F">
        <w:rPr>
          <w:highlight w:val="yellow"/>
        </w:rPr>
        <w:t>á</w:t>
      </w:r>
      <w:r w:rsidRPr="005C702F">
        <w:rPr>
          <w:highlight w:val="yellow"/>
        </w:rPr>
        <w:t xml:space="preserve">les son los efectos de </w:t>
      </w:r>
      <w:proofErr w:type="gramStart"/>
      <w:r w:rsidRPr="005C702F">
        <w:rPr>
          <w:highlight w:val="yellow"/>
        </w:rPr>
        <w:t>la misma</w:t>
      </w:r>
      <w:proofErr w:type="gramEnd"/>
      <w:r w:rsidRPr="005C702F">
        <w:rPr>
          <w:highlight w:val="yellow"/>
        </w:rPr>
        <w:t>. Después puede pasarse a describir las principales técnicas empíricas y sus resultados más relevantes.</w:t>
      </w:r>
    </w:p>
    <w:p w14:paraId="62DE0B77" w14:textId="77777777" w:rsidR="00BB3300" w:rsidRDefault="00BB3300" w:rsidP="00BB3300">
      <w:pPr>
        <w:pStyle w:val="Nivel2"/>
      </w:pPr>
      <w:r w:rsidRPr="005C702F">
        <w:rPr>
          <w:highlight w:val="yellow"/>
        </w:rPr>
        <w:t xml:space="preserve">Por otro lado, la segunda parte analiza los principales mecanismos de transmisión. El principal vehículo teórico que se propone es el modelo </w:t>
      </w:r>
      <w:proofErr w:type="spellStart"/>
      <w:r w:rsidRPr="005C702F">
        <w:rPr>
          <w:highlight w:val="yellow"/>
        </w:rPr>
        <w:t>neokeynesiano</w:t>
      </w:r>
      <w:proofErr w:type="spellEnd"/>
      <w:r w:rsidRPr="005C702F">
        <w:rPr>
          <w:highlight w:val="yellow"/>
        </w:rPr>
        <w:t>. Además de describir los principales canales de transmisión de la política monetaria convencional, creemos que es importante que el opositor incida en la transmisión de las políticas no convencionales, que han supuesto una auténtica revolución en la conducción de la política monetaria durante la última década.</w:t>
      </w:r>
    </w:p>
    <w:tbl>
      <w:tblPr>
        <w:tblStyle w:val="Tablaconcuadrcula"/>
        <w:tblW w:w="9638" w:type="dxa"/>
        <w:jc w:val="center"/>
        <w:tblLook w:val="04A0" w:firstRow="1" w:lastRow="0" w:firstColumn="1" w:lastColumn="0" w:noHBand="0" w:noVBand="1"/>
      </w:tblPr>
      <w:tblGrid>
        <w:gridCol w:w="9638"/>
      </w:tblGrid>
      <w:tr w:rsidR="0021774E" w14:paraId="1F5C4A56" w14:textId="77777777" w:rsidTr="006A6757">
        <w:trPr>
          <w:jc w:val="center"/>
          <w:hidden/>
        </w:trPr>
        <w:tc>
          <w:tcPr>
            <w:tcW w:w="9638"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5DDCC483" w14:textId="77777777" w:rsidR="0081544B" w:rsidRPr="00886959" w:rsidRDefault="0081544B" w:rsidP="00886959">
      <w:pPr>
        <w:spacing w:after="0"/>
        <w:jc w:val="left"/>
        <w:rPr>
          <w:b/>
          <w:bCs/>
          <w:caps/>
          <w:color w:val="FFFFFF" w:themeColor="background1"/>
          <w:sz w:val="2"/>
          <w:szCs w:val="2"/>
          <w:highlight w:val="lightGray"/>
        </w:rPr>
      </w:pPr>
      <w:r w:rsidRPr="00886959">
        <w:rPr>
          <w:sz w:val="2"/>
          <w:szCs w:val="2"/>
          <w:highlight w:val="lightGray"/>
        </w:rPr>
        <w:lastRenderedPageBreak/>
        <w:br w:type="page"/>
      </w:r>
    </w:p>
    <w:p w14:paraId="7AF0D062" w14:textId="02AA1A9F" w:rsidR="007612BD" w:rsidRDefault="004E3526" w:rsidP="00E805C0">
      <w:pPr>
        <w:pStyle w:val="Ttulo1"/>
      </w:pPr>
      <w:bookmarkStart w:id="8" w:name="_Toc174195928"/>
      <w:r>
        <w:lastRenderedPageBreak/>
        <w:t>MECANISMOS DE TRANSMISIÓN</w:t>
      </w:r>
      <w:r w:rsidR="007612BD">
        <w:t xml:space="preserve"> DE LA POLÍTICA MONETARIA</w:t>
      </w:r>
      <w:r w:rsidR="00961AFF">
        <w:t>.</w:t>
      </w:r>
      <w:r>
        <w:br/>
      </w:r>
      <w:r w:rsidR="00961AFF">
        <w:t>APROXIMACIÓN TEÓRICA.</w:t>
      </w:r>
      <w:bookmarkEnd w:id="8"/>
    </w:p>
    <w:p w14:paraId="2E8BF182" w14:textId="52CBE96D" w:rsidR="007612BD" w:rsidRDefault="00961AFF" w:rsidP="007612BD">
      <w:pPr>
        <w:pStyle w:val="Ttulo2"/>
      </w:pPr>
      <w:bookmarkStart w:id="9" w:name="_Toc174195929"/>
      <w:r>
        <w:t>Economistas neoclásicos. Teoría cuantitativa del dinero (</w:t>
      </w:r>
      <w:r>
        <w:rPr>
          <w:smallCaps/>
        </w:rPr>
        <w:t>Irving Fisher</w:t>
      </w:r>
      <w:r>
        <w:t>)</w:t>
      </w:r>
      <w:bookmarkEnd w:id="9"/>
    </w:p>
    <w:p w14:paraId="197AD17A" w14:textId="669A0FAA" w:rsidR="007612BD" w:rsidRPr="007612BD" w:rsidRDefault="007612BD" w:rsidP="007612BD">
      <w:pPr>
        <w:pStyle w:val="Notaalopositor"/>
      </w:pPr>
      <w:r>
        <w:t>Breve</w:t>
      </w:r>
    </w:p>
    <w:p w14:paraId="19FB6620" w14:textId="1519C33B" w:rsidR="00961AFF" w:rsidRDefault="00961AFF" w:rsidP="00417A95">
      <w:pPr>
        <w:pStyle w:val="Ttulo3"/>
        <w:spacing w:before="0"/>
      </w:pPr>
      <w:bookmarkStart w:id="10" w:name="_Toc174195930"/>
      <w:r>
        <w:t>Idea</w:t>
      </w:r>
      <w:bookmarkEnd w:id="10"/>
    </w:p>
    <w:p w14:paraId="18637A0A" w14:textId="73601E7F" w:rsidR="001871D4" w:rsidRDefault="001871D4" w:rsidP="001871D4">
      <w:pPr>
        <w:pStyle w:val="Nivel1SM"/>
        <w:spacing w:before="0"/>
      </w:pPr>
      <w:r>
        <w:t xml:space="preserve">Se trata de una reinterpretación causal por parte de </w:t>
      </w:r>
      <w:r>
        <w:rPr>
          <w:smallCaps/>
        </w:rPr>
        <w:t>Fisher</w:t>
      </w:r>
      <w:r>
        <w:t xml:space="preserve"> de la identidad contable del gasto de </w:t>
      </w:r>
      <w:r>
        <w:rPr>
          <w:smallCaps/>
        </w:rPr>
        <w:t>Hume</w:t>
      </w:r>
      <w:r>
        <w:t xml:space="preserve"> (1952) o ecuación cuantitativa.</w:t>
      </w:r>
    </w:p>
    <w:p w14:paraId="5F8A2AD8" w14:textId="51231267" w:rsidR="00961AFF" w:rsidRDefault="00961AFF" w:rsidP="00961AFF">
      <w:pPr>
        <w:pStyle w:val="Ttulo3"/>
      </w:pPr>
      <w:bookmarkStart w:id="11" w:name="_Toc174195931"/>
      <w:r>
        <w:t>Modelo</w:t>
      </w:r>
      <w:bookmarkEnd w:id="11"/>
    </w:p>
    <w:p w14:paraId="308A3FAE" w14:textId="77777777" w:rsidR="001871D4" w:rsidRDefault="001871D4" w:rsidP="001871D4">
      <w:pPr>
        <w:pStyle w:val="Nivel1SM"/>
        <w:keepNext/>
        <w:spacing w:before="0" w:after="0"/>
      </w:pPr>
      <w:r>
        <w:t>La ecuación cuantitativa muestra que el valor de las compras (</w:t>
      </w:r>
      <m:oMath>
        <m:r>
          <m:rPr>
            <m:nor/>
          </m:rPr>
          <w:rPr>
            <w:i/>
            <w:iCs/>
          </w:rPr>
          <m:t>M</m:t>
        </m:r>
        <m:r>
          <w:rPr>
            <w:rFonts w:ascii="Cambria Math" w:hAnsi="Cambria Math"/>
          </w:rPr>
          <m:t>×</m:t>
        </m:r>
        <m:r>
          <m:rPr>
            <m:nor/>
          </m:rPr>
          <w:rPr>
            <w:i/>
            <w:iCs/>
          </w:rPr>
          <m:t>V</m:t>
        </m:r>
      </m:oMath>
      <w:r>
        <w:rPr>
          <w:rFonts w:eastAsiaTheme="minorEastAsia"/>
          <w:iCs/>
        </w:rPr>
        <w:t>, o dinero en circulación por velocidad de circulación) debe ser igual al valor agregado de las ventas (</w:t>
      </w:r>
      <m:oMath>
        <m:r>
          <m:rPr>
            <m:nor/>
          </m:rPr>
          <w:rPr>
            <w:i/>
            <w:iCs/>
          </w:rPr>
          <m:t>P</m:t>
        </m:r>
        <m:r>
          <w:rPr>
            <w:rFonts w:ascii="Cambria Math" w:hAnsi="Cambria Math"/>
          </w:rPr>
          <m:t>×</m:t>
        </m:r>
        <m:r>
          <m:rPr>
            <m:nor/>
          </m:rPr>
          <w:rPr>
            <w:i/>
            <w:iCs/>
          </w:rPr>
          <m:t>T</m:t>
        </m:r>
      </m:oMath>
      <w:r>
        <w:rPr>
          <w:rFonts w:eastAsiaTheme="minorEastAsia"/>
          <w:iCs/>
        </w:rPr>
        <w:t xml:space="preserve"> o número de transacciones por precio promedio</w:t>
      </w:r>
      <w:r>
        <w:t>):</w:t>
      </w:r>
    </w:p>
    <w:p w14:paraId="42B9CD34" w14:textId="77777777" w:rsidR="001871D4" w:rsidRDefault="001871D4" w:rsidP="001871D4">
      <w:pPr>
        <w:pStyle w:val="Nivel1SM"/>
        <w:keepNext/>
        <w:numPr>
          <w:ilvl w:val="0"/>
          <w:numId w:val="0"/>
        </w:numPr>
        <w:spacing w:before="0" w:after="0"/>
      </w:pPr>
      <m:oMathPara>
        <m:oMath>
          <m:r>
            <m:rPr>
              <m:nor/>
            </m:rPr>
            <w:rPr>
              <w:i/>
              <w:iCs/>
            </w:rPr>
            <m:t>M</m:t>
          </m:r>
          <m:r>
            <w:rPr>
              <w:rFonts w:ascii="Cambria Math" w:hAnsi="Cambria Math"/>
            </w:rPr>
            <m:t>×</m:t>
          </m:r>
          <m:r>
            <m:rPr>
              <m:nor/>
            </m:rPr>
            <w:rPr>
              <w:i/>
              <w:iCs/>
            </w:rPr>
            <m:t>V</m:t>
          </m:r>
          <m:r>
            <w:rPr>
              <w:rFonts w:ascii="Cambria Math" w:eastAsiaTheme="minorEastAsia" w:hAnsi="Cambria Math"/>
            </w:rPr>
            <m:t>≡</m:t>
          </m:r>
          <m:r>
            <m:rPr>
              <m:nor/>
            </m:rPr>
            <w:rPr>
              <w:i/>
              <w:iCs/>
            </w:rPr>
            <m:t>P</m:t>
          </m:r>
          <m:r>
            <w:rPr>
              <w:rFonts w:ascii="Cambria Math" w:hAnsi="Cambria Math"/>
            </w:rPr>
            <m:t>×</m:t>
          </m:r>
          <m:r>
            <m:rPr>
              <m:nor/>
            </m:rPr>
            <w:rPr>
              <w:i/>
              <w:iCs/>
            </w:rPr>
            <m:t>T</m:t>
          </m:r>
          <m:r>
            <m:rPr>
              <m:sty m:val="p"/>
            </m:rPr>
            <w:rPr>
              <w:rFonts w:eastAsiaTheme="minorEastAsia"/>
            </w:rPr>
            <w:br/>
          </m:r>
        </m:oMath>
      </m:oMathPara>
      <w:r>
        <w:rPr>
          <w:rFonts w:eastAsiaTheme="minorEastAsia"/>
          <w:iCs/>
        </w:rPr>
        <w:t>donde:</w:t>
      </w:r>
    </w:p>
    <w:p w14:paraId="6D02194E" w14:textId="77777777" w:rsidR="001871D4" w:rsidRPr="001871D4" w:rsidRDefault="001871D4" w:rsidP="001871D4">
      <w:pPr>
        <w:pStyle w:val="Nivel2SM"/>
      </w:pPr>
      <m:oMath>
        <m:r>
          <m:rPr>
            <m:nor/>
          </m:rPr>
          <w:rPr>
            <w:i/>
            <w:iCs/>
          </w:rPr>
          <m:t>M</m:t>
        </m:r>
      </m:oMath>
      <w:r>
        <w:rPr>
          <w:rFonts w:eastAsiaTheme="minorEastAsia"/>
          <w:iCs/>
        </w:rPr>
        <w:t xml:space="preserve"> es la masa monetaria y es una variable exógena bajo el control de la autoridad monetaria;</w:t>
      </w:r>
    </w:p>
    <w:p w14:paraId="0491C83D" w14:textId="77777777" w:rsidR="001871D4" w:rsidRPr="001871D4" w:rsidRDefault="001871D4" w:rsidP="001871D4">
      <w:pPr>
        <w:pStyle w:val="Nivel2SM"/>
      </w:pPr>
      <m:oMath>
        <m:r>
          <m:rPr>
            <m:nor/>
          </m:rPr>
          <w:rPr>
            <w:i/>
            <w:iCs/>
          </w:rPr>
          <m:t>V</m:t>
        </m:r>
      </m:oMath>
      <w:r>
        <w:rPr>
          <w:rFonts w:eastAsiaTheme="minorEastAsia"/>
          <w:iCs/>
        </w:rPr>
        <w:t xml:space="preserve"> es la velocidad del dinero y depende de factores institucionales y tecnológicos, por lo que se considera muy estable;</w:t>
      </w:r>
    </w:p>
    <w:p w14:paraId="67BB8C39" w14:textId="77777777" w:rsidR="001871D4" w:rsidRPr="001871D4" w:rsidRDefault="001871D4" w:rsidP="001871D4">
      <w:pPr>
        <w:pStyle w:val="Nivel2SM"/>
      </w:pPr>
      <m:oMath>
        <m:r>
          <m:rPr>
            <m:nor/>
          </m:rPr>
          <w:rPr>
            <w:i/>
            <w:iCs/>
          </w:rPr>
          <m:t>P</m:t>
        </m:r>
      </m:oMath>
      <w:r>
        <w:rPr>
          <w:rFonts w:eastAsiaTheme="minorEastAsia"/>
          <w:iCs/>
        </w:rPr>
        <w:t xml:space="preserve"> refleja el nivel de precios en la economía y es la única variable endógena; y</w:t>
      </w:r>
    </w:p>
    <w:p w14:paraId="20FF4C2A" w14:textId="77777777" w:rsidR="001871D4" w:rsidRPr="001871D4" w:rsidRDefault="001871D4" w:rsidP="001871D4">
      <w:pPr>
        <w:pStyle w:val="Nivel2SM"/>
      </w:pPr>
      <m:oMath>
        <m:r>
          <m:rPr>
            <m:nor/>
          </m:rPr>
          <w:rPr>
            <w:i/>
            <w:iCs/>
          </w:rPr>
          <m:t>T</m:t>
        </m:r>
      </m:oMath>
      <w:r>
        <w:rPr>
          <w:rFonts w:eastAsiaTheme="minorEastAsia"/>
          <w:iCs/>
        </w:rPr>
        <w:t xml:space="preserve"> es el número de transacciones y se puede medir por la producción de la economía (es lógico que guarde una relación estrecha). El producto viene dado por la existencia de factores productivos que vienen dados (oferta agregada con pendiente vertical).</w:t>
      </w:r>
    </w:p>
    <w:p w14:paraId="4985E40A" w14:textId="0CD5564A" w:rsidR="001871D4" w:rsidRDefault="001871D4" w:rsidP="001871D4">
      <w:pPr>
        <w:pStyle w:val="Nivel1SM"/>
        <w:keepNext/>
        <w:spacing w:after="0"/>
      </w:pPr>
      <w:r>
        <w:t xml:space="preserve">Según </w:t>
      </w:r>
      <w:r>
        <w:rPr>
          <w:smallCaps/>
        </w:rPr>
        <w:t>Fisher</w:t>
      </w:r>
      <w:r>
        <w:t>, la causalidad va por tanto de izquierda a derecha, es decir, cambios en la masa monetaria provocan variaciones en el nivel de precios</w:t>
      </w:r>
      <w:r>
        <w:rPr>
          <w:rStyle w:val="Refdenotaalpie"/>
        </w:rPr>
        <w:footnoteReference w:id="6"/>
      </w:r>
      <w:r>
        <w:t>. Como consecuencia:</w:t>
      </w:r>
    </w:p>
    <w:p w14:paraId="7CE57E36" w14:textId="6BE43AE7" w:rsidR="000B0ECA" w:rsidRDefault="000B0ECA" w:rsidP="00C62A40">
      <w:pPr>
        <w:pStyle w:val="Nivel2SM"/>
      </w:pPr>
      <w:r>
        <w:t xml:space="preserve">Cambios en la oferta de dinero se trasladan a precios. </w:t>
      </w:r>
      <w:r w:rsidRPr="000B0ECA">
        <w:rPr>
          <w:i/>
          <w:iCs/>
          <w:u w:val="single"/>
        </w:rPr>
        <w:t>La inflación es un fenómeno monetario</w:t>
      </w:r>
      <w:r>
        <w:t xml:space="preserve"> (cambios en </w:t>
      </w:r>
      <m:oMath>
        <m:r>
          <m:rPr>
            <m:nor/>
          </m:rPr>
          <w:rPr>
            <w:i/>
            <w:iCs/>
          </w:rPr>
          <m:t>P</m:t>
        </m:r>
      </m:oMath>
      <w:r w:rsidRPr="000B0ECA">
        <w:rPr>
          <w:rFonts w:eastAsiaTheme="minorEastAsia"/>
          <w:iCs/>
        </w:rPr>
        <w:t xml:space="preserve"> se deben a cambios en </w:t>
      </w:r>
      <m:oMath>
        <m:r>
          <m:rPr>
            <m:nor/>
          </m:rPr>
          <w:rPr>
            <w:i/>
            <w:iCs/>
          </w:rPr>
          <m:t>M</m:t>
        </m:r>
      </m:oMath>
      <w:r>
        <w:t>).</w:t>
      </w:r>
    </w:p>
    <w:p w14:paraId="08830524" w14:textId="7C37ED08" w:rsidR="000B0ECA" w:rsidRDefault="000B0ECA" w:rsidP="001871D4">
      <w:pPr>
        <w:pStyle w:val="Nivel2SM"/>
      </w:pPr>
      <w:r w:rsidRPr="000B0ECA">
        <w:rPr>
          <w:i/>
          <w:iCs/>
          <w:u w:val="single"/>
        </w:rPr>
        <w:t>El dinero es neutral</w:t>
      </w:r>
      <w:r>
        <w:t xml:space="preserve"> (cambios en </w:t>
      </w:r>
      <m:oMath>
        <m:r>
          <m:rPr>
            <m:nor/>
          </m:rPr>
          <w:rPr>
            <w:i/>
            <w:iCs/>
          </w:rPr>
          <m:t>M</m:t>
        </m:r>
      </m:oMath>
      <w:r>
        <w:rPr>
          <w:rFonts w:eastAsiaTheme="minorEastAsia"/>
          <w:iCs/>
        </w:rPr>
        <w:t xml:space="preserve"> no afectan a </w:t>
      </w:r>
      <m:oMath>
        <m:r>
          <m:rPr>
            <m:nor/>
          </m:rPr>
          <w:rPr>
            <w:i/>
            <w:iCs/>
          </w:rPr>
          <m:t>Y</m:t>
        </m:r>
      </m:oMath>
      <w:r>
        <w:t>).</w:t>
      </w:r>
    </w:p>
    <w:p w14:paraId="088D4691" w14:textId="4F4F83BC" w:rsidR="000B0ECA" w:rsidRDefault="000B0ECA" w:rsidP="001871D4">
      <w:pPr>
        <w:pStyle w:val="Nivel2SM"/>
      </w:pPr>
      <w:r w:rsidRPr="000B0ECA">
        <w:rPr>
          <w:i/>
          <w:iCs/>
          <w:u w:val="single"/>
        </w:rPr>
        <w:t>Dicotomía clásica</w:t>
      </w:r>
      <w:r>
        <w:t xml:space="preserve">. La economía se puede estudiar en 2 partes: </w:t>
      </w:r>
      <w:r>
        <w:rPr>
          <w:i/>
          <w:iCs/>
        </w:rPr>
        <w:t>i)</w:t>
      </w:r>
      <w:r w:rsidRPr="000B0ECA">
        <w:t> </w:t>
      </w:r>
      <w:r>
        <w:t xml:space="preserve">economía real o teoría del valor (para explicar el funcionamiento de los mercados); y </w:t>
      </w:r>
      <w:proofErr w:type="spellStart"/>
      <w:r>
        <w:rPr>
          <w:i/>
          <w:iCs/>
        </w:rPr>
        <w:t>ii</w:t>
      </w:r>
      <w:proofErr w:type="spellEnd"/>
      <w:r>
        <w:rPr>
          <w:i/>
          <w:iCs/>
        </w:rPr>
        <w:t>)</w:t>
      </w:r>
      <w:r>
        <w:t> economía monetaria (para explicar la inflación).</w:t>
      </w:r>
    </w:p>
    <w:p w14:paraId="7C047BFF" w14:textId="1A83ABFD" w:rsidR="001871D4" w:rsidRDefault="000B0ECA" w:rsidP="001871D4">
      <w:pPr>
        <w:pStyle w:val="Nivel1SM"/>
      </w:pPr>
      <w:r w:rsidRPr="008B5FCB">
        <w:rPr>
          <w:i/>
          <w:iCs/>
        </w:rPr>
        <w:t>Mecanismo de transmisión</w:t>
      </w:r>
      <w:r>
        <w:t xml:space="preserve">: </w:t>
      </w:r>
      <w:r w:rsidR="008B5FCB">
        <w:t>P</w:t>
      </w:r>
      <w:r>
        <w:t>recios.</w:t>
      </w:r>
    </w:p>
    <w:p w14:paraId="51A71306" w14:textId="1F720557" w:rsidR="000B0ECA" w:rsidRPr="001871D4" w:rsidRDefault="000B0ECA" w:rsidP="001871D4">
      <w:pPr>
        <w:pStyle w:val="Nivel1SM"/>
      </w:pPr>
      <w:r w:rsidRPr="008B5FCB">
        <w:rPr>
          <w:i/>
          <w:iCs/>
        </w:rPr>
        <w:t>Efectos</w:t>
      </w:r>
      <w:r>
        <w:t xml:space="preserve">: </w:t>
      </w:r>
      <w:r w:rsidR="008B5FCB">
        <w:t>N</w:t>
      </w:r>
      <w:r>
        <w:t>o existen efectos reales.</w:t>
      </w:r>
    </w:p>
    <w:p w14:paraId="3DC08189" w14:textId="536516B3" w:rsidR="007612BD" w:rsidRDefault="007612BD" w:rsidP="00961AFF">
      <w:pPr>
        <w:pStyle w:val="Ttulo3"/>
      </w:pPr>
      <w:bookmarkStart w:id="12" w:name="_Toc174195932"/>
      <w:r>
        <w:t>Evidencia empírica</w:t>
      </w:r>
      <w:bookmarkEnd w:id="12"/>
    </w:p>
    <w:p w14:paraId="1ABDAB7C" w14:textId="0C2D5E96" w:rsidR="007612BD" w:rsidRDefault="007612BD" w:rsidP="00417A95">
      <w:pPr>
        <w:pStyle w:val="Ttulo6"/>
        <w:spacing w:before="0"/>
      </w:pPr>
      <w:bookmarkStart w:id="13" w:name="_Toc174195933"/>
      <w:r w:rsidRPr="00961AFF">
        <w:rPr>
          <w:smallCaps/>
        </w:rPr>
        <w:t>Friedman</w:t>
      </w:r>
      <w:r w:rsidR="00961AFF">
        <w:t xml:space="preserve"> y </w:t>
      </w:r>
      <w:r w:rsidRPr="00961AFF">
        <w:rPr>
          <w:smallCaps/>
        </w:rPr>
        <w:t>Schwartz</w:t>
      </w:r>
      <w:bookmarkEnd w:id="13"/>
    </w:p>
    <w:p w14:paraId="0671BC28" w14:textId="77777777" w:rsidR="007612BD" w:rsidRDefault="007612BD" w:rsidP="00961AFF">
      <w:pPr>
        <w:pStyle w:val="Ttulo6"/>
      </w:pPr>
      <w:bookmarkStart w:id="14" w:name="_Toc174195934"/>
      <w:r>
        <w:t>Fed de Saint Louis</w:t>
      </w:r>
      <w:bookmarkEnd w:id="14"/>
    </w:p>
    <w:p w14:paraId="65CB2D50" w14:textId="77777777" w:rsidR="00961AFF" w:rsidRPr="00961AFF" w:rsidRDefault="007612BD" w:rsidP="00961AFF">
      <w:pPr>
        <w:pStyle w:val="Ttulo6"/>
        <w:rPr>
          <w:smallCaps/>
        </w:rPr>
      </w:pPr>
      <w:bookmarkStart w:id="15" w:name="_Toc174195935"/>
      <w:r w:rsidRPr="00961AFF">
        <w:rPr>
          <w:smallCaps/>
        </w:rPr>
        <w:t>Sims</w:t>
      </w:r>
      <w:bookmarkEnd w:id="15"/>
    </w:p>
    <w:p w14:paraId="6C5F5B37" w14:textId="77777777" w:rsidR="00961AFF" w:rsidRPr="00961AFF" w:rsidRDefault="00961AFF" w:rsidP="00961AFF">
      <w:pPr>
        <w:pStyle w:val="Ttulo2"/>
      </w:pPr>
      <w:bookmarkStart w:id="16" w:name="_Toc174195936"/>
      <w:r>
        <w:rPr>
          <w:smallCaps/>
        </w:rPr>
        <w:t>John Maynard Keynes</w:t>
      </w:r>
      <w:bookmarkEnd w:id="16"/>
    </w:p>
    <w:p w14:paraId="7609064A" w14:textId="73E5186D" w:rsidR="00961AFF" w:rsidRDefault="00961AFF" w:rsidP="00417A95">
      <w:pPr>
        <w:pStyle w:val="Ttulo3"/>
        <w:spacing w:before="0"/>
      </w:pPr>
      <w:bookmarkStart w:id="17" w:name="_Toc174195937"/>
      <w:r>
        <w:t>Idea</w:t>
      </w:r>
      <w:bookmarkEnd w:id="17"/>
    </w:p>
    <w:p w14:paraId="36E70B1A" w14:textId="034896F0" w:rsidR="000B0ECA" w:rsidRDefault="000B0ECA" w:rsidP="000B0ECA">
      <w:pPr>
        <w:pStyle w:val="Nivel1SM"/>
        <w:spacing w:before="0"/>
      </w:pPr>
      <w:r>
        <w:t xml:space="preserve">Para </w:t>
      </w:r>
      <w:r>
        <w:rPr>
          <w:smallCaps/>
        </w:rPr>
        <w:t>Keynes</w:t>
      </w:r>
      <w:r>
        <w:t>, en cambio, la política monetaria sí que puede afectar a la economía real (i.e. el dinero no es neutral y no se produce la dicotomía clásica).</w:t>
      </w:r>
    </w:p>
    <w:p w14:paraId="5801A849" w14:textId="34F97A85" w:rsidR="00961AFF" w:rsidRDefault="00961AFF" w:rsidP="00961AFF">
      <w:pPr>
        <w:pStyle w:val="Ttulo3"/>
      </w:pPr>
      <w:bookmarkStart w:id="18" w:name="_Toc174195938"/>
      <w:r>
        <w:lastRenderedPageBreak/>
        <w:t>Desarrollo</w:t>
      </w:r>
      <w:bookmarkEnd w:id="18"/>
    </w:p>
    <w:p w14:paraId="2130DB9C" w14:textId="08474050" w:rsidR="000B0ECA" w:rsidRDefault="000B0ECA" w:rsidP="000B0ECA">
      <w:pPr>
        <w:pStyle w:val="Nivel1SM"/>
        <w:keepNext/>
        <w:spacing w:before="0" w:after="0"/>
      </w:pPr>
      <w:r>
        <w:t xml:space="preserve">La clave para alcanzar dicha conclusión se basa en que los tipos de interés se determinan en el mercado de dinero (y no en el mercado de fondos prestables </w:t>
      </w:r>
      <w:r>
        <w:rPr>
          <w:i/>
          <w:iCs/>
        </w:rPr>
        <w:t>à la</w:t>
      </w:r>
      <w:r w:rsidRPr="000B0ECA">
        <w:t xml:space="preserve"> </w:t>
      </w:r>
      <w:r w:rsidRPr="000B0ECA">
        <w:rPr>
          <w:smallCaps/>
        </w:rPr>
        <w:t>Mill</w:t>
      </w:r>
      <w:r w:rsidRPr="000B0ECA">
        <w:t xml:space="preserve"> </w:t>
      </w:r>
      <w:r>
        <w:t xml:space="preserve">como argumentó </w:t>
      </w:r>
      <w:r>
        <w:rPr>
          <w:smallCaps/>
        </w:rPr>
        <w:t>Fisher</w:t>
      </w:r>
      <w:r>
        <w:t>) y estos a su vez afectan a variables reales como la inversión.</w:t>
      </w:r>
    </w:p>
    <w:p w14:paraId="307AE7B3" w14:textId="76188EA4" w:rsidR="000B0ECA" w:rsidRPr="000B0ECA" w:rsidRDefault="000B0ECA" w:rsidP="000B0ECA">
      <w:pPr>
        <w:pStyle w:val="Nivel2SM"/>
      </w:pPr>
      <w:r>
        <w:t xml:space="preserve">Además, la política monetaria se transmite a todos los tipos de interés a lo largo de la </w:t>
      </w:r>
      <w:proofErr w:type="spellStart"/>
      <w:r w:rsidRPr="000B0ECA">
        <w:rPr>
          <w:i/>
          <w:iCs/>
        </w:rPr>
        <w:t>yield</w:t>
      </w:r>
      <w:proofErr w:type="spellEnd"/>
      <w:r w:rsidRPr="000B0ECA">
        <w:rPr>
          <w:i/>
          <w:iCs/>
        </w:rPr>
        <w:t xml:space="preserve"> curve</w:t>
      </w:r>
      <w:r>
        <w:t>, porque los agentes arbitran en precio de activos (compran activos a largo plazo y venden a corto plazo).</w:t>
      </w:r>
    </w:p>
    <w:p w14:paraId="1990543E" w14:textId="66F4B1B3" w:rsidR="00223973" w:rsidRDefault="000B0ECA" w:rsidP="000B0ECA">
      <w:pPr>
        <w:pStyle w:val="Nivel1SM"/>
        <w:keepNext/>
        <w:spacing w:after="0"/>
      </w:pPr>
      <w:r>
        <w:t>Sin embargo, a</w:t>
      </w:r>
      <w:r w:rsidR="00223973">
        <w:t xml:space="preserve"> pesar de que </w:t>
      </w:r>
      <w:r w:rsidR="00223973" w:rsidRPr="009F556F">
        <w:rPr>
          <w:smallCaps/>
        </w:rPr>
        <w:t>Keynes</w:t>
      </w:r>
      <w:r w:rsidR="00223973">
        <w:t xml:space="preserve"> reconoce la eficacia de la política monetaria, destaca que existen 2</w:t>
      </w:r>
      <w:r>
        <w:t> </w:t>
      </w:r>
      <w:r w:rsidR="00223973">
        <w:t>eslabones débiles en los mecanismos anteriores que dificultan que un aumento de la masa monetaria aumente finalmente el nivel de producción:</w:t>
      </w:r>
    </w:p>
    <w:p w14:paraId="50FC8A3E" w14:textId="77777777" w:rsidR="00223973" w:rsidRPr="00FF055B" w:rsidRDefault="00223973">
      <w:pPr>
        <w:pStyle w:val="Prrafodelista"/>
        <w:numPr>
          <w:ilvl w:val="0"/>
          <w:numId w:val="12"/>
        </w:numPr>
        <w:spacing w:after="0"/>
        <w:ind w:left="567" w:hanging="113"/>
      </w:pPr>
      <w:r w:rsidRPr="009F556F">
        <w:rPr>
          <w:i/>
          <w:iCs/>
        </w:rPr>
        <w:t>La trampa de la liquidez</w:t>
      </w:r>
      <w:r>
        <w:t>: La sensibilidad de la demanda de dinero respecto al tipo de interés es muy elevada.</w:t>
      </w:r>
    </w:p>
    <w:p w14:paraId="03503D73" w14:textId="77777777" w:rsidR="00223973" w:rsidRDefault="00223973">
      <w:pPr>
        <w:pStyle w:val="Prrafodelista"/>
        <w:keepNext/>
        <w:numPr>
          <w:ilvl w:val="0"/>
          <w:numId w:val="12"/>
        </w:numPr>
        <w:spacing w:after="0"/>
        <w:ind w:left="567" w:hanging="113"/>
      </w:pPr>
      <w:r w:rsidRPr="009F556F">
        <w:rPr>
          <w:i/>
          <w:iCs/>
        </w:rPr>
        <w:t>Poca sensibilidad de la inversión al tipo de interés</w:t>
      </w:r>
      <w:r>
        <w:t xml:space="preserve">: La inversión está influida principalmente por los </w:t>
      </w:r>
      <w:r w:rsidRPr="009F556F">
        <w:rPr>
          <w:i/>
          <w:iCs/>
        </w:rPr>
        <w:t xml:space="preserve">animal </w:t>
      </w:r>
      <w:proofErr w:type="spellStart"/>
      <w:r w:rsidRPr="009F556F">
        <w:rPr>
          <w:i/>
          <w:iCs/>
        </w:rPr>
        <w:t>spirits</w:t>
      </w:r>
      <w:proofErr w:type="spellEnd"/>
      <w:r>
        <w:t>, por lo que modificaciones de la masa monetaria no alterarán la demanda de dinero respecto a bonos y por lo tanto no se modificarán los tipos de interés.</w:t>
      </w:r>
    </w:p>
    <w:p w14:paraId="25D62408" w14:textId="3C3F7290" w:rsidR="00223973" w:rsidRPr="00223973" w:rsidRDefault="00223973" w:rsidP="000B0ECA">
      <w:pPr>
        <w:pStyle w:val="Nivel3SM"/>
      </w:pPr>
      <w:r>
        <w:t xml:space="preserve">Ambas características hacen que </w:t>
      </w:r>
      <w:r>
        <w:rPr>
          <w:smallCaps/>
        </w:rPr>
        <w:t>Keynes</w:t>
      </w:r>
      <w:r>
        <w:t xml:space="preserve"> dude de la eficacia de la política monetaria frente a la política fiscal, de efectos más ciertos.</w:t>
      </w:r>
    </w:p>
    <w:p w14:paraId="7DD60C27" w14:textId="4B64A715" w:rsidR="00961AFF" w:rsidRDefault="00961AFF" w:rsidP="00961AFF">
      <w:pPr>
        <w:pStyle w:val="Ttulo3"/>
      </w:pPr>
      <w:bookmarkStart w:id="19" w:name="_Toc174195939"/>
      <w:r>
        <w:t>Valoración</w:t>
      </w:r>
      <w:bookmarkEnd w:id="19"/>
    </w:p>
    <w:p w14:paraId="6F6A9E1A" w14:textId="2801EBA9" w:rsidR="001871D4" w:rsidRDefault="001871D4" w:rsidP="001871D4">
      <w:pPr>
        <w:pStyle w:val="Nivel1SM"/>
        <w:spacing w:before="0"/>
      </w:pPr>
      <w:r w:rsidRPr="009B58EC">
        <w:rPr>
          <w:i/>
          <w:iCs/>
        </w:rPr>
        <w:t>Mecanismo de transmisión</w:t>
      </w:r>
      <w:r>
        <w:t>: Tipos de interés a lo largo de toda la curva.</w:t>
      </w:r>
    </w:p>
    <w:p w14:paraId="6CBA7873" w14:textId="52938138" w:rsidR="001871D4" w:rsidRPr="001871D4" w:rsidRDefault="001871D4" w:rsidP="009B58EC">
      <w:pPr>
        <w:pStyle w:val="Nivel1SM"/>
      </w:pPr>
      <w:r w:rsidRPr="009B58EC">
        <w:rPr>
          <w:i/>
          <w:iCs/>
        </w:rPr>
        <w:t>Efectos</w:t>
      </w:r>
      <w:r>
        <w:t>: La política monetaria tiene efectos sobre el producto, pero menores que la política fiscal.</w:t>
      </w:r>
    </w:p>
    <w:p w14:paraId="54710816" w14:textId="77777777" w:rsidR="00961AFF" w:rsidRDefault="00961AFF" w:rsidP="00961AFF">
      <w:pPr>
        <w:pStyle w:val="Ttulo2"/>
      </w:pPr>
      <w:bookmarkStart w:id="20" w:name="_Toc174195940"/>
      <w:r w:rsidRPr="00961AFF">
        <w:t>S</w:t>
      </w:r>
      <w:r>
        <w:t>í</w:t>
      </w:r>
      <w:r w:rsidRPr="00961AFF">
        <w:t>n</w:t>
      </w:r>
      <w:r>
        <w:t>tesis neoclásica</w:t>
      </w:r>
      <w:bookmarkEnd w:id="20"/>
    </w:p>
    <w:p w14:paraId="54098E82" w14:textId="66292892" w:rsidR="00961AFF" w:rsidRDefault="001871D4" w:rsidP="00417A95">
      <w:pPr>
        <w:pStyle w:val="Ttulo3"/>
        <w:spacing w:before="0"/>
      </w:pPr>
      <w:bookmarkStart w:id="21" w:name="_Toc174195941"/>
      <w:r>
        <w:t>Modelo IS-LM</w:t>
      </w:r>
      <w:bookmarkEnd w:id="21"/>
    </w:p>
    <w:p w14:paraId="7DF2DF1A" w14:textId="61E853AA" w:rsidR="001871D4" w:rsidRDefault="001871D4" w:rsidP="001871D4">
      <w:pPr>
        <w:pStyle w:val="Ttulo6"/>
        <w:spacing w:before="0"/>
      </w:pPr>
      <w:bookmarkStart w:id="22" w:name="_Toc174195942"/>
      <w:r>
        <w:t>Idea</w:t>
      </w:r>
      <w:bookmarkEnd w:id="22"/>
    </w:p>
    <w:p w14:paraId="28DE8E28" w14:textId="1AFE725B" w:rsidR="001871D4" w:rsidRDefault="001871D4" w:rsidP="000A25EB">
      <w:pPr>
        <w:pStyle w:val="Nivel1SM"/>
        <w:spacing w:before="0"/>
      </w:pPr>
      <w:r>
        <w:t>El modelo</w:t>
      </w:r>
      <w:r w:rsidR="007D4E08">
        <w:t> </w:t>
      </w:r>
      <w:r>
        <w:t xml:space="preserve">IS-LM (elaborado por </w:t>
      </w:r>
      <w:r>
        <w:rPr>
          <w:smallCaps/>
        </w:rPr>
        <w:t>Hicks</w:t>
      </w:r>
      <w:r>
        <w:t xml:space="preserve"> y desarrollado por otros autores como </w:t>
      </w:r>
      <w:r>
        <w:rPr>
          <w:smallCaps/>
        </w:rPr>
        <w:t>Hansen</w:t>
      </w:r>
      <w:r>
        <w:t xml:space="preserve"> y </w:t>
      </w:r>
      <w:r>
        <w:rPr>
          <w:smallCaps/>
        </w:rPr>
        <w:t>Modigliani</w:t>
      </w:r>
      <w:r>
        <w:t xml:space="preserve"> poco después de la publicación de la </w:t>
      </w:r>
      <w:r>
        <w:rPr>
          <w:i/>
          <w:iCs/>
        </w:rPr>
        <w:t>Teoría General</w:t>
      </w:r>
      <w:r>
        <w:t xml:space="preserve"> (1936)) muestra como la política monetaria puede tener efectos al estimular la demanda (debido al supuesto de rigidez de precios).</w:t>
      </w:r>
    </w:p>
    <w:p w14:paraId="5C873E0F" w14:textId="7067E7CA" w:rsidR="001871D4" w:rsidRPr="001871D4" w:rsidRDefault="002E0DAF" w:rsidP="001871D4">
      <w:pPr>
        <w:pStyle w:val="Nivel1SM"/>
      </w:pPr>
      <w:r>
        <w:t>A pesar de su antigüedad, la mayoría de los modelos desarrollados por la OCDE, FMI y los bancos centrales nacionales confirman efectos desbordamiento y mecanismos de transmisión de las políticas monetarias análogos a los que predice el modelo.</w:t>
      </w:r>
    </w:p>
    <w:p w14:paraId="3694DF2C" w14:textId="56848C27" w:rsidR="001871D4" w:rsidRDefault="001871D4" w:rsidP="001871D4">
      <w:pPr>
        <w:pStyle w:val="Ttulo6"/>
      </w:pPr>
      <w:bookmarkStart w:id="23" w:name="_Toc174195943"/>
      <w:r>
        <w:t>Desarrollo</w:t>
      </w:r>
      <w:bookmarkEnd w:id="23"/>
    </w:p>
    <w:p w14:paraId="3601A66F" w14:textId="2B19C156" w:rsidR="008B5FCB" w:rsidRDefault="000A25EB" w:rsidP="000A25EB">
      <w:pPr>
        <w:pStyle w:val="Nivel1SM"/>
        <w:spacing w:before="0"/>
      </w:pPr>
      <w:r>
        <w:t>El modelo IS-LM parte del supuesto de que los precios son rígidos, la oferta de dinero es exógena (viene determinada por la autoridad monetaria) y la demanda de dinero es una función estable en el tipo de interés.</w:t>
      </w:r>
    </w:p>
    <w:p w14:paraId="77FC5999" w14:textId="262FC7A6" w:rsidR="000A25EB" w:rsidRDefault="000A25EB" w:rsidP="000A25EB">
      <w:pPr>
        <w:pStyle w:val="Nivel1SM"/>
        <w:keepNext/>
        <w:spacing w:after="0"/>
      </w:pPr>
      <w:r>
        <w:t>De este modo, el modelo se basa en el equilibrio en 3 mercados que queda reflejado en 2 curvas:</w:t>
      </w:r>
    </w:p>
    <w:p w14:paraId="1BA4DAF2" w14:textId="0E3354FE" w:rsidR="000A25EB" w:rsidRDefault="000A25EB">
      <w:pPr>
        <w:pStyle w:val="Prrafodelista"/>
        <w:numPr>
          <w:ilvl w:val="0"/>
          <w:numId w:val="22"/>
        </w:numPr>
        <w:spacing w:after="100"/>
        <w:ind w:left="568" w:hanging="284"/>
      </w:pPr>
      <w:r w:rsidRPr="000A25EB">
        <w:rPr>
          <w:i/>
          <w:iCs/>
          <w:u w:val="single"/>
          <w14:glow w14:rad="38100">
            <w14:srgbClr w14:val="5F2987">
              <w14:alpha w14:val="75294"/>
            </w14:srgbClr>
          </w14:glow>
        </w:rPr>
        <w:t>Curva</w:t>
      </w:r>
      <w:r w:rsidR="00277E9F">
        <w:rPr>
          <w:i/>
          <w:iCs/>
          <w:u w:val="single"/>
          <w14:glow w14:rad="38100">
            <w14:srgbClr w14:val="5F2987">
              <w14:alpha w14:val="75294"/>
            </w14:srgbClr>
          </w14:glow>
        </w:rPr>
        <w:t> </w:t>
      </w:r>
      <w:r w:rsidRPr="000A25EB">
        <w:rPr>
          <w:i/>
          <w:iCs/>
          <w:u w:val="single"/>
          <w14:glow w14:rad="38100">
            <w14:srgbClr w14:val="5F2987">
              <w14:alpha w14:val="75294"/>
            </w14:srgbClr>
          </w14:glow>
        </w:rPr>
        <w:t>IS</w:t>
      </w:r>
      <w:r>
        <w:t>: Refleja las combinaciones de tipo de interés y nivel de producción que conducen al equilibrio en el mercado de bienes. Será decreciente, pues si aumenta el tipo de interés se reducirá la inversión y con ello el nivel de producción.</w:t>
      </w:r>
    </w:p>
    <w:p w14:paraId="120AFC01" w14:textId="27AA92FF" w:rsidR="000A25EB" w:rsidRDefault="000A25EB">
      <w:pPr>
        <w:pStyle w:val="Prrafodelista"/>
        <w:numPr>
          <w:ilvl w:val="0"/>
          <w:numId w:val="22"/>
        </w:numPr>
        <w:spacing w:after="100"/>
        <w:ind w:left="568" w:hanging="284"/>
      </w:pPr>
      <w:r>
        <w:rPr>
          <w:i/>
          <w:iCs/>
          <w:u w:val="single"/>
          <w14:glow w14:rad="38100">
            <w14:srgbClr w14:val="00B050">
              <w14:alpha w14:val="75000"/>
            </w14:srgbClr>
          </w14:glow>
        </w:rPr>
        <w:t>Curva</w:t>
      </w:r>
      <w:r w:rsidR="00277E9F">
        <w:rPr>
          <w:i/>
          <w:iCs/>
          <w:u w:val="single"/>
          <w14:glow w14:rad="38100">
            <w14:srgbClr w14:val="00B050">
              <w14:alpha w14:val="75000"/>
            </w14:srgbClr>
          </w14:glow>
        </w:rPr>
        <w:t> </w:t>
      </w:r>
      <w:r>
        <w:rPr>
          <w:i/>
          <w:iCs/>
          <w:u w:val="single"/>
          <w14:glow w14:rad="38100">
            <w14:srgbClr w14:val="00B050">
              <w14:alpha w14:val="75000"/>
            </w14:srgbClr>
          </w14:glow>
        </w:rPr>
        <w:t>LM</w:t>
      </w:r>
      <w:r>
        <w:t>: Refleja las combinaciones de tipo de interés y nivel de producción que conducen al equilibrio en el mercado monetario y en el mercado de bonos. Será creciente, pues si aumenta el nivel de producción, aumentará la demanda de dinero y será necesario un mayor tipo de interés para equilibrar el mercado monetario.</w:t>
      </w:r>
    </w:p>
    <w:p w14:paraId="338A0496" w14:textId="3D19BFB5" w:rsidR="000A25EB" w:rsidRDefault="005A14FD" w:rsidP="008B5FCB">
      <w:pPr>
        <w:pStyle w:val="Nivel1SM"/>
      </w:pPr>
      <w:r>
        <w:t>Así, un aumento en la oferta monetaria, se reducirá el tipo de interés que alcanza el equilibrio del mercado monetario para cada nivel de renta</w:t>
      </w:r>
      <w:r w:rsidR="00253655">
        <w:t xml:space="preserve"> (i.e. la curva</w:t>
      </w:r>
      <w:r w:rsidR="00277E9F">
        <w:t> </w:t>
      </w:r>
      <w:r w:rsidR="00253655">
        <w:t>LM se desplazará hacia abajo).</w:t>
      </w:r>
    </w:p>
    <w:p w14:paraId="61C8DF21" w14:textId="0C4E967E" w:rsidR="00253655" w:rsidRDefault="00253655" w:rsidP="00253655">
      <w:pPr>
        <w:pStyle w:val="Ttuloimagen"/>
        <w:rPr>
          <w:i/>
          <w:iCs/>
          <w:smallCaps w:val="0"/>
        </w:rPr>
      </w:pPr>
      <w:r>
        <w:lastRenderedPageBreak/>
        <w:t>Imagen </w:t>
      </w:r>
      <w:r>
        <w:fldChar w:fldCharType="begin"/>
      </w:r>
      <w:r>
        <w:instrText xml:space="preserve"> SEQ Ilustración \* ARABIC </w:instrText>
      </w:r>
      <w:r>
        <w:fldChar w:fldCharType="separate"/>
      </w:r>
      <w:r w:rsidR="003F54C7">
        <w:t>1</w:t>
      </w:r>
      <w:r>
        <w:fldChar w:fldCharType="end"/>
      </w:r>
      <w:r>
        <w:rPr>
          <w:smallCaps w:val="0"/>
        </w:rPr>
        <w:t xml:space="preserve">.– </w:t>
      </w:r>
      <w:r>
        <w:rPr>
          <w:i/>
          <w:iCs/>
          <w:smallCaps w:val="0"/>
        </w:rPr>
        <w:t>Política monetaria expansiva en el modelo</w:t>
      </w:r>
      <w:r w:rsidR="00277E9F">
        <w:rPr>
          <w:i/>
          <w:iCs/>
          <w:smallCaps w:val="0"/>
        </w:rPr>
        <w:t> </w:t>
      </w:r>
      <w:r>
        <w:rPr>
          <w:i/>
          <w:iCs/>
          <w:smallCaps w:val="0"/>
        </w:rPr>
        <w:t>IS-LM</w:t>
      </w:r>
    </w:p>
    <w:p w14:paraId="1F5C1EFB" w14:textId="58EE9974" w:rsidR="00253655" w:rsidRDefault="00E035A9" w:rsidP="00253655">
      <w:pPr>
        <w:pStyle w:val="Imagen"/>
      </w:pPr>
      <w:r>
        <w:drawing>
          <wp:inline distT="0" distB="0" distL="0" distR="0" wp14:anchorId="5481E210" wp14:editId="68BF4D2F">
            <wp:extent cx="4007886" cy="2160000"/>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pic:cNvPicPr/>
                  </pic:nvPicPr>
                  <pic:blipFill rotWithShape="1">
                    <a:blip r:embed="rId12"/>
                    <a:srcRect t="949" b="3233"/>
                    <a:stretch/>
                  </pic:blipFill>
                  <pic:spPr bwMode="auto">
                    <a:xfrm>
                      <a:off x="0" y="0"/>
                      <a:ext cx="4007886" cy="2160000"/>
                    </a:xfrm>
                    <a:prstGeom prst="rect">
                      <a:avLst/>
                    </a:prstGeom>
                    <a:ln>
                      <a:noFill/>
                    </a:ln>
                    <a:extLst>
                      <a:ext uri="{53640926-AAD7-44D8-BBD7-CCE9431645EC}">
                        <a14:shadowObscured xmlns:a14="http://schemas.microsoft.com/office/drawing/2010/main"/>
                      </a:ext>
                    </a:extLst>
                  </pic:spPr>
                </pic:pic>
              </a:graphicData>
            </a:graphic>
          </wp:inline>
        </w:drawing>
      </w:r>
    </w:p>
    <w:p w14:paraId="7CE867F6" w14:textId="75D96B3E" w:rsidR="00253655" w:rsidRPr="00253655" w:rsidRDefault="00253655" w:rsidP="00253655">
      <w:pPr>
        <w:pStyle w:val="PiedeImagen"/>
        <w:rPr>
          <w:i w:val="0"/>
          <w:iCs/>
        </w:rPr>
      </w:pPr>
      <w:r>
        <w:t>Fuente</w:t>
      </w:r>
      <w:r>
        <w:rPr>
          <w:i w:val="0"/>
          <w:iCs/>
        </w:rPr>
        <w:t>: Elaboración propia</w:t>
      </w:r>
    </w:p>
    <w:p w14:paraId="1B394379" w14:textId="75F4639B" w:rsidR="00253655" w:rsidRDefault="00253655" w:rsidP="00253655">
      <w:pPr>
        <w:pStyle w:val="Nivel1SM"/>
        <w:keepNext/>
        <w:spacing w:after="0"/>
      </w:pPr>
      <w:r>
        <w:rPr>
          <w:smallCaps/>
        </w:rPr>
        <w:t>Hicks</w:t>
      </w:r>
      <w:r>
        <w:t xml:space="preserve"> argumenta que en una situación de depresión económica (economía keynesiana), la sustitución de dinero-bonos puede no darse debido a la </w:t>
      </w:r>
      <w:r w:rsidRPr="00253655">
        <w:rPr>
          <w:i/>
          <w:iCs/>
        </w:rPr>
        <w:t>trampa de liquidez</w:t>
      </w:r>
      <w:r>
        <w:t xml:space="preserve"> (el nuevo dinero se atesora en lugar de ser gastado).</w:t>
      </w:r>
    </w:p>
    <w:p w14:paraId="3B9E2406" w14:textId="4966C274" w:rsidR="00253655" w:rsidRDefault="00253655" w:rsidP="00253655">
      <w:pPr>
        <w:pStyle w:val="Nivel2SM"/>
      </w:pPr>
      <w:r>
        <w:t>A nivel gráfico, esto se representaría mediante una LM</w:t>
      </w:r>
      <w:r w:rsidR="00CC3B84">
        <w:t> </w:t>
      </w:r>
      <w:r>
        <w:t>horizontal (elasticidad de la demanda de dinero al tipo de interés infinita).</w:t>
      </w:r>
    </w:p>
    <w:p w14:paraId="22B548C5" w14:textId="20012D84" w:rsidR="00253655" w:rsidRPr="00277E9F" w:rsidRDefault="00253655" w:rsidP="00253655">
      <w:pPr>
        <w:pStyle w:val="Nivel2SM"/>
        <w:rPr>
          <w:spacing w:val="-1"/>
        </w:rPr>
      </w:pPr>
      <w:r w:rsidRPr="00277E9F">
        <w:rPr>
          <w:spacing w:val="-1"/>
        </w:rPr>
        <w:t>En estas circunstancias, el aumento de la oferta monetaria no produce una reducción del tipo de interés, por lo que la inversión no aumenta y el nivel de producción tampoco. Es decir, en un subsistema keynesiano, los efectos de la política monetaria se ven limitados por la existencia de los 2 eslabones débiles (trampa de liquidez e inversión insensible al tipo de interés).</w:t>
      </w:r>
    </w:p>
    <w:p w14:paraId="70EDA03A" w14:textId="0B15D6F7" w:rsidR="001871D4" w:rsidRDefault="001871D4" w:rsidP="001871D4">
      <w:pPr>
        <w:pStyle w:val="Ttulo6"/>
      </w:pPr>
      <w:bookmarkStart w:id="24" w:name="_Toc174195944"/>
      <w:r>
        <w:t>Valoración</w:t>
      </w:r>
      <w:bookmarkEnd w:id="24"/>
    </w:p>
    <w:p w14:paraId="5FE484F1" w14:textId="715E2F6A" w:rsidR="008B5FCB" w:rsidRDefault="008B5FCB" w:rsidP="000A25EB">
      <w:pPr>
        <w:pStyle w:val="Nivel1SM"/>
        <w:spacing w:before="0"/>
      </w:pPr>
      <w:r w:rsidRPr="008B5FCB">
        <w:rPr>
          <w:i/>
          <w:iCs/>
        </w:rPr>
        <w:t>Mecanismo de transmisión</w:t>
      </w:r>
      <w:r>
        <w:t>: Tipo de interés.</w:t>
      </w:r>
    </w:p>
    <w:p w14:paraId="311C6728" w14:textId="68B19E0A" w:rsidR="008B5FCB" w:rsidRPr="008B5FCB" w:rsidRDefault="008B5FCB" w:rsidP="008B5FCB">
      <w:pPr>
        <w:pStyle w:val="Nivel1SM"/>
      </w:pPr>
      <w:r w:rsidRPr="008B5FCB">
        <w:rPr>
          <w:i/>
          <w:iCs/>
        </w:rPr>
        <w:t>Efectos</w:t>
      </w:r>
      <w:r>
        <w:t>: La política monetaria tiene efectos reales (su efecto dependerá de las elasticidades de las curvas</w:t>
      </w:r>
      <w:r w:rsidR="00CC3B84">
        <w:t> </w:t>
      </w:r>
      <w:r>
        <w:t>IS y LM)</w:t>
      </w:r>
    </w:p>
    <w:p w14:paraId="15795E00" w14:textId="15ECE894" w:rsidR="00961AFF" w:rsidRDefault="001871D4" w:rsidP="00961AFF">
      <w:pPr>
        <w:pStyle w:val="Ttulo3"/>
      </w:pPr>
      <w:bookmarkStart w:id="25" w:name="_Toc174195945"/>
      <w:r>
        <w:t>Curva de Phillips</w:t>
      </w:r>
      <w:bookmarkEnd w:id="25"/>
    </w:p>
    <w:p w14:paraId="37405217" w14:textId="711430FE" w:rsidR="00961AFF" w:rsidRDefault="001871D4" w:rsidP="001871D4">
      <w:pPr>
        <w:pStyle w:val="Ttulo6"/>
        <w:spacing w:before="0"/>
      </w:pPr>
      <w:bookmarkStart w:id="26" w:name="_Toc174195946"/>
      <w:r>
        <w:t>Idea</w:t>
      </w:r>
      <w:bookmarkEnd w:id="26"/>
    </w:p>
    <w:p w14:paraId="2EA87610" w14:textId="4AB2E633" w:rsidR="00BF1E81" w:rsidRDefault="0072000F" w:rsidP="000A25EB">
      <w:pPr>
        <w:pStyle w:val="Nivel1SM"/>
        <w:spacing w:before="0"/>
      </w:pPr>
      <w:r>
        <w:t xml:space="preserve">El modelo IS-LM trabaja con rigideces nominales. Por tanto, se necesita otra teoría que estudie la formación de precios a nivel agregado. Para ello, los economistas de la síntesis neoclásica trabajan con la </w:t>
      </w:r>
      <w:r w:rsidRPr="0072000F">
        <w:rPr>
          <w:i/>
          <w:iCs/>
          <w:u w:val="single"/>
        </w:rPr>
        <w:t>curva de Phillips</w:t>
      </w:r>
      <w:r>
        <w:t>, que establece una relación negativa y no lineal entre inflación y desempleo.</w:t>
      </w:r>
    </w:p>
    <w:p w14:paraId="4C362026" w14:textId="68F5B999" w:rsidR="0072000F" w:rsidRPr="00BF1E81" w:rsidRDefault="0072000F" w:rsidP="00BF1E81">
      <w:pPr>
        <w:pStyle w:val="Nivel1SM"/>
      </w:pPr>
      <w:r>
        <w:rPr>
          <w:smallCaps/>
        </w:rPr>
        <w:t>Samuelson</w:t>
      </w:r>
      <w:r>
        <w:t xml:space="preserve"> y </w:t>
      </w:r>
      <w:r w:rsidRPr="0072000F">
        <w:rPr>
          <w:smallCaps/>
        </w:rPr>
        <w:t>Solow</w:t>
      </w:r>
      <w:r>
        <w:t xml:space="preserve"> (1960) consideran que la curva de Phillips proporciona un menú de política económica.</w:t>
      </w:r>
    </w:p>
    <w:p w14:paraId="276DD49C" w14:textId="14AEE1A8" w:rsidR="001871D4" w:rsidRDefault="001871D4" w:rsidP="00961AFF">
      <w:pPr>
        <w:pStyle w:val="Ttulo6"/>
      </w:pPr>
      <w:bookmarkStart w:id="27" w:name="_Toc174195947"/>
      <w:r>
        <w:t>Desarrollo</w:t>
      </w:r>
      <w:bookmarkEnd w:id="27"/>
    </w:p>
    <w:p w14:paraId="141397E4" w14:textId="01FF2D2D" w:rsidR="00BF1E81" w:rsidRPr="00BF1E81" w:rsidRDefault="0072000F" w:rsidP="000A25EB">
      <w:pPr>
        <w:pStyle w:val="Nivel1SM"/>
        <w:spacing w:before="0"/>
      </w:pPr>
      <w:r>
        <w:t>Una política monetaria expansiva que aumenta el empleo a través de una reducción de los salarios reales conllevaría al mismo tiempo un cierto nivel de inflación.</w:t>
      </w:r>
    </w:p>
    <w:p w14:paraId="24361CED" w14:textId="17019BAC" w:rsidR="00961AFF" w:rsidRDefault="001871D4" w:rsidP="00961AFF">
      <w:pPr>
        <w:pStyle w:val="Ttulo6"/>
      </w:pPr>
      <w:bookmarkStart w:id="28" w:name="_Toc174195948"/>
      <w:r>
        <w:t>Valoración</w:t>
      </w:r>
      <w:bookmarkEnd w:id="28"/>
    </w:p>
    <w:p w14:paraId="33BDCB95" w14:textId="7F60DEDE" w:rsidR="00BF1E81" w:rsidRDefault="00BF1E81" w:rsidP="000A25EB">
      <w:pPr>
        <w:pStyle w:val="Nivel1SM"/>
        <w:spacing w:before="0"/>
      </w:pPr>
      <w:r>
        <w:rPr>
          <w:i/>
          <w:iCs/>
        </w:rPr>
        <w:t>Mecanismo de transmisión</w:t>
      </w:r>
      <w:r>
        <w:t>:</w:t>
      </w:r>
      <w:r w:rsidR="0072000F">
        <w:t xml:space="preserve"> Salarios reales.</w:t>
      </w:r>
    </w:p>
    <w:p w14:paraId="317723B1" w14:textId="72CB9570" w:rsidR="00BF1E81" w:rsidRPr="00BF1E81" w:rsidRDefault="00BF1E81" w:rsidP="00BF1E81">
      <w:pPr>
        <w:pStyle w:val="Nivel1SM"/>
      </w:pPr>
      <w:r>
        <w:rPr>
          <w:i/>
          <w:iCs/>
        </w:rPr>
        <w:t>Efectos</w:t>
      </w:r>
      <w:r>
        <w:t>: La política monetaria tiene efectos</w:t>
      </w:r>
      <w:r w:rsidR="0072000F">
        <w:t>: una parte sobre la reducción del desempleo y otra sobre el aumento de la inflación.</w:t>
      </w:r>
    </w:p>
    <w:p w14:paraId="565D78B8" w14:textId="77777777" w:rsidR="00961AFF" w:rsidRDefault="00961AFF" w:rsidP="00961AFF">
      <w:pPr>
        <w:pStyle w:val="Ttulo2"/>
      </w:pPr>
      <w:bookmarkStart w:id="29" w:name="_Toc174195949"/>
      <w:r>
        <w:rPr>
          <w:smallCaps/>
        </w:rPr>
        <w:t xml:space="preserve">Milton </w:t>
      </w:r>
      <w:r w:rsidRPr="00961AFF">
        <w:rPr>
          <w:smallCaps/>
        </w:rPr>
        <w:t>Friedman</w:t>
      </w:r>
      <w:r>
        <w:t xml:space="preserve"> y los monetaristas</w:t>
      </w:r>
      <w:bookmarkEnd w:id="29"/>
    </w:p>
    <w:p w14:paraId="26191B29" w14:textId="5F41320E" w:rsidR="00961AFF" w:rsidRDefault="00961AFF" w:rsidP="00417A95">
      <w:pPr>
        <w:pStyle w:val="Ttulo3"/>
        <w:spacing w:before="0"/>
      </w:pPr>
      <w:bookmarkStart w:id="30" w:name="_Toc174195950"/>
      <w:r>
        <w:t>Idea</w:t>
      </w:r>
      <w:bookmarkEnd w:id="30"/>
    </w:p>
    <w:p w14:paraId="632A1A60" w14:textId="568AE1E4" w:rsidR="00961AFF" w:rsidRDefault="00961AFF" w:rsidP="00417A95">
      <w:pPr>
        <w:pStyle w:val="Nivel1SM"/>
        <w:spacing w:before="0"/>
      </w:pPr>
      <w:r>
        <w:t xml:space="preserve">La posición adoptada por los monetaristas en este debate se resume por la consigna </w:t>
      </w:r>
      <w:proofErr w:type="spellStart"/>
      <w:r>
        <w:rPr>
          <w:i/>
          <w:iCs/>
        </w:rPr>
        <w:t>money</w:t>
      </w:r>
      <w:proofErr w:type="spellEnd"/>
      <w:r>
        <w:rPr>
          <w:i/>
          <w:iCs/>
        </w:rPr>
        <w:t xml:space="preserve"> </w:t>
      </w:r>
      <w:proofErr w:type="spellStart"/>
      <w:r>
        <w:rPr>
          <w:i/>
          <w:iCs/>
        </w:rPr>
        <w:t>matters</w:t>
      </w:r>
      <w:proofErr w:type="spellEnd"/>
      <w:r>
        <w:t>, según la cual las variaciones de la oferta monetaria tendrán un efecto determinante en la demanda agregada.</w:t>
      </w:r>
    </w:p>
    <w:p w14:paraId="2908DE84" w14:textId="124E52CC" w:rsidR="00961AFF" w:rsidRPr="00CC3B84" w:rsidRDefault="00961AFF" w:rsidP="00CC3B84">
      <w:pPr>
        <w:pStyle w:val="Nivel1SM"/>
      </w:pPr>
      <w:r w:rsidRPr="00CC3B84">
        <w:rPr>
          <w:smallCaps/>
        </w:rPr>
        <w:lastRenderedPageBreak/>
        <w:t>Friedman</w:t>
      </w:r>
      <w:r w:rsidRPr="00CC3B84">
        <w:t xml:space="preserve"> va a tratar los temas monetarios tanto desde un punto de vista teórico como desde un punto de vista empírico.</w:t>
      </w:r>
    </w:p>
    <w:p w14:paraId="56D6CCB9" w14:textId="2C5A57A1" w:rsidR="00961AFF" w:rsidRDefault="00961AFF" w:rsidP="00961AFF">
      <w:pPr>
        <w:pStyle w:val="Ttulo3"/>
      </w:pPr>
      <w:bookmarkStart w:id="31" w:name="_Toc174195951"/>
      <w:r>
        <w:t>Desarrollo</w:t>
      </w:r>
      <w:bookmarkEnd w:id="31"/>
    </w:p>
    <w:p w14:paraId="20E07DA7" w14:textId="687C08D0" w:rsidR="00961AFF" w:rsidRDefault="00961AFF" w:rsidP="00417A95">
      <w:pPr>
        <w:pStyle w:val="Nivel1SM"/>
        <w:keepNext/>
        <w:spacing w:before="0" w:after="0"/>
      </w:pPr>
      <w:r>
        <w:t xml:space="preserve">Según </w:t>
      </w:r>
      <w:r>
        <w:rPr>
          <w:smallCaps/>
        </w:rPr>
        <w:t>Friedman</w:t>
      </w:r>
      <w:r>
        <w:t xml:space="preserve">, podemos identificar </w:t>
      </w:r>
      <w:r w:rsidR="00417A95">
        <w:t>3 </w:t>
      </w:r>
      <w:r>
        <w:t>mecanismos de transmisión:</w:t>
      </w:r>
    </w:p>
    <w:p w14:paraId="5709A24B" w14:textId="77777777" w:rsidR="008B5FCB" w:rsidRDefault="00961AFF">
      <w:pPr>
        <w:pStyle w:val="Prrafodelista"/>
        <w:numPr>
          <w:ilvl w:val="0"/>
          <w:numId w:val="20"/>
        </w:numPr>
        <w:spacing w:after="100"/>
        <w:ind w:left="568" w:hanging="284"/>
      </w:pPr>
      <w:r>
        <w:t>Tipo de interés</w:t>
      </w:r>
    </w:p>
    <w:p w14:paraId="5D07F98B" w14:textId="77777777" w:rsidR="008B5FCB" w:rsidRDefault="00961AFF">
      <w:pPr>
        <w:pStyle w:val="Prrafodelista"/>
        <w:numPr>
          <w:ilvl w:val="0"/>
          <w:numId w:val="20"/>
        </w:numPr>
        <w:spacing w:after="100"/>
        <w:ind w:left="568" w:hanging="284"/>
      </w:pPr>
      <w:r>
        <w:t>Efecto riqueza</w:t>
      </w:r>
    </w:p>
    <w:p w14:paraId="278CBA14" w14:textId="44BE8BDA" w:rsidR="00961AFF" w:rsidRDefault="00961AFF">
      <w:pPr>
        <w:pStyle w:val="Prrafodelista"/>
        <w:numPr>
          <w:ilvl w:val="0"/>
          <w:numId w:val="20"/>
        </w:numPr>
        <w:spacing w:after="100"/>
        <w:ind w:left="568" w:hanging="284"/>
      </w:pPr>
      <w:r>
        <w:t>Salarios reales</w:t>
      </w:r>
    </w:p>
    <w:p w14:paraId="443FE731" w14:textId="08C5CBF3" w:rsidR="00961AFF" w:rsidRDefault="00961AFF" w:rsidP="00961AFF">
      <w:pPr>
        <w:pStyle w:val="Ttulo6"/>
      </w:pPr>
      <w:bookmarkStart w:id="32" w:name="_Toc174195952"/>
      <w:r>
        <w:t>Tipo de interés</w:t>
      </w:r>
      <w:r w:rsidR="008229A8">
        <w:t xml:space="preserve"> (modelo IS-LM)</w:t>
      </w:r>
      <w:bookmarkEnd w:id="32"/>
    </w:p>
    <w:p w14:paraId="5A6F4363" w14:textId="0A819712" w:rsidR="00961AFF" w:rsidRDefault="00961AFF" w:rsidP="00417A95">
      <w:pPr>
        <w:pStyle w:val="Nivel1SM"/>
        <w:keepNext/>
        <w:spacing w:before="0" w:after="0"/>
      </w:pPr>
      <w:r>
        <w:t xml:space="preserve">Para </w:t>
      </w:r>
      <w:r>
        <w:rPr>
          <w:smallCaps/>
        </w:rPr>
        <w:t>Friedman</w:t>
      </w:r>
      <w:r>
        <w:t xml:space="preserve">, la política monetaria tendrá mayor efectividad que para </w:t>
      </w:r>
      <w:r>
        <w:rPr>
          <w:smallCaps/>
        </w:rPr>
        <w:t>J.M. Keynes</w:t>
      </w:r>
      <w:r>
        <w:t xml:space="preserve"> y para otros autores de la Síntesis Neoclásica como </w:t>
      </w:r>
      <w:r>
        <w:rPr>
          <w:smallCaps/>
        </w:rPr>
        <w:t>Hicks</w:t>
      </w:r>
      <w:r>
        <w:t xml:space="preserve"> (si bien otros autores de la Síntesis Neoclásica como </w:t>
      </w:r>
      <w:r>
        <w:rPr>
          <w:smallCaps/>
        </w:rPr>
        <w:t>Modigliani</w:t>
      </w:r>
      <w:r>
        <w:t xml:space="preserve"> defendieron la efectividad de la política monetaria). Esto es así, porque para </w:t>
      </w:r>
      <w:r>
        <w:rPr>
          <w:smallCaps/>
        </w:rPr>
        <w:t>Friedman</w:t>
      </w:r>
      <w:r>
        <w:t xml:space="preserve"> no se producirán los </w:t>
      </w:r>
      <w:r w:rsidR="00CC3B84">
        <w:t>2 </w:t>
      </w:r>
      <w:r>
        <w:t>eslabones débiles.</w:t>
      </w:r>
    </w:p>
    <w:p w14:paraId="431A41EA" w14:textId="288D35ED" w:rsidR="00223973" w:rsidRPr="00961AFF" w:rsidRDefault="00223973" w:rsidP="00223973">
      <w:pPr>
        <w:pStyle w:val="Nivel2SM"/>
      </w:pPr>
      <w:r>
        <w:t>Considera que existe sensibilidad reducida de la demanda</w:t>
      </w:r>
      <w:r w:rsidR="00CC3B84">
        <w:t xml:space="preserve"> </w:t>
      </w:r>
      <w:r>
        <w:t>de dinero al tipo de interés (al concebir más activos sustitutos del dinero</w:t>
      </w:r>
      <w:r w:rsidR="008229A8">
        <w:t>)</w:t>
      </w:r>
      <w:r>
        <w:t>.</w:t>
      </w:r>
    </w:p>
    <w:p w14:paraId="701545AB" w14:textId="77777777" w:rsidR="00CC3B84" w:rsidRDefault="00CC3B84" w:rsidP="00CC3B84">
      <w:pPr>
        <w:pStyle w:val="Ttulo6"/>
      </w:pPr>
      <w:bookmarkStart w:id="33" w:name="_Toc174195953"/>
      <w:r>
        <w:t>Efecto riqueza</w:t>
      </w:r>
      <w:bookmarkEnd w:id="33"/>
    </w:p>
    <w:p w14:paraId="7B1EA269" w14:textId="77777777" w:rsidR="00CC3B84" w:rsidRDefault="00CC3B84" w:rsidP="00CC3B84">
      <w:pPr>
        <w:pStyle w:val="Nivel1SM"/>
        <w:spacing w:before="0"/>
      </w:pPr>
      <w:r>
        <w:t xml:space="preserve">La política monetaria puede aumentar la riqueza de los individuos (aumento del </w:t>
      </w:r>
      <w:r>
        <w:rPr>
          <w:i/>
          <w:iCs/>
        </w:rPr>
        <w:t>stock</w:t>
      </w:r>
      <w:r>
        <w:t xml:space="preserve"> de riqueza o de los precios de sus activos), lo que estimula el consumo, elevando la producción. El sustrato teórico de este efecto es la </w:t>
      </w:r>
      <w:r>
        <w:rPr>
          <w:b/>
          <w:bCs/>
        </w:rPr>
        <w:t>teoría de la renta permanente</w:t>
      </w:r>
      <w:r>
        <w:t>, de corte monetarista, según la cual el aumento de la riqueza eleva el nivel de consumo y, en consecuencia, la renta.</w:t>
      </w:r>
    </w:p>
    <w:p w14:paraId="6149888F" w14:textId="77777777" w:rsidR="00CC3B84" w:rsidRDefault="00CC3B84" w:rsidP="00CC3B84">
      <w:pPr>
        <w:pStyle w:val="Nivel1SM"/>
        <w:keepNext/>
        <w:spacing w:after="0"/>
      </w:pPr>
      <w:r>
        <w:t xml:space="preserve">El efecto riqueza tiene </w:t>
      </w:r>
      <w:r w:rsidRPr="00350773">
        <w:rPr>
          <w:b/>
          <w:bCs/>
        </w:rPr>
        <w:t>3</w:t>
      </w:r>
      <w:r>
        <w:rPr>
          <w:b/>
          <w:bCs/>
        </w:rPr>
        <w:t> </w:t>
      </w:r>
      <w:r w:rsidRPr="00350773">
        <w:rPr>
          <w:b/>
          <w:bCs/>
        </w:rPr>
        <w:t>componentes</w:t>
      </w:r>
      <w:r>
        <w:t>:</w:t>
      </w:r>
    </w:p>
    <w:p w14:paraId="5D08BDE0" w14:textId="77777777" w:rsidR="00CC3B84" w:rsidRPr="007156E8" w:rsidRDefault="00CC3B84">
      <w:pPr>
        <w:pStyle w:val="Prrafodelista"/>
        <w:keepNext/>
        <w:numPr>
          <w:ilvl w:val="0"/>
          <w:numId w:val="21"/>
        </w:numPr>
        <w:spacing w:after="0"/>
        <w:ind w:left="567" w:hanging="113"/>
      </w:pPr>
      <w:r w:rsidRPr="008B5FCB">
        <w:rPr>
          <w:i/>
          <w:iCs/>
          <w:u w:val="single"/>
        </w:rPr>
        <w:t>Efecto</w:t>
      </w:r>
      <w:r w:rsidRPr="007156E8">
        <w:rPr>
          <w:i/>
          <w:iCs/>
          <w:u w:val="single"/>
        </w:rPr>
        <w:t xml:space="preserve"> directo</w:t>
      </w:r>
      <w:r w:rsidRPr="007156E8">
        <w:t xml:space="preserve"> (</w:t>
      </w:r>
      <w:r w:rsidRPr="007156E8">
        <w:rPr>
          <w:i/>
          <w:iCs/>
        </w:rPr>
        <w:t xml:space="preserve">efecto </w:t>
      </w:r>
      <w:proofErr w:type="spellStart"/>
      <w:r w:rsidRPr="007156E8">
        <w:rPr>
          <w:i/>
          <w:iCs/>
          <w:smallCaps/>
        </w:rPr>
        <w:t>Pigou</w:t>
      </w:r>
      <w:proofErr w:type="spellEnd"/>
      <w:r w:rsidRPr="007156E8">
        <w:t>): El dinero forma parte de la riqueza de los agentes:</w:t>
      </w:r>
    </w:p>
    <w:p w14:paraId="336911BE" w14:textId="77777777" w:rsidR="00CC3B84" w:rsidRPr="007156E8" w:rsidRDefault="00CC3B84" w:rsidP="00CC3B84">
      <w:pPr>
        <w:pStyle w:val="Nivel2SM"/>
        <w:numPr>
          <w:ilvl w:val="0"/>
          <w:numId w:val="0"/>
        </w:numPr>
        <w:ind w:left="567"/>
      </w:pPr>
      <m:oMathPara>
        <m:oMath>
          <m:r>
            <m:rPr>
              <m:nor/>
            </m:rPr>
            <w:rPr>
              <w:rFonts w:ascii="Times New Roman" w:hAnsi="Times New Roman" w:cs="Times New Roman"/>
              <w:i/>
              <w:iCs/>
            </w:rPr>
            <m:t>↑</m:t>
          </m:r>
          <m:sSup>
            <m:sSupPr>
              <m:ctrlPr>
                <w:rPr>
                  <w:rFonts w:ascii="Cambria Math" w:hAnsi="Cambria Math"/>
                  <w:i/>
                  <w:iCs/>
                </w:rPr>
              </m:ctrlPr>
            </m:sSupPr>
            <m:e>
              <m:r>
                <m:rPr>
                  <m:nor/>
                </m:rPr>
                <w:rPr>
                  <w:i/>
                  <w:iCs/>
                </w:rPr>
                <m:t>M</m:t>
              </m:r>
            </m:e>
            <m:sup>
              <m:r>
                <m:rPr>
                  <m:nor/>
                </m:rPr>
                <w:rPr>
                  <w:i/>
                  <w:iCs/>
                </w:rPr>
                <m:t>S</m:t>
              </m:r>
            </m:sup>
          </m:sSup>
          <m:r>
            <w:rPr>
              <w:rFonts w:ascii="Cambria Math" w:hAnsi="Cambria Math"/>
            </w:rPr>
            <m:t>⟶</m:t>
          </m:r>
          <m:r>
            <m:rPr>
              <m:nor/>
            </m:rPr>
            <w:rPr>
              <w:rFonts w:ascii="Times New Roman" w:hAnsi="Times New Roman" w:cs="Times New Roman"/>
              <w:i/>
              <w:iCs/>
            </w:rPr>
            <m:t>↑</m:t>
          </m:r>
          <m:r>
            <m:rPr>
              <m:nor/>
            </m:rPr>
            <w:rPr>
              <w:i/>
              <w:iCs/>
            </w:rPr>
            <m:t>W</m:t>
          </m:r>
          <m:r>
            <w:rPr>
              <w:rFonts w:ascii="Cambria Math" w:hAnsi="Cambria Math"/>
            </w:rPr>
            <m:t>⟶</m:t>
          </m:r>
          <m:r>
            <m:rPr>
              <m:nor/>
            </m:rPr>
            <w:rPr>
              <w:rFonts w:ascii="Times New Roman" w:hAnsi="Times New Roman" w:cs="Times New Roman"/>
              <w:i/>
              <w:iCs/>
            </w:rPr>
            <m:t>↑</m:t>
          </m:r>
          <m:r>
            <m:rPr>
              <m:nor/>
            </m:rPr>
            <w:rPr>
              <w:i/>
              <w:iCs/>
            </w:rPr>
            <m:t>C</m:t>
          </m:r>
          <m:r>
            <w:rPr>
              <w:rFonts w:ascii="Cambria Math" w:hAnsi="Cambria Math"/>
            </w:rPr>
            <m:t>⟶</m:t>
          </m:r>
          <m:r>
            <m:rPr>
              <m:nor/>
            </m:rPr>
            <w:rPr>
              <w:rFonts w:ascii="Times New Roman" w:hAnsi="Times New Roman" w:cs="Times New Roman"/>
              <w:i/>
              <w:iCs/>
            </w:rPr>
            <m:t>↑</m:t>
          </m:r>
          <m:r>
            <m:rPr>
              <m:nor/>
            </m:rPr>
            <w:rPr>
              <w:i/>
              <w:iCs/>
            </w:rPr>
            <m:t>P</m:t>
          </m:r>
          <m:r>
            <w:rPr>
              <w:rFonts w:ascii="Cambria Math" w:hAnsi="Cambria Math"/>
            </w:rPr>
            <m:t>∙</m:t>
          </m:r>
          <m:r>
            <m:rPr>
              <m:nor/>
            </m:rPr>
            <w:rPr>
              <w:i/>
              <w:iCs/>
            </w:rPr>
            <m:t>Y</m:t>
          </m:r>
        </m:oMath>
      </m:oMathPara>
    </w:p>
    <w:p w14:paraId="60DA77EB" w14:textId="77777777" w:rsidR="00CC3B84" w:rsidRPr="007156E8" w:rsidRDefault="00CC3B84">
      <w:pPr>
        <w:pStyle w:val="Prrafodelista"/>
        <w:keepNext/>
        <w:numPr>
          <w:ilvl w:val="0"/>
          <w:numId w:val="21"/>
        </w:numPr>
        <w:spacing w:after="0"/>
        <w:ind w:left="567" w:hanging="113"/>
      </w:pPr>
      <w:r w:rsidRPr="007156E8">
        <w:rPr>
          <w:i/>
          <w:iCs/>
          <w:u w:val="single"/>
        </w:rPr>
        <w:t>Efecto indirecto por reajuste de carteras</w:t>
      </w:r>
      <w:r w:rsidRPr="007156E8">
        <w:t>: El aumento de la oferta monetaria llevado a cabo por el banco central altera la composición óptima de la cartera de los individuos, lo que les induce a eliminar dicho exceso de dinero comprando el único activo sustitutivo, bonos, lo que hace aumentar su cotización (i.e. bajan los tipos de interés). Los bonos forman parte de la riqueza de los agentes, por lo que al aumentar su precio, aumenta el valor de su riqueza y, con ella, el consumo y la renta:</w:t>
      </w:r>
    </w:p>
    <w:p w14:paraId="383760AB" w14:textId="77777777" w:rsidR="00CC3B84" w:rsidRPr="007156E8" w:rsidRDefault="00CC3B84" w:rsidP="00CC3B84">
      <w:pPr>
        <w:pStyle w:val="Nivel2SM"/>
        <w:numPr>
          <w:ilvl w:val="0"/>
          <w:numId w:val="0"/>
        </w:numPr>
        <w:ind w:left="567"/>
      </w:pPr>
      <m:oMathPara>
        <m:oMath>
          <m:r>
            <m:rPr>
              <m:nor/>
            </m:rPr>
            <w:rPr>
              <w:rFonts w:ascii="Times New Roman" w:hAnsi="Times New Roman" w:cs="Times New Roman"/>
              <w:i/>
              <w:iCs/>
            </w:rPr>
            <m:t>↑</m:t>
          </m:r>
          <m:sSup>
            <m:sSupPr>
              <m:ctrlPr>
                <w:rPr>
                  <w:rFonts w:ascii="Cambria Math" w:hAnsi="Cambria Math"/>
                  <w:i/>
                  <w:iCs/>
                </w:rPr>
              </m:ctrlPr>
            </m:sSupPr>
            <m:e>
              <m:r>
                <m:rPr>
                  <m:nor/>
                </m:rPr>
                <w:rPr>
                  <w:i/>
                  <w:iCs/>
                </w:rPr>
                <m:t>M</m:t>
              </m:r>
            </m:e>
            <m:sup>
              <m:r>
                <m:rPr>
                  <m:nor/>
                </m:rPr>
                <w:rPr>
                  <w:i/>
                  <w:iCs/>
                </w:rPr>
                <m:t>S</m:t>
              </m:r>
            </m:sup>
          </m:sSup>
          <m:r>
            <w:rPr>
              <w:rFonts w:ascii="Cambria Math" w:hAnsi="Cambria Math"/>
            </w:rPr>
            <m:t>⟶</m:t>
          </m:r>
          <m:r>
            <m:rPr>
              <m:nor/>
            </m:rPr>
            <w:rPr>
              <w:rFonts w:ascii="Times New Roman" w:hAnsi="Times New Roman" w:cs="Times New Roman"/>
              <w:i/>
              <w:iCs/>
            </w:rPr>
            <m:t>↑</m:t>
          </m:r>
          <m:sSub>
            <m:sSubPr>
              <m:ctrlPr>
                <w:rPr>
                  <w:rFonts w:ascii="Cambria Math" w:hAnsi="Cambria Math"/>
                  <w:i/>
                  <w:iCs/>
                </w:rPr>
              </m:ctrlPr>
            </m:sSubPr>
            <m:e>
              <m:r>
                <m:rPr>
                  <m:nor/>
                </m:rPr>
                <w:rPr>
                  <w:i/>
                  <w:iCs/>
                </w:rPr>
                <m:t>P</m:t>
              </m:r>
            </m:e>
            <m:sub>
              <m:r>
                <m:rPr>
                  <m:nor/>
                </m:rPr>
                <w:rPr>
                  <w:i/>
                  <w:iCs/>
                </w:rPr>
                <m:t>B</m:t>
              </m:r>
            </m:sub>
          </m:sSub>
          <m:r>
            <w:rPr>
              <w:rFonts w:ascii="Cambria Math" w:hAnsi="Cambria Math"/>
            </w:rPr>
            <m:t>⟶</m:t>
          </m:r>
          <m:r>
            <m:rPr>
              <m:nor/>
            </m:rPr>
            <w:rPr>
              <w:rFonts w:ascii="Times New Roman" w:hAnsi="Times New Roman" w:cs="Times New Roman"/>
              <w:i/>
              <w:iCs/>
            </w:rPr>
            <m:t>↑</m:t>
          </m:r>
          <m:r>
            <m:rPr>
              <m:nor/>
            </m:rPr>
            <w:rPr>
              <w:i/>
              <w:iCs/>
            </w:rPr>
            <m:t>W</m:t>
          </m:r>
          <m:r>
            <w:rPr>
              <w:rFonts w:ascii="Cambria Math" w:hAnsi="Cambria Math"/>
            </w:rPr>
            <m:t>⟶</m:t>
          </m:r>
          <m:r>
            <m:rPr>
              <m:nor/>
            </m:rPr>
            <w:rPr>
              <w:rFonts w:ascii="Times New Roman" w:hAnsi="Times New Roman" w:cs="Times New Roman"/>
              <w:i/>
              <w:iCs/>
            </w:rPr>
            <m:t>↑</m:t>
          </m:r>
          <m:r>
            <m:rPr>
              <m:nor/>
            </m:rPr>
            <w:rPr>
              <w:i/>
              <w:iCs/>
            </w:rPr>
            <m:t>C</m:t>
          </m:r>
          <m:r>
            <w:rPr>
              <w:rFonts w:ascii="Cambria Math" w:hAnsi="Cambria Math"/>
            </w:rPr>
            <m:t>⟶</m:t>
          </m:r>
          <m:r>
            <m:rPr>
              <m:nor/>
            </m:rPr>
            <w:rPr>
              <w:rFonts w:ascii="Times New Roman" w:hAnsi="Times New Roman" w:cs="Times New Roman"/>
              <w:i/>
              <w:iCs/>
            </w:rPr>
            <m:t>↑</m:t>
          </m:r>
          <m:r>
            <m:rPr>
              <m:nor/>
            </m:rPr>
            <w:rPr>
              <w:i/>
              <w:iCs/>
            </w:rPr>
            <m:t>P</m:t>
          </m:r>
          <m:r>
            <w:rPr>
              <w:rFonts w:ascii="Cambria Math" w:hAnsi="Cambria Math"/>
            </w:rPr>
            <m:t>∙</m:t>
          </m:r>
          <m:r>
            <m:rPr>
              <m:nor/>
            </m:rPr>
            <w:rPr>
              <w:i/>
              <w:iCs/>
            </w:rPr>
            <m:t>Y</m:t>
          </m:r>
        </m:oMath>
      </m:oMathPara>
    </w:p>
    <w:p w14:paraId="3F8441FC" w14:textId="77777777" w:rsidR="00CC3B84" w:rsidRPr="007156E8" w:rsidRDefault="00CC3B84">
      <w:pPr>
        <w:pStyle w:val="Prrafodelista"/>
        <w:keepNext/>
        <w:numPr>
          <w:ilvl w:val="0"/>
          <w:numId w:val="21"/>
        </w:numPr>
        <w:spacing w:after="0"/>
        <w:ind w:left="567" w:hanging="113"/>
      </w:pPr>
      <w:r w:rsidRPr="007156E8">
        <w:rPr>
          <w:i/>
          <w:iCs/>
          <w:u w:val="single"/>
        </w:rPr>
        <w:t>Efecto riqueza inducido por los precios</w:t>
      </w:r>
      <w:r w:rsidRPr="007156E8">
        <w:t>: El aumento de la oferta monetaria llevado a cabo por el banco central genera un aumento de los precios que produce una disminución del valor real de los activos expresados en términos nominales, disminuyendo la riqueza:</w:t>
      </w:r>
    </w:p>
    <w:p w14:paraId="4FE42D6C" w14:textId="77777777" w:rsidR="00CC3B84" w:rsidRPr="007156E8" w:rsidRDefault="00CC3B84" w:rsidP="00CC3B84">
      <w:pPr>
        <w:pStyle w:val="Nivel2SM"/>
        <w:numPr>
          <w:ilvl w:val="0"/>
          <w:numId w:val="0"/>
        </w:numPr>
        <w:ind w:left="567"/>
        <w:rPr>
          <w:i/>
          <w:iCs/>
        </w:rPr>
      </w:pPr>
      <m:oMathPara>
        <m:oMath>
          <m:r>
            <m:rPr>
              <m:nor/>
            </m:rPr>
            <w:rPr>
              <w:rFonts w:ascii="Times New Roman" w:hAnsi="Times New Roman" w:cs="Times New Roman"/>
              <w:i/>
              <w:iCs/>
            </w:rPr>
            <m:t>↑</m:t>
          </m:r>
          <m:sSup>
            <m:sSupPr>
              <m:ctrlPr>
                <w:rPr>
                  <w:rFonts w:ascii="Cambria Math" w:hAnsi="Cambria Math"/>
                  <w:i/>
                  <w:iCs/>
                </w:rPr>
              </m:ctrlPr>
            </m:sSupPr>
            <m:e>
              <m:r>
                <m:rPr>
                  <m:nor/>
                </m:rPr>
                <w:rPr>
                  <w:i/>
                  <w:iCs/>
                </w:rPr>
                <m:t>M</m:t>
              </m:r>
            </m:e>
            <m:sup>
              <m:r>
                <m:rPr>
                  <m:nor/>
                </m:rPr>
                <w:rPr>
                  <w:i/>
                  <w:iCs/>
                </w:rPr>
                <m:t>S</m:t>
              </m:r>
            </m:sup>
          </m:sSup>
          <m:r>
            <w:rPr>
              <w:rFonts w:ascii="Cambria Math" w:hAnsi="Cambria Math"/>
            </w:rPr>
            <m:t>⟶</m:t>
          </m:r>
          <m:r>
            <m:rPr>
              <m:nor/>
            </m:rPr>
            <w:rPr>
              <w:rFonts w:ascii="Times New Roman" w:hAnsi="Times New Roman" w:cs="Times New Roman"/>
              <w:i/>
              <w:iCs/>
            </w:rPr>
            <m:t>↑</m:t>
          </m:r>
          <m:r>
            <m:rPr>
              <m:nor/>
            </m:rPr>
            <w:rPr>
              <w:i/>
              <w:iCs/>
            </w:rPr>
            <m:t>P</m:t>
          </m:r>
          <m:r>
            <w:rPr>
              <w:rFonts w:ascii="Cambria Math" w:hAnsi="Cambria Math"/>
            </w:rPr>
            <m:t>⟶</m:t>
          </m:r>
          <m:r>
            <m:rPr>
              <m:nor/>
            </m:rPr>
            <w:rPr>
              <w:rFonts w:ascii="Times New Roman" w:hAnsi="Times New Roman" w:cs="Times New Roman"/>
              <w:i/>
              <w:iCs/>
            </w:rPr>
            <m:t>↓</m:t>
          </m:r>
          <m:r>
            <m:rPr>
              <m:nor/>
            </m:rPr>
            <w:rPr>
              <w:i/>
              <w:iCs/>
            </w:rPr>
            <m:t>W</m:t>
          </m:r>
          <m:r>
            <w:rPr>
              <w:rFonts w:ascii="Cambria Math" w:hAnsi="Cambria Math"/>
            </w:rPr>
            <m:t>⟶</m:t>
          </m:r>
          <m:r>
            <m:rPr>
              <m:nor/>
            </m:rPr>
            <w:rPr>
              <w:rFonts w:ascii="Times New Roman" w:hAnsi="Times New Roman" w:cs="Times New Roman"/>
              <w:i/>
              <w:iCs/>
            </w:rPr>
            <m:t>↓</m:t>
          </m:r>
          <m:r>
            <m:rPr>
              <m:nor/>
            </m:rPr>
            <w:rPr>
              <w:i/>
              <w:iCs/>
            </w:rPr>
            <m:t>C</m:t>
          </m:r>
          <m:r>
            <w:rPr>
              <w:rFonts w:ascii="Cambria Math" w:hAnsi="Cambria Math"/>
            </w:rPr>
            <m:t>⟶</m:t>
          </m:r>
          <m:r>
            <m:rPr>
              <m:nor/>
            </m:rPr>
            <w:rPr>
              <w:rFonts w:ascii="Times New Roman" w:hAnsi="Times New Roman" w:cs="Times New Roman"/>
              <w:i/>
              <w:iCs/>
            </w:rPr>
            <m:t>↓</m:t>
          </m:r>
          <m:r>
            <m:rPr>
              <m:nor/>
            </m:rPr>
            <w:rPr>
              <w:i/>
              <w:iCs/>
            </w:rPr>
            <m:t>P</m:t>
          </m:r>
          <m:r>
            <w:rPr>
              <w:rFonts w:ascii="Cambria Math" w:hAnsi="Cambria Math"/>
            </w:rPr>
            <m:t>∙</m:t>
          </m:r>
          <m:r>
            <m:rPr>
              <m:nor/>
            </m:rPr>
            <w:rPr>
              <w:i/>
              <w:iCs/>
            </w:rPr>
            <m:t>Y</m:t>
          </m:r>
        </m:oMath>
      </m:oMathPara>
    </w:p>
    <w:p w14:paraId="3C125BA4" w14:textId="00F5EEDF" w:rsidR="008229A8" w:rsidRDefault="008229A8" w:rsidP="008229A8">
      <w:pPr>
        <w:pStyle w:val="Ttulo6"/>
      </w:pPr>
      <w:bookmarkStart w:id="34" w:name="_Toc174195954"/>
      <w:r>
        <w:t>Salarios reales (curva de Phillips ampliada con expectativas adaptativas)</w:t>
      </w:r>
      <w:bookmarkEnd w:id="34"/>
    </w:p>
    <w:p w14:paraId="27527347" w14:textId="2271078D" w:rsidR="008229A8" w:rsidRPr="008229A8" w:rsidRDefault="008229A8" w:rsidP="00417A95">
      <w:pPr>
        <w:pStyle w:val="Nivel1SM"/>
        <w:keepNext/>
        <w:spacing w:before="0" w:after="0"/>
      </w:pPr>
      <w:r>
        <w:t>Si la política monetaria inesperada lleva a un mayor nivel de precios del esperado por los agentes, los salarios reales caerán, el nivel de empleo de vaciado es mayor y el desempleo es menor.</w:t>
      </w:r>
    </w:p>
    <w:p w14:paraId="2CADA0A4" w14:textId="4B1A094A" w:rsidR="008229A8" w:rsidRDefault="008229A8" w:rsidP="008229A8">
      <w:pPr>
        <w:pStyle w:val="Nivel2SM"/>
      </w:pPr>
      <w:r>
        <w:t>Sin embargo, los trabajadores actualizan sus expectativas (conforme a la Hipótesis de Expectativas Adaptativas (HEA)), por lo que esto hará que los individuos esperen una mayor inflación en el futuro, por lo que cuando revisen las expectativas los efectos se trasladarán a precios. Por lo tanto, la única manera de conseguir aumentos persistentes en la producción es llevar</w:t>
      </w:r>
      <w:r w:rsidR="00350773">
        <w:t xml:space="preserve"> a cabo políticas monetarias expansivas sorpresivas sistemáticamente, que den lugar a un aumento continuado en el nivel de inflación.</w:t>
      </w:r>
    </w:p>
    <w:p w14:paraId="211D3653" w14:textId="7DB03F95" w:rsidR="008229A8" w:rsidRPr="00961AFF" w:rsidRDefault="008229A8" w:rsidP="008229A8">
      <w:pPr>
        <w:pStyle w:val="Nivel2SM"/>
      </w:pPr>
      <w:r>
        <w:t xml:space="preserve">Por lo tanto, políticas monetarias expansivas llevarán a </w:t>
      </w:r>
      <w:r w:rsidR="00350773">
        <w:t xml:space="preserve">una </w:t>
      </w:r>
      <w:r>
        <w:t xml:space="preserve">mayor inflación </w:t>
      </w:r>
      <w:r w:rsidR="00350773">
        <w:t xml:space="preserve">y a un nivel de output constante </w:t>
      </w:r>
      <w:r>
        <w:t xml:space="preserve">(que para </w:t>
      </w:r>
      <w:r>
        <w:rPr>
          <w:smallCaps/>
        </w:rPr>
        <w:t>Friedman</w:t>
      </w:r>
      <w:r>
        <w:t xml:space="preserve"> depende en último término de factores de oferta).</w:t>
      </w:r>
    </w:p>
    <w:p w14:paraId="211A33A1" w14:textId="1260F316" w:rsidR="007612BD" w:rsidRDefault="00961AFF" w:rsidP="00961AFF">
      <w:pPr>
        <w:pStyle w:val="Ttulo3"/>
      </w:pPr>
      <w:bookmarkStart w:id="35" w:name="_Toc174195955"/>
      <w:r>
        <w:lastRenderedPageBreak/>
        <w:t>Valoración</w:t>
      </w:r>
      <w:bookmarkEnd w:id="35"/>
    </w:p>
    <w:p w14:paraId="1D190784" w14:textId="77777777" w:rsidR="007156E8" w:rsidRDefault="007156E8" w:rsidP="007156E8">
      <w:pPr>
        <w:pStyle w:val="Nivel1SM"/>
        <w:keepNext/>
        <w:spacing w:before="0" w:after="0"/>
      </w:pPr>
      <w:r>
        <w:t xml:space="preserve">No obstante, los monetaristas </w:t>
      </w:r>
      <w:r w:rsidRPr="008242B0">
        <w:rPr>
          <w:b/>
        </w:rPr>
        <w:t>no</w:t>
      </w:r>
      <w:r>
        <w:rPr>
          <w:b/>
        </w:rPr>
        <w:t xml:space="preserve"> apoyan el uso continuado de políticas monetarias</w:t>
      </w:r>
      <w:r>
        <w:t xml:space="preserve"> con fines estabilizadores, sino que, según ellos, esta debe ser </w:t>
      </w:r>
      <w:r>
        <w:rPr>
          <w:i/>
          <w:u w:val="single"/>
        </w:rPr>
        <w:t>reglada</w:t>
      </w:r>
      <w:r>
        <w:rPr>
          <w:rStyle w:val="Refdenotaalpie"/>
        </w:rPr>
        <w:footnoteReference w:id="7"/>
      </w:r>
      <w:r>
        <w:t xml:space="preserve"> y </w:t>
      </w:r>
      <w:r>
        <w:rPr>
          <w:i/>
          <w:u w:val="single"/>
        </w:rPr>
        <w:t>dirigida a controlar la inflación</w:t>
      </w:r>
      <w:r>
        <w:t xml:space="preserve">, por </w:t>
      </w:r>
      <w:r>
        <w:rPr>
          <w:b/>
        </w:rPr>
        <w:t>3 razones</w:t>
      </w:r>
      <w:r>
        <w:t>:</w:t>
      </w:r>
    </w:p>
    <w:p w14:paraId="6442108B" w14:textId="77777777" w:rsidR="007156E8" w:rsidRDefault="007156E8">
      <w:pPr>
        <w:numPr>
          <w:ilvl w:val="0"/>
          <w:numId w:val="33"/>
        </w:numPr>
        <w:tabs>
          <w:tab w:val="left" w:pos="720"/>
        </w:tabs>
        <w:spacing w:after="0"/>
        <w:ind w:left="567" w:right="-130" w:hanging="283"/>
      </w:pPr>
      <w:r>
        <w:rPr>
          <w:i/>
        </w:rPr>
        <w:t>Ecuación perdida del monetarismo</w:t>
      </w:r>
      <w:r>
        <w:t xml:space="preserve">: </w:t>
      </w:r>
      <w:r>
        <w:rPr>
          <w:smallCaps/>
        </w:rPr>
        <w:t>Friedman</w:t>
      </w:r>
      <w:r>
        <w:t xml:space="preserve"> </w:t>
      </w:r>
      <w:r w:rsidRPr="008242B0">
        <w:t>no</w:t>
      </w:r>
      <w:r>
        <w:t xml:space="preserve"> dice en qué medida se trasladarán a precios o a variaciones de la actividad real en el corto plazo las variaciones en la oferta monetaria.</w:t>
      </w:r>
    </w:p>
    <w:p w14:paraId="55818A2C" w14:textId="77777777" w:rsidR="007156E8" w:rsidRDefault="007156E8">
      <w:pPr>
        <w:keepNext/>
        <w:numPr>
          <w:ilvl w:val="0"/>
          <w:numId w:val="33"/>
        </w:numPr>
        <w:tabs>
          <w:tab w:val="left" w:pos="720"/>
        </w:tabs>
        <w:spacing w:after="0"/>
        <w:ind w:left="567" w:right="-130" w:hanging="283"/>
      </w:pPr>
      <w:r>
        <w:rPr>
          <w:i/>
        </w:rPr>
        <w:t>Retardos</w:t>
      </w:r>
      <w:r>
        <w:t xml:space="preserve">, que pueden hacer que la política monetaria tenga efectos procíclicos (un estudio de </w:t>
      </w:r>
      <w:r>
        <w:rPr>
          <w:smallCaps/>
        </w:rPr>
        <w:t>Friedman</w:t>
      </w:r>
      <w:r>
        <w:t xml:space="preserve"> señala que los retardos de la política monetaria podrían ser de 18 meses).</w:t>
      </w:r>
    </w:p>
    <w:p w14:paraId="659EA67B" w14:textId="77777777" w:rsidR="007156E8" w:rsidRDefault="007156E8" w:rsidP="007156E8">
      <w:pPr>
        <w:pStyle w:val="Nivel3SM"/>
      </w:pPr>
      <w:r>
        <w:rPr>
          <w:smallCaps/>
        </w:rPr>
        <w:t>Friedman</w:t>
      </w:r>
      <w:r>
        <w:t xml:space="preserve"> empíricamente observa que los primeros efectos de la política monetaria ocurren entre 6 y 9 meses y afectan al producto, pero este efecto desaparece en 5-10 años, por lo que solo afectarán a los precios.</w:t>
      </w:r>
    </w:p>
    <w:p w14:paraId="12659720" w14:textId="77777777" w:rsidR="007156E8" w:rsidRDefault="007156E8" w:rsidP="007156E8">
      <w:pPr>
        <w:pStyle w:val="Nivel3SM"/>
        <w:keepNext/>
      </w:pPr>
      <w:r>
        <w:t xml:space="preserve">Por tanto, otra aportación relevante de </w:t>
      </w:r>
      <w:r>
        <w:rPr>
          <w:smallCaps/>
        </w:rPr>
        <w:t>Friedman</w:t>
      </w:r>
      <w:r>
        <w:t xml:space="preserve"> es poner peso sobre los retardos a los cuales están sujetas las políticas económicas de demanda. Estos serán:</w:t>
      </w:r>
    </w:p>
    <w:p w14:paraId="5E636351" w14:textId="0C3B7A51" w:rsidR="007156E8" w:rsidRDefault="007156E8">
      <w:pPr>
        <w:pStyle w:val="Nivel3SM"/>
        <w:numPr>
          <w:ilvl w:val="2"/>
          <w:numId w:val="33"/>
        </w:numPr>
        <w:ind w:left="1417" w:hanging="113"/>
      </w:pPr>
      <w:r>
        <w:t>Internos, desde que se detecta la necesidad de actuar hasta que se actúa, y</w:t>
      </w:r>
    </w:p>
    <w:p w14:paraId="25E5F936" w14:textId="77777777" w:rsidR="007156E8" w:rsidRPr="007D3D6B" w:rsidRDefault="007156E8">
      <w:pPr>
        <w:pStyle w:val="Nivel3SM"/>
        <w:numPr>
          <w:ilvl w:val="2"/>
          <w:numId w:val="33"/>
        </w:numPr>
        <w:ind w:left="1417" w:hanging="113"/>
      </w:pPr>
      <w:r w:rsidRPr="007D3D6B">
        <w:t>Externos, desde que se actúa hasta que la política monetaria surte efecto.</w:t>
      </w:r>
    </w:p>
    <w:p w14:paraId="02965DD8" w14:textId="77777777" w:rsidR="007156E8" w:rsidRPr="007D3D6B" w:rsidRDefault="007156E8">
      <w:pPr>
        <w:numPr>
          <w:ilvl w:val="0"/>
          <w:numId w:val="33"/>
        </w:numPr>
        <w:tabs>
          <w:tab w:val="left" w:pos="720"/>
        </w:tabs>
        <w:ind w:left="567" w:right="-130" w:hanging="283"/>
      </w:pPr>
      <w:r w:rsidRPr="007D3D6B">
        <w:rPr>
          <w:i/>
        </w:rPr>
        <w:t>Inefectividad a largo plazo</w:t>
      </w:r>
      <w:r w:rsidRPr="007D3D6B">
        <w:t xml:space="preserve"> por la hipótesis de las expectativas adaptativas y por la teoría cuantitativa del dinero.</w:t>
      </w:r>
    </w:p>
    <w:p w14:paraId="5C83D975" w14:textId="4E593407" w:rsidR="00057F22" w:rsidRDefault="00057F22" w:rsidP="00057F22">
      <w:pPr>
        <w:pStyle w:val="Nivel1SM"/>
        <w:keepNext/>
        <w:spacing w:after="0"/>
      </w:pPr>
      <w:r>
        <w:t>En definitiva, la escuela monetarista propone:</w:t>
      </w:r>
    </w:p>
    <w:p w14:paraId="28E3DDD8" w14:textId="77777777" w:rsidR="00057F22" w:rsidRDefault="00057F22" w:rsidP="00057F22">
      <w:pPr>
        <w:pStyle w:val="Nivel2SM"/>
        <w:keepNext/>
        <w:spacing w:after="0"/>
      </w:pPr>
      <w:r>
        <w:rPr>
          <w:i/>
          <w:iCs/>
        </w:rPr>
        <w:t>Mecanismos de transmisión</w:t>
      </w:r>
      <w:r>
        <w:t>:</w:t>
      </w:r>
    </w:p>
    <w:p w14:paraId="0C09ACC2" w14:textId="77777777" w:rsidR="00057F22" w:rsidRDefault="00057F22" w:rsidP="00057F22">
      <w:pPr>
        <w:pStyle w:val="Nivel3SM"/>
      </w:pPr>
      <w:r>
        <w:t>Tipos de interés</w:t>
      </w:r>
    </w:p>
    <w:p w14:paraId="0E1E949F" w14:textId="77777777" w:rsidR="00057F22" w:rsidRDefault="00057F22" w:rsidP="00057F22">
      <w:pPr>
        <w:pStyle w:val="Nivel3SM"/>
      </w:pPr>
      <w:r>
        <w:t>Salarios reales</w:t>
      </w:r>
    </w:p>
    <w:p w14:paraId="4F2DD46C" w14:textId="46386277" w:rsidR="00057F22" w:rsidRDefault="00057F22" w:rsidP="00057F22">
      <w:pPr>
        <w:pStyle w:val="Nivel3SM"/>
      </w:pPr>
      <w:r>
        <w:t>Efecto riqueza</w:t>
      </w:r>
    </w:p>
    <w:p w14:paraId="4253C7AF" w14:textId="1A8D7F8C" w:rsidR="00057F22" w:rsidRPr="00961AFF" w:rsidRDefault="00057F22" w:rsidP="00057F22">
      <w:pPr>
        <w:pStyle w:val="Nivel2SM"/>
      </w:pPr>
      <w:r>
        <w:rPr>
          <w:i/>
          <w:iCs/>
        </w:rPr>
        <w:t>Efectos</w:t>
      </w:r>
      <w:r>
        <w:t>: La política monetaria puede tener efectos reales a corto plazo, pero a largo plazo afectarán a la inflación (</w:t>
      </w:r>
      <w:r>
        <w:rPr>
          <w:i/>
          <w:iCs/>
        </w:rPr>
        <w:t>“</w:t>
      </w:r>
      <w:proofErr w:type="spellStart"/>
      <w:r>
        <w:rPr>
          <w:i/>
          <w:iCs/>
        </w:rPr>
        <w:t>inflation</w:t>
      </w:r>
      <w:proofErr w:type="spellEnd"/>
      <w:r>
        <w:rPr>
          <w:i/>
          <w:iCs/>
        </w:rPr>
        <w:t xml:space="preserve"> </w:t>
      </w:r>
      <w:proofErr w:type="spellStart"/>
      <w:r>
        <w:rPr>
          <w:i/>
          <w:iCs/>
        </w:rPr>
        <w:t>is</w:t>
      </w:r>
      <w:proofErr w:type="spellEnd"/>
      <w:r>
        <w:rPr>
          <w:i/>
          <w:iCs/>
        </w:rPr>
        <w:t xml:space="preserve"> </w:t>
      </w:r>
      <w:proofErr w:type="spellStart"/>
      <w:r>
        <w:rPr>
          <w:i/>
          <w:iCs/>
        </w:rPr>
        <w:t>always</w:t>
      </w:r>
      <w:proofErr w:type="spellEnd"/>
      <w:r>
        <w:rPr>
          <w:i/>
          <w:iCs/>
        </w:rPr>
        <w:t xml:space="preserve"> and </w:t>
      </w:r>
      <w:proofErr w:type="spellStart"/>
      <w:r>
        <w:rPr>
          <w:i/>
          <w:iCs/>
        </w:rPr>
        <w:t>everywhere</w:t>
      </w:r>
      <w:proofErr w:type="spellEnd"/>
      <w:r>
        <w:rPr>
          <w:i/>
          <w:iCs/>
        </w:rPr>
        <w:t xml:space="preserve"> a </w:t>
      </w:r>
      <w:proofErr w:type="spellStart"/>
      <w:r>
        <w:rPr>
          <w:i/>
          <w:iCs/>
        </w:rPr>
        <w:t>monetary</w:t>
      </w:r>
      <w:proofErr w:type="spellEnd"/>
      <w:r>
        <w:rPr>
          <w:i/>
          <w:iCs/>
        </w:rPr>
        <w:t xml:space="preserve"> </w:t>
      </w:r>
      <w:proofErr w:type="spellStart"/>
      <w:r>
        <w:rPr>
          <w:i/>
          <w:iCs/>
        </w:rPr>
        <w:t>phenomenon</w:t>
      </w:r>
      <w:proofErr w:type="spellEnd"/>
      <w:r>
        <w:rPr>
          <w:i/>
          <w:iCs/>
        </w:rPr>
        <w:t>”</w:t>
      </w:r>
      <w:r>
        <w:t>).</w:t>
      </w:r>
    </w:p>
    <w:p w14:paraId="40561D9C" w14:textId="131A3FBB" w:rsidR="001F20E5" w:rsidRDefault="001F20E5" w:rsidP="00057F22">
      <w:pPr>
        <w:pStyle w:val="Ttulo2"/>
      </w:pPr>
      <w:bookmarkStart w:id="36" w:name="_Toc174195956"/>
      <w:r>
        <w:t>Nueva Macroeconomía Clásica</w:t>
      </w:r>
      <w:bookmarkEnd w:id="36"/>
    </w:p>
    <w:p w14:paraId="765303ED" w14:textId="59B3CAAC" w:rsidR="001F20E5" w:rsidRDefault="001F20E5" w:rsidP="00417A95">
      <w:pPr>
        <w:pStyle w:val="Ttulo3"/>
        <w:spacing w:before="0"/>
      </w:pPr>
      <w:bookmarkStart w:id="37" w:name="_Toc174195957"/>
      <w:r>
        <w:t>Idea</w:t>
      </w:r>
      <w:bookmarkEnd w:id="37"/>
    </w:p>
    <w:p w14:paraId="61732038" w14:textId="22B66BDC" w:rsidR="001F20E5" w:rsidRDefault="001F20E5" w:rsidP="00417A95">
      <w:pPr>
        <w:pStyle w:val="Nivel1SM"/>
        <w:keepNext/>
        <w:spacing w:before="0" w:after="0"/>
      </w:pPr>
      <w:r>
        <w:t>El supuesto de trabajar con HER, limita la efectividad de la política monetaria para aumentar la producción. Podemos citar dos artículos:</w:t>
      </w:r>
    </w:p>
    <w:p w14:paraId="4B548D2B" w14:textId="3275BACC" w:rsidR="001F20E5" w:rsidRDefault="001F20E5" w:rsidP="001F20E5">
      <w:pPr>
        <w:pStyle w:val="Nivel2SM"/>
        <w:rPr>
          <w:lang w:val="en-US"/>
        </w:rPr>
      </w:pPr>
      <w:r w:rsidRPr="001F20E5">
        <w:rPr>
          <w:i/>
          <w:iCs/>
          <w:lang w:val="en-US"/>
        </w:rPr>
        <w:t>Expectations and the neutrality o</w:t>
      </w:r>
      <w:r>
        <w:rPr>
          <w:i/>
          <w:iCs/>
          <w:lang w:val="en-US"/>
        </w:rPr>
        <w:t>f money</w:t>
      </w:r>
      <w:r>
        <w:rPr>
          <w:lang w:val="en-US"/>
        </w:rPr>
        <w:t xml:space="preserve"> de </w:t>
      </w:r>
      <w:r w:rsidRPr="001F20E5">
        <w:rPr>
          <w:smallCaps/>
          <w:lang w:val="en-US"/>
        </w:rPr>
        <w:t>Robert</w:t>
      </w:r>
      <w:r>
        <w:rPr>
          <w:lang w:val="en-US"/>
        </w:rPr>
        <w:t xml:space="preserve"> </w:t>
      </w:r>
      <w:r>
        <w:rPr>
          <w:smallCaps/>
          <w:lang w:val="en-US"/>
        </w:rPr>
        <w:t>Lucas</w:t>
      </w:r>
      <w:r>
        <w:rPr>
          <w:lang w:val="en-US"/>
        </w:rPr>
        <w:t xml:space="preserve"> (1972)</w:t>
      </w:r>
      <w:r w:rsidR="00302AB9">
        <w:rPr>
          <w:lang w:val="en-US"/>
        </w:rPr>
        <w:t>.</w:t>
      </w:r>
    </w:p>
    <w:p w14:paraId="5858A6ED" w14:textId="5136590F" w:rsidR="001F20E5" w:rsidRDefault="00302AB9" w:rsidP="00302AB9">
      <w:pPr>
        <w:pStyle w:val="Nivel2SM"/>
        <w:rPr>
          <w:lang w:val="en-US"/>
        </w:rPr>
      </w:pPr>
      <w:r w:rsidRPr="00302AB9">
        <w:rPr>
          <w:i/>
          <w:iCs/>
          <w:lang w:val="en-US"/>
        </w:rPr>
        <w:t>Rational expectations and the theory of economic policy</w:t>
      </w:r>
      <w:r w:rsidRPr="00302AB9">
        <w:rPr>
          <w:lang w:val="en-US"/>
        </w:rPr>
        <w:t xml:space="preserve"> </w:t>
      </w:r>
      <w:r w:rsidR="001F20E5" w:rsidRPr="00302AB9">
        <w:rPr>
          <w:lang w:val="en-US"/>
        </w:rPr>
        <w:t xml:space="preserve">de </w:t>
      </w:r>
      <w:r w:rsidR="001F20E5" w:rsidRPr="00302AB9">
        <w:rPr>
          <w:smallCaps/>
          <w:lang w:val="en-US"/>
        </w:rPr>
        <w:t>Sargent</w:t>
      </w:r>
      <w:r w:rsidR="001F20E5" w:rsidRPr="00302AB9">
        <w:rPr>
          <w:lang w:val="en-US"/>
        </w:rPr>
        <w:t xml:space="preserve"> y </w:t>
      </w:r>
      <w:r w:rsidR="001F20E5" w:rsidRPr="00302AB9">
        <w:rPr>
          <w:smallCaps/>
          <w:lang w:val="en-US"/>
        </w:rPr>
        <w:t>Wallace</w:t>
      </w:r>
      <w:r w:rsidR="001F20E5" w:rsidRPr="00302AB9">
        <w:rPr>
          <w:lang w:val="en-US"/>
        </w:rPr>
        <w:t xml:space="preserve"> (19</w:t>
      </w:r>
      <w:r w:rsidRPr="00302AB9">
        <w:rPr>
          <w:lang w:val="en-US"/>
        </w:rPr>
        <w:t>7</w:t>
      </w:r>
      <w:r w:rsidR="00214675">
        <w:rPr>
          <w:lang w:val="en-US"/>
        </w:rPr>
        <w:t>6</w:t>
      </w:r>
      <w:r w:rsidR="001F20E5" w:rsidRPr="00302AB9">
        <w:rPr>
          <w:lang w:val="en-US"/>
        </w:rPr>
        <w:t>)</w:t>
      </w:r>
      <w:r>
        <w:rPr>
          <w:lang w:val="en-US"/>
        </w:rPr>
        <w:t>.</w:t>
      </w:r>
    </w:p>
    <w:p w14:paraId="6DA62755" w14:textId="77777777" w:rsidR="00302AB9" w:rsidRDefault="001F20E5" w:rsidP="001F20E5">
      <w:pPr>
        <w:pStyle w:val="Ttulo3"/>
      </w:pPr>
      <w:bookmarkStart w:id="38" w:name="_Toc174195958"/>
      <w:r>
        <w:t>Desarrollo</w:t>
      </w:r>
      <w:bookmarkEnd w:id="38"/>
    </w:p>
    <w:p w14:paraId="346CE012" w14:textId="6DD6A50C" w:rsidR="00302AB9" w:rsidRDefault="00302AB9" w:rsidP="00417A95">
      <w:pPr>
        <w:pStyle w:val="Ttulo6"/>
        <w:spacing w:before="0"/>
        <w:rPr>
          <w:lang w:val="en-US"/>
        </w:rPr>
      </w:pPr>
      <w:bookmarkStart w:id="39" w:name="_Toc174195959"/>
      <w:r w:rsidRPr="00302AB9">
        <w:rPr>
          <w:i/>
          <w:iCs/>
          <w:lang w:val="en-US"/>
        </w:rPr>
        <w:t>Expectations and neutrality of money</w:t>
      </w:r>
      <w:r>
        <w:rPr>
          <w:lang w:val="en-US"/>
        </w:rPr>
        <w:t xml:space="preserve"> (</w:t>
      </w:r>
      <w:r>
        <w:rPr>
          <w:smallCaps/>
          <w:lang w:val="en-US"/>
        </w:rPr>
        <w:t>Robert Lucas</w:t>
      </w:r>
      <w:r>
        <w:rPr>
          <w:lang w:val="en-US"/>
        </w:rPr>
        <w:t>, 1972)</w:t>
      </w:r>
      <w:bookmarkEnd w:id="39"/>
    </w:p>
    <w:p w14:paraId="55AADFAD" w14:textId="77777777" w:rsidR="00302AB9" w:rsidRDefault="00302AB9" w:rsidP="00417A95">
      <w:pPr>
        <w:pStyle w:val="Ttulo7"/>
        <w:spacing w:before="0"/>
      </w:pPr>
      <w:bookmarkStart w:id="41" w:name="_Toc119602575"/>
      <w:bookmarkEnd w:id="40"/>
      <w:r>
        <w:t>Idea</w:t>
      </w:r>
      <w:bookmarkEnd w:id="41"/>
    </w:p>
    <w:p w14:paraId="022188BC" w14:textId="77777777" w:rsidR="00EC1C94" w:rsidRDefault="00EC1C94" w:rsidP="00922177">
      <w:pPr>
        <w:pStyle w:val="Nivel1SM"/>
        <w:keepLines/>
      </w:pPr>
      <w:r w:rsidRPr="006E0E40">
        <w:t xml:space="preserve">En 1972, </w:t>
      </w:r>
      <w:r w:rsidRPr="006E0E40">
        <w:rPr>
          <w:smallCaps/>
        </w:rPr>
        <w:t>Lucas</w:t>
      </w:r>
      <w:r w:rsidRPr="006E0E40">
        <w:t xml:space="preserve"> publica </w:t>
      </w:r>
      <w:proofErr w:type="spellStart"/>
      <w:r w:rsidRPr="006E0E40">
        <w:rPr>
          <w:i/>
          <w:iCs/>
        </w:rPr>
        <w:t>Expectations</w:t>
      </w:r>
      <w:proofErr w:type="spellEnd"/>
      <w:r w:rsidRPr="006E0E40">
        <w:rPr>
          <w:i/>
          <w:iCs/>
        </w:rPr>
        <w:t xml:space="preserve"> and </w:t>
      </w:r>
      <w:proofErr w:type="spellStart"/>
      <w:r w:rsidRPr="006E0E40">
        <w:rPr>
          <w:i/>
          <w:iCs/>
        </w:rPr>
        <w:t>the</w:t>
      </w:r>
      <w:proofErr w:type="spellEnd"/>
      <w:r w:rsidRPr="006E0E40">
        <w:rPr>
          <w:i/>
          <w:iCs/>
        </w:rPr>
        <w:t xml:space="preserve"> </w:t>
      </w:r>
      <w:proofErr w:type="spellStart"/>
      <w:r w:rsidRPr="006E0E40">
        <w:rPr>
          <w:i/>
          <w:iCs/>
        </w:rPr>
        <w:t>Neutrality</w:t>
      </w:r>
      <w:proofErr w:type="spellEnd"/>
      <w:r w:rsidRPr="006E0E40">
        <w:rPr>
          <w:i/>
          <w:iCs/>
        </w:rPr>
        <w:t xml:space="preserve"> </w:t>
      </w:r>
      <w:proofErr w:type="spellStart"/>
      <w:r w:rsidRPr="006E0E40">
        <w:rPr>
          <w:i/>
          <w:iCs/>
        </w:rPr>
        <w:t>of</w:t>
      </w:r>
      <w:proofErr w:type="spellEnd"/>
      <w:r w:rsidRPr="006E0E40">
        <w:rPr>
          <w:i/>
          <w:iCs/>
        </w:rPr>
        <w:t xml:space="preserve"> Money</w:t>
      </w:r>
      <w:r w:rsidRPr="006E0E40">
        <w:t>, que supone una ampliación del artícul</w:t>
      </w:r>
      <w:r>
        <w:t xml:space="preserve">o sobre el mercado de trabajo de </w:t>
      </w:r>
      <w:r>
        <w:rPr>
          <w:smallCaps/>
        </w:rPr>
        <w:t>Lucas</w:t>
      </w:r>
      <w:r>
        <w:t xml:space="preserve"> y </w:t>
      </w:r>
      <w:proofErr w:type="spellStart"/>
      <w:r w:rsidRPr="006E0E40">
        <w:rPr>
          <w:smallCaps/>
        </w:rPr>
        <w:t>Rapping</w:t>
      </w:r>
      <w:proofErr w:type="spellEnd"/>
      <w:r w:rsidRPr="006E0E40">
        <w:t xml:space="preserve"> (1969) conservando las ideas de equilibrio continuo de los mercados y optimización, pero</w:t>
      </w:r>
      <w:r>
        <w:t xml:space="preserve"> enmarcadas en un contexto de equilibrio general con información imperfecta en el que los agentes forman sus expectativas de forma racional (HER).</w:t>
      </w:r>
    </w:p>
    <w:p w14:paraId="5B8754F5" w14:textId="77777777" w:rsidR="00EC1C94" w:rsidRDefault="00EC1C94" w:rsidP="00EC1C94">
      <w:pPr>
        <w:pStyle w:val="Nivel1SM"/>
        <w:keepNext/>
        <w:spacing w:after="0"/>
      </w:pPr>
      <w:r>
        <w:lastRenderedPageBreak/>
        <w:t xml:space="preserve">Además de esta innovación metodológica, la aportación de </w:t>
      </w:r>
      <w:r w:rsidRPr="001F147A">
        <w:rPr>
          <w:smallCaps/>
        </w:rPr>
        <w:t>Lucas</w:t>
      </w:r>
      <w:r>
        <w:t xml:space="preserve"> tuvo importantes consecuencias para el debate de política económica dominante: los efectos de la política monetaria.</w:t>
      </w:r>
    </w:p>
    <w:p w14:paraId="71D331D7" w14:textId="77777777" w:rsidR="00EC1C94" w:rsidRDefault="00EC1C94" w:rsidP="00EC1C94">
      <w:pPr>
        <w:pStyle w:val="Nivel2SM"/>
      </w:pPr>
      <w:r>
        <w:t xml:space="preserve">El modelo de información imperfecta de </w:t>
      </w:r>
      <w:r>
        <w:rPr>
          <w:smallCaps/>
        </w:rPr>
        <w:t>Lucas</w:t>
      </w:r>
      <w:r>
        <w:t xml:space="preserve"> sirvió para fundamentar las ideas presentadas previamente por </w:t>
      </w:r>
      <w:r>
        <w:rPr>
          <w:smallCaps/>
        </w:rPr>
        <w:t>Friedman</w:t>
      </w:r>
      <w:r>
        <w:t xml:space="preserve"> en contra de la explotación de la relación entre inflación y output, abogando por la ineficacia de la política monetaria.</w:t>
      </w:r>
    </w:p>
    <w:p w14:paraId="4E2BF918" w14:textId="77777777" w:rsidR="00EC1C94" w:rsidRPr="006E0E40" w:rsidRDefault="00EC1C94" w:rsidP="00EC1C94">
      <w:pPr>
        <w:pStyle w:val="Nivel1SM"/>
      </w:pPr>
      <w:r>
        <w:t>Vamos a estudiar una simplificación del modelo para ver sus conclusiones principales</w:t>
      </w:r>
      <w:r>
        <w:rPr>
          <w:rStyle w:val="Refdenotaalpie"/>
        </w:rPr>
        <w:footnoteReference w:id="8"/>
      </w:r>
      <w:r>
        <w:t>.</w:t>
      </w:r>
    </w:p>
    <w:p w14:paraId="4F2E5DF1" w14:textId="77777777" w:rsidR="00302AB9" w:rsidRDefault="00302AB9" w:rsidP="00302AB9">
      <w:pPr>
        <w:pStyle w:val="Ttulo7"/>
      </w:pPr>
      <w:r>
        <w:t>Modelo simplificado</w:t>
      </w:r>
      <w:bookmarkEnd w:id="42"/>
    </w:p>
    <w:p w14:paraId="40D6C6FC" w14:textId="77777777" w:rsidR="00302AB9" w:rsidRDefault="00302AB9" w:rsidP="00417A95">
      <w:pPr>
        <w:pStyle w:val="Ttulo8"/>
        <w:spacing w:before="0"/>
      </w:pPr>
      <w:bookmarkStart w:id="43" w:name="_Toc119602577"/>
      <w:r>
        <w:t>Supuestos</w:t>
      </w:r>
      <w:bookmarkEnd w:id="43"/>
    </w:p>
    <w:p w14:paraId="2B58D170" w14:textId="77777777" w:rsidR="00EC1C94" w:rsidRDefault="00EC1C94" w:rsidP="00417A95">
      <w:pPr>
        <w:pStyle w:val="Nivel1SM"/>
        <w:keepNext/>
        <w:spacing w:before="0" w:after="0"/>
      </w:pPr>
      <w:r>
        <w:t xml:space="preserve">El modelo que vamos a estudiar parte de los siguientes </w:t>
      </w:r>
      <w:r w:rsidRPr="00486B62">
        <w:rPr>
          <w:b/>
          <w:bCs/>
        </w:rPr>
        <w:t>supuestos</w:t>
      </w:r>
      <w:r>
        <w:t>:</w:t>
      </w:r>
    </w:p>
    <w:p w14:paraId="09676D23" w14:textId="77777777" w:rsidR="00EC1C94" w:rsidRDefault="00EC1C94" w:rsidP="00EC1C94">
      <w:pPr>
        <w:pStyle w:val="Nivel2SM"/>
        <w:keepNext/>
        <w:spacing w:after="0"/>
      </w:pPr>
      <w:r>
        <w:rPr>
          <w:i/>
          <w:iCs/>
          <w:u w:val="single"/>
        </w:rPr>
        <w:t>Agentes consumidor-productor (i.e. Robinson Crusoe)</w:t>
      </w:r>
      <w:r>
        <w:t>: Se modeliza a agentes que consumen y producen. Deciden su oferta de trabajo (frente al ocio).</w:t>
      </w:r>
    </w:p>
    <w:p w14:paraId="5FD29B13" w14:textId="77777777" w:rsidR="00EC1C94" w:rsidRPr="004C3DF4" w:rsidRDefault="00EC1C94" w:rsidP="00EC1C94">
      <w:pPr>
        <w:pStyle w:val="Nivel3SM"/>
      </w:pPr>
      <w:r>
        <w:t>¿Cuándo sacrificarán ocio en mayor medida? En otras palabras, ¿cuándo se produce más? Sacrificarán ocio a cambio de mayor producción en los períodos de mayor demanda en su mercado respecto a los demás (más renta salarial).</w:t>
      </w:r>
    </w:p>
    <w:p w14:paraId="23C5B42B" w14:textId="7A9653D9" w:rsidR="00EC1C94" w:rsidRDefault="00560FB4" w:rsidP="00644B39">
      <w:pPr>
        <w:pStyle w:val="Nivel2SM"/>
        <w:keepNext/>
        <w:spacing w:after="0"/>
      </w:pPr>
      <w:r w:rsidRPr="00560FB4">
        <w:rPr>
          <w:i/>
          <w:iCs/>
          <w:u w:val="single"/>
        </w:rPr>
        <w:t>Información imperfecta (m</w:t>
      </w:r>
      <w:r w:rsidR="00EC1C94" w:rsidRPr="00560FB4">
        <w:rPr>
          <w:i/>
          <w:iCs/>
          <w:u w:val="single"/>
        </w:rPr>
        <w:t>odelización de islas de Phelps</w:t>
      </w:r>
      <w:r w:rsidRPr="00560FB4">
        <w:rPr>
          <w:i/>
          <w:iCs/>
          <w:u w:val="single"/>
        </w:rPr>
        <w:t>)</w:t>
      </w:r>
      <w:r w:rsidR="00EC1C94" w:rsidRPr="004C3DF4">
        <w:t>: Los agentes se encuentran distribuidos de forma aleatoria en mercados (islas) físicamente separados.</w:t>
      </w:r>
      <w:r w:rsidR="00EC1C94">
        <w:t xml:space="preserve"> Los agentes sólo poseen información perfecta sobre el precio de equilibrio en su propio mercado mientras que desconocen el nivel de precios general </w:t>
      </w:r>
      <w:r w:rsidR="00EC1C94" w:rsidRPr="00560FB4">
        <w:rPr>
          <w:sz w:val="19"/>
          <w:szCs w:val="19"/>
        </w:rPr>
        <w:t>(lo estiman mediante expectativas racionales)</w:t>
      </w:r>
      <w:r w:rsidR="00EC1C94">
        <w:t>. Por ello, no</w:t>
      </w:r>
      <w:r>
        <w:t> </w:t>
      </w:r>
      <w:r w:rsidR="00EC1C94">
        <w:t>saben si un aumento en el nivel de precios de su isla se debe a un aumento en la demanda debido a un shock nominal o a un shock real</w:t>
      </w:r>
      <w:r>
        <w:rPr>
          <w:rStyle w:val="Refdenotaalpie"/>
        </w:rPr>
        <w:footnoteReference w:id="9"/>
      </w:r>
      <w:r w:rsidR="00EC1C94">
        <w:t>:</w:t>
      </w:r>
    </w:p>
    <w:p w14:paraId="729DA68A" w14:textId="77777777" w:rsidR="00EC1C94" w:rsidRDefault="00EC1C94" w:rsidP="00EC1C94">
      <w:pPr>
        <w:pStyle w:val="Nivel3SM"/>
      </w:pPr>
      <w:r w:rsidRPr="00486B62">
        <w:rPr>
          <w:i/>
          <w:iCs/>
        </w:rPr>
        <w:t>Shock nominal</w:t>
      </w:r>
      <w:r>
        <w:t>: Implica un aumento de la demanda del bien por la existencia de un aumento de la oferta monetaria</w:t>
      </w:r>
      <w:r>
        <w:rPr>
          <w:rStyle w:val="Refdenotaalpie"/>
        </w:rPr>
        <w:footnoteReference w:id="10"/>
      </w:r>
      <w:r>
        <w:t xml:space="preserve"> (se trata de un shock general), lo que genera mayores precios en cada isla. Al no producirse por cambios en las preferencias relativas y ser común al resto de islas, lo óptimo sería mantener el nivel de producción del período.</w:t>
      </w:r>
    </w:p>
    <w:p w14:paraId="250B02EE" w14:textId="77777777" w:rsidR="00EC1C94" w:rsidRDefault="00EC1C94" w:rsidP="00EC1C94">
      <w:pPr>
        <w:pStyle w:val="Nivel3SM"/>
      </w:pPr>
      <w:r>
        <w:rPr>
          <w:i/>
          <w:iCs/>
        </w:rPr>
        <w:t>Shock real</w:t>
      </w:r>
      <w:r w:rsidRPr="00486B62">
        <w:t>:</w:t>
      </w:r>
      <w:r>
        <w:t xml:space="preserve"> Es un aumento de la demanda asociado a una mayor demanda por la producción de una isla en concreto y genera un aumento de los precios solo en la isla. Lo óptimo sería expandir la producción en la isla para reaccionar al aumento de la demanda.</w:t>
      </w:r>
    </w:p>
    <w:p w14:paraId="327C359C" w14:textId="77777777" w:rsidR="00EC1C94" w:rsidRDefault="00EC1C94" w:rsidP="00EC1C94">
      <w:pPr>
        <w:pStyle w:val="Nivel2SM"/>
        <w:numPr>
          <w:ilvl w:val="0"/>
          <w:numId w:val="0"/>
        </w:numPr>
        <w:ind w:left="567"/>
      </w:pPr>
      <w:r>
        <w:t>Los productores, pues, sólo reaccionarán ante cambios en los precios relativos (i.e. de sus productos frente a los del resto de mercados).</w:t>
      </w:r>
    </w:p>
    <w:p w14:paraId="46212186" w14:textId="77777777" w:rsidR="00302AB9" w:rsidRDefault="00302AB9" w:rsidP="00302AB9">
      <w:pPr>
        <w:pStyle w:val="Nivel2SM"/>
        <w:numPr>
          <w:ilvl w:val="0"/>
          <w:numId w:val="0"/>
        </w:numPr>
        <w:ind w:left="567"/>
        <w:rPr>
          <w:rFonts w:eastAsiaTheme="minorEastAsia"/>
          <w:iCs/>
        </w:rPr>
      </w:pPr>
      <w:r>
        <w:t xml:space="preserve">Sin embargo, los agentes en una isla no distinguen de que tipo de shock se trata porque no pueden ver los precios de las otras islas. Así pues, asignan una probabilidad, </w:t>
      </w:r>
      <m:oMath>
        <m:r>
          <m:rPr>
            <m:nor/>
          </m:rPr>
          <w:rPr>
            <w:i/>
            <w:iCs/>
          </w:rPr>
          <m:t>θ</m:t>
        </m:r>
      </m:oMath>
      <w:r>
        <w:rPr>
          <w:rFonts w:eastAsiaTheme="minorEastAsia"/>
          <w:iCs/>
        </w:rPr>
        <w:t xml:space="preserve"> </w:t>
      </w:r>
      <w:r w:rsidRPr="00292ACF">
        <w:rPr>
          <w:rFonts w:eastAsiaTheme="minorEastAsia"/>
          <w:iCs/>
          <w:sz w:val="19"/>
          <w:szCs w:val="19"/>
        </w:rPr>
        <w:t>–theta–</w:t>
      </w:r>
      <w:r>
        <w:rPr>
          <w:rFonts w:eastAsiaTheme="minorEastAsia"/>
          <w:iCs/>
        </w:rPr>
        <w:t>, a que el shock observado sea real.</w:t>
      </w:r>
    </w:p>
    <w:p w14:paraId="000FEF6B" w14:textId="77777777" w:rsidR="00302AB9" w:rsidRPr="00292ACF" w:rsidRDefault="00302AB9" w:rsidP="00417A95">
      <w:pPr>
        <w:pStyle w:val="Nivel2SM"/>
        <w:numPr>
          <w:ilvl w:val="0"/>
          <w:numId w:val="0"/>
        </w:numPr>
        <w:spacing w:after="0"/>
        <w:ind w:left="567"/>
        <w:rPr>
          <w:rFonts w:eastAsiaTheme="minorEastAsia"/>
          <w:iCs/>
        </w:rPr>
      </w:pPr>
      <m:oMathPara>
        <m:oMath>
          <m:r>
            <m:rPr>
              <m:nor/>
            </m:rPr>
            <w:rPr>
              <w:i/>
              <w:iCs/>
            </w:rPr>
            <m:t>θ</m:t>
          </m:r>
          <m:r>
            <w:rPr>
              <w:rFonts w:ascii="Cambria Math" w:eastAsiaTheme="minorEastAsia" w:hAnsi="Cambria Math"/>
            </w:rPr>
            <m:t>=</m:t>
          </m:r>
          <m:f>
            <m:fPr>
              <m:ctrlPr>
                <w:rPr>
                  <w:rFonts w:ascii="Cambria Math" w:eastAsiaTheme="minorEastAsia" w:hAnsi="Cambria Math"/>
                  <w:i/>
                  <w:iCs/>
                </w:rPr>
              </m:ctrlPr>
            </m:fPr>
            <m:num>
              <m:sSubSup>
                <m:sSubSupPr>
                  <m:ctrlPr>
                    <w:rPr>
                      <w:rFonts w:ascii="Cambria Math" w:eastAsiaTheme="minorEastAsia" w:hAnsi="Cambria Math"/>
                      <w:i/>
                      <w:iCs/>
                    </w:rPr>
                  </m:ctrlPr>
                </m:sSubSupPr>
                <m:e>
                  <m:r>
                    <m:rPr>
                      <m:nor/>
                    </m:rPr>
                    <w:rPr>
                      <w:i/>
                    </w:rPr>
                    <m:t>σ</m:t>
                  </m:r>
                </m:e>
                <m:sub>
                  <m:sSub>
                    <m:sSubPr>
                      <m:ctrlPr>
                        <w:rPr>
                          <w:rFonts w:ascii="Cambria Math" w:hAnsi="Cambria Math"/>
                          <w:i/>
                          <w:iCs/>
                        </w:rPr>
                      </m:ctrlPr>
                    </m:sSubPr>
                    <m:e>
                      <m:r>
                        <m:rPr>
                          <m:nor/>
                        </m:rPr>
                        <w:rPr>
                          <w:i/>
                          <w:iCs/>
                        </w:rPr>
                        <m:t>p</m:t>
                      </m:r>
                    </m:e>
                    <m:sub>
                      <m:r>
                        <m:rPr>
                          <m:nor/>
                        </m:rPr>
                        <w:rPr>
                          <w:i/>
                          <w:iCs/>
                        </w:rPr>
                        <m:t>i</m:t>
                      </m:r>
                    </m:sub>
                  </m:sSub>
                </m:sub>
                <m:sup>
                  <m:r>
                    <m:rPr>
                      <m:nor/>
                    </m:rPr>
                    <w:rPr>
                      <w:i/>
                      <w:iCs/>
                    </w:rPr>
                    <m:t>2</m:t>
                  </m:r>
                </m:sup>
              </m:sSubSup>
            </m:num>
            <m:den>
              <m:sSubSup>
                <m:sSubSupPr>
                  <m:ctrlPr>
                    <w:rPr>
                      <w:rFonts w:ascii="Cambria Math" w:eastAsiaTheme="minorEastAsia" w:hAnsi="Cambria Math"/>
                      <w:i/>
                      <w:iCs/>
                    </w:rPr>
                  </m:ctrlPr>
                </m:sSubSupPr>
                <m:e>
                  <m:r>
                    <m:rPr>
                      <m:nor/>
                    </m:rPr>
                    <w:rPr>
                      <w:i/>
                    </w:rPr>
                    <m:t>σ</m:t>
                  </m:r>
                </m:e>
                <m:sub>
                  <m:sSub>
                    <m:sSubPr>
                      <m:ctrlPr>
                        <w:rPr>
                          <w:rFonts w:ascii="Cambria Math" w:hAnsi="Cambria Math"/>
                          <w:i/>
                          <w:iCs/>
                        </w:rPr>
                      </m:ctrlPr>
                    </m:sSubPr>
                    <m:e>
                      <m:r>
                        <m:rPr>
                          <m:nor/>
                        </m:rPr>
                        <w:rPr>
                          <w:i/>
                          <w:iCs/>
                        </w:rPr>
                        <m:t>p</m:t>
                      </m:r>
                    </m:e>
                    <m:sub>
                      <m:r>
                        <m:rPr>
                          <m:nor/>
                        </m:rPr>
                        <w:rPr>
                          <w:i/>
                          <w:iCs/>
                        </w:rPr>
                        <m:t>i</m:t>
                      </m:r>
                    </m:sub>
                  </m:sSub>
                </m:sub>
                <m:sup>
                  <m:r>
                    <m:rPr>
                      <m:nor/>
                    </m:rPr>
                    <w:rPr>
                      <w:i/>
                      <w:iCs/>
                    </w:rPr>
                    <m:t>2</m:t>
                  </m:r>
                </m:sup>
              </m:sSubSup>
              <m:r>
                <w:rPr>
                  <w:rFonts w:ascii="Cambria Math" w:eastAsiaTheme="minorEastAsia" w:hAnsi="Cambria Math"/>
                </w:rPr>
                <m:t>+</m:t>
              </m:r>
              <m:sSubSup>
                <m:sSubSupPr>
                  <m:ctrlPr>
                    <w:rPr>
                      <w:rFonts w:ascii="Cambria Math" w:eastAsiaTheme="minorEastAsia" w:hAnsi="Cambria Math"/>
                      <w:i/>
                      <w:iCs/>
                    </w:rPr>
                  </m:ctrlPr>
                </m:sSubSupPr>
                <m:e>
                  <m:r>
                    <m:rPr>
                      <m:nor/>
                    </m:rPr>
                    <w:rPr>
                      <w:i/>
                    </w:rPr>
                    <m:t>σ</m:t>
                  </m:r>
                </m:e>
                <m:sub>
                  <m:r>
                    <m:rPr>
                      <m:nor/>
                    </m:rPr>
                    <w:rPr>
                      <w:i/>
                      <w:iCs/>
                    </w:rPr>
                    <m:t>p</m:t>
                  </m:r>
                </m:sub>
                <m:sup>
                  <m:r>
                    <m:rPr>
                      <m:nor/>
                    </m:rPr>
                    <w:rPr>
                      <w:i/>
                      <w:iCs/>
                    </w:rPr>
                    <m:t>2</m:t>
                  </m:r>
                </m:sup>
              </m:sSubSup>
            </m:den>
          </m:f>
        </m:oMath>
      </m:oMathPara>
    </w:p>
    <w:p w14:paraId="7E609843" w14:textId="77777777" w:rsidR="00302AB9" w:rsidRDefault="00302AB9" w:rsidP="00302AB9">
      <w:pPr>
        <w:pStyle w:val="Nivel2SM"/>
        <w:keepNext/>
        <w:numPr>
          <w:ilvl w:val="0"/>
          <w:numId w:val="0"/>
        </w:numPr>
        <w:spacing w:after="0"/>
        <w:ind w:left="567"/>
        <w:rPr>
          <w:rFonts w:eastAsiaTheme="minorEastAsia"/>
          <w:iCs/>
        </w:rPr>
      </w:pPr>
      <w:r w:rsidRPr="00292ACF">
        <w:lastRenderedPageBreak/>
        <w:t>El cociente muestra qué porcentaje de la varian</w:t>
      </w:r>
      <w:r>
        <w:t xml:space="preserve">za total de los precios se debe a la varianza de los precios relativos, de forma que cuanto mayor sea, mayor será la probabilidad a que el shock sea específico. Theta, </w:t>
      </w:r>
      <m:oMath>
        <m:r>
          <m:rPr>
            <m:nor/>
          </m:rPr>
          <w:rPr>
            <w:i/>
            <w:iCs/>
          </w:rPr>
          <m:t>θ</m:t>
        </m:r>
      </m:oMath>
      <w:r>
        <w:rPr>
          <w:rFonts w:eastAsiaTheme="minorEastAsia"/>
          <w:iCs/>
        </w:rPr>
        <w:t>, va a depender del contexto general de la variabilidad de precios.</w:t>
      </w:r>
    </w:p>
    <w:p w14:paraId="5ABE2B9D" w14:textId="77777777" w:rsidR="00302AB9" w:rsidRDefault="00302AB9" w:rsidP="00302AB9">
      <w:pPr>
        <w:pStyle w:val="Nivel3SM"/>
      </w:pPr>
      <w:r>
        <w:t xml:space="preserve">En una economía habituada a niveles altos de inflación (i.e. </w:t>
      </w:r>
      <m:oMath>
        <m:sSubSup>
          <m:sSubSupPr>
            <m:ctrlPr>
              <w:rPr>
                <w:rFonts w:ascii="Cambria Math" w:hAnsi="Cambria Math"/>
                <w:i/>
              </w:rPr>
            </m:ctrlPr>
          </m:sSubSupPr>
          <m:e>
            <m:r>
              <m:rPr>
                <m:nor/>
              </m:rPr>
              <w:rPr>
                <w:i/>
              </w:rPr>
              <m:t>σ</m:t>
            </m:r>
          </m:e>
          <m:sub>
            <m:r>
              <m:rPr>
                <m:nor/>
              </m:rPr>
              <w:rPr>
                <w:i/>
              </w:rPr>
              <m:t>p</m:t>
            </m:r>
          </m:sub>
          <m:sup>
            <m:r>
              <m:rPr>
                <m:nor/>
              </m:rPr>
              <w:rPr>
                <w:i/>
              </w:rPr>
              <m:t>2</m:t>
            </m:r>
          </m:sup>
        </m:sSubSup>
      </m:oMath>
      <w:r>
        <w:t xml:space="preserve"> grande), los productores pensarán que los shocks nominales que afectan a todas las islas son más probables (i.e. </w:t>
      </w:r>
      <m:oMath>
        <m:r>
          <m:rPr>
            <m:nor/>
          </m:rPr>
          <w:rPr>
            <w:i/>
          </w:rPr>
          <m:t>θ</m:t>
        </m:r>
      </m:oMath>
      <w:r>
        <w:t xml:space="preserve"> cercana a cero), por lo que no reaccionarán ante un cambio en los precios.</w:t>
      </w:r>
    </w:p>
    <w:p w14:paraId="1AEFE0CE" w14:textId="3111B61B" w:rsidR="00302AB9" w:rsidRPr="00610057" w:rsidRDefault="00302AB9" w:rsidP="00302AB9">
      <w:pPr>
        <w:pStyle w:val="Nivel3SM"/>
      </w:pPr>
      <w:r>
        <w:t xml:space="preserve">Por el contrario, en una economía en la que los precios son estables (reputación antiinflacionista) </w:t>
      </w:r>
      <m:oMath>
        <m:r>
          <m:rPr>
            <m:nor/>
          </m:rPr>
          <w:rPr>
            <w:i/>
          </w:rPr>
          <m:t>θ</m:t>
        </m:r>
      </m:oMath>
      <w:r>
        <w:t xml:space="preserve"> será mayor (i.e. los agentes otorgarán una mayor probabilidad a que el shock observado sea real).</w:t>
      </w:r>
    </w:p>
    <w:p w14:paraId="7F8FF442" w14:textId="77777777" w:rsidR="00302AB9" w:rsidRPr="00A47164" w:rsidRDefault="00302AB9" w:rsidP="00302AB9">
      <w:pPr>
        <w:pStyle w:val="Ttulo8"/>
      </w:pPr>
      <w:bookmarkStart w:id="44" w:name="_Toc119602578"/>
      <w:r>
        <w:t>Desarrollo</w:t>
      </w:r>
      <w:bookmarkEnd w:id="44"/>
    </w:p>
    <w:p w14:paraId="509A755F" w14:textId="77777777" w:rsidR="00302AB9" w:rsidRDefault="00302AB9" w:rsidP="00417A95">
      <w:pPr>
        <w:pStyle w:val="Ttulo9"/>
        <w:spacing w:before="0"/>
      </w:pPr>
      <w:r>
        <w:t>O</w:t>
      </w:r>
      <w:r w:rsidRPr="003677CA">
        <w:t>ferta</w:t>
      </w:r>
      <w:r>
        <w:t xml:space="preserve"> agregada</w:t>
      </w:r>
    </w:p>
    <w:p w14:paraId="50959ED8" w14:textId="77777777" w:rsidR="00302AB9" w:rsidRDefault="00302AB9" w:rsidP="00417A95">
      <w:pPr>
        <w:pStyle w:val="Ttulo10"/>
        <w:spacing w:before="0"/>
      </w:pPr>
      <w:r>
        <w:t>Curva de oferta individual</w:t>
      </w:r>
    </w:p>
    <w:p w14:paraId="68ABCBEB" w14:textId="63D51283" w:rsidR="000719A7" w:rsidRDefault="000719A7" w:rsidP="000719A7">
      <w:r w:rsidRPr="000719A7">
        <w:rPr>
          <w:noProof/>
        </w:rPr>
        <w:drawing>
          <wp:inline distT="0" distB="0" distL="0" distR="0" wp14:anchorId="003428B9" wp14:editId="6C0B01B8">
            <wp:extent cx="3950970" cy="5943284"/>
            <wp:effectExtent l="0" t="0" r="0" b="635"/>
            <wp:docPr id="2030793984"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793984" name="Imagen 1" descr="Texto, Carta&#10;&#10;Descripción generada automáticamente"/>
                    <pic:cNvPicPr/>
                  </pic:nvPicPr>
                  <pic:blipFill rotWithShape="1">
                    <a:blip r:embed="rId13"/>
                    <a:srcRect l="5914" t="3118" r="8383" b="5667"/>
                    <a:stretch/>
                  </pic:blipFill>
                  <pic:spPr bwMode="auto">
                    <a:xfrm>
                      <a:off x="0" y="0"/>
                      <a:ext cx="3952705" cy="5945894"/>
                    </a:xfrm>
                    <a:prstGeom prst="rect">
                      <a:avLst/>
                    </a:prstGeom>
                    <a:ln>
                      <a:noFill/>
                    </a:ln>
                    <a:extLst>
                      <a:ext uri="{53640926-AAD7-44D8-BBD7-CCE9431645EC}">
                        <a14:shadowObscured xmlns:a14="http://schemas.microsoft.com/office/drawing/2010/main"/>
                      </a:ext>
                    </a:extLst>
                  </pic:spPr>
                </pic:pic>
              </a:graphicData>
            </a:graphic>
          </wp:inline>
        </w:drawing>
      </w:r>
    </w:p>
    <w:p w14:paraId="16FB9C70" w14:textId="77777777" w:rsidR="00302AB9" w:rsidRDefault="00302AB9" w:rsidP="00417A95">
      <w:pPr>
        <w:pStyle w:val="Nivel1SM"/>
        <w:keepNext/>
        <w:spacing w:before="0" w:after="0"/>
      </w:pPr>
      <w:r>
        <w:t>El modelo extrae una curva de oferta, donde la cantidad de output producido en una isla dependerá de la diferencia entre el precio observado en la isla y el precio esperado a nivel global, ponderado por la probabilidad de que el shock sea real.</w:t>
      </w:r>
    </w:p>
    <w:p w14:paraId="4DAD319B" w14:textId="77777777" w:rsidR="00302AB9" w:rsidRPr="009728CD" w:rsidRDefault="00000000" w:rsidP="00302AB9">
      <w:pPr>
        <w:keepNext/>
        <w:spacing w:after="0"/>
      </w:pPr>
      <m:oMathPara>
        <m:oMath>
          <m:sSub>
            <m:sSubPr>
              <m:ctrlPr>
                <w:rPr>
                  <w:rFonts w:ascii="Cambria Math" w:hAnsi="Cambria Math"/>
                  <w:i/>
                  <w:iCs/>
                </w:rPr>
              </m:ctrlPr>
            </m:sSubPr>
            <m:e>
              <m:r>
                <m:rPr>
                  <m:nor/>
                </m:rPr>
                <w:rPr>
                  <w:i/>
                  <w:iCs/>
                </w:rPr>
                <m:t>y</m:t>
              </m:r>
            </m:e>
            <m:sub>
              <m:r>
                <m:rPr>
                  <m:nor/>
                </m:rPr>
                <w:rPr>
                  <w:i/>
                  <w:iCs/>
                </w:rPr>
                <m:t>it</m:t>
              </m:r>
            </m:sub>
          </m:sSub>
          <m:r>
            <w:rPr>
              <w:rFonts w:ascii="Cambria Math" w:eastAsiaTheme="minorEastAsia" w:hAnsi="Cambria Math"/>
            </w:rPr>
            <m:t>=</m:t>
          </m:r>
          <m:sSub>
            <m:sSubPr>
              <m:ctrlPr>
                <w:rPr>
                  <w:rFonts w:ascii="Cambria Math" w:hAnsi="Cambria Math"/>
                  <w:i/>
                  <w:iCs/>
                </w:rPr>
              </m:ctrlPr>
            </m:sSubPr>
            <m:e>
              <m:r>
                <m:rPr>
                  <m:nor/>
                </m:rPr>
                <w:rPr>
                  <w:i/>
                  <w:iCs/>
                </w:rPr>
                <m:t>y</m:t>
              </m:r>
            </m:e>
            <m:sub>
              <m:r>
                <m:rPr>
                  <m:nor/>
                </m:rPr>
                <w:rPr>
                  <w:i/>
                  <w:iCs/>
                </w:rPr>
                <m:t>TNP</m:t>
              </m:r>
            </m:sub>
          </m:sSub>
          <m:r>
            <w:rPr>
              <w:rFonts w:ascii="Cambria Math" w:hAnsi="Cambria Math"/>
            </w:rPr>
            <m:t>+</m:t>
          </m:r>
          <m:r>
            <m:rPr>
              <m:nor/>
            </m:rPr>
            <w:rPr>
              <w:i/>
              <w:iCs/>
            </w:rPr>
            <m:t>θ</m:t>
          </m:r>
          <m:r>
            <w:rPr>
              <w:rFonts w:ascii="Cambria Math" w:hAnsi="Cambria Math"/>
            </w:rPr>
            <m:t>∙</m:t>
          </m:r>
          <m:r>
            <m:rPr>
              <m:nor/>
            </m:rPr>
            <w:rPr>
              <w:i/>
            </w:rPr>
            <m:t>β</m:t>
          </m:r>
          <m:r>
            <w:rPr>
              <w:rFonts w:ascii="Cambria Math" w:hAnsi="Cambria Math"/>
            </w:rPr>
            <m:t>∙</m:t>
          </m:r>
          <m:d>
            <m:dPr>
              <m:ctrlPr>
                <w:rPr>
                  <w:rFonts w:ascii="Cambria Math" w:eastAsiaTheme="minorEastAsia" w:hAnsi="Cambria Math"/>
                  <w:i/>
                  <w:iCs/>
                </w:rPr>
              </m:ctrlPr>
            </m:dPr>
            <m:e>
              <m:sSub>
                <m:sSubPr>
                  <m:ctrlPr>
                    <w:rPr>
                      <w:rFonts w:ascii="Cambria Math" w:hAnsi="Cambria Math"/>
                      <w:i/>
                      <w:iCs/>
                    </w:rPr>
                  </m:ctrlPr>
                </m:sSubPr>
                <m:e>
                  <m:r>
                    <m:rPr>
                      <m:nor/>
                    </m:rPr>
                    <w:rPr>
                      <w:i/>
                      <w:iCs/>
                    </w:rPr>
                    <m:t>p</m:t>
                  </m:r>
                </m:e>
                <m:sub>
                  <m:r>
                    <m:rPr>
                      <m:nor/>
                    </m:rPr>
                    <w:rPr>
                      <w:i/>
                      <w:iCs/>
                    </w:rPr>
                    <m:t>it</m:t>
                  </m:r>
                </m:sub>
              </m:sSub>
              <m:r>
                <w:rPr>
                  <w:rFonts w:ascii="Cambria Math" w:hAnsi="Cambria Math"/>
                </w:rPr>
                <m:t>-</m:t>
              </m:r>
              <m:sSubSup>
                <m:sSubSupPr>
                  <m:ctrlPr>
                    <w:rPr>
                      <w:rFonts w:ascii="Cambria Math" w:eastAsiaTheme="minorEastAsia" w:hAnsi="Cambria Math"/>
                      <w:i/>
                      <w:iCs/>
                    </w:rPr>
                  </m:ctrlPr>
                </m:sSubSupPr>
                <m:e>
                  <m:r>
                    <m:rPr>
                      <m:nor/>
                    </m:rPr>
                    <w:rPr>
                      <w:i/>
                    </w:rPr>
                    <m:t>p</m:t>
                  </m:r>
                </m:e>
                <m:sub>
                  <m:r>
                    <m:rPr>
                      <m:nor/>
                    </m:rPr>
                    <w:rPr>
                      <w:i/>
                      <w:iCs/>
                    </w:rPr>
                    <m:t>t</m:t>
                  </m:r>
                </m:sub>
                <m:sup>
                  <m:r>
                    <m:rPr>
                      <m:nor/>
                    </m:rPr>
                    <w:rPr>
                      <w:i/>
                      <w:iCs/>
                    </w:rPr>
                    <m:t>e</m:t>
                  </m:r>
                </m:sup>
              </m:sSubSup>
            </m:e>
          </m:d>
          <m:r>
            <m:rPr>
              <m:sty m:val="p"/>
            </m:rPr>
            <w:rPr>
              <w:rFonts w:ascii="Cambria Math" w:eastAsiaTheme="minorEastAsia" w:hAnsi="Cambria Math"/>
            </w:rPr>
            <w:br/>
          </m:r>
        </m:oMath>
      </m:oMathPara>
      <w:r w:rsidR="00302AB9">
        <w:rPr>
          <w:rFonts w:eastAsiaTheme="minorEastAsia"/>
          <w:iCs/>
        </w:rPr>
        <w:t>donde:</w:t>
      </w:r>
    </w:p>
    <w:p w14:paraId="0854D4A3" w14:textId="77777777" w:rsidR="00302AB9" w:rsidRPr="009728CD" w:rsidRDefault="00000000" w:rsidP="00302AB9">
      <w:pPr>
        <w:pStyle w:val="Nivel2SM"/>
      </w:pPr>
      <m:oMath>
        <m:sSub>
          <m:sSubPr>
            <m:ctrlPr>
              <w:rPr>
                <w:rFonts w:ascii="Cambria Math" w:hAnsi="Cambria Math"/>
                <w:i/>
                <w:iCs/>
              </w:rPr>
            </m:ctrlPr>
          </m:sSubPr>
          <m:e>
            <m:r>
              <m:rPr>
                <m:nor/>
              </m:rPr>
              <w:rPr>
                <w:i/>
                <w:iCs/>
              </w:rPr>
              <m:t>y</m:t>
            </m:r>
          </m:e>
          <m:sub>
            <m:r>
              <m:rPr>
                <m:nor/>
              </m:rPr>
              <w:rPr>
                <w:i/>
                <w:iCs/>
              </w:rPr>
              <m:t>TNP</m:t>
            </m:r>
          </m:sub>
        </m:sSub>
      </m:oMath>
      <w:r w:rsidR="00302AB9">
        <w:rPr>
          <w:rFonts w:eastAsiaTheme="minorEastAsia"/>
          <w:iCs/>
        </w:rPr>
        <w:t xml:space="preserve"> es el nivel de producción natural, asociada a una situación donde el valor del segundo término es cero.</w:t>
      </w:r>
    </w:p>
    <w:p w14:paraId="396E3613" w14:textId="77777777" w:rsidR="00302AB9" w:rsidRPr="009728CD" w:rsidRDefault="00302AB9" w:rsidP="00302AB9">
      <w:pPr>
        <w:pStyle w:val="Nivel2SM"/>
      </w:pPr>
      <m:oMath>
        <m:r>
          <m:rPr>
            <m:nor/>
          </m:rPr>
          <w:rPr>
            <w:i/>
            <w:iCs/>
          </w:rPr>
          <m:t>θ</m:t>
        </m:r>
      </m:oMath>
      <w:r>
        <w:rPr>
          <w:rFonts w:eastAsiaTheme="minorEastAsia"/>
          <w:iCs/>
        </w:rPr>
        <w:t xml:space="preserve"> es la probabilidad que el agente asigna a que el shock sea real.</w:t>
      </w:r>
    </w:p>
    <w:p w14:paraId="541D4DF8" w14:textId="77777777" w:rsidR="00302AB9" w:rsidRPr="009728CD" w:rsidRDefault="00302AB9" w:rsidP="00302AB9">
      <w:pPr>
        <w:pStyle w:val="Nivel2SM"/>
      </w:pPr>
      <m:oMath>
        <m:r>
          <m:rPr>
            <m:nor/>
          </m:rPr>
          <w:rPr>
            <w:i/>
          </w:rPr>
          <m:t>β</m:t>
        </m:r>
      </m:oMath>
      <w:r>
        <w:rPr>
          <w:rFonts w:eastAsiaTheme="minorEastAsia"/>
        </w:rPr>
        <w:t xml:space="preserve"> es la velocidad a la que los empresarios aumentan la producción en respuesta a un shock específico, que vendrá determinada por la elasticidad de la oferta de trabajo.</w:t>
      </w:r>
    </w:p>
    <w:p w14:paraId="0344FF7C" w14:textId="77777777" w:rsidR="00302AB9" w:rsidRPr="00470389" w:rsidRDefault="00000000" w:rsidP="00302AB9">
      <w:pPr>
        <w:pStyle w:val="Nivel2SM"/>
      </w:pPr>
      <m:oMath>
        <m:sSub>
          <m:sSubPr>
            <m:ctrlPr>
              <w:rPr>
                <w:rFonts w:ascii="Cambria Math" w:hAnsi="Cambria Math"/>
                <w:i/>
                <w:iCs/>
              </w:rPr>
            </m:ctrlPr>
          </m:sSubPr>
          <m:e>
            <m:r>
              <m:rPr>
                <m:nor/>
              </m:rPr>
              <w:rPr>
                <w:i/>
                <w:iCs/>
              </w:rPr>
              <m:t>p</m:t>
            </m:r>
          </m:e>
          <m:sub>
            <m:r>
              <m:rPr>
                <m:nor/>
              </m:rPr>
              <w:rPr>
                <w:i/>
                <w:iCs/>
              </w:rPr>
              <m:t>it</m:t>
            </m:r>
          </m:sub>
        </m:sSub>
      </m:oMath>
      <w:r w:rsidR="00302AB9">
        <w:rPr>
          <w:rFonts w:eastAsiaTheme="minorEastAsia"/>
          <w:iCs/>
        </w:rPr>
        <w:t xml:space="preserve"> es el precio del producto en la propia isla (no hay incertidumbre sobre él, es conocido).</w:t>
      </w:r>
    </w:p>
    <w:p w14:paraId="0909EA1A" w14:textId="77777777" w:rsidR="00302AB9" w:rsidRPr="009728CD" w:rsidRDefault="00000000" w:rsidP="00302AB9">
      <w:pPr>
        <w:pStyle w:val="Nivel2SM"/>
      </w:pPr>
      <m:oMath>
        <m:sSubSup>
          <m:sSubSupPr>
            <m:ctrlPr>
              <w:rPr>
                <w:rFonts w:ascii="Cambria Math" w:eastAsiaTheme="minorEastAsia" w:hAnsi="Cambria Math"/>
                <w:i/>
                <w:iCs/>
              </w:rPr>
            </m:ctrlPr>
          </m:sSubSupPr>
          <m:e>
            <m:r>
              <m:rPr>
                <m:nor/>
              </m:rPr>
              <w:rPr>
                <w:i/>
              </w:rPr>
              <m:t>p</m:t>
            </m:r>
          </m:e>
          <m:sub>
            <m:r>
              <m:rPr>
                <m:nor/>
              </m:rPr>
              <w:rPr>
                <w:i/>
                <w:iCs/>
              </w:rPr>
              <m:t>t</m:t>
            </m:r>
          </m:sub>
          <m:sup>
            <m:r>
              <m:rPr>
                <m:nor/>
              </m:rPr>
              <w:rPr>
                <w:i/>
                <w:iCs/>
              </w:rPr>
              <m:t>e</m:t>
            </m:r>
          </m:sup>
        </m:sSubSup>
      </m:oMath>
      <w:r w:rsidR="00302AB9">
        <w:rPr>
          <w:rFonts w:eastAsiaTheme="minorEastAsia"/>
          <w:iCs/>
        </w:rPr>
        <w:t xml:space="preserve"> es el precio agregado esperado (los agentes forman sus expectativas de acuerdo a la HER).</w:t>
      </w:r>
    </w:p>
    <w:p w14:paraId="5C66A7CF" w14:textId="77777777" w:rsidR="00302AB9" w:rsidRDefault="00302AB9" w:rsidP="00302AB9">
      <w:pPr>
        <w:pStyle w:val="Ttulo10"/>
      </w:pPr>
      <w:r>
        <w:t>Curva de oferta agregada de Lucas</w:t>
      </w:r>
    </w:p>
    <w:p w14:paraId="6940A227" w14:textId="77777777" w:rsidR="00302AB9" w:rsidRDefault="00302AB9" w:rsidP="00417A95">
      <w:pPr>
        <w:pStyle w:val="Nivel1SM"/>
        <w:keepNext/>
        <w:spacing w:before="0" w:after="0"/>
      </w:pPr>
      <w:r>
        <w:t>Como las islas son idénticas entre sí, se puede trabajar con oferta agregada:</w:t>
      </w:r>
    </w:p>
    <w:p w14:paraId="6F99ADA6" w14:textId="77777777" w:rsidR="00302AB9" w:rsidRPr="0024206D" w:rsidRDefault="00000000" w:rsidP="00302AB9">
      <w:pPr>
        <w:keepNext/>
        <w:spacing w:after="0"/>
        <w:rPr>
          <w:rFonts w:eastAsiaTheme="minorEastAsia"/>
          <w:iCs/>
          <w:lang w:val="fr-FR"/>
        </w:rPr>
      </w:pPr>
      <m:oMathPara>
        <m:oMath>
          <m:borderBox>
            <m:borderBoxPr>
              <m:ctrlPr>
                <w:rPr>
                  <w:rFonts w:ascii="Cambria Math" w:hAnsi="Cambria Math"/>
                  <w:i/>
                  <w:iCs/>
                </w:rPr>
              </m:ctrlPr>
            </m:borderBoxPr>
            <m:e>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eastAsiaTheme="minorEastAsia" w:hAnsi="Cambria Math"/>
                  <w:lang w:val="fr-FR"/>
                </w:rPr>
                <m:t>=</m:t>
              </m:r>
              <m:sSub>
                <m:sSubPr>
                  <m:ctrlPr>
                    <w:rPr>
                      <w:rFonts w:ascii="Cambria Math" w:hAnsi="Cambria Math"/>
                      <w:i/>
                      <w:iCs/>
                    </w:rPr>
                  </m:ctrlPr>
                </m:sSubPr>
                <m:e>
                  <m:r>
                    <m:rPr>
                      <m:nor/>
                    </m:rPr>
                    <w:rPr>
                      <w:i/>
                      <w:iCs/>
                      <w:lang w:val="fr-FR"/>
                    </w:rPr>
                    <m:t>y</m:t>
                  </m:r>
                </m:e>
                <m:sub>
                  <m:r>
                    <m:rPr>
                      <m:nor/>
                    </m:rPr>
                    <w:rPr>
                      <w:i/>
                      <w:iCs/>
                      <w:lang w:val="fr-FR"/>
                    </w:rPr>
                    <m:t>TNP</m:t>
                  </m:r>
                </m:sub>
              </m:sSub>
              <m:r>
                <w:rPr>
                  <w:rFonts w:ascii="Cambria Math" w:hAnsi="Cambria Math"/>
                  <w:lang w:val="fr-FR"/>
                </w:rPr>
                <m:t>+</m:t>
              </m:r>
              <m:r>
                <m:rPr>
                  <m:nor/>
                </m:rPr>
                <w:rPr>
                  <w:i/>
                  <w:iCs/>
                </w:rPr>
                <m:t>θ</m:t>
              </m:r>
              <m:r>
                <w:rPr>
                  <w:rFonts w:ascii="Cambria Math" w:hAnsi="Cambria Math"/>
                  <w:lang w:val="fr-FR"/>
                </w:rPr>
                <m:t>∙</m:t>
              </m:r>
              <m:r>
                <m:rPr>
                  <m:nor/>
                </m:rPr>
                <w:rPr>
                  <w:i/>
                </w:rPr>
                <m:t>β</m:t>
              </m:r>
              <m:r>
                <w:rPr>
                  <w:rFonts w:ascii="Cambria Math" w:hAnsi="Cambria Math"/>
                  <w:lang w:val="fr-FR"/>
                </w:rPr>
                <m:t>∙</m:t>
              </m:r>
              <m:d>
                <m:dPr>
                  <m:ctrlPr>
                    <w:rPr>
                      <w:rFonts w:ascii="Cambria Math" w:eastAsiaTheme="minorEastAsia" w:hAnsi="Cambria Math"/>
                      <w:i/>
                      <w:iCs/>
                    </w:rPr>
                  </m:ctrlPr>
                </m:dPr>
                <m:e>
                  <m:sSub>
                    <m:sSubPr>
                      <m:ctrlPr>
                        <w:rPr>
                          <w:rFonts w:ascii="Cambria Math" w:hAnsi="Cambria Math"/>
                          <w:i/>
                          <w:iCs/>
                        </w:rPr>
                      </m:ctrlPr>
                    </m:sSubPr>
                    <m:e>
                      <m:r>
                        <m:rPr>
                          <m:nor/>
                        </m:rPr>
                        <w:rPr>
                          <w:i/>
                          <w:iCs/>
                          <w:lang w:val="fr-FR"/>
                        </w:rPr>
                        <m:t>p</m:t>
                      </m:r>
                    </m:e>
                    <m:sub>
                      <m:r>
                        <m:rPr>
                          <m:nor/>
                        </m:rPr>
                        <w:rPr>
                          <w:i/>
                          <w:iCs/>
                          <w:lang w:val="fr-FR"/>
                        </w:rPr>
                        <m:t>t</m:t>
                      </m:r>
                    </m:sub>
                  </m:sSub>
                  <m:r>
                    <w:rPr>
                      <w:rFonts w:ascii="Cambria Math" w:hAnsi="Cambria Math"/>
                      <w:lang w:val="fr-FR"/>
                    </w:rPr>
                    <m:t>-</m:t>
                  </m:r>
                  <m:sSubSup>
                    <m:sSubSupPr>
                      <m:ctrlPr>
                        <w:rPr>
                          <w:rFonts w:ascii="Cambria Math" w:eastAsiaTheme="minorEastAsia" w:hAnsi="Cambria Math"/>
                          <w:i/>
                          <w:iCs/>
                        </w:rPr>
                      </m:ctrlPr>
                    </m:sSubSupPr>
                    <m:e>
                      <m:r>
                        <m:rPr>
                          <m:nor/>
                        </m:rPr>
                        <w:rPr>
                          <w:i/>
                          <w:lang w:val="fr-FR"/>
                        </w:rPr>
                        <m:t>p</m:t>
                      </m:r>
                    </m:e>
                    <m:sub>
                      <m:r>
                        <m:rPr>
                          <m:nor/>
                        </m:rPr>
                        <w:rPr>
                          <w:i/>
                          <w:iCs/>
                          <w:lang w:val="fr-FR"/>
                        </w:rPr>
                        <m:t>t</m:t>
                      </m:r>
                    </m:sub>
                    <m:sup>
                      <m:r>
                        <m:rPr>
                          <m:nor/>
                        </m:rPr>
                        <w:rPr>
                          <w:i/>
                          <w:iCs/>
                          <w:lang w:val="fr-FR"/>
                        </w:rPr>
                        <m:t>e</m:t>
                      </m:r>
                    </m:sup>
                  </m:sSubSup>
                </m:e>
              </m:d>
            </m:e>
          </m:borderBox>
        </m:oMath>
      </m:oMathPara>
    </w:p>
    <w:p w14:paraId="75A7A054" w14:textId="77777777" w:rsidR="00302AB9" w:rsidRDefault="00302AB9" w:rsidP="00302AB9">
      <w:pPr>
        <w:pStyle w:val="Nivel2SM"/>
        <w:keepNext/>
        <w:spacing w:after="0"/>
      </w:pPr>
      <w:r w:rsidRPr="009C2530">
        <w:t xml:space="preserve">Interpretación de la curva de oferta agregada de </w:t>
      </w:r>
      <w:r w:rsidRPr="009C2530">
        <w:rPr>
          <w:smallCaps/>
        </w:rPr>
        <w:t>Lucas</w:t>
      </w:r>
      <w:r>
        <w:t>:</w:t>
      </w:r>
    </w:p>
    <w:p w14:paraId="3ABEAD6D" w14:textId="77777777" w:rsidR="00302AB9" w:rsidRDefault="00302AB9" w:rsidP="00302AB9">
      <w:pPr>
        <w:pStyle w:val="Nivel3SM"/>
      </w:pPr>
      <w:r>
        <w:t>S</w:t>
      </w:r>
      <w:r w:rsidRPr="009C2530">
        <w:t>i la probabilidad de que el shock sea específico es nula</w:t>
      </w:r>
      <w:r>
        <w:t xml:space="preserve"> (</w:t>
      </w:r>
      <m:oMath>
        <m:r>
          <m:rPr>
            <m:nor/>
          </m:rPr>
          <w:rPr>
            <w:i/>
            <w:iCs/>
          </w:rPr>
          <m:t>θ</m:t>
        </m:r>
        <m:r>
          <w:rPr>
            <w:rFonts w:ascii="Cambria Math" w:hAnsi="Cambria Math"/>
          </w:rPr>
          <m:t>=</m:t>
        </m:r>
        <m:r>
          <m:rPr>
            <m:nor/>
          </m:rPr>
          <w:rPr>
            <w:i/>
          </w:rPr>
          <m:t>0</m:t>
        </m:r>
      </m:oMath>
      <w:r>
        <w:t>)</w:t>
      </w:r>
      <w:r w:rsidRPr="009C2530">
        <w:t>, entonces no ha</w:t>
      </w:r>
      <w:r>
        <w:t>b</w:t>
      </w:r>
      <w:r w:rsidRPr="009C2530">
        <w:t>rá desviaciones del nivel de producción a largo plazo (</w:t>
      </w:r>
      <m:oMath>
        <m:sSub>
          <m:sSubPr>
            <m:ctrlPr>
              <w:rPr>
                <w:rFonts w:ascii="Cambria Math" w:hAnsi="Cambria Math"/>
                <w:i/>
                <w:iCs/>
              </w:rPr>
            </m:ctrlPr>
          </m:sSubPr>
          <m:e>
            <m:r>
              <m:rPr>
                <m:nor/>
              </m:rPr>
              <w:rPr>
                <w:i/>
                <w:iCs/>
              </w:rPr>
              <m:t>y</m:t>
            </m:r>
          </m:e>
          <m:sub>
            <m:r>
              <m:rPr>
                <m:nor/>
              </m:rPr>
              <w:rPr>
                <w:i/>
                <w:iCs/>
              </w:rPr>
              <m:t>TNP</m:t>
            </m:r>
          </m:sub>
        </m:sSub>
      </m:oMath>
      <w:r w:rsidRPr="009C2530">
        <w:t>).</w:t>
      </w:r>
    </w:p>
    <w:p w14:paraId="401012A1" w14:textId="77777777" w:rsidR="00302AB9" w:rsidRDefault="00302AB9" w:rsidP="00302AB9">
      <w:pPr>
        <w:pStyle w:val="Nivel3SM"/>
      </w:pPr>
      <w:r>
        <w:t>Por mucha probabilidad que tenga un shock de ser específico, si los productores no reaccionan ante él (</w:t>
      </w:r>
      <m:oMath>
        <m:r>
          <m:rPr>
            <m:nor/>
          </m:rPr>
          <w:rPr>
            <w:i/>
          </w:rPr>
          <m:t>β</m:t>
        </m:r>
        <m:r>
          <w:rPr>
            <w:rFonts w:ascii="Cambria Math" w:hAnsi="Cambria Math"/>
          </w:rPr>
          <m:t>=</m:t>
        </m:r>
        <m:r>
          <m:rPr>
            <m:nor/>
          </m:rPr>
          <w:rPr>
            <w:i/>
          </w:rPr>
          <m:t>0</m:t>
        </m:r>
      </m:oMath>
      <w:r>
        <w:t>), entonces tampoco habrá desviación.</w:t>
      </w:r>
    </w:p>
    <w:p w14:paraId="43A770C5" w14:textId="57AF574D" w:rsidR="00302AB9" w:rsidRPr="009C2530" w:rsidRDefault="00302AB9" w:rsidP="00302AB9">
      <w:pPr>
        <w:pStyle w:val="Nivel3SM"/>
      </w:pPr>
      <w:r>
        <w:t>Aunque un shock observado pueda ser específico y los productores estén dispuestos a variar su producción, si los cambios en el nivel de precios fueron completamente anticipados por los agentes, tampoco habrá desviaciones. Así, en ausencia de sorpresas de precios, el productor se mantendrá en su nivel natural</w:t>
      </w:r>
      <w:r w:rsidR="00E224B5">
        <w:rPr>
          <w:rStyle w:val="Refdenotaalpie"/>
        </w:rPr>
        <w:footnoteReference w:id="11"/>
      </w:r>
      <w:r>
        <w:t>.</w:t>
      </w:r>
    </w:p>
    <w:p w14:paraId="099E1DF2" w14:textId="77777777" w:rsidR="00302AB9" w:rsidRDefault="00302AB9" w:rsidP="00302AB9">
      <w:pPr>
        <w:pStyle w:val="Ttulo9"/>
      </w:pPr>
      <w:r>
        <w:t>Demanda agregada</w:t>
      </w:r>
    </w:p>
    <w:p w14:paraId="2C42AC52" w14:textId="77777777" w:rsidR="00302AB9" w:rsidRDefault="00302AB9" w:rsidP="00302AB9">
      <w:pPr>
        <w:pStyle w:val="Ttulo9"/>
      </w:pPr>
      <w:r>
        <w:t>Equilibrio de mercado</w:t>
      </w:r>
    </w:p>
    <w:p w14:paraId="14D98FF9" w14:textId="77777777" w:rsidR="00302AB9" w:rsidRDefault="00302AB9" w:rsidP="00302AB9">
      <w:pPr>
        <w:pStyle w:val="Ttulo8"/>
      </w:pPr>
      <w:bookmarkStart w:id="45" w:name="_Toc119602579"/>
      <w:r>
        <w:t>Implicaciones de política económica</w:t>
      </w:r>
      <w:bookmarkEnd w:id="45"/>
    </w:p>
    <w:p w14:paraId="7974F030" w14:textId="106E1BA6" w:rsidR="00302AB9" w:rsidRDefault="00EC1C94" w:rsidP="00417A95">
      <w:pPr>
        <w:pStyle w:val="Ttulo9"/>
        <w:spacing w:before="0"/>
      </w:pPr>
      <w:r>
        <w:t>E</w:t>
      </w:r>
      <w:r w:rsidR="00302AB9">
        <w:t xml:space="preserve">fectividad </w:t>
      </w:r>
      <w:r>
        <w:t xml:space="preserve">limitada </w:t>
      </w:r>
      <w:r w:rsidR="00302AB9">
        <w:t>de la política monetaria</w:t>
      </w:r>
    </w:p>
    <w:p w14:paraId="74C777BC" w14:textId="77777777" w:rsidR="00500681" w:rsidRDefault="00500681" w:rsidP="00500681">
      <w:pPr>
        <w:pStyle w:val="Nivel1SM"/>
        <w:keepNext/>
        <w:spacing w:before="0" w:after="0"/>
      </w:pPr>
      <w:r>
        <w:t xml:space="preserve">De esta formulación se desprende que </w:t>
      </w:r>
      <w:r w:rsidRPr="00E85794">
        <w:rPr>
          <w:b/>
          <w:bCs/>
        </w:rPr>
        <w:t xml:space="preserve">la política monetaria puede tener efectos en el output pero con </w:t>
      </w:r>
      <w:r>
        <w:rPr>
          <w:b/>
          <w:bCs/>
        </w:rPr>
        <w:t>3 </w:t>
      </w:r>
      <w:r w:rsidRPr="00E85794">
        <w:rPr>
          <w:b/>
          <w:bCs/>
        </w:rPr>
        <w:t>condiciones</w:t>
      </w:r>
      <w:r>
        <w:t>:</w:t>
      </w:r>
    </w:p>
    <w:p w14:paraId="23495718" w14:textId="77777777" w:rsidR="00500681" w:rsidRDefault="00500681">
      <w:pPr>
        <w:pStyle w:val="Prrafodelista"/>
        <w:keepNext/>
        <w:numPr>
          <w:ilvl w:val="0"/>
          <w:numId w:val="29"/>
        </w:numPr>
        <w:spacing w:after="0"/>
        <w:ind w:left="568" w:hanging="284"/>
      </w:pPr>
      <w:r w:rsidRPr="006A4187">
        <w:rPr>
          <w:i/>
          <w:iCs/>
          <w:u w:val="single"/>
        </w:rPr>
        <w:t>El impacto es sólo a muy corto plazo</w:t>
      </w:r>
      <w:r>
        <w:t xml:space="preserve"> (pues la nueva información se obtendrá en un plazo inferior a la duración del período y los agentes actualizan sus precios) </w:t>
      </w:r>
      <w:r w:rsidRPr="006A4187">
        <w:rPr>
          <w:i/>
          <w:iCs/>
          <w:u w:val="single"/>
        </w:rPr>
        <w:t>y no tiene persistencia</w:t>
      </w:r>
      <w:r>
        <w:t xml:space="preserve"> (salvo a través de la variación de existencias o los costes de ajuste en la inversión).</w:t>
      </w:r>
    </w:p>
    <w:p w14:paraId="4F9EE77E" w14:textId="77777777" w:rsidR="00500681" w:rsidRDefault="00500681" w:rsidP="00500681">
      <w:pPr>
        <w:pStyle w:val="Nivel3SM"/>
      </w:pPr>
      <w:r>
        <w:t>La intuición es que si se ha producido un shock monetario es plausible que los agentes incrementen su oferta de trabajo a muy corto plazo, pero en cuanto observen la evolución de las variables reales ajustarán sus decisiones de oferta de trabajo y se verán obligados a adaptarse a la mayor inflación.</w:t>
      </w:r>
    </w:p>
    <w:p w14:paraId="1E23BA52" w14:textId="389D8475" w:rsidR="00500681" w:rsidRDefault="00500681">
      <w:pPr>
        <w:pStyle w:val="Prrafodelista"/>
        <w:keepNext/>
        <w:numPr>
          <w:ilvl w:val="0"/>
          <w:numId w:val="29"/>
        </w:numPr>
        <w:spacing w:after="0"/>
        <w:ind w:left="568" w:hanging="284"/>
      </w:pPr>
      <w:r w:rsidRPr="0041694C">
        <w:rPr>
          <w:i/>
          <w:iCs/>
          <w:u w:val="single"/>
        </w:rPr>
        <w:t>El impacto de la política monetaria sólo se produce en el caso de políticas sorpresivas no</w:t>
      </w:r>
      <w:r w:rsidR="00003250">
        <w:rPr>
          <w:i/>
          <w:iCs/>
          <w:u w:val="single"/>
        </w:rPr>
        <w:t> </w:t>
      </w:r>
      <w:r w:rsidRPr="0041694C">
        <w:rPr>
          <w:i/>
          <w:iCs/>
          <w:u w:val="single"/>
        </w:rPr>
        <w:t>anunciadas</w:t>
      </w:r>
      <w:r>
        <w:t>.</w:t>
      </w:r>
    </w:p>
    <w:p w14:paraId="5BAFA4B1" w14:textId="77777777" w:rsidR="00500681" w:rsidRDefault="00500681" w:rsidP="00500681">
      <w:pPr>
        <w:pStyle w:val="Nivel3SM"/>
      </w:pPr>
      <w:r>
        <w:t>Las políticas sistemáticas se incluirán automáticamente en las expectativas de inflación que los agentes formulan racionalmente (</w:t>
      </w:r>
      <w:r>
        <w:rPr>
          <w:smallCaps/>
        </w:rPr>
        <w:t>Sargent</w:t>
      </w:r>
      <w:r>
        <w:t xml:space="preserve"> y </w:t>
      </w:r>
      <w:r>
        <w:rPr>
          <w:smallCaps/>
        </w:rPr>
        <w:t>Wallace</w:t>
      </w:r>
      <w:r>
        <w:t>, 1976</w:t>
      </w:r>
      <w:r>
        <w:rPr>
          <w:rStyle w:val="Refdenotaalpie"/>
        </w:rPr>
        <w:footnoteReference w:id="12"/>
      </w:r>
      <w:r>
        <w:t xml:space="preserve">). Esto se conoce como la proposición de la irrelevancia de las políticas estabilizadoras sistemáticas (PIP, </w:t>
      </w:r>
      <w:proofErr w:type="spellStart"/>
      <w:r>
        <w:rPr>
          <w:i/>
          <w:iCs/>
        </w:rPr>
        <w:t>Policy</w:t>
      </w:r>
      <w:proofErr w:type="spellEnd"/>
      <w:r>
        <w:rPr>
          <w:i/>
          <w:iCs/>
        </w:rPr>
        <w:t xml:space="preserve"> </w:t>
      </w:r>
      <w:proofErr w:type="spellStart"/>
      <w:r>
        <w:rPr>
          <w:i/>
          <w:iCs/>
        </w:rPr>
        <w:t>Irrelevance</w:t>
      </w:r>
      <w:proofErr w:type="spellEnd"/>
      <w:r>
        <w:rPr>
          <w:i/>
          <w:iCs/>
        </w:rPr>
        <w:t xml:space="preserve"> </w:t>
      </w:r>
      <w:proofErr w:type="spellStart"/>
      <w:r>
        <w:rPr>
          <w:i/>
          <w:iCs/>
        </w:rPr>
        <w:t>Proposition</w:t>
      </w:r>
      <w:proofErr w:type="spellEnd"/>
      <w:r>
        <w:t>).</w:t>
      </w:r>
    </w:p>
    <w:p w14:paraId="7C4E1062" w14:textId="77777777" w:rsidR="00500681" w:rsidRDefault="00500681">
      <w:pPr>
        <w:pStyle w:val="Prrafodelista"/>
        <w:keepNext/>
        <w:numPr>
          <w:ilvl w:val="0"/>
          <w:numId w:val="29"/>
        </w:numPr>
        <w:spacing w:after="0"/>
        <w:ind w:left="568" w:hanging="284"/>
      </w:pPr>
      <w:r w:rsidRPr="0041694C">
        <w:rPr>
          <w:i/>
          <w:iCs/>
          <w:u w:val="single"/>
        </w:rPr>
        <w:lastRenderedPageBreak/>
        <w:t>La pendiente de la curva de Phillips depende de las varianzas de los shocks reales y monetarios</w:t>
      </w:r>
      <w:r>
        <w:t xml:space="preserve"> (</w:t>
      </w:r>
      <w:r>
        <w:rPr>
          <w:smallCaps/>
        </w:rPr>
        <w:t>Ball</w:t>
      </w:r>
      <w:r>
        <w:t xml:space="preserve">, </w:t>
      </w:r>
      <w:r>
        <w:rPr>
          <w:smallCaps/>
        </w:rPr>
        <w:t>Mankiw</w:t>
      </w:r>
      <w:r>
        <w:t xml:space="preserve"> y </w:t>
      </w:r>
      <w:r>
        <w:rPr>
          <w:smallCaps/>
        </w:rPr>
        <w:t>Romer</w:t>
      </w:r>
      <w:r>
        <w:t>, 1988).</w:t>
      </w:r>
    </w:p>
    <w:p w14:paraId="59D789FE" w14:textId="77777777" w:rsidR="00500681" w:rsidRDefault="00500681" w:rsidP="00500681">
      <w:pPr>
        <w:pStyle w:val="Nivel3SM"/>
        <w:spacing w:after="100"/>
      </w:pPr>
      <w:r>
        <w:t>Si los shocks monetarios son habituales (</w:t>
      </w:r>
      <m:oMath>
        <m:sSubSup>
          <m:sSubSupPr>
            <m:ctrlPr>
              <w:rPr>
                <w:rFonts w:ascii="Cambria Math" w:eastAsiaTheme="minorEastAsia" w:hAnsi="Cambria Math"/>
                <w:i/>
                <w:iCs/>
              </w:rPr>
            </m:ctrlPr>
          </m:sSubSupPr>
          <m:e>
            <m:r>
              <m:rPr>
                <m:nor/>
              </m:rPr>
              <w:rPr>
                <w:i/>
              </w:rPr>
              <m:t>σ</m:t>
            </m:r>
          </m:e>
          <m:sub>
            <m:r>
              <m:rPr>
                <m:nor/>
              </m:rPr>
              <w:rPr>
                <w:i/>
                <w:iCs/>
              </w:rPr>
              <m:t>p</m:t>
            </m:r>
          </m:sub>
          <m:sup>
            <m:r>
              <m:rPr>
                <m:nor/>
              </m:rPr>
              <w:rPr>
                <w:i/>
                <w:iCs/>
              </w:rPr>
              <m:t>2</m:t>
            </m:r>
          </m:sup>
        </m:sSubSup>
      </m:oMath>
      <w:r w:rsidRPr="00E85794">
        <w:rPr>
          <w:rFonts w:eastAsiaTheme="minorEastAsia"/>
          <w:iCs/>
        </w:rPr>
        <w:t xml:space="preserve"> es elevada</w:t>
      </w:r>
      <w:r>
        <w:t>), entonces el impacto de las sorpresas inflacionistas en el output será menor (</w:t>
      </w:r>
      <m:oMath>
        <m:r>
          <m:rPr>
            <m:nor/>
          </m:rPr>
          <w:rPr>
            <w:i/>
            <w:iCs/>
          </w:rPr>
          <m:t>θ</m:t>
        </m:r>
      </m:oMath>
      <w:r w:rsidRPr="00E85794">
        <w:rPr>
          <w:rFonts w:eastAsiaTheme="minorEastAsia"/>
          <w:iCs/>
        </w:rPr>
        <w:t xml:space="preserve"> será menor</w:t>
      </w:r>
      <w:r>
        <w:t>), pues cuando los individuos vean que aumenta el precio en su mercado (</w:t>
      </w:r>
      <m:oMath>
        <m:sSub>
          <m:sSubPr>
            <m:ctrlPr>
              <w:rPr>
                <w:rFonts w:ascii="Cambria Math" w:hAnsi="Cambria Math"/>
                <w:i/>
                <w:iCs/>
              </w:rPr>
            </m:ctrlPr>
          </m:sSubPr>
          <m:e>
            <m:r>
              <m:rPr>
                <m:nor/>
              </m:rPr>
              <w:rPr>
                <w:i/>
                <w:iCs/>
              </w:rPr>
              <m:t>p</m:t>
            </m:r>
          </m:e>
          <m:sub>
            <m:r>
              <m:rPr>
                <m:nor/>
              </m:rPr>
              <w:rPr>
                <w:i/>
                <w:iCs/>
              </w:rPr>
              <m:t>i</m:t>
            </m:r>
          </m:sub>
        </m:sSub>
      </m:oMath>
      <w:r>
        <w:t>), asignarán una mayor probabilidad a que se trate de un aumento en el nivel general de precios que a un shock de precios relativos. Es decir, l</w:t>
      </w:r>
      <w:r w:rsidRPr="00E85794">
        <w:t xml:space="preserve">os agentes racionales aprenden a anticipar posibles reglas de estabilización </w:t>
      </w:r>
      <w:proofErr w:type="spellStart"/>
      <w:r w:rsidRPr="00E85794">
        <w:t>contracíclica</w:t>
      </w:r>
      <w:proofErr w:type="spellEnd"/>
      <w:r w:rsidRPr="00E85794">
        <w:t xml:space="preserve"> siempre que sean utilizadas de forma consistente por los Bancos Centrales.</w:t>
      </w:r>
    </w:p>
    <w:p w14:paraId="3CD5C1FF" w14:textId="77777777" w:rsidR="00500681" w:rsidRPr="00E85794" w:rsidRDefault="00500681" w:rsidP="00500681">
      <w:pPr>
        <w:pStyle w:val="Nivel3SM"/>
        <w:spacing w:after="100"/>
      </w:pPr>
      <w:r>
        <w:t xml:space="preserve">Además, la efectividad dependerá de la </w:t>
      </w:r>
      <w:r>
        <w:rPr>
          <w:rFonts w:eastAsiaTheme="minorEastAsia"/>
        </w:rPr>
        <w:t>velocidad a la que los empresarios aumentan la producción en respuesta a un shock específico, que vendrá determinada por la elasticidad de la oferta de trabajo</w:t>
      </w:r>
      <w:r>
        <w:t xml:space="preserve">, </w:t>
      </w:r>
      <m:oMath>
        <m:r>
          <m:rPr>
            <m:nor/>
          </m:rPr>
          <w:rPr>
            <w:i/>
          </w:rPr>
          <m:t>β</m:t>
        </m:r>
      </m:oMath>
      <w:r>
        <w:t>.</w:t>
      </w:r>
    </w:p>
    <w:p w14:paraId="48911545" w14:textId="77777777" w:rsidR="004A0387" w:rsidRDefault="004A0387" w:rsidP="004A0387">
      <w:pPr>
        <w:pStyle w:val="Nivel1SM"/>
        <w:keepNext/>
        <w:spacing w:after="0"/>
      </w:pPr>
      <w:r>
        <w:t>¿Qué opina la literatura de estas ideas?</w:t>
      </w:r>
    </w:p>
    <w:p w14:paraId="00E9C0FA" w14:textId="77777777" w:rsidR="004A0387" w:rsidRDefault="004A0387" w:rsidP="004A0387">
      <w:pPr>
        <w:pStyle w:val="Nivel2SM"/>
      </w:pPr>
      <w:r>
        <w:t>Las dos primeras ideas han sido objeto de una fuerte controversia teórica y empírica (i.e. existe debate acerca de si la política monetaria presenta efectos reales o sólo afecta a los precios y si dichos efectos se mantienen incluso cuando la política se anuncia con anticipación). Los resultados empíricos de estos dos principios son mixtos y no son del todo concluyentes.</w:t>
      </w:r>
    </w:p>
    <w:p w14:paraId="229CE02F" w14:textId="3DBD300B" w:rsidR="004A0387" w:rsidRDefault="004A0387" w:rsidP="004A0387">
      <w:pPr>
        <w:pStyle w:val="Nivel2SM"/>
        <w:keepNext/>
        <w:spacing w:after="0"/>
      </w:pPr>
      <w:r>
        <w:t xml:space="preserve">El tercer corolario sí goza de mayor consenso, y permitió al mismo autor formular la denominada “crítica de Lucas” (1976) </w:t>
      </w:r>
      <w:r w:rsidRPr="00FE4AAF">
        <w:rPr>
          <w:color w:val="767171" w:themeColor="background2" w:themeShade="80"/>
          <w:sz w:val="19"/>
          <w:szCs w:val="19"/>
        </w:rPr>
        <w:t>[ver tema 3.A.</w:t>
      </w:r>
      <w:r w:rsidR="00D60AF5">
        <w:rPr>
          <w:color w:val="767171" w:themeColor="background2" w:themeShade="80"/>
          <w:sz w:val="19"/>
          <w:szCs w:val="19"/>
        </w:rPr>
        <w:t>6</w:t>
      </w:r>
      <w:r w:rsidRPr="00FE4AAF">
        <w:rPr>
          <w:color w:val="767171" w:themeColor="background2" w:themeShade="80"/>
          <w:sz w:val="19"/>
          <w:szCs w:val="19"/>
        </w:rPr>
        <w:t>]</w:t>
      </w:r>
      <w:r>
        <w:t>.</w:t>
      </w:r>
    </w:p>
    <w:p w14:paraId="775128BD" w14:textId="77777777" w:rsidR="004A0387" w:rsidRDefault="004A0387" w:rsidP="004A0387">
      <w:pPr>
        <w:pStyle w:val="Nivel3SM"/>
      </w:pPr>
      <w:r>
        <w:t>Incluso obteniendo una relación estadística positiva entre el crecimiento de la masa monetaria y el nivel de output, dicha relación no puede extrapolarse a otros contextos, pues las expectativas de los agentes responden a la formulación de las políticas y pueden alterar esa relación estadística aparentemente estable.</w:t>
      </w:r>
    </w:p>
    <w:p w14:paraId="7F94D2CE" w14:textId="77777777" w:rsidR="004A0387" w:rsidRDefault="004A0387" w:rsidP="004A0387">
      <w:pPr>
        <w:pStyle w:val="Nivel3SM"/>
      </w:pPr>
      <w:r>
        <w:t xml:space="preserve">Es por ello </w:t>
      </w:r>
      <w:proofErr w:type="gramStart"/>
      <w:r>
        <w:t>que</w:t>
      </w:r>
      <w:proofErr w:type="gramEnd"/>
      <w:r>
        <w:t>, a partir de esta crítica de Lucas, la macroeconomía se ha construido a partir de modelos teóricos y empíricos que capturen relaciones estructurales entre las variables (que no varíen con la formulación de las políticas económicas). De</w:t>
      </w:r>
      <w:bookmarkStart w:id="46" w:name="_Hlk121152253"/>
      <w:r>
        <w:t xml:space="preserve"> hecho, esa crítica ha influido en el desarrollo de modelos de la NEK, que se basan en otro tipo de supuestos en lo que se refiere a la rigidez de precios y salarios.</w:t>
      </w:r>
    </w:p>
    <w:bookmarkEnd w:id="46"/>
    <w:p w14:paraId="1FAF1457" w14:textId="227F57F3" w:rsidR="00230D83" w:rsidRDefault="00230D83" w:rsidP="00230D83">
      <w:pPr>
        <w:pStyle w:val="Nivel1SM"/>
        <w:keepNext/>
        <w:spacing w:after="0"/>
      </w:pPr>
      <w:r>
        <w:t xml:space="preserve">En definitiva, </w:t>
      </w:r>
      <w:r>
        <w:rPr>
          <w:smallCaps/>
        </w:rPr>
        <w:t>Lucas</w:t>
      </w:r>
      <w:r>
        <w:t xml:space="preserve"> propone:</w:t>
      </w:r>
    </w:p>
    <w:p w14:paraId="3FACE1D9" w14:textId="5A744714" w:rsidR="00302AB9" w:rsidRDefault="001D4384" w:rsidP="00230D83">
      <w:pPr>
        <w:pStyle w:val="Nivel2SM"/>
      </w:pPr>
      <w:r w:rsidRPr="00230D83">
        <w:rPr>
          <w:i/>
          <w:iCs/>
        </w:rPr>
        <w:t>Mecanismo de transmisión</w:t>
      </w:r>
      <w:r>
        <w:t xml:space="preserve">: </w:t>
      </w:r>
      <w:r w:rsidR="002F3697">
        <w:t>I</w:t>
      </w:r>
      <w:r>
        <w:t>nformación imperfecta.</w:t>
      </w:r>
    </w:p>
    <w:p w14:paraId="48E43752" w14:textId="25543CB8" w:rsidR="001D4384" w:rsidRPr="001D4384" w:rsidRDefault="001D4384" w:rsidP="00230D83">
      <w:pPr>
        <w:pStyle w:val="Nivel2SM"/>
      </w:pPr>
      <w:r w:rsidRPr="00230D83">
        <w:rPr>
          <w:i/>
          <w:iCs/>
        </w:rPr>
        <w:t>Efectos</w:t>
      </w:r>
      <w:r>
        <w:t>: S</w:t>
      </w:r>
      <w:r w:rsidR="002F3697">
        <w:t>ó</w:t>
      </w:r>
      <w:r>
        <w:t>lo la política monetaria sorpresiva tendrá efectos reales si los agentes descuentan que el shock es real. Por ello, la política monetaria funcionaría si acaso en economías de baja inflación.</w:t>
      </w:r>
    </w:p>
    <w:p w14:paraId="590E25FA" w14:textId="349DCD20" w:rsidR="001F20E5" w:rsidRDefault="00302AB9" w:rsidP="00302AB9">
      <w:pPr>
        <w:pStyle w:val="Ttulo6"/>
      </w:pPr>
      <w:bookmarkStart w:id="47" w:name="_Hlk120528588"/>
      <w:bookmarkStart w:id="48" w:name="_Toc174195960"/>
      <w:r w:rsidRPr="00302AB9">
        <w:t>Inefectividad de la política monetaria sistemática (</w:t>
      </w:r>
      <w:r w:rsidRPr="00302AB9">
        <w:rPr>
          <w:smallCaps/>
        </w:rPr>
        <w:t>Thomas</w:t>
      </w:r>
      <w:r>
        <w:t xml:space="preserve"> </w:t>
      </w:r>
      <w:r>
        <w:rPr>
          <w:smallCaps/>
        </w:rPr>
        <w:t>Sargent</w:t>
      </w:r>
      <w:r>
        <w:t xml:space="preserve"> y </w:t>
      </w:r>
      <w:r>
        <w:rPr>
          <w:smallCaps/>
        </w:rPr>
        <w:t>Neil Wallace</w:t>
      </w:r>
      <w:r>
        <w:t>, 197</w:t>
      </w:r>
      <w:r w:rsidR="00214675">
        <w:t>6</w:t>
      </w:r>
      <w:r w:rsidRPr="00302AB9">
        <w:t>)</w:t>
      </w:r>
      <w:bookmarkEnd w:id="48"/>
    </w:p>
    <w:p w14:paraId="57785950" w14:textId="678D83A7" w:rsidR="00214675" w:rsidRPr="00214675" w:rsidRDefault="00214675" w:rsidP="00417A95">
      <w:pPr>
        <w:pStyle w:val="Ttulo7"/>
        <w:spacing w:before="0"/>
      </w:pPr>
      <w:r>
        <w:t>Idea</w:t>
      </w:r>
    </w:p>
    <w:p w14:paraId="7BF8E153" w14:textId="6A93136C" w:rsidR="00214675" w:rsidRDefault="00214675" w:rsidP="00417A95">
      <w:pPr>
        <w:pStyle w:val="Nivel1SM"/>
        <w:spacing w:before="0"/>
      </w:pPr>
      <w:r>
        <w:rPr>
          <w:smallCaps/>
        </w:rPr>
        <w:t>Sargent</w:t>
      </w:r>
      <w:r w:rsidRPr="00214675">
        <w:t xml:space="preserve"> y </w:t>
      </w:r>
      <w:r>
        <w:rPr>
          <w:smallCaps/>
        </w:rPr>
        <w:t>Wallace</w:t>
      </w:r>
      <w:r>
        <w:t xml:space="preserve"> (1976) afirman que si se asumen expectativas racionales y flexibilidad de precios, las políticas económicas de estabilización serán inefectivas.</w:t>
      </w:r>
    </w:p>
    <w:p w14:paraId="51C2D6A7" w14:textId="101C3A4F" w:rsidR="00214675" w:rsidRDefault="00214675" w:rsidP="00214675">
      <w:pPr>
        <w:pStyle w:val="Ttulo7"/>
      </w:pPr>
      <w:r>
        <w:t>Desarrollo</w:t>
      </w:r>
    </w:p>
    <w:p w14:paraId="4C928B97" w14:textId="77777777" w:rsidR="00214675" w:rsidRDefault="00214675" w:rsidP="00417A95">
      <w:pPr>
        <w:pStyle w:val="Nivel1SM"/>
        <w:spacing w:before="0"/>
      </w:pPr>
      <w:r>
        <w:t xml:space="preserve">Si los agentes con expectativas racionales anticipan cualquier política sistemática de la autoridad no se podrá explotar el </w:t>
      </w:r>
      <w:proofErr w:type="spellStart"/>
      <w:r>
        <w:t>trade</w:t>
      </w:r>
      <w:proofErr w:type="spellEnd"/>
      <w:r>
        <w:t>-off de la curva de Phillips ni siquiera por un período.</w:t>
      </w:r>
    </w:p>
    <w:p w14:paraId="465912CC" w14:textId="77777777" w:rsidR="00214675" w:rsidRDefault="00214675" w:rsidP="00214675">
      <w:pPr>
        <w:pStyle w:val="Nivel1SM"/>
      </w:pPr>
      <w:r>
        <w:t>Las expectativas racionales y la flexibilidad de precios llevan a que la curva de Phillips sea vertical tanto en el corto plazo como en el largo plazo.</w:t>
      </w:r>
    </w:p>
    <w:p w14:paraId="25F59B0E" w14:textId="3E11A7A4" w:rsidR="00214675" w:rsidRPr="00214675" w:rsidRDefault="00214675" w:rsidP="00214675">
      <w:pPr>
        <w:pStyle w:val="Nivel1SM"/>
      </w:pPr>
      <w:r>
        <w:rPr>
          <w:smallCaps/>
        </w:rPr>
        <w:t>Sargent</w:t>
      </w:r>
      <w:r>
        <w:t xml:space="preserve"> y </w:t>
      </w:r>
      <w:r>
        <w:rPr>
          <w:smallCaps/>
        </w:rPr>
        <w:t>Wallace</w:t>
      </w:r>
      <w:r>
        <w:t xml:space="preserve"> obtienen un resultado distinto al de </w:t>
      </w:r>
      <w:r>
        <w:rPr>
          <w:smallCaps/>
        </w:rPr>
        <w:t>Lucas</w:t>
      </w:r>
      <w:r>
        <w:t xml:space="preserve"> porque cambian los supuestos tecnológicos (no trabajan con el supuesto de islas de </w:t>
      </w:r>
      <w:r w:rsidRPr="00214675">
        <w:rPr>
          <w:smallCaps/>
        </w:rPr>
        <w:t>Phelps</w:t>
      </w:r>
      <w:r>
        <w:t>).</w:t>
      </w:r>
    </w:p>
    <w:p w14:paraId="1FEF1A1F" w14:textId="60017ABE" w:rsidR="00214675" w:rsidRDefault="00214675" w:rsidP="00214675">
      <w:pPr>
        <w:pStyle w:val="Ttulo7"/>
      </w:pPr>
      <w:r>
        <w:lastRenderedPageBreak/>
        <w:t>Conclusión</w:t>
      </w:r>
    </w:p>
    <w:p w14:paraId="1D3ADA0F" w14:textId="224B96D3" w:rsidR="00230D83" w:rsidRDefault="00230D83" w:rsidP="00417A95">
      <w:pPr>
        <w:pStyle w:val="Nivel1SM"/>
        <w:keepNext/>
        <w:spacing w:before="0" w:after="0"/>
      </w:pPr>
      <w:r>
        <w:t xml:space="preserve">En definitiva, </w:t>
      </w:r>
      <w:r>
        <w:rPr>
          <w:smallCaps/>
        </w:rPr>
        <w:t>Sargent</w:t>
      </w:r>
      <w:r>
        <w:t xml:space="preserve"> y </w:t>
      </w:r>
      <w:r>
        <w:rPr>
          <w:smallCaps/>
        </w:rPr>
        <w:t>Wallace</w:t>
      </w:r>
      <w:r>
        <w:t xml:space="preserve"> proponen:</w:t>
      </w:r>
    </w:p>
    <w:p w14:paraId="75CC2BF7" w14:textId="762D6055" w:rsidR="00230D83" w:rsidRDefault="00230D83" w:rsidP="00230D83">
      <w:pPr>
        <w:pStyle w:val="Nivel2SM"/>
        <w:spacing w:after="0"/>
      </w:pPr>
      <w:r>
        <w:rPr>
          <w:i/>
          <w:iCs/>
        </w:rPr>
        <w:t>Mecanismo de transmisión</w:t>
      </w:r>
      <w:r>
        <w:t>: Precios</w:t>
      </w:r>
    </w:p>
    <w:p w14:paraId="7D6F65AD" w14:textId="599EFCCF" w:rsidR="00214675" w:rsidRPr="00214675" w:rsidRDefault="00214675" w:rsidP="00230D83">
      <w:pPr>
        <w:pStyle w:val="Nivel2SM"/>
      </w:pPr>
      <w:r w:rsidRPr="00230D83">
        <w:rPr>
          <w:i/>
          <w:iCs/>
        </w:rPr>
        <w:t>Efectos</w:t>
      </w:r>
      <w:r>
        <w:t>: La política monetaria no tiene efectos reales.</w:t>
      </w:r>
    </w:p>
    <w:p w14:paraId="7C5AB972" w14:textId="141DCC17" w:rsidR="001F20E5" w:rsidRDefault="001F20E5" w:rsidP="001F20E5">
      <w:pPr>
        <w:pStyle w:val="Ttulo3"/>
      </w:pPr>
      <w:bookmarkStart w:id="49" w:name="_Toc174195961"/>
      <w:bookmarkEnd w:id="47"/>
      <w:r>
        <w:t>Valoración</w:t>
      </w:r>
      <w:bookmarkEnd w:id="49"/>
    </w:p>
    <w:p w14:paraId="31C46A45" w14:textId="77777777" w:rsidR="00C15ABA" w:rsidRDefault="00C15ABA" w:rsidP="00417A95">
      <w:pPr>
        <w:pStyle w:val="Ttulo6"/>
        <w:spacing w:before="0"/>
        <w:rPr>
          <w:lang w:val="en-US"/>
        </w:rPr>
      </w:pPr>
      <w:bookmarkStart w:id="50" w:name="_Toc119602580"/>
      <w:bookmarkStart w:id="51" w:name="_Toc174195962"/>
      <w:proofErr w:type="spellStart"/>
      <w:r>
        <w:rPr>
          <w:lang w:val="en-US"/>
        </w:rPr>
        <w:t>Evidencia</w:t>
      </w:r>
      <w:proofErr w:type="spellEnd"/>
      <w:r>
        <w:rPr>
          <w:lang w:val="en-US"/>
        </w:rPr>
        <w:t xml:space="preserve"> </w:t>
      </w:r>
      <w:proofErr w:type="spellStart"/>
      <w:r>
        <w:rPr>
          <w:lang w:val="en-US"/>
        </w:rPr>
        <w:t>empírica</w:t>
      </w:r>
      <w:bookmarkEnd w:id="50"/>
      <w:bookmarkEnd w:id="51"/>
      <w:proofErr w:type="spellEnd"/>
    </w:p>
    <w:p w14:paraId="572DAF62" w14:textId="7E4DD178" w:rsidR="00C15ABA" w:rsidRDefault="00C15ABA" w:rsidP="00417A95">
      <w:pPr>
        <w:pStyle w:val="Nivel1SM"/>
        <w:spacing w:before="0"/>
      </w:pPr>
      <w:r w:rsidRPr="00423F78">
        <w:t>C</w:t>
      </w:r>
      <w:r w:rsidR="00322F6D">
        <w:t>o</w:t>
      </w:r>
      <w:r w:rsidRPr="00423F78">
        <w:t xml:space="preserve">mo se ha visto </w:t>
      </w:r>
      <w:r>
        <w:t xml:space="preserve">anteriormente, el modelo de </w:t>
      </w:r>
      <w:r>
        <w:rPr>
          <w:smallCaps/>
        </w:rPr>
        <w:t>Lucas</w:t>
      </w:r>
      <w:r>
        <w:t xml:space="preserve"> explica la respuesta de los agentes ante variaciones de precios en base a la importancia relativa de las perturbaciones individuales o específicas frente a las agregadas. El efecto real de una perturbación agregada será menor cuanto mayor sea la varianza de esas perturbaciones agregadas, puesto que los agentes tenderán a asignar una mayor probabilidad a los shocks agregados y reaccionarán en menor medida.</w:t>
      </w:r>
    </w:p>
    <w:p w14:paraId="0EAE2609" w14:textId="43E74170" w:rsidR="00C15ABA" w:rsidRDefault="00C15ABA" w:rsidP="00C15ABA">
      <w:pPr>
        <w:pStyle w:val="Nivel1SM"/>
        <w:keepNext/>
        <w:spacing w:after="0"/>
      </w:pPr>
      <w:r>
        <w:rPr>
          <w:smallCaps/>
        </w:rPr>
        <w:t>Lucas</w:t>
      </w:r>
      <w:r>
        <w:t xml:space="preserve"> (1973) contrasta la validación empírica de esta hipótesis mediante un análisis en </w:t>
      </w:r>
      <w:r w:rsidR="00322F6D">
        <w:t>2 </w:t>
      </w:r>
      <w:r>
        <w:t>pasos:</w:t>
      </w:r>
    </w:p>
    <w:p w14:paraId="49F5DC2B" w14:textId="77777777" w:rsidR="00C15ABA" w:rsidRDefault="00C15ABA">
      <w:pPr>
        <w:pStyle w:val="Prrafodelista"/>
        <w:keepNext/>
        <w:numPr>
          <w:ilvl w:val="0"/>
          <w:numId w:val="13"/>
        </w:numPr>
        <w:spacing w:after="100"/>
        <w:ind w:left="568" w:hanging="284"/>
      </w:pPr>
      <w:r>
        <w:t xml:space="preserve">En primer lugar, identifica las perturbaciones de demanda agregada como variaciones en el PIB nominal, </w:t>
      </w:r>
      <m:oMath>
        <m:r>
          <w:rPr>
            <w:rFonts w:ascii="Cambria Math" w:hAnsi="Cambria Math"/>
          </w:rPr>
          <m:t>∆</m:t>
        </m:r>
        <m:sSub>
          <m:sSubPr>
            <m:ctrlPr>
              <w:rPr>
                <w:rFonts w:ascii="Cambria Math" w:hAnsi="Cambria Math"/>
                <w:i/>
              </w:rPr>
            </m:ctrlPr>
          </m:sSubPr>
          <m:e>
            <m:r>
              <m:rPr>
                <m:nor/>
              </m:rPr>
              <w:rPr>
                <w:i/>
              </w:rPr>
              <m:t>x</m:t>
            </m:r>
          </m:e>
          <m:sub>
            <m:r>
              <m:rPr>
                <m:nor/>
              </m:rPr>
              <w:rPr>
                <w:i/>
              </w:rPr>
              <m:t>t</m:t>
            </m:r>
          </m:sub>
        </m:sSub>
      </m:oMath>
      <w:r>
        <w:t xml:space="preserve">, y estima su impacto en la demanda agregada (PIB real, </w:t>
      </w:r>
      <m:oMath>
        <m:sSub>
          <m:sSubPr>
            <m:ctrlPr>
              <w:rPr>
                <w:rFonts w:ascii="Cambria Math" w:hAnsi="Cambria Math"/>
                <w:i/>
              </w:rPr>
            </m:ctrlPr>
          </m:sSubPr>
          <m:e>
            <m:r>
              <m:rPr>
                <m:nor/>
              </m:rPr>
              <w:rPr>
                <w:i/>
              </w:rPr>
              <m:t>y</m:t>
            </m:r>
          </m:e>
          <m:sub>
            <m:r>
              <m:rPr>
                <m:nor/>
              </m:rPr>
              <w:rPr>
                <w:i/>
              </w:rPr>
              <m:t>t</m:t>
            </m:r>
          </m:sub>
        </m:sSub>
      </m:oMath>
      <w:r>
        <w:t>) mediante la siguiente regresión, que repite para varios países:</w:t>
      </w:r>
    </w:p>
    <w:p w14:paraId="780C4099" w14:textId="77777777" w:rsidR="00C15ABA" w:rsidRPr="00423F78" w:rsidRDefault="00000000" w:rsidP="00417A95">
      <w:pPr>
        <w:pStyle w:val="Prrafodelista"/>
        <w:spacing w:after="0"/>
        <w:ind w:left="568"/>
        <w:rPr>
          <w:lang w:val="fr-FR"/>
        </w:rPr>
      </w:pPr>
      <m:oMathPara>
        <m:oMath>
          <m:sSub>
            <m:sSubPr>
              <m:ctrlPr>
                <w:rPr>
                  <w:rFonts w:ascii="Cambria Math" w:hAnsi="Cambria Math"/>
                  <w:i/>
                </w:rPr>
              </m:ctrlPr>
            </m:sSubPr>
            <m:e>
              <m:r>
                <m:rPr>
                  <m:nor/>
                </m:rPr>
                <w:rPr>
                  <w:i/>
                  <w:lang w:val="fr-FR"/>
                </w:rPr>
                <m:t>y</m:t>
              </m:r>
            </m:e>
            <m:sub>
              <m:r>
                <m:rPr>
                  <m:nor/>
                </m:rPr>
                <w:rPr>
                  <w:i/>
                  <w:lang w:val="fr-FR"/>
                </w:rPr>
                <m:t>t</m:t>
              </m:r>
            </m:sub>
          </m:sSub>
          <m:r>
            <w:rPr>
              <w:rFonts w:ascii="Cambria Math" w:hAnsi="Cambria Math"/>
              <w:lang w:val="fr-FR"/>
            </w:rPr>
            <m:t>=</m:t>
          </m:r>
          <m:r>
            <m:rPr>
              <m:nor/>
            </m:rPr>
            <w:rPr>
              <w:i/>
              <w:lang w:val="fr-FR"/>
            </w:rPr>
            <m:t>c</m:t>
          </m:r>
          <m:r>
            <w:rPr>
              <w:rFonts w:ascii="Cambria Math" w:hAnsi="Cambria Math"/>
              <w:lang w:val="fr-FR"/>
            </w:rPr>
            <m:t>+</m:t>
          </m:r>
          <m:r>
            <m:rPr>
              <m:nor/>
            </m:rPr>
            <w:rPr>
              <w:i/>
              <w:iCs/>
            </w:rPr>
            <m:t>γ</m:t>
          </m:r>
          <m:r>
            <w:rPr>
              <w:rFonts w:ascii="Cambria Math" w:hAnsi="Cambria Math"/>
              <w:lang w:val="fr-FR"/>
            </w:rPr>
            <m:t>∙</m:t>
          </m:r>
          <m:r>
            <m:rPr>
              <m:nor/>
            </m:rPr>
            <w:rPr>
              <w:i/>
              <w:lang w:val="fr-FR"/>
            </w:rPr>
            <m:t>t</m:t>
          </m:r>
          <m:r>
            <w:rPr>
              <w:rFonts w:ascii="Cambria Math" w:hAnsi="Cambria Math"/>
              <w:lang w:val="fr-FR"/>
            </w:rPr>
            <m:t>+</m:t>
          </m:r>
          <m:r>
            <m:rPr>
              <m:nor/>
            </m:rPr>
            <w:rPr>
              <w:i/>
            </w:rPr>
            <m:t>τ</m:t>
          </m:r>
          <m:r>
            <w:rPr>
              <w:rFonts w:ascii="Cambria Math" w:hAnsi="Cambria Math"/>
              <w:lang w:val="fr-FR"/>
            </w:rPr>
            <m:t>∙∆</m:t>
          </m:r>
          <m:sSub>
            <m:sSubPr>
              <m:ctrlPr>
                <w:rPr>
                  <w:rFonts w:ascii="Cambria Math" w:hAnsi="Cambria Math"/>
                  <w:i/>
                </w:rPr>
              </m:ctrlPr>
            </m:sSubPr>
            <m:e>
              <m:r>
                <m:rPr>
                  <m:nor/>
                </m:rPr>
                <w:rPr>
                  <w:i/>
                  <w:lang w:val="fr-FR"/>
                </w:rPr>
                <m:t>x</m:t>
              </m:r>
            </m:e>
            <m:sub>
              <m:r>
                <m:rPr>
                  <m:nor/>
                </m:rPr>
                <w:rPr>
                  <w:i/>
                  <w:lang w:val="fr-FR"/>
                </w:rPr>
                <m:t>t</m:t>
              </m:r>
            </m:sub>
          </m:sSub>
          <m:r>
            <w:rPr>
              <w:rFonts w:ascii="Cambria Math" w:eastAsiaTheme="minorEastAsia" w:hAnsi="Cambria Math"/>
              <w:lang w:val="fr-FR"/>
            </w:rPr>
            <m:t>+</m:t>
          </m:r>
          <m:r>
            <m:rPr>
              <m:nor/>
            </m:rPr>
            <w:rPr>
              <w:i/>
              <w:iCs/>
            </w:rPr>
            <m:t>λ</m:t>
          </m:r>
          <m:r>
            <w:rPr>
              <w:rFonts w:ascii="Cambria Math" w:hAnsi="Cambria Math"/>
              <w:lang w:val="fr-FR"/>
            </w:rPr>
            <m:t>∙</m:t>
          </m:r>
          <m:sSub>
            <m:sSubPr>
              <m:ctrlPr>
                <w:rPr>
                  <w:rFonts w:ascii="Cambria Math" w:hAnsi="Cambria Math"/>
                  <w:i/>
                </w:rPr>
              </m:ctrlPr>
            </m:sSubPr>
            <m:e>
              <m:r>
                <m:rPr>
                  <m:nor/>
                </m:rPr>
                <w:rPr>
                  <w:i/>
                  <w:lang w:val="fr-FR"/>
                </w:rPr>
                <m:t>y</m:t>
              </m:r>
            </m:e>
            <m:sub>
              <m:r>
                <m:rPr>
                  <m:nor/>
                </m:rPr>
                <w:rPr>
                  <w:i/>
                  <w:lang w:val="fr-FR"/>
                </w:rPr>
                <m:t>t</m:t>
              </m:r>
              <m:r>
                <w:rPr>
                  <w:rFonts w:ascii="Cambria Math"/>
                  <w:lang w:val="fr-FR"/>
                </w:rPr>
                <m:t>-</m:t>
              </m:r>
              <m:r>
                <m:rPr>
                  <m:nor/>
                </m:rPr>
                <w:rPr>
                  <w:i/>
                  <w:lang w:val="fr-FR"/>
                </w:rPr>
                <m:t>1</m:t>
              </m:r>
            </m:sub>
          </m:sSub>
        </m:oMath>
      </m:oMathPara>
    </w:p>
    <w:p w14:paraId="09172BC4" w14:textId="6AE27FA3" w:rsidR="00C15ABA" w:rsidRDefault="00C15ABA">
      <w:pPr>
        <w:pStyle w:val="Prrafodelista"/>
        <w:keepNext/>
        <w:numPr>
          <w:ilvl w:val="0"/>
          <w:numId w:val="13"/>
        </w:numPr>
        <w:spacing w:after="100"/>
        <w:ind w:left="568" w:hanging="284"/>
      </w:pPr>
      <w:r>
        <w:t xml:space="preserve">En segundo lugar, estima la relación entre las elasticidades de la demanda a perturbaciones agregadas para los distintos países, </w:t>
      </w:r>
      <m:oMath>
        <m:sSub>
          <m:sSubPr>
            <m:ctrlPr>
              <w:rPr>
                <w:rFonts w:ascii="Cambria Math" w:hAnsi="Cambria Math"/>
                <w:i/>
              </w:rPr>
            </m:ctrlPr>
          </m:sSubPr>
          <m:e>
            <m:r>
              <m:rPr>
                <m:nor/>
              </m:rPr>
              <w:rPr>
                <w:i/>
              </w:rPr>
              <m:t>τ</m:t>
            </m:r>
          </m:e>
          <m:sub>
            <m:r>
              <m:rPr>
                <m:nor/>
              </m:rPr>
              <w:rPr>
                <w:i/>
              </w:rPr>
              <m:t>i</m:t>
            </m:r>
          </m:sub>
        </m:sSub>
      </m:oMath>
      <w:r>
        <w:t>, y la magnitud media de dichas perturbaciones (definida como la desviación estándar de la variación del PIB nominal).</w:t>
      </w:r>
    </w:p>
    <w:p w14:paraId="58F6AD2F" w14:textId="77777777" w:rsidR="00C15ABA" w:rsidRPr="00E46264" w:rsidRDefault="00000000" w:rsidP="00417A95">
      <w:pPr>
        <w:pStyle w:val="Prrafodelista"/>
        <w:spacing w:after="0"/>
        <w:ind w:left="568"/>
        <w:rPr>
          <w:lang w:val="fr-FR"/>
        </w:rPr>
      </w:pPr>
      <m:oMathPara>
        <m:oMath>
          <m:sSub>
            <m:sSubPr>
              <m:ctrlPr>
                <w:rPr>
                  <w:rFonts w:ascii="Cambria Math" w:hAnsi="Cambria Math"/>
                  <w:i/>
                </w:rPr>
              </m:ctrlPr>
            </m:sSubPr>
            <m:e>
              <m:r>
                <m:rPr>
                  <m:nor/>
                </m:rPr>
                <w:rPr>
                  <w:i/>
                </w:rPr>
                <m:t>τ</m:t>
              </m:r>
            </m:e>
            <m:sub>
              <m:r>
                <m:rPr>
                  <m:nor/>
                </m:rPr>
                <w:rPr>
                  <w:i/>
                  <w:lang w:val="fr-FR"/>
                </w:rPr>
                <m:t>i</m:t>
              </m:r>
            </m:sub>
          </m:sSub>
          <m:r>
            <w:rPr>
              <w:rFonts w:ascii="Cambria Math" w:hAnsi="Cambria Math"/>
              <w:lang w:val="fr-FR"/>
            </w:rPr>
            <m:t>=</m:t>
          </m:r>
          <m:r>
            <m:rPr>
              <m:nor/>
            </m:rPr>
            <w:rPr>
              <w:i/>
              <w:iCs/>
              <w:lang w:val="fr-FR"/>
            </w:rPr>
            <m:t>α</m:t>
          </m:r>
          <m:r>
            <w:rPr>
              <w:rFonts w:ascii="Cambria Math" w:hAnsi="Cambria Math"/>
              <w:lang w:val="fr-FR"/>
            </w:rPr>
            <m:t>+</m:t>
          </m:r>
          <m:r>
            <m:rPr>
              <m:nor/>
            </m:rPr>
            <w:rPr>
              <w:i/>
              <w:iCs/>
              <w:lang w:val="fr-FR"/>
            </w:rPr>
            <m:t>β</m:t>
          </m:r>
          <m:r>
            <w:rPr>
              <w:rFonts w:ascii="Cambria Math" w:hAnsi="Cambria Math"/>
              <w:lang w:val="fr-FR"/>
            </w:rPr>
            <m:t>∙</m:t>
          </m:r>
          <m:sSub>
            <m:sSubPr>
              <m:ctrlPr>
                <w:rPr>
                  <w:rFonts w:ascii="Cambria Math" w:hAnsi="Cambria Math"/>
                  <w:i/>
                  <w:lang w:val="fr-FR"/>
                </w:rPr>
              </m:ctrlPr>
            </m:sSubPr>
            <m:e>
              <m:r>
                <m:rPr>
                  <m:nor/>
                </m:rPr>
                <w:rPr>
                  <w:i/>
                  <w:iCs/>
                  <w:lang w:val="fr-FR"/>
                </w:rPr>
                <m:t>σ</m:t>
              </m:r>
            </m:e>
            <m:sub>
              <m:r>
                <w:rPr>
                  <w:rFonts w:ascii="Cambria Math" w:hAnsi="Cambria Math"/>
                  <w:lang w:val="fr-FR"/>
                </w:rPr>
                <m:t>∆</m:t>
              </m:r>
              <m:sSub>
                <m:sSubPr>
                  <m:ctrlPr>
                    <w:rPr>
                      <w:rFonts w:ascii="Cambria Math" w:hAnsi="Cambria Math"/>
                      <w:i/>
                    </w:rPr>
                  </m:ctrlPr>
                </m:sSubPr>
                <m:e>
                  <m:r>
                    <m:rPr>
                      <m:nor/>
                    </m:rPr>
                    <w:rPr>
                      <w:i/>
                      <w:lang w:val="fr-FR"/>
                    </w:rPr>
                    <m:t>x</m:t>
                  </m:r>
                </m:e>
                <m:sub>
                  <m:r>
                    <m:rPr>
                      <m:nor/>
                    </m:rPr>
                    <w:rPr>
                      <w:i/>
                      <w:lang w:val="fr-FR"/>
                    </w:rPr>
                    <m:t>t</m:t>
                  </m:r>
                </m:sub>
              </m:sSub>
            </m:sub>
          </m:sSub>
        </m:oMath>
      </m:oMathPara>
    </w:p>
    <w:p w14:paraId="0A5EB9A5" w14:textId="77777777" w:rsidR="00C15ABA" w:rsidRPr="00DE1500" w:rsidRDefault="00C15ABA" w:rsidP="00C15ABA">
      <w:pPr>
        <w:pStyle w:val="Nivel1SM"/>
        <w:keepNext/>
        <w:spacing w:after="0"/>
      </w:pPr>
      <w:r>
        <w:t xml:space="preserve">Las predicciones de </w:t>
      </w:r>
      <w:r>
        <w:rPr>
          <w:smallCaps/>
        </w:rPr>
        <w:t>Lucas</w:t>
      </w:r>
      <w:r>
        <w:t xml:space="preserve"> anticipan un signo negativo para el coeficiente </w:t>
      </w:r>
      <m:oMath>
        <m:r>
          <m:rPr>
            <m:nor/>
          </m:rPr>
          <w:rPr>
            <w:i/>
            <w:iCs/>
            <w:lang w:val="fr-FR"/>
          </w:rPr>
          <m:t>β</m:t>
        </m:r>
      </m:oMath>
      <w:r w:rsidRPr="00DE1500">
        <w:rPr>
          <w:rFonts w:eastAsiaTheme="minorEastAsia"/>
          <w:iCs/>
        </w:rPr>
        <w:t>.</w:t>
      </w:r>
      <w:r>
        <w:rPr>
          <w:rFonts w:eastAsiaTheme="minorEastAsia"/>
          <w:iCs/>
        </w:rPr>
        <w:t xml:space="preserve"> Los resultados de la estimación confirman la existencia de una relación negativa estadísticamente significativa entre la volatilidad de las perturbaciones agregadas y el efecto real de un cambio en la demanda.</w:t>
      </w:r>
    </w:p>
    <w:p w14:paraId="6F04B30C" w14:textId="7FC3BE58" w:rsidR="00C15ABA" w:rsidRPr="00302AB9" w:rsidRDefault="00C15ABA" w:rsidP="00C15ABA">
      <w:pPr>
        <w:pStyle w:val="Nivel2SM"/>
      </w:pPr>
      <w:r>
        <w:rPr>
          <w:smallCaps/>
        </w:rPr>
        <w:t>Ball</w:t>
      </w:r>
      <w:r>
        <w:t xml:space="preserve">, </w:t>
      </w:r>
      <w:r>
        <w:rPr>
          <w:smallCaps/>
        </w:rPr>
        <w:t>Mankiw</w:t>
      </w:r>
      <w:r>
        <w:t xml:space="preserve"> y </w:t>
      </w:r>
      <w:r>
        <w:rPr>
          <w:smallCaps/>
        </w:rPr>
        <w:t>Romer</w:t>
      </w:r>
      <w:r>
        <w:t xml:space="preserve"> (1988) amplían el estudio de </w:t>
      </w:r>
      <w:r>
        <w:rPr>
          <w:smallCaps/>
        </w:rPr>
        <w:t>Lucas</w:t>
      </w:r>
      <w:r>
        <w:t xml:space="preserve"> para 43</w:t>
      </w:r>
      <w:r w:rsidR="00322F6D">
        <w:t> </w:t>
      </w:r>
      <w:r>
        <w:t xml:space="preserve">países, obteniendo igualmente un coeficiente negativo y estadísticamente significativo: </w:t>
      </w:r>
      <m:oMath>
        <m:r>
          <m:rPr>
            <m:nor/>
          </m:rPr>
          <w:rPr>
            <w:i/>
            <w:lang w:val="fr-FR"/>
          </w:rPr>
          <m:t>β</m:t>
        </m:r>
        <m:r>
          <w:rPr>
            <w:rFonts w:ascii="Cambria Math" w:hAnsi="Cambria Math"/>
          </w:rPr>
          <m:t>=-</m:t>
        </m:r>
        <m:r>
          <m:rPr>
            <m:nor/>
          </m:rPr>
          <w:rPr>
            <w:i/>
          </w:rPr>
          <m:t>1,639</m:t>
        </m:r>
      </m:oMath>
    </w:p>
    <w:p w14:paraId="023BD412" w14:textId="6C768D4B" w:rsidR="001F20E5" w:rsidRDefault="001F20E5" w:rsidP="001F20E5">
      <w:pPr>
        <w:pStyle w:val="Ttulo2"/>
      </w:pPr>
      <w:bookmarkStart w:id="52" w:name="_Toc174195963"/>
      <w:r>
        <w:t>Nueva Economía Keynesiana</w:t>
      </w:r>
      <w:r w:rsidR="005C2C04">
        <w:t xml:space="preserve"> de primera generación</w:t>
      </w:r>
      <w:bookmarkEnd w:id="52"/>
    </w:p>
    <w:p w14:paraId="209D56A3" w14:textId="05CF5B39" w:rsidR="001F20E5" w:rsidRDefault="001F20E5" w:rsidP="00417A95">
      <w:pPr>
        <w:pStyle w:val="Ttulo3"/>
        <w:spacing w:before="0"/>
      </w:pPr>
      <w:bookmarkStart w:id="53" w:name="_Toc174195964"/>
      <w:r>
        <w:t>Idea</w:t>
      </w:r>
      <w:bookmarkEnd w:id="53"/>
    </w:p>
    <w:p w14:paraId="7EEB514D" w14:textId="54E8B354" w:rsidR="005C2C04" w:rsidRDefault="005C2C04" w:rsidP="00417A95">
      <w:pPr>
        <w:pStyle w:val="Nivel1SM"/>
        <w:keepNext/>
        <w:spacing w:before="0" w:after="0"/>
      </w:pPr>
      <w:r>
        <w:t>Los economistas de la NEK consideran que la política monetaria tiene efectos reales y un canal fundamental es la rigidez de precios y salarios.</w:t>
      </w:r>
    </w:p>
    <w:p w14:paraId="7E348690" w14:textId="5704211B" w:rsidR="005C2C04" w:rsidRDefault="005C2C04" w:rsidP="005C2C04">
      <w:pPr>
        <w:pStyle w:val="Nivel2SM"/>
      </w:pPr>
      <w:r>
        <w:t xml:space="preserve">Así, </w:t>
      </w:r>
      <w:r w:rsidR="00024F33">
        <w:t>e</w:t>
      </w:r>
      <w:r w:rsidR="00024F33" w:rsidRPr="009B31B6">
        <w:t>l objetivo</w:t>
      </w:r>
      <w:r w:rsidR="00024F33">
        <w:t xml:space="preserve"> de la obra de </w:t>
      </w:r>
      <w:r w:rsidR="00024F33">
        <w:rPr>
          <w:smallCaps/>
        </w:rPr>
        <w:t>Fischer</w:t>
      </w:r>
      <w:r w:rsidR="00024F33">
        <w:t xml:space="preserve"> y </w:t>
      </w:r>
      <w:r w:rsidR="00024F33">
        <w:rPr>
          <w:smallCaps/>
        </w:rPr>
        <w:t>Taylor</w:t>
      </w:r>
      <w:r w:rsidR="00024F33">
        <w:t xml:space="preserve"> es replicar a la proposición de la inefectividad de la política monetaria de </w:t>
      </w:r>
      <w:r w:rsidR="00024F33">
        <w:rPr>
          <w:smallCaps/>
        </w:rPr>
        <w:t>Sargent</w:t>
      </w:r>
      <w:r w:rsidR="00024F33">
        <w:t xml:space="preserve"> y </w:t>
      </w:r>
      <w:r w:rsidR="00024F33">
        <w:rPr>
          <w:smallCaps/>
        </w:rPr>
        <w:t>Wallace</w:t>
      </w:r>
      <w:r>
        <w:t xml:space="preserve">. Los modelos de salarios escalonados </w:t>
      </w:r>
      <w:r w:rsidR="00024F33">
        <w:t xml:space="preserve">buscaban </w:t>
      </w:r>
      <w:r>
        <w:t>demostrar que la HER y la no neutralidad de la política monetaria eran compatibles.</w:t>
      </w:r>
    </w:p>
    <w:p w14:paraId="456DD598" w14:textId="136A264A" w:rsidR="005C2C04" w:rsidRPr="005C2C04" w:rsidRDefault="00F31C6D" w:rsidP="005C2C04">
      <w:pPr>
        <w:pStyle w:val="Nivel2SM"/>
      </w:pPr>
      <w:r>
        <w:t>En este sentido, estos economistas enfatizaron que es el supuesto de flexibilidad de precios (en este caso de los salarios)</w:t>
      </w:r>
      <w:r w:rsidR="00322F6D">
        <w:t>,</w:t>
      </w:r>
      <w:r>
        <w:t xml:space="preserve"> y no el de expectativas racionales, el factor principal que lleva a la conclusión de infectividad. Quitar el supuesto de flexibilidad de precios lleva a la invalidación de la proposición de la inefectividad.</w:t>
      </w:r>
    </w:p>
    <w:p w14:paraId="05712701" w14:textId="11656148" w:rsidR="001F20E5" w:rsidRDefault="001F20E5" w:rsidP="001F20E5">
      <w:pPr>
        <w:pStyle w:val="Ttulo3"/>
      </w:pPr>
      <w:bookmarkStart w:id="54" w:name="_Toc174195965"/>
      <w:r>
        <w:t>Desarrollo</w:t>
      </w:r>
      <w:bookmarkEnd w:id="54"/>
    </w:p>
    <w:p w14:paraId="0CE6B86B" w14:textId="0AA73370" w:rsidR="00073477" w:rsidRDefault="00073477" w:rsidP="00417A95">
      <w:pPr>
        <w:pStyle w:val="Ttulo6"/>
        <w:spacing w:before="0" w:after="0"/>
      </w:pPr>
      <w:bookmarkStart w:id="55" w:name="_Toc174195966"/>
      <w:r w:rsidRPr="00073477">
        <w:t xml:space="preserve">Modelo de </w:t>
      </w:r>
      <w:r w:rsidRPr="00073477">
        <w:rPr>
          <w:smallCaps/>
        </w:rPr>
        <w:t>Fischer</w:t>
      </w:r>
      <w:r w:rsidR="00144B9D" w:rsidRPr="00144B9D">
        <w:rPr>
          <w:rStyle w:val="Refdenotaalpie"/>
          <w:b w:val="0"/>
          <w:bCs/>
          <w:smallCaps/>
        </w:rPr>
        <w:footnoteReference w:id="13"/>
      </w:r>
      <w:r>
        <w:t xml:space="preserve"> (1977)</w:t>
      </w:r>
      <w:bookmarkEnd w:id="55"/>
    </w:p>
    <w:p w14:paraId="0A3DA07D" w14:textId="3F82A0F3" w:rsidR="00073477" w:rsidRPr="00417A95" w:rsidRDefault="00073477" w:rsidP="00417A95">
      <w:pPr>
        <w:pStyle w:val="Ttulo7"/>
        <w:spacing w:before="0"/>
        <w:rPr>
          <w:i w:val="0"/>
          <w:iCs w:val="0"/>
        </w:rPr>
      </w:pPr>
      <w:r w:rsidRPr="00417A95">
        <w:rPr>
          <w:rStyle w:val="Ttulo7Car"/>
          <w:i/>
          <w:iCs/>
        </w:rPr>
        <w:t>Supuestos</w:t>
      </w:r>
    </w:p>
    <w:p w14:paraId="7942970D" w14:textId="2CE7551A" w:rsidR="00073477" w:rsidRDefault="00073477" w:rsidP="00417A95">
      <w:pPr>
        <w:pStyle w:val="Nivel4"/>
        <w:ind w:left="1474"/>
      </w:pPr>
      <w:r>
        <w:t xml:space="preserve">Rigideces nominales: los contratos de trabajo se establecen </w:t>
      </w:r>
      <w:proofErr w:type="spellStart"/>
      <w:r>
        <w:t>multiperíodo</w:t>
      </w:r>
      <w:proofErr w:type="spellEnd"/>
      <w:r w:rsidR="00347634">
        <w:t>, es decir,</w:t>
      </w:r>
      <w:r>
        <w:t xml:space="preserve"> se mantienen fijos durante el per</w:t>
      </w:r>
      <w:r w:rsidR="00347634">
        <w:t>í</w:t>
      </w:r>
      <w:r>
        <w:t>odo sin renegociarse.</w:t>
      </w:r>
    </w:p>
    <w:p w14:paraId="0AA9BE0B" w14:textId="1FDDF450" w:rsidR="00073477" w:rsidRDefault="00073477" w:rsidP="00073477">
      <w:pPr>
        <w:pStyle w:val="Nivel4"/>
        <w:keepNext/>
        <w:ind w:left="1474"/>
      </w:pPr>
      <w:r>
        <w:lastRenderedPageBreak/>
        <w:t>Los agentes buscan negociar el salario nominal con el objetivo de que se igual</w:t>
      </w:r>
      <w:r w:rsidR="003E57C9">
        <w:t>e</w:t>
      </w:r>
      <w:r>
        <w:t xml:space="preserve"> la oferta y la demanda de trabajo. Para ello, tienen en cuenta la evolución de precios esperada, para tener en cuenta el salario real que percibirán.</w:t>
      </w:r>
    </w:p>
    <w:p w14:paraId="2CEC6A43" w14:textId="77777777" w:rsidR="00073477" w:rsidRPr="004E46E0" w:rsidRDefault="00000000" w:rsidP="00073477">
      <w:pPr>
        <w:pStyle w:val="Nivel4"/>
        <w:numPr>
          <w:ilvl w:val="0"/>
          <w:numId w:val="0"/>
        </w:numPr>
        <w:ind w:left="1474"/>
        <w:rPr>
          <w:i/>
        </w:rPr>
      </w:pPr>
      <m:oMathPara>
        <m:oMath>
          <m:sSub>
            <m:sSubPr>
              <m:ctrlPr>
                <w:rPr>
                  <w:rFonts w:ascii="Cambria Math" w:hAnsi="Cambria Math"/>
                  <w:i/>
                </w:rPr>
              </m:ctrlPr>
            </m:sSubPr>
            <m:e>
              <m:r>
                <m:rPr>
                  <m:nor/>
                </m:rPr>
                <w:rPr>
                  <w:i/>
                </w:rPr>
                <m:t>W</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rPr>
              </m:ctrlPr>
            </m:dPr>
            <m:e>
              <m:sSub>
                <m:sSubPr>
                  <m:ctrlPr>
                    <w:rPr>
                      <w:rFonts w:ascii="Cambria Math" w:hAnsi="Cambria Math"/>
                      <w:i/>
                    </w:rPr>
                  </m:ctrlPr>
                </m:sSubPr>
                <m:e>
                  <m:r>
                    <m:rPr>
                      <m:nor/>
                    </m:rPr>
                    <w:rPr>
                      <w:i/>
                    </w:rPr>
                    <m:t>P</m:t>
                  </m:r>
                </m:e>
                <m:sub>
                  <m:r>
                    <m:rPr>
                      <m:nor/>
                    </m:rPr>
                    <w:rPr>
                      <w:i/>
                    </w:rPr>
                    <m:t>t+1</m:t>
                  </m:r>
                </m:sub>
              </m:sSub>
            </m:e>
          </m:d>
        </m:oMath>
      </m:oMathPara>
    </w:p>
    <w:p w14:paraId="04B56403" w14:textId="4C7C488B" w:rsidR="00073477" w:rsidRPr="00347634" w:rsidRDefault="00073477" w:rsidP="00347634">
      <w:pPr>
        <w:pStyle w:val="Nivel5"/>
        <w:ind w:left="1871"/>
        <w:rPr>
          <w:spacing w:val="-2"/>
        </w:rPr>
      </w:pPr>
      <w:r w:rsidRPr="00347634">
        <w:rPr>
          <w:spacing w:val="-2"/>
        </w:rPr>
        <w:t>Es decir, los agentes negocian el salario nominal buscando el vaciado esperado del mercado. Sin embargo, los agentes pueden errar en sus expectativas. Por ejemplo, si tiene lugar un shock inesperado como una expansión monetaria, el mercado no</w:t>
      </w:r>
      <w:r w:rsidR="001E0819">
        <w:rPr>
          <w:spacing w:val="-2"/>
        </w:rPr>
        <w:t> </w:t>
      </w:r>
      <w:r w:rsidRPr="00347634">
        <w:rPr>
          <w:spacing w:val="-2"/>
        </w:rPr>
        <w:t>estará en equilibrio y se producirá una expansión del output y el empleo.</w:t>
      </w:r>
    </w:p>
    <w:p w14:paraId="3DCA6822" w14:textId="116572BB" w:rsidR="00073477" w:rsidRDefault="00073477" w:rsidP="00024F33">
      <w:pPr>
        <w:pStyle w:val="Ttulo7"/>
      </w:pPr>
      <w:r w:rsidRPr="00073477">
        <w:t>Conclusiones</w:t>
      </w:r>
    </w:p>
    <w:p w14:paraId="1909BE2A" w14:textId="04090E4A" w:rsidR="00073477" w:rsidRDefault="00073477" w:rsidP="00073477">
      <w:pPr>
        <w:pStyle w:val="Nivel4"/>
        <w:ind w:left="1474"/>
      </w:pPr>
      <w:r>
        <w:t xml:space="preserve">Bajo este esquema de fijación de salarios con rigidez nominal y con información imperfecta, </w:t>
      </w:r>
      <w:r w:rsidRPr="004E46E0">
        <w:rPr>
          <w:smallCaps/>
        </w:rPr>
        <w:t>Fis</w:t>
      </w:r>
      <w:r>
        <w:rPr>
          <w:smallCaps/>
        </w:rPr>
        <w:t>c</w:t>
      </w:r>
      <w:r w:rsidRPr="004E46E0">
        <w:rPr>
          <w:smallCaps/>
        </w:rPr>
        <w:t>her</w:t>
      </w:r>
      <w:r>
        <w:t xml:space="preserve"> </w:t>
      </w:r>
      <w:r w:rsidRPr="00073477">
        <w:rPr>
          <w:rStyle w:val="Nivel4Car"/>
        </w:rPr>
        <w:t xml:space="preserve">demuestra que la autoridad monetaria puede y debería reaccionar a posibles perturbaciones en la demanda </w:t>
      </w:r>
      <w:r>
        <w:t>como alternativa a un salario que no</w:t>
      </w:r>
      <w:r w:rsidR="002F31E4">
        <w:t> </w:t>
      </w:r>
      <w:r>
        <w:t>puede ser la partida que se ajuste porque se mantiene fijo.</w:t>
      </w:r>
    </w:p>
    <w:p w14:paraId="25D1149F" w14:textId="4E646EA3" w:rsidR="00073477" w:rsidRDefault="00073477" w:rsidP="00024F33">
      <w:pPr>
        <w:pStyle w:val="Ttulo6"/>
      </w:pPr>
      <w:bookmarkStart w:id="56" w:name="_Toc174195967"/>
      <w:r w:rsidRPr="00073477">
        <w:t xml:space="preserve">Modelo de </w:t>
      </w:r>
      <w:r w:rsidRPr="00073477">
        <w:rPr>
          <w:smallCaps/>
        </w:rPr>
        <w:t>Taylor</w:t>
      </w:r>
      <w:r>
        <w:t xml:space="preserve"> (1980)</w:t>
      </w:r>
      <w:bookmarkEnd w:id="56"/>
    </w:p>
    <w:p w14:paraId="6110D68D" w14:textId="7BEF2B59" w:rsidR="00073477" w:rsidRPr="00FB0ABD" w:rsidRDefault="00073477" w:rsidP="00417A95">
      <w:pPr>
        <w:pStyle w:val="Ttulo7"/>
        <w:spacing w:before="0"/>
      </w:pPr>
      <w:r w:rsidRPr="00073477">
        <w:t>Idea principal</w:t>
      </w:r>
    </w:p>
    <w:p w14:paraId="5E03C14D" w14:textId="730B01D0" w:rsidR="00073477" w:rsidRPr="00024F33" w:rsidRDefault="00073477" w:rsidP="00073477">
      <w:pPr>
        <w:pStyle w:val="Nivel4"/>
        <w:keepNext/>
        <w:ind w:left="1474"/>
        <w:rPr>
          <w:spacing w:val="-2"/>
        </w:rPr>
      </w:pPr>
      <w:r w:rsidRPr="00024F33">
        <w:rPr>
          <w:smallCaps/>
          <w:spacing w:val="-2"/>
        </w:rPr>
        <w:t>Taylor</w:t>
      </w:r>
      <w:r w:rsidRPr="00024F33">
        <w:rPr>
          <w:spacing w:val="-2"/>
        </w:rPr>
        <w:t xml:space="preserve"> busca mejorar el modelo de </w:t>
      </w:r>
      <w:r w:rsidRPr="00144B9D">
        <w:rPr>
          <w:smallCaps/>
          <w:spacing w:val="-2"/>
        </w:rPr>
        <w:t>Fischer</w:t>
      </w:r>
      <w:r w:rsidRPr="00024F33">
        <w:rPr>
          <w:spacing w:val="-2"/>
        </w:rPr>
        <w:t xml:space="preserve"> para acomodarse a </w:t>
      </w:r>
      <w:r w:rsidR="001E0819">
        <w:rPr>
          <w:spacing w:val="-2"/>
        </w:rPr>
        <w:t>2 </w:t>
      </w:r>
      <w:r w:rsidRPr="00024F33">
        <w:rPr>
          <w:spacing w:val="-2"/>
        </w:rPr>
        <w:t>hechos empíricos:</w:t>
      </w:r>
    </w:p>
    <w:p w14:paraId="21730C3D" w14:textId="77777777" w:rsidR="00073477" w:rsidRDefault="00073477">
      <w:pPr>
        <w:pStyle w:val="Prrafodelista"/>
        <w:numPr>
          <w:ilvl w:val="0"/>
          <w:numId w:val="19"/>
        </w:numPr>
        <w:spacing w:after="0"/>
        <w:ind w:left="1984" w:hanging="113"/>
      </w:pPr>
      <w:r w:rsidRPr="00115566">
        <w:t>Persistencia de los efectos reales de la cantidad de dinero a muy corto plazo (i.e. persistencia en el nivel de precios a corto plazo)</w:t>
      </w:r>
      <w:r>
        <w:t>.</w:t>
      </w:r>
    </w:p>
    <w:p w14:paraId="2B932A69" w14:textId="70A267BF" w:rsidR="00073477" w:rsidRDefault="00073477">
      <w:pPr>
        <w:pStyle w:val="Prrafodelista"/>
        <w:numPr>
          <w:ilvl w:val="0"/>
          <w:numId w:val="19"/>
        </w:numPr>
        <w:spacing w:after="0"/>
        <w:ind w:left="1984" w:hanging="113"/>
      </w:pPr>
      <w:r>
        <w:t>Correlación positiva entre PIB real e inflación futura.</w:t>
      </w:r>
    </w:p>
    <w:p w14:paraId="47CECF37" w14:textId="215EF71C" w:rsidR="00073477" w:rsidRDefault="00073477" w:rsidP="00024F33">
      <w:pPr>
        <w:pStyle w:val="Ttulo7"/>
      </w:pPr>
      <w:r w:rsidRPr="00073477">
        <w:t>Supuestos</w:t>
      </w:r>
    </w:p>
    <w:p w14:paraId="63F05F59" w14:textId="77777777" w:rsidR="00073477" w:rsidRDefault="00073477" w:rsidP="00073477">
      <w:pPr>
        <w:pStyle w:val="Nivel4"/>
        <w:ind w:left="1474"/>
      </w:pPr>
      <w:r>
        <w:t>La fijación de salarios tiene lugar para un período del contrato que durará varios períodos (no se alteran durante este intervalo de tiempo).</w:t>
      </w:r>
    </w:p>
    <w:p w14:paraId="1786C887" w14:textId="77777777" w:rsidR="00073477" w:rsidRPr="00024F33" w:rsidRDefault="00073477" w:rsidP="00073477">
      <w:pPr>
        <w:pStyle w:val="Nivel4"/>
        <w:ind w:left="1474"/>
        <w:rPr>
          <w:spacing w:val="-4"/>
        </w:rPr>
      </w:pPr>
      <w:r w:rsidRPr="00024F33">
        <w:rPr>
          <w:spacing w:val="-4"/>
        </w:rPr>
        <w:t>La revisión de precios no está sincronizada, es decir, no ocurre en todas las empresas al mismo tiempo. Por ello, en cada período un porcentaje de empresas cambian sus precios.</w:t>
      </w:r>
    </w:p>
    <w:p w14:paraId="28C7ABCD" w14:textId="533AB7BA" w:rsidR="00073477" w:rsidRDefault="00073477" w:rsidP="00024F33">
      <w:pPr>
        <w:pStyle w:val="Ttulo7"/>
      </w:pPr>
      <w:r w:rsidRPr="00073477">
        <w:t>Conclusión</w:t>
      </w:r>
    </w:p>
    <w:p w14:paraId="0F169943" w14:textId="77777777" w:rsidR="00073477" w:rsidRDefault="00073477" w:rsidP="00073477">
      <w:pPr>
        <w:pStyle w:val="Nivel4"/>
        <w:ind w:left="1474"/>
      </w:pPr>
      <w:r>
        <w:t xml:space="preserve">Valor añadido es modelizar un </w:t>
      </w:r>
      <w:r w:rsidRPr="00144B9D">
        <w:rPr>
          <w:i/>
          <w:iCs/>
        </w:rPr>
        <w:t>ajuste más gradual de los precios</w:t>
      </w:r>
      <w:r>
        <w:t xml:space="preserve"> (no existe revisión de precios en cada período como en el modelo de </w:t>
      </w:r>
      <w:r w:rsidRPr="00144B9D">
        <w:rPr>
          <w:smallCaps/>
        </w:rPr>
        <w:t>Fischer</w:t>
      </w:r>
      <w:r>
        <w:t xml:space="preserve">). Ello permite obtener efectos reales de la política monetaria en el corto plazo y un ajuste vía precios gradual a medio y largo plazo </w:t>
      </w:r>
      <w:r w:rsidRPr="00144B9D">
        <w:rPr>
          <w:spacing w:val="-3"/>
        </w:rPr>
        <w:t>(cierta persistencia en los efectos de la política monetaria derivada de la persistencia en los precios, pero no permanencia: al final se da el ajuste vía precios)</w:t>
      </w:r>
      <w:r>
        <w:t>.</w:t>
      </w:r>
    </w:p>
    <w:p w14:paraId="7102653F" w14:textId="597DFBCE" w:rsidR="00073477" w:rsidRDefault="00073477" w:rsidP="00073477">
      <w:pPr>
        <w:pStyle w:val="Nivel4"/>
        <w:ind w:left="1474"/>
      </w:pPr>
      <w:r>
        <w:t>También se obtiene un resultado coherente con la evidencia empírica de que las expansiones generan inflación (test de cau</w:t>
      </w:r>
      <w:r w:rsidR="00144B9D">
        <w:t>s</w:t>
      </w:r>
      <w:r>
        <w:t>alidad de Granger</w:t>
      </w:r>
      <w:r w:rsidR="00473D11">
        <w:rPr>
          <w:rStyle w:val="Refdenotaalpie"/>
        </w:rPr>
        <w:footnoteReference w:id="14"/>
      </w:r>
      <w:r>
        <w:t>).</w:t>
      </w:r>
    </w:p>
    <w:p w14:paraId="03F30DCA" w14:textId="6C9D1A4B" w:rsidR="00073477" w:rsidRDefault="00073477" w:rsidP="00024F33">
      <w:pPr>
        <w:pStyle w:val="Ttulo6"/>
      </w:pPr>
      <w:bookmarkStart w:id="57" w:name="_Toc174195968"/>
      <w:r w:rsidRPr="00073477">
        <w:t>Valoración</w:t>
      </w:r>
      <w:bookmarkEnd w:id="57"/>
    </w:p>
    <w:p w14:paraId="1E64A114" w14:textId="530CFBA4" w:rsidR="00073477" w:rsidRDefault="00073477" w:rsidP="00E36652">
      <w:pPr>
        <w:pStyle w:val="Nivel2SM"/>
      </w:pPr>
      <w:r>
        <w:t>(+)</w:t>
      </w:r>
      <w:r w:rsidR="00E36652">
        <w:t> </w:t>
      </w:r>
      <w:r>
        <w:t>Incorporación de HER a la modelización macro</w:t>
      </w:r>
      <w:r w:rsidR="001F5247">
        <w:t>económica</w:t>
      </w:r>
      <w:r>
        <w:t xml:space="preserve"> no tiene por</w:t>
      </w:r>
      <w:r w:rsidR="001F5247">
        <w:t xml:space="preserve"> </w:t>
      </w:r>
      <w:r>
        <w:t xml:space="preserve">qué llevar a resultados </w:t>
      </w:r>
      <w:proofErr w:type="spellStart"/>
      <w:r>
        <w:t>antikeynesianos</w:t>
      </w:r>
      <w:proofErr w:type="spellEnd"/>
      <w:r>
        <w:t xml:space="preserve"> (de inefectividad de políticas económicas). Resultado influyente para la 2ª</w:t>
      </w:r>
      <w:r w:rsidR="001F5247">
        <w:t> </w:t>
      </w:r>
      <w:r>
        <w:t>generación de la NEK.</w:t>
      </w:r>
    </w:p>
    <w:p w14:paraId="15843391" w14:textId="13CB58E9" w:rsidR="00073477" w:rsidRDefault="00073477" w:rsidP="00E36652">
      <w:pPr>
        <w:pStyle w:val="Nivel2SM"/>
      </w:pPr>
      <w:r>
        <w:t>(+)</w:t>
      </w:r>
      <w:r w:rsidR="00E36652">
        <w:t> </w:t>
      </w:r>
      <w:r>
        <w:t xml:space="preserve">Además, otra característica importante de estos modelos es que al adoptar una perspectiva dinámica se alinearon con el cambio hacia los modelos </w:t>
      </w:r>
      <w:proofErr w:type="spellStart"/>
      <w:r>
        <w:t>intertemporales</w:t>
      </w:r>
      <w:proofErr w:type="spellEnd"/>
      <w:r>
        <w:t xml:space="preserve"> que estaba ocurriendo </w:t>
      </w:r>
      <w:r>
        <w:lastRenderedPageBreak/>
        <w:t>a raíz de la emergencia de la NMC (a diferencia de la mayoría de los otros modelos NEK, que eran estáticos).</w:t>
      </w:r>
    </w:p>
    <w:p w14:paraId="051757A4" w14:textId="60D664E5" w:rsidR="005C2C04" w:rsidRPr="005C2C04" w:rsidRDefault="00073477" w:rsidP="00E36652">
      <w:pPr>
        <w:pStyle w:val="Nivel2SM"/>
      </w:pPr>
      <w:r>
        <w:t>(</w:t>
      </w:r>
      <w:r w:rsidR="000B0018">
        <w:rPr>
          <w:rFonts w:ascii="Times New Roman" w:hAnsi="Times New Roman" w:cs="Times New Roman"/>
        </w:rPr>
        <w:t>−</w:t>
      </w:r>
      <w:r>
        <w:t>)</w:t>
      </w:r>
      <w:r w:rsidR="00E36652">
        <w:t> </w:t>
      </w:r>
      <w:r>
        <w:t xml:space="preserve">Quedaron superados por la fijación a de precios </w:t>
      </w:r>
      <w:r>
        <w:rPr>
          <w:i/>
          <w:iCs/>
        </w:rPr>
        <w:t>à</w:t>
      </w:r>
      <w:r w:rsidRPr="00FB0ABD">
        <w:rPr>
          <w:i/>
          <w:iCs/>
        </w:rPr>
        <w:t xml:space="preserve"> la</w:t>
      </w:r>
      <w:r>
        <w:t xml:space="preserve"> </w:t>
      </w:r>
      <w:r w:rsidRPr="00FB0ABD">
        <w:rPr>
          <w:smallCaps/>
        </w:rPr>
        <w:t>Calvo</w:t>
      </w:r>
      <w:r w:rsidRPr="00FB0ABD">
        <w:t>.</w:t>
      </w:r>
    </w:p>
    <w:p w14:paraId="488E2F5C" w14:textId="35DD96D8" w:rsidR="001F20E5" w:rsidRDefault="001F20E5" w:rsidP="001F20E5">
      <w:pPr>
        <w:pStyle w:val="Ttulo3"/>
      </w:pPr>
      <w:bookmarkStart w:id="58" w:name="_Toc174195969"/>
      <w:r>
        <w:t>Valoración</w:t>
      </w:r>
      <w:bookmarkEnd w:id="58"/>
    </w:p>
    <w:p w14:paraId="7BC2DB0F" w14:textId="3C292EE7" w:rsidR="00230D83" w:rsidRDefault="00230D83" w:rsidP="00417A95">
      <w:pPr>
        <w:pStyle w:val="Nivel1SM"/>
        <w:keepNext/>
        <w:spacing w:before="0" w:after="0"/>
      </w:pPr>
      <w:r>
        <w:t xml:space="preserve">En definitiva, </w:t>
      </w:r>
      <w:r>
        <w:rPr>
          <w:smallCaps/>
        </w:rPr>
        <w:t>Fischer</w:t>
      </w:r>
      <w:r>
        <w:t xml:space="preserve"> y </w:t>
      </w:r>
      <w:r>
        <w:rPr>
          <w:smallCaps/>
        </w:rPr>
        <w:t>Taylor</w:t>
      </w:r>
      <w:r>
        <w:t xml:space="preserve"> proponen</w:t>
      </w:r>
      <w:r w:rsidR="009B5DBC">
        <w:rPr>
          <w:rStyle w:val="Refdenotaalpie"/>
        </w:rPr>
        <w:footnoteReference w:id="15"/>
      </w:r>
      <w:r>
        <w:t>:</w:t>
      </w:r>
    </w:p>
    <w:p w14:paraId="792838DE" w14:textId="70A0AF5D" w:rsidR="00230D83" w:rsidRDefault="00230D83" w:rsidP="00230D83">
      <w:pPr>
        <w:pStyle w:val="Nivel2SM"/>
        <w:spacing w:after="0"/>
      </w:pPr>
      <w:r w:rsidRPr="00230D83">
        <w:rPr>
          <w:i/>
          <w:iCs/>
        </w:rPr>
        <w:t>Mecanismo de transmisión</w:t>
      </w:r>
      <w:r>
        <w:t>: Rigideces de salarios nominales</w:t>
      </w:r>
    </w:p>
    <w:p w14:paraId="171AA759" w14:textId="30E09C90" w:rsidR="00230D83" w:rsidRPr="00961AFF" w:rsidRDefault="00230D83" w:rsidP="00230D83">
      <w:pPr>
        <w:pStyle w:val="Nivel2SM"/>
      </w:pPr>
      <w:r>
        <w:rPr>
          <w:i/>
          <w:iCs/>
        </w:rPr>
        <w:t>Efectos</w:t>
      </w:r>
      <w:r>
        <w:t xml:space="preserve">: La política monetaria tiene efectos reales a corto plazo. La incorporación de la HER a la modelización macroeconómica no tiene por qué llevar a resultados </w:t>
      </w:r>
      <w:proofErr w:type="spellStart"/>
      <w:r>
        <w:t>antikeynesianos</w:t>
      </w:r>
      <w:proofErr w:type="spellEnd"/>
      <w:r>
        <w:t xml:space="preserve"> (de inefectividad de las políticas económicas). Esto tendrá una gran influencia en los modelos de la NEK de segunda generación.</w:t>
      </w:r>
    </w:p>
    <w:p w14:paraId="05139F52" w14:textId="120AF7B4" w:rsidR="00504463" w:rsidRDefault="00504463" w:rsidP="008B5FCB">
      <w:pPr>
        <w:pStyle w:val="Ttulo2"/>
      </w:pPr>
      <w:bookmarkStart w:id="60" w:name="_Toc174195970"/>
      <w:r>
        <w:lastRenderedPageBreak/>
        <w:t>Consideración de una economía abierta: Cambios en los tipos de cambio</w:t>
      </w:r>
      <w:bookmarkEnd w:id="60"/>
    </w:p>
    <w:p w14:paraId="450859BD" w14:textId="54AE971E" w:rsidR="008B5FCB" w:rsidRDefault="008B5FCB" w:rsidP="008B5FCB">
      <w:pPr>
        <w:pStyle w:val="Ttulo2"/>
      </w:pPr>
      <w:bookmarkStart w:id="61" w:name="_Toc174195971"/>
      <w:r>
        <w:t xml:space="preserve">Activos financieros: </w:t>
      </w:r>
      <w:r>
        <w:rPr>
          <w:i/>
          <w:iCs/>
        </w:rPr>
        <w:t>q</w:t>
      </w:r>
      <w:r>
        <w:t xml:space="preserve"> de Tobin</w:t>
      </w:r>
      <w:bookmarkEnd w:id="61"/>
    </w:p>
    <w:p w14:paraId="6C677249" w14:textId="77777777" w:rsidR="008B5FCB" w:rsidRDefault="008B5FCB" w:rsidP="008B5FCB">
      <w:pPr>
        <w:pStyle w:val="Ttulo3"/>
        <w:spacing w:before="0"/>
      </w:pPr>
      <w:bookmarkStart w:id="62" w:name="_Toc174195972"/>
      <w:r>
        <w:t>Idea</w:t>
      </w:r>
      <w:bookmarkEnd w:id="62"/>
    </w:p>
    <w:p w14:paraId="13A776F2" w14:textId="0E41ADA4" w:rsidR="00875F48" w:rsidRDefault="008B5FCB" w:rsidP="00875F48">
      <w:pPr>
        <w:pStyle w:val="Nivel1SM"/>
        <w:keepNext/>
        <w:spacing w:before="0" w:after="0"/>
      </w:pPr>
      <w:r>
        <w:t>Aumentos de la oferta monetaria</w:t>
      </w:r>
      <w:r w:rsidR="00875F48">
        <w:t xml:space="preserve"> generan</w:t>
      </w:r>
      <w:r>
        <w:t xml:space="preserve"> aument</w:t>
      </w:r>
      <w:r w:rsidR="00875F48">
        <w:t>os en</w:t>
      </w:r>
      <w:r>
        <w:t xml:space="preserve"> la liquidez para comprar acciones</w:t>
      </w:r>
      <w:r w:rsidR="00875F48">
        <w:t>, por lo que</w:t>
      </w:r>
      <w:r>
        <w:t xml:space="preserve"> aumenta el precio de las acciones</w:t>
      </w:r>
      <w:r w:rsidR="00875F48">
        <w:t xml:space="preserve"> y</w:t>
      </w:r>
      <w:r>
        <w:t xml:space="preserve"> aumenta la </w:t>
      </w:r>
      <w:r w:rsidRPr="001F20E5">
        <w:rPr>
          <w:i/>
          <w:iCs/>
        </w:rPr>
        <w:t>q</w:t>
      </w:r>
      <w:r>
        <w:t xml:space="preserve"> de Tobin (valor de acciones/coste de reposición).</w:t>
      </w:r>
    </w:p>
    <w:p w14:paraId="5798576D" w14:textId="021C52F7" w:rsidR="008B5FCB" w:rsidRDefault="008B5FCB" w:rsidP="00875F48">
      <w:pPr>
        <w:pStyle w:val="Nivel2SM"/>
      </w:pPr>
      <w:r w:rsidRPr="001F20E5">
        <w:rPr>
          <w:i/>
          <w:iCs/>
        </w:rPr>
        <w:t>q</w:t>
      </w:r>
      <w:r>
        <w:t xml:space="preserve"> representa la contribución del capital al valor presente de los beneficios de la empresa, por tanto, el aumento de </w:t>
      </w:r>
      <w:r w:rsidRPr="001F20E5">
        <w:rPr>
          <w:i/>
          <w:iCs/>
        </w:rPr>
        <w:t>q</w:t>
      </w:r>
      <w:r>
        <w:t xml:space="preserve"> aumenta la inversión y el output.</w:t>
      </w:r>
    </w:p>
    <w:p w14:paraId="0A5EC2A6" w14:textId="77777777" w:rsidR="008B5FCB" w:rsidRPr="00057F22" w:rsidRDefault="008B5FCB" w:rsidP="008B5FCB">
      <w:pPr>
        <w:pStyle w:val="Nivel1SM"/>
        <w:numPr>
          <w:ilvl w:val="0"/>
          <w:numId w:val="0"/>
        </w:numPr>
      </w:pPr>
      <m:oMathPara>
        <m:oMath>
          <m:r>
            <m:rPr>
              <m:nor/>
            </m:rPr>
            <w:rPr>
              <w:rFonts w:ascii="Times New Roman" w:hAnsi="Times New Roman" w:cs="Times New Roman"/>
              <w:sz w:val="19"/>
              <w:szCs w:val="19"/>
            </w:rPr>
            <m:t>↑</m:t>
          </m:r>
          <m:sSup>
            <m:sSupPr>
              <m:ctrlPr>
                <w:rPr>
                  <w:rFonts w:ascii="Cambria Math" w:hAnsi="Cambria Math"/>
                  <w:i/>
                  <w:iCs/>
                  <w:sz w:val="19"/>
                  <w:szCs w:val="19"/>
                </w:rPr>
              </m:ctrlPr>
            </m:sSupPr>
            <m:e>
              <m:r>
                <m:rPr>
                  <m:nor/>
                </m:rPr>
                <w:rPr>
                  <w:i/>
                  <w:iCs/>
                  <w:sz w:val="19"/>
                  <w:szCs w:val="19"/>
                </w:rPr>
                <m:t>M</m:t>
              </m:r>
            </m:e>
            <m:sup>
              <m:r>
                <m:rPr>
                  <m:nor/>
                </m:rPr>
                <w:rPr>
                  <w:i/>
                  <w:iCs/>
                  <w:sz w:val="19"/>
                  <w:szCs w:val="19"/>
                </w:rPr>
                <m:t>S</m:t>
              </m:r>
            </m:sup>
          </m:sSup>
          <m:r>
            <w:rPr>
              <w:rFonts w:ascii="Cambria Math" w:hAnsi="Cambria Math"/>
              <w:sz w:val="19"/>
              <w:szCs w:val="19"/>
            </w:rPr>
            <m:t>⟶</m:t>
          </m:r>
          <m:r>
            <m:rPr>
              <m:nor/>
            </m:rPr>
            <w:rPr>
              <w:rFonts w:ascii="Times New Roman" w:hAnsi="Times New Roman" w:cs="Times New Roman"/>
              <w:i/>
              <w:iCs/>
              <w:sz w:val="19"/>
              <w:szCs w:val="19"/>
            </w:rPr>
            <m:t>↑</m:t>
          </m:r>
          <m:r>
            <m:rPr>
              <m:nor/>
            </m:rPr>
            <w:rPr>
              <w:i/>
              <w:iCs/>
              <w:sz w:val="19"/>
              <w:szCs w:val="19"/>
            </w:rPr>
            <m:t>Liquidez</m:t>
          </m:r>
          <m:r>
            <w:rPr>
              <w:rFonts w:ascii="Cambria Math" w:hAnsi="Cambria Math"/>
              <w:sz w:val="19"/>
              <w:szCs w:val="19"/>
            </w:rPr>
            <m:t>⟶</m:t>
          </m:r>
          <m:r>
            <m:rPr>
              <m:nor/>
            </m:rPr>
            <w:rPr>
              <w:rFonts w:ascii="Times New Roman" w:hAnsi="Times New Roman" w:cs="Times New Roman"/>
              <w:i/>
              <w:iCs/>
              <w:sz w:val="19"/>
              <w:szCs w:val="19"/>
            </w:rPr>
            <m:t>↑</m:t>
          </m:r>
          <m:r>
            <m:rPr>
              <m:nor/>
            </m:rPr>
            <w:rPr>
              <w:i/>
              <w:iCs/>
              <w:sz w:val="19"/>
              <w:szCs w:val="19"/>
            </w:rPr>
            <m:t>Demanda de acciones</m:t>
          </m:r>
          <m:r>
            <w:rPr>
              <w:rFonts w:ascii="Cambria Math" w:hAnsi="Cambria Math"/>
              <w:sz w:val="19"/>
              <w:szCs w:val="19"/>
            </w:rPr>
            <m:t>⟶</m:t>
          </m:r>
          <m:r>
            <m:rPr>
              <m:nor/>
            </m:rPr>
            <w:rPr>
              <w:rFonts w:ascii="Times New Roman" w:hAnsi="Times New Roman" w:cs="Times New Roman"/>
              <w:i/>
              <w:iCs/>
              <w:sz w:val="19"/>
              <w:szCs w:val="19"/>
            </w:rPr>
            <m:t>↑</m:t>
          </m:r>
          <m:r>
            <m:rPr>
              <m:nor/>
            </m:rPr>
            <w:rPr>
              <w:i/>
              <w:iCs/>
              <w:sz w:val="19"/>
              <w:szCs w:val="19"/>
            </w:rPr>
            <m:t>Precio de acciones</m:t>
          </m:r>
          <m:r>
            <w:rPr>
              <w:rFonts w:ascii="Cambria Math" w:hAnsi="Cambria Math"/>
              <w:sz w:val="19"/>
              <w:szCs w:val="19"/>
            </w:rPr>
            <m:t>⟶</m:t>
          </m:r>
          <m:r>
            <m:rPr>
              <m:nor/>
            </m:rPr>
            <w:rPr>
              <w:rFonts w:ascii="Times New Roman" w:hAnsi="Times New Roman" w:cs="Times New Roman"/>
              <w:i/>
              <w:iCs/>
              <w:sz w:val="19"/>
              <w:szCs w:val="19"/>
            </w:rPr>
            <m:t>↑</m:t>
          </m:r>
          <m:limLow>
            <m:limLowPr>
              <m:ctrlPr>
                <w:rPr>
                  <w:rFonts w:ascii="Cambria Math" w:hAnsi="Cambria Math"/>
                  <w:i/>
                  <w:iCs/>
                  <w:sz w:val="19"/>
                  <w:szCs w:val="19"/>
                </w:rPr>
              </m:ctrlPr>
            </m:limLowPr>
            <m:e>
              <m:groupChr>
                <m:groupChrPr>
                  <m:ctrlPr>
                    <w:rPr>
                      <w:rFonts w:ascii="Cambria Math" w:hAnsi="Cambria Math"/>
                      <w:i/>
                      <w:iCs/>
                      <w:sz w:val="19"/>
                      <w:szCs w:val="19"/>
                    </w:rPr>
                  </m:ctrlPr>
                </m:groupChrPr>
                <m:e>
                  <m:r>
                    <m:rPr>
                      <m:nor/>
                    </m:rPr>
                    <w:rPr>
                      <w:i/>
                      <w:iCs/>
                      <w:sz w:val="19"/>
                      <w:szCs w:val="19"/>
                    </w:rPr>
                    <m:t>q de Tobin</m:t>
                  </m:r>
                </m:e>
              </m:groupChr>
            </m:e>
            <m:lim>
              <m:r>
                <w:rPr>
                  <w:rFonts w:ascii="Cambria Math" w:hAnsi="Cambria Math"/>
                  <w:sz w:val="19"/>
                  <w:szCs w:val="19"/>
                </w:rPr>
                <m:t>≡</m:t>
              </m:r>
              <m:f>
                <m:fPr>
                  <m:type m:val="lin"/>
                  <m:ctrlPr>
                    <w:rPr>
                      <w:rFonts w:ascii="Cambria Math" w:hAnsi="Cambria Math"/>
                      <w:i/>
                      <w:iCs/>
                      <w:sz w:val="19"/>
                      <w:szCs w:val="19"/>
                    </w:rPr>
                  </m:ctrlPr>
                </m:fPr>
                <m:num>
                  <m:r>
                    <m:rPr>
                      <m:nor/>
                    </m:rPr>
                    <w:rPr>
                      <w:i/>
                      <w:iCs/>
                      <w:sz w:val="19"/>
                      <w:szCs w:val="19"/>
                    </w:rPr>
                    <m:t>Precio acciones</m:t>
                  </m:r>
                </m:num>
                <m:den>
                  <m:r>
                    <m:rPr>
                      <m:nor/>
                    </m:rPr>
                    <w:rPr>
                      <w:i/>
                      <w:iCs/>
                      <w:sz w:val="19"/>
                      <w:szCs w:val="19"/>
                    </w:rPr>
                    <m:t>Coste reposición</m:t>
                  </m:r>
                </m:den>
              </m:f>
            </m:lim>
          </m:limLow>
          <m:r>
            <w:rPr>
              <w:rFonts w:ascii="Cambria Math" w:hAnsi="Cambria Math"/>
              <w:sz w:val="19"/>
              <w:szCs w:val="19"/>
            </w:rPr>
            <m:t>⟶</m:t>
          </m:r>
          <m:r>
            <m:rPr>
              <m:nor/>
            </m:rPr>
            <w:rPr>
              <w:rFonts w:ascii="Times New Roman" w:hAnsi="Times New Roman" w:cs="Times New Roman"/>
              <w:i/>
              <w:iCs/>
              <w:sz w:val="19"/>
              <w:szCs w:val="19"/>
            </w:rPr>
            <m:t>↑</m:t>
          </m:r>
          <m:r>
            <m:rPr>
              <m:nor/>
            </m:rPr>
            <w:rPr>
              <w:i/>
              <w:iCs/>
              <w:sz w:val="19"/>
              <w:szCs w:val="19"/>
            </w:rPr>
            <m:t>I</m:t>
          </m:r>
          <m:r>
            <w:rPr>
              <w:rFonts w:ascii="Cambria Math" w:hAnsi="Cambria Math"/>
              <w:sz w:val="19"/>
              <w:szCs w:val="19"/>
            </w:rPr>
            <m:t>⟶</m:t>
          </m:r>
          <m:r>
            <m:rPr>
              <m:nor/>
            </m:rPr>
            <w:rPr>
              <w:rFonts w:ascii="Times New Roman" w:hAnsi="Times New Roman" w:cs="Times New Roman"/>
              <w:i/>
              <w:iCs/>
              <w:sz w:val="19"/>
              <w:szCs w:val="19"/>
            </w:rPr>
            <m:t>↑</m:t>
          </m:r>
          <m:r>
            <m:rPr>
              <m:nor/>
            </m:rPr>
            <w:rPr>
              <w:i/>
              <w:iCs/>
              <w:sz w:val="19"/>
              <w:szCs w:val="19"/>
            </w:rPr>
            <m:t>Y</m:t>
          </m:r>
        </m:oMath>
      </m:oMathPara>
    </w:p>
    <w:p w14:paraId="705E09CE" w14:textId="77777777" w:rsidR="008B5FCB" w:rsidRDefault="008B5FCB" w:rsidP="008B5FCB">
      <w:pPr>
        <w:pStyle w:val="Ttulo3"/>
      </w:pPr>
      <w:bookmarkStart w:id="63" w:name="_Toc174195973"/>
      <w:r>
        <w:t>Desarrollo</w:t>
      </w:r>
      <w:bookmarkEnd w:id="63"/>
    </w:p>
    <w:p w14:paraId="62AB2A2E" w14:textId="77777777" w:rsidR="008B5FCB" w:rsidRDefault="008B5FCB" w:rsidP="008B5FCB">
      <w:pPr>
        <w:pStyle w:val="Ttulo3"/>
      </w:pPr>
      <w:bookmarkStart w:id="64" w:name="_Toc174195974"/>
      <w:r>
        <w:t>Valoración</w:t>
      </w:r>
      <w:bookmarkEnd w:id="64"/>
    </w:p>
    <w:p w14:paraId="13D897D4" w14:textId="77777777" w:rsidR="00B92803" w:rsidRPr="00B92803" w:rsidRDefault="00B92803" w:rsidP="00B92803"/>
    <w:p w14:paraId="1D2F806E" w14:textId="6B44B055" w:rsidR="005C2C04" w:rsidRDefault="00F31C6D" w:rsidP="001F20E5">
      <w:pPr>
        <w:pStyle w:val="Ttulo2"/>
      </w:pPr>
      <w:bookmarkStart w:id="65" w:name="_Toc174195975"/>
      <w:r>
        <w:t xml:space="preserve">Canal del crédito bancario: </w:t>
      </w:r>
      <w:proofErr w:type="spellStart"/>
      <w:r w:rsidRPr="00F31C6D">
        <w:rPr>
          <w:smallCaps/>
        </w:rPr>
        <w:t>Blinder</w:t>
      </w:r>
      <w:proofErr w:type="spellEnd"/>
      <w:r>
        <w:t xml:space="preserve"> y </w:t>
      </w:r>
      <w:r>
        <w:rPr>
          <w:smallCaps/>
        </w:rPr>
        <w:t>Stiglitz</w:t>
      </w:r>
      <w:r>
        <w:t xml:space="preserve"> (1983)</w:t>
      </w:r>
      <w:bookmarkEnd w:id="65"/>
    </w:p>
    <w:p w14:paraId="4DE5B708" w14:textId="48FEF9D7" w:rsidR="00F31C6D" w:rsidRDefault="00F31C6D" w:rsidP="00417A95">
      <w:pPr>
        <w:pStyle w:val="Ttulo3"/>
        <w:spacing w:before="0"/>
      </w:pPr>
      <w:bookmarkStart w:id="66" w:name="_Toc174195976"/>
      <w:r>
        <w:t>Idea</w:t>
      </w:r>
      <w:bookmarkEnd w:id="66"/>
    </w:p>
    <w:p w14:paraId="78C387D7" w14:textId="488890FC" w:rsidR="00F31C6D" w:rsidRPr="00F31C6D" w:rsidRDefault="00F31C6D" w:rsidP="00B92803">
      <w:pPr>
        <w:pStyle w:val="Nivel1SM"/>
        <w:keepNext/>
        <w:spacing w:before="0"/>
      </w:pPr>
      <w:r>
        <w:t>Los bancos juegan un papel fundamental en la transmisión de la política monetaria.</w:t>
      </w:r>
    </w:p>
    <w:p w14:paraId="1BAB443D" w14:textId="3A2EF734" w:rsidR="00F31C6D" w:rsidRDefault="00F31C6D" w:rsidP="00F31C6D">
      <w:pPr>
        <w:pStyle w:val="Ttulo3"/>
      </w:pPr>
      <w:bookmarkStart w:id="67" w:name="_Toc174195977"/>
      <w:r>
        <w:t>Desarrollo</w:t>
      </w:r>
      <w:bookmarkEnd w:id="67"/>
    </w:p>
    <w:p w14:paraId="36CE4FB2" w14:textId="420107F4" w:rsidR="00F31C6D" w:rsidRPr="00F31C6D" w:rsidRDefault="00F31C6D" w:rsidP="00417A95">
      <w:pPr>
        <w:pStyle w:val="Nivel1SM"/>
        <w:spacing w:before="0"/>
      </w:pPr>
      <w:r>
        <w:t>Aumento de la oferta monetaria, aumentan las reservas bancarias, mayor crédito ofrecido, aumento de la inversión y el consumo, aumento del empleo y el output.</w:t>
      </w:r>
    </w:p>
    <w:p w14:paraId="452D95B4" w14:textId="0ADB9A44" w:rsidR="00F31C6D" w:rsidRDefault="00F31C6D" w:rsidP="00F31C6D">
      <w:pPr>
        <w:pStyle w:val="Ttulo3"/>
      </w:pPr>
      <w:bookmarkStart w:id="68" w:name="_Toc174195978"/>
      <w:r>
        <w:t>Valoración</w:t>
      </w:r>
      <w:bookmarkEnd w:id="68"/>
    </w:p>
    <w:p w14:paraId="63778A1C" w14:textId="0BE6358D" w:rsidR="00BA59B8" w:rsidRDefault="00BA59B8" w:rsidP="00417A95">
      <w:pPr>
        <w:pStyle w:val="Nivel1SM"/>
        <w:keepNext/>
        <w:spacing w:before="0" w:after="0"/>
      </w:pPr>
      <w:r>
        <w:t xml:space="preserve">En definitiva, la </w:t>
      </w:r>
      <w:proofErr w:type="spellStart"/>
      <w:r>
        <w:rPr>
          <w:smallCaps/>
        </w:rPr>
        <w:t>Blinder</w:t>
      </w:r>
      <w:proofErr w:type="spellEnd"/>
      <w:r>
        <w:t xml:space="preserve"> y </w:t>
      </w:r>
      <w:r>
        <w:rPr>
          <w:smallCaps/>
        </w:rPr>
        <w:t>Stiglitz</w:t>
      </w:r>
      <w:r>
        <w:t xml:space="preserve"> proponen:</w:t>
      </w:r>
    </w:p>
    <w:p w14:paraId="7BFA2F5B" w14:textId="0FD90D51" w:rsidR="00BA59B8" w:rsidRDefault="00BA59B8" w:rsidP="00BA59B8">
      <w:pPr>
        <w:pStyle w:val="Nivel2SM"/>
        <w:keepNext/>
        <w:spacing w:after="0"/>
      </w:pPr>
      <w:r>
        <w:rPr>
          <w:i/>
          <w:iCs/>
        </w:rPr>
        <w:t>Mecanismo de transmisión</w:t>
      </w:r>
      <w:r>
        <w:t>: Crédito bancario</w:t>
      </w:r>
      <w:r w:rsidR="00176C2F">
        <w:t>.</w:t>
      </w:r>
    </w:p>
    <w:p w14:paraId="42D21389" w14:textId="77777777" w:rsidR="00176C2F" w:rsidRPr="00176C2F" w:rsidRDefault="00BA59B8" w:rsidP="00176C2F">
      <w:pPr>
        <w:pStyle w:val="Nivel3SM"/>
        <w:keepNext/>
        <w:rPr>
          <w:spacing w:val="-2"/>
        </w:rPr>
      </w:pPr>
      <w:r w:rsidRPr="00176C2F">
        <w:rPr>
          <w:spacing w:val="-2"/>
        </w:rPr>
        <w:t xml:space="preserve">Sin embargo, </w:t>
      </w:r>
      <w:r w:rsidR="00176C2F" w:rsidRPr="00176C2F">
        <w:rPr>
          <w:spacing w:val="-2"/>
        </w:rPr>
        <w:t>durante la crisis financiera, los bancos redujeron su oferta de crédito debido a:</w:t>
      </w:r>
    </w:p>
    <w:p w14:paraId="2C4AFDE1" w14:textId="77777777" w:rsidR="00176C2F" w:rsidRDefault="00176C2F" w:rsidP="00176C2F">
      <w:pPr>
        <w:pStyle w:val="Nivel4"/>
        <w:ind w:left="1474"/>
      </w:pPr>
      <w:r>
        <w:t>L</w:t>
      </w:r>
      <w:r w:rsidRPr="00AF3F99">
        <w:t>a falta de liquidez y a la incertidumbre sobre la calidad crediticia de los prestatarios</w:t>
      </w:r>
      <w:r>
        <w:t>;</w:t>
      </w:r>
    </w:p>
    <w:p w14:paraId="00A9608C" w14:textId="77777777" w:rsidR="00176C2F" w:rsidRDefault="00176C2F" w:rsidP="00176C2F">
      <w:pPr>
        <w:pStyle w:val="Nivel4"/>
        <w:ind w:left="1474"/>
      </w:pPr>
      <w:r>
        <w:t>L</w:t>
      </w:r>
      <w:r w:rsidRPr="00AF3F99">
        <w:t>a crisis financiera también afectó el mercado interbancario, lo que dificultó el acceso de los bancos a los fondos necesarios para prestar.</w:t>
      </w:r>
    </w:p>
    <w:p w14:paraId="2BCFE92C" w14:textId="4AAD97E7" w:rsidR="00BA59B8" w:rsidRPr="00F31C6D" w:rsidRDefault="00176C2F" w:rsidP="00176C2F">
      <w:pPr>
        <w:pStyle w:val="Nivel3SM"/>
      </w:pPr>
      <w:r w:rsidRPr="00AF3F99">
        <w:t>Como resultado, el canal del crédito bancario se vio dañado y la política monetaria perdió efectividad</w:t>
      </w:r>
      <w:r w:rsidR="00BA59B8">
        <w:t>.</w:t>
      </w:r>
    </w:p>
    <w:p w14:paraId="014638CB" w14:textId="6ABC27DA" w:rsidR="00BA59B8" w:rsidRPr="00961AFF" w:rsidRDefault="00BA59B8" w:rsidP="00BA59B8">
      <w:pPr>
        <w:pStyle w:val="Nivel2SM"/>
      </w:pPr>
      <w:r>
        <w:rPr>
          <w:i/>
          <w:iCs/>
        </w:rPr>
        <w:t>Efectos</w:t>
      </w:r>
      <w:r>
        <w:t>: La política monetaria puede tener efectos reales.</w:t>
      </w:r>
    </w:p>
    <w:p w14:paraId="4AED708B" w14:textId="5A3BD7EF" w:rsidR="001F20E5" w:rsidRDefault="00F31C6D" w:rsidP="00832E6A">
      <w:pPr>
        <w:pStyle w:val="Ttulo2"/>
        <w:ind w:left="924" w:hanging="567"/>
      </w:pPr>
      <w:bookmarkStart w:id="69" w:name="_Toc174195979"/>
      <w:r>
        <w:t xml:space="preserve">Canal del balance: </w:t>
      </w:r>
      <w:proofErr w:type="spellStart"/>
      <w:r>
        <w:rPr>
          <w:smallCaps/>
        </w:rPr>
        <w:t>Bernanke</w:t>
      </w:r>
      <w:proofErr w:type="spellEnd"/>
      <w:r>
        <w:t xml:space="preserve"> y </w:t>
      </w:r>
      <w:r>
        <w:rPr>
          <w:smallCaps/>
        </w:rPr>
        <w:t>Gertler</w:t>
      </w:r>
      <w:r>
        <w:t xml:space="preserve"> (1995)</w:t>
      </w:r>
      <w:bookmarkEnd w:id="69"/>
    </w:p>
    <w:p w14:paraId="76D79F16" w14:textId="642BC0E8" w:rsidR="00F31C6D" w:rsidRDefault="00F31C6D" w:rsidP="00832E6A">
      <w:pPr>
        <w:pStyle w:val="Ttulo3"/>
        <w:spacing w:before="0"/>
        <w:ind w:left="1400" w:hanging="680"/>
      </w:pPr>
      <w:bookmarkStart w:id="70" w:name="_Toc174195980"/>
      <w:r>
        <w:t>Idea</w:t>
      </w:r>
      <w:bookmarkEnd w:id="70"/>
    </w:p>
    <w:p w14:paraId="7D9473D9" w14:textId="7B3C514F" w:rsidR="00F31C6D" w:rsidRDefault="00F31C6D" w:rsidP="00417A95">
      <w:pPr>
        <w:pStyle w:val="Nivel1SM"/>
        <w:spacing w:before="0"/>
      </w:pPr>
      <w:proofErr w:type="spellStart"/>
      <w:r>
        <w:rPr>
          <w:smallCaps/>
        </w:rPr>
        <w:t>Bernanke</w:t>
      </w:r>
      <w:proofErr w:type="spellEnd"/>
      <w:r>
        <w:t xml:space="preserve"> y </w:t>
      </w:r>
      <w:r>
        <w:rPr>
          <w:smallCaps/>
        </w:rPr>
        <w:t>Gertler</w:t>
      </w:r>
      <w:r>
        <w:t xml:space="preserve"> </w:t>
      </w:r>
      <w:r w:rsidR="00B31CB3">
        <w:t xml:space="preserve">(1995) </w:t>
      </w:r>
      <w:r w:rsidR="00BA59B8">
        <w:t>estudian</w:t>
      </w:r>
      <w:r>
        <w:t xml:space="preserve"> un canal más amplio que el canal del crédito: el canal del balance, donde las imperfecciones en los mercados financieros juegan un papel clave.</w:t>
      </w:r>
    </w:p>
    <w:p w14:paraId="06022A1A" w14:textId="1BF799FA" w:rsidR="00F31C6D" w:rsidRDefault="00F31C6D" w:rsidP="00832E6A">
      <w:pPr>
        <w:pStyle w:val="Ttulo3"/>
        <w:ind w:left="1400" w:hanging="680"/>
      </w:pPr>
      <w:bookmarkStart w:id="71" w:name="_Toc174195981"/>
      <w:r>
        <w:t>Desarrollo</w:t>
      </w:r>
      <w:bookmarkEnd w:id="71"/>
    </w:p>
    <w:p w14:paraId="5AE60A5F" w14:textId="77777777" w:rsidR="001C68B8" w:rsidRDefault="001C68B8" w:rsidP="00F7532E">
      <w:pPr>
        <w:pStyle w:val="Nivel1SM"/>
        <w:keepNext/>
        <w:spacing w:before="0" w:after="0"/>
      </w:pPr>
      <w:proofErr w:type="spellStart"/>
      <w:r w:rsidRPr="00B31CB3">
        <w:rPr>
          <w:smallCaps/>
        </w:rPr>
        <w:t>Bernanke</w:t>
      </w:r>
      <w:proofErr w:type="spellEnd"/>
      <w:r>
        <w:t xml:space="preserve"> y </w:t>
      </w:r>
      <w:r w:rsidRPr="00B31CB3">
        <w:rPr>
          <w:smallCaps/>
        </w:rPr>
        <w:t>Gertler</w:t>
      </w:r>
      <w:r>
        <w:t xml:space="preserve"> enfatizan que, e</w:t>
      </w:r>
      <w:r w:rsidRPr="00B31CB3">
        <w:t>n presencia de fallos d</w:t>
      </w:r>
      <w:r>
        <w:t>e mercado en los mercados financieros, el coste de crédito de una empresa aumenta cuando se deteriora su hoja de balance (ya sea el crédito concedido por bancos o por cualquier otra fuente externa).</w:t>
      </w:r>
    </w:p>
    <w:p w14:paraId="4628B2BB" w14:textId="77777777" w:rsidR="001C68B8" w:rsidRDefault="001C68B8" w:rsidP="001C68B8">
      <w:pPr>
        <w:pStyle w:val="Nivel2SM"/>
      </w:pPr>
      <w:r>
        <w:t>Así, una política monetaria contractiva de aumentos del tipo de interés aumenta los pagos que la empresa debe hacer para servir la deuda contraída a tipos de interés variables.</w:t>
      </w:r>
    </w:p>
    <w:p w14:paraId="225D9012" w14:textId="77777777" w:rsidR="001C68B8" w:rsidRPr="00B31CB3" w:rsidRDefault="001C68B8" w:rsidP="001C68B8">
      <w:pPr>
        <w:pStyle w:val="Nivel2SM"/>
      </w:pPr>
      <w:r>
        <w:t>Además, surge un efecto indirecto, ya que ese mismo aumento en los tipos de interés reduce el valor capitalizado de los activos de larga duración de la empresa.</w:t>
      </w:r>
    </w:p>
    <w:p w14:paraId="04DAD9E6" w14:textId="391120EA" w:rsidR="001C68B8" w:rsidRPr="001C68B8" w:rsidRDefault="001C68B8" w:rsidP="001C68B8">
      <w:pPr>
        <w:pStyle w:val="Nivel1SM"/>
      </w:pPr>
      <w:r w:rsidRPr="00B31CB3">
        <w:t>Por lo tanto, una política monetaria contractiva de aumento de los tipos de interés a corto plazo no</w:t>
      </w:r>
      <w:r w:rsidR="00B92803">
        <w:t> </w:t>
      </w:r>
      <w:r w:rsidRPr="00B31CB3">
        <w:t>solo actúa inmediatamente a través de una reducción del gasto (a través, por ejemplo, del canal de tip</w:t>
      </w:r>
      <w:r>
        <w:t>o de interés tradicional</w:t>
      </w:r>
      <w:r w:rsidRPr="00B31CB3">
        <w:t xml:space="preserve">), </w:t>
      </w:r>
      <w:r>
        <w:t>sino que también actúa (</w:t>
      </w:r>
      <w:r w:rsidRPr="00B31CB3">
        <w:t>posibl</w:t>
      </w:r>
      <w:r>
        <w:t>emente</w:t>
      </w:r>
      <w:r w:rsidRPr="00B31CB3">
        <w:t xml:space="preserve"> </w:t>
      </w:r>
      <w:r>
        <w:t>con retardos)</w:t>
      </w:r>
      <w:r w:rsidRPr="00B31CB3">
        <w:t xml:space="preserve"> </w:t>
      </w:r>
      <w:r>
        <w:t xml:space="preserve">aumentando el </w:t>
      </w:r>
      <w:r>
        <w:lastRenderedPageBreak/>
        <w:t>coste de capital de las empresas a través del canal del balance</w:t>
      </w:r>
      <w:r w:rsidRPr="00B31CB3">
        <w:t xml:space="preserve">, </w:t>
      </w:r>
      <w:r>
        <w:t xml:space="preserve">exacerbando la caída </w:t>
      </w:r>
      <w:r w:rsidRPr="00B31CB3">
        <w:t>ini</w:t>
      </w:r>
      <w:r>
        <w:t>c</w:t>
      </w:r>
      <w:r w:rsidRPr="00B31CB3">
        <w:t xml:space="preserve">ial </w:t>
      </w:r>
      <w:r>
        <w:t>e</w:t>
      </w:r>
      <w:r w:rsidRPr="00B31CB3">
        <w:t xml:space="preserve">n </w:t>
      </w:r>
      <w:r>
        <w:t>producción</w:t>
      </w:r>
      <w:r w:rsidRPr="00B31CB3">
        <w:t xml:space="preserve"> </w:t>
      </w:r>
      <w:r>
        <w:t>y</w:t>
      </w:r>
      <w:r w:rsidRPr="00B31CB3">
        <w:t xml:space="preserve"> emple</w:t>
      </w:r>
      <w:r>
        <w:t>o</w:t>
      </w:r>
      <w:r w:rsidRPr="00B31CB3">
        <w:t>.</w:t>
      </w:r>
    </w:p>
    <w:p w14:paraId="1C15D7B4" w14:textId="0EE4C757" w:rsidR="00F31C6D" w:rsidRDefault="00F31C6D" w:rsidP="00832E6A">
      <w:pPr>
        <w:pStyle w:val="Ttulo3"/>
        <w:ind w:left="1400" w:hanging="680"/>
      </w:pPr>
      <w:bookmarkStart w:id="72" w:name="_Toc174195982"/>
      <w:r>
        <w:t>Valoración</w:t>
      </w:r>
      <w:bookmarkEnd w:id="72"/>
    </w:p>
    <w:p w14:paraId="44D7BFAB" w14:textId="77777777" w:rsidR="00F31C6D" w:rsidRPr="00F31C6D" w:rsidRDefault="00F31C6D" w:rsidP="00F31C6D"/>
    <w:tbl>
      <w:tblPr>
        <w:tblStyle w:val="Tablaconcuadrcula"/>
        <w:tblW w:w="10530" w:type="dxa"/>
        <w:jc w:val="center"/>
        <w:tblLook w:val="04A0" w:firstRow="1" w:lastRow="0" w:firstColumn="1" w:lastColumn="0" w:noHBand="0" w:noVBand="1"/>
      </w:tblPr>
      <w:tblGrid>
        <w:gridCol w:w="4111"/>
        <w:gridCol w:w="3209"/>
        <w:gridCol w:w="3210"/>
      </w:tblGrid>
      <w:tr w:rsidR="00057F22" w14:paraId="7E9047D2" w14:textId="77777777" w:rsidTr="00F7532E">
        <w:trPr>
          <w:tblHeader/>
          <w:jc w:val="center"/>
        </w:trPr>
        <w:tc>
          <w:tcPr>
            <w:tcW w:w="4111" w:type="dxa"/>
            <w:tcBorders>
              <w:top w:val="nil"/>
              <w:left w:val="nil"/>
            </w:tcBorders>
            <w:vAlign w:val="center"/>
          </w:tcPr>
          <w:p w14:paraId="6928D82A" w14:textId="77777777" w:rsidR="00057F22" w:rsidRDefault="00057F22" w:rsidP="00AF1F34">
            <w:pPr>
              <w:keepNext/>
              <w:spacing w:after="0"/>
              <w:jc w:val="center"/>
            </w:pPr>
          </w:p>
        </w:tc>
        <w:tc>
          <w:tcPr>
            <w:tcW w:w="3209" w:type="dxa"/>
            <w:tcBorders>
              <w:top w:val="single" w:sz="12" w:space="0" w:color="auto"/>
            </w:tcBorders>
            <w:vAlign w:val="center"/>
          </w:tcPr>
          <w:p w14:paraId="5EF9AF61" w14:textId="254615F7" w:rsidR="00057F22" w:rsidRPr="001F20E5" w:rsidRDefault="00057F22" w:rsidP="00AF1F34">
            <w:pPr>
              <w:keepNext/>
              <w:spacing w:after="0"/>
              <w:jc w:val="center"/>
              <w:rPr>
                <w:b/>
                <w:bCs/>
              </w:rPr>
            </w:pPr>
            <w:r w:rsidRPr="001F20E5">
              <w:rPr>
                <w:b/>
                <w:bCs/>
              </w:rPr>
              <w:t>Mecanismo de transmisión</w:t>
            </w:r>
          </w:p>
        </w:tc>
        <w:tc>
          <w:tcPr>
            <w:tcW w:w="3210" w:type="dxa"/>
            <w:tcBorders>
              <w:top w:val="single" w:sz="12" w:space="0" w:color="auto"/>
            </w:tcBorders>
            <w:vAlign w:val="center"/>
          </w:tcPr>
          <w:p w14:paraId="2BC9FA33" w14:textId="05DED650" w:rsidR="00057F22" w:rsidRPr="001F20E5" w:rsidRDefault="00057F22" w:rsidP="00AF1F34">
            <w:pPr>
              <w:keepNext/>
              <w:spacing w:after="0"/>
              <w:jc w:val="center"/>
              <w:rPr>
                <w:b/>
                <w:bCs/>
              </w:rPr>
            </w:pPr>
            <w:r w:rsidRPr="001F20E5">
              <w:rPr>
                <w:b/>
                <w:bCs/>
              </w:rPr>
              <w:t>Efectos sobre la actividad</w:t>
            </w:r>
          </w:p>
        </w:tc>
      </w:tr>
      <w:tr w:rsidR="00057F22" w14:paraId="1B9BE3C3" w14:textId="77777777" w:rsidTr="00F7532E">
        <w:trPr>
          <w:jc w:val="center"/>
        </w:trPr>
        <w:tc>
          <w:tcPr>
            <w:tcW w:w="4111" w:type="dxa"/>
            <w:vAlign w:val="center"/>
          </w:tcPr>
          <w:p w14:paraId="00204691" w14:textId="1AF83155" w:rsidR="00057F22" w:rsidRPr="00057F22" w:rsidRDefault="00057F22" w:rsidP="00057F22">
            <w:pPr>
              <w:spacing w:after="0"/>
              <w:jc w:val="left"/>
              <w:rPr>
                <w:sz w:val="19"/>
                <w:szCs w:val="19"/>
              </w:rPr>
            </w:pPr>
            <w:r w:rsidRPr="00057F22">
              <w:rPr>
                <w:sz w:val="19"/>
                <w:szCs w:val="19"/>
              </w:rPr>
              <w:t>Neoclásicos (TCD)</w:t>
            </w:r>
          </w:p>
        </w:tc>
        <w:tc>
          <w:tcPr>
            <w:tcW w:w="3209" w:type="dxa"/>
            <w:vAlign w:val="center"/>
          </w:tcPr>
          <w:p w14:paraId="713FE524" w14:textId="64DB7829" w:rsidR="00057F22" w:rsidRDefault="00057F22" w:rsidP="00057F22">
            <w:pPr>
              <w:spacing w:after="0"/>
              <w:jc w:val="center"/>
            </w:pPr>
            <w:r>
              <w:t>Precios</w:t>
            </w:r>
          </w:p>
        </w:tc>
        <w:tc>
          <w:tcPr>
            <w:tcW w:w="3210" w:type="dxa"/>
            <w:vAlign w:val="center"/>
          </w:tcPr>
          <w:p w14:paraId="3B468653" w14:textId="54EBF5D3" w:rsidR="00057F22" w:rsidRDefault="00905068" w:rsidP="00057F22">
            <w:pPr>
              <w:spacing w:after="0"/>
              <w:jc w:val="center"/>
            </w:pPr>
            <w:r>
              <w:t>No</w:t>
            </w:r>
            <w:r w:rsidR="00057F22">
              <w:t xml:space="preserve"> (dicotomía clásica)</w:t>
            </w:r>
          </w:p>
        </w:tc>
      </w:tr>
      <w:tr w:rsidR="00057F22" w14:paraId="3C8DD170" w14:textId="77777777" w:rsidTr="00F7532E">
        <w:trPr>
          <w:jc w:val="center"/>
        </w:trPr>
        <w:tc>
          <w:tcPr>
            <w:tcW w:w="4111" w:type="dxa"/>
            <w:vAlign w:val="center"/>
          </w:tcPr>
          <w:p w14:paraId="467D7FDD" w14:textId="5BFC428F" w:rsidR="00057F22" w:rsidRPr="00057F22" w:rsidRDefault="00057F22" w:rsidP="00057F22">
            <w:pPr>
              <w:spacing w:after="0"/>
              <w:jc w:val="left"/>
              <w:rPr>
                <w:smallCaps/>
                <w:sz w:val="19"/>
                <w:szCs w:val="19"/>
              </w:rPr>
            </w:pPr>
            <w:r w:rsidRPr="00057F22">
              <w:rPr>
                <w:smallCaps/>
                <w:sz w:val="19"/>
                <w:szCs w:val="19"/>
              </w:rPr>
              <w:t>John Maynard Keynes</w:t>
            </w:r>
          </w:p>
        </w:tc>
        <w:tc>
          <w:tcPr>
            <w:tcW w:w="3209" w:type="dxa"/>
            <w:vAlign w:val="center"/>
          </w:tcPr>
          <w:p w14:paraId="579F1AD3" w14:textId="381CB7CC" w:rsidR="00057F22" w:rsidRDefault="00057F22" w:rsidP="00057F22">
            <w:pPr>
              <w:spacing w:after="0"/>
              <w:jc w:val="center"/>
            </w:pPr>
            <w:r>
              <w:t>Tipo de interés</w:t>
            </w:r>
          </w:p>
        </w:tc>
        <w:tc>
          <w:tcPr>
            <w:tcW w:w="3210" w:type="dxa"/>
            <w:vAlign w:val="center"/>
          </w:tcPr>
          <w:p w14:paraId="0DD4ECD1" w14:textId="752B6A3C" w:rsidR="00057F22" w:rsidRDefault="00905068" w:rsidP="00057F22">
            <w:pPr>
              <w:spacing w:after="0"/>
              <w:jc w:val="center"/>
            </w:pPr>
            <w:r>
              <w:t>Sí, pero poco</w:t>
            </w:r>
            <w:r w:rsidR="00B9743B">
              <w:br/>
            </w:r>
            <w:r w:rsidRPr="00905068">
              <w:rPr>
                <w:sz w:val="19"/>
                <w:szCs w:val="19"/>
              </w:rPr>
              <w:t>(dos eslabones débiles)</w:t>
            </w:r>
          </w:p>
        </w:tc>
      </w:tr>
      <w:tr w:rsidR="00057F22" w14:paraId="2BB3ADC1" w14:textId="77777777" w:rsidTr="00F7532E">
        <w:trPr>
          <w:jc w:val="center"/>
        </w:trPr>
        <w:tc>
          <w:tcPr>
            <w:tcW w:w="4111" w:type="dxa"/>
            <w:vAlign w:val="center"/>
          </w:tcPr>
          <w:p w14:paraId="27A8826A" w14:textId="26B5AF81" w:rsidR="00057F22" w:rsidRPr="00057F22" w:rsidRDefault="00057F22" w:rsidP="00057F22">
            <w:pPr>
              <w:spacing w:after="0"/>
              <w:jc w:val="left"/>
              <w:rPr>
                <w:sz w:val="19"/>
                <w:szCs w:val="19"/>
              </w:rPr>
            </w:pPr>
            <w:r w:rsidRPr="00057F22">
              <w:rPr>
                <w:sz w:val="19"/>
                <w:szCs w:val="19"/>
              </w:rPr>
              <w:t>Síntesis neoclásica</w:t>
            </w:r>
          </w:p>
        </w:tc>
        <w:tc>
          <w:tcPr>
            <w:tcW w:w="3209" w:type="dxa"/>
            <w:vAlign w:val="center"/>
          </w:tcPr>
          <w:p w14:paraId="393D7DD7" w14:textId="77777777" w:rsidR="00057F22" w:rsidRDefault="00905068" w:rsidP="00057F22">
            <w:pPr>
              <w:spacing w:after="0"/>
              <w:jc w:val="center"/>
            </w:pPr>
            <w:r>
              <w:t>Tipo de interés</w:t>
            </w:r>
          </w:p>
          <w:p w14:paraId="069FF65A" w14:textId="07709FAF" w:rsidR="00905068" w:rsidRDefault="00905068" w:rsidP="00057F22">
            <w:pPr>
              <w:spacing w:after="0"/>
              <w:jc w:val="center"/>
            </w:pPr>
            <w:r>
              <w:t>Salarios reales</w:t>
            </w:r>
          </w:p>
        </w:tc>
        <w:tc>
          <w:tcPr>
            <w:tcW w:w="3210" w:type="dxa"/>
            <w:vAlign w:val="center"/>
          </w:tcPr>
          <w:p w14:paraId="41BA8601" w14:textId="2BE7C249" w:rsidR="00057F22" w:rsidRDefault="00B9743B" w:rsidP="00057F22">
            <w:pPr>
              <w:spacing w:after="0"/>
              <w:jc w:val="center"/>
            </w:pPr>
            <w:r>
              <w:t>En el subsistema keynesiano: sí, pero poco</w:t>
            </w:r>
            <w:r>
              <w:br/>
            </w:r>
            <w:r w:rsidRPr="00905068">
              <w:rPr>
                <w:sz w:val="19"/>
                <w:szCs w:val="19"/>
              </w:rPr>
              <w:t>(dos eslabones débiles)</w:t>
            </w:r>
          </w:p>
        </w:tc>
      </w:tr>
      <w:tr w:rsidR="00057F22" w14:paraId="31D766F0" w14:textId="77777777" w:rsidTr="00F7532E">
        <w:trPr>
          <w:jc w:val="center"/>
        </w:trPr>
        <w:tc>
          <w:tcPr>
            <w:tcW w:w="4111" w:type="dxa"/>
            <w:vAlign w:val="center"/>
          </w:tcPr>
          <w:p w14:paraId="271D9357" w14:textId="2B761A65" w:rsidR="00057F22" w:rsidRPr="00057F22" w:rsidRDefault="00057F22" w:rsidP="00057F22">
            <w:pPr>
              <w:spacing w:after="0"/>
              <w:jc w:val="left"/>
              <w:rPr>
                <w:smallCaps/>
                <w:sz w:val="19"/>
                <w:szCs w:val="19"/>
              </w:rPr>
            </w:pPr>
            <w:r w:rsidRPr="00057F22">
              <w:rPr>
                <w:smallCaps/>
                <w:sz w:val="19"/>
                <w:szCs w:val="19"/>
              </w:rPr>
              <w:t>Milton Friedman</w:t>
            </w:r>
          </w:p>
        </w:tc>
        <w:tc>
          <w:tcPr>
            <w:tcW w:w="3209" w:type="dxa"/>
            <w:vAlign w:val="center"/>
          </w:tcPr>
          <w:p w14:paraId="14F514AB" w14:textId="77777777" w:rsidR="00905068" w:rsidRDefault="00905068" w:rsidP="00905068">
            <w:pPr>
              <w:spacing w:after="0"/>
              <w:jc w:val="center"/>
            </w:pPr>
            <w:r>
              <w:t>Tipo de interés</w:t>
            </w:r>
          </w:p>
          <w:p w14:paraId="5D71D79E" w14:textId="77777777" w:rsidR="00057F22" w:rsidRDefault="00905068" w:rsidP="00905068">
            <w:pPr>
              <w:spacing w:after="0"/>
              <w:jc w:val="center"/>
            </w:pPr>
            <w:r>
              <w:t>Salarios reales</w:t>
            </w:r>
          </w:p>
          <w:p w14:paraId="34AA3C5C" w14:textId="2433AE4F" w:rsidR="00905068" w:rsidRDefault="00905068" w:rsidP="00905068">
            <w:pPr>
              <w:spacing w:after="0"/>
              <w:jc w:val="center"/>
            </w:pPr>
            <w:r>
              <w:t>Efecto riqueza</w:t>
            </w:r>
          </w:p>
        </w:tc>
        <w:tc>
          <w:tcPr>
            <w:tcW w:w="3210" w:type="dxa"/>
            <w:vAlign w:val="center"/>
          </w:tcPr>
          <w:p w14:paraId="01DA6167" w14:textId="517F9B22" w:rsidR="00057F22" w:rsidRDefault="00905068" w:rsidP="00057F22">
            <w:pPr>
              <w:spacing w:after="0"/>
              <w:jc w:val="center"/>
            </w:pPr>
            <w:r>
              <w:t>Sí, en el corto plazo,</w:t>
            </w:r>
            <w:r>
              <w:br/>
              <w:t>pero no en el largo plazo</w:t>
            </w:r>
          </w:p>
        </w:tc>
      </w:tr>
      <w:tr w:rsidR="00057F22" w:rsidRPr="00057F22" w14:paraId="33B8C5F2" w14:textId="77777777" w:rsidTr="00F7532E">
        <w:trPr>
          <w:jc w:val="center"/>
        </w:trPr>
        <w:tc>
          <w:tcPr>
            <w:tcW w:w="4111" w:type="dxa"/>
            <w:vAlign w:val="center"/>
          </w:tcPr>
          <w:p w14:paraId="450CC13B" w14:textId="566A8782" w:rsidR="00057F22" w:rsidRPr="00057F22" w:rsidRDefault="00057F22" w:rsidP="00057F22">
            <w:pPr>
              <w:spacing w:after="0"/>
              <w:jc w:val="left"/>
              <w:rPr>
                <w:sz w:val="19"/>
                <w:szCs w:val="19"/>
              </w:rPr>
            </w:pPr>
            <w:r w:rsidRPr="00057F22">
              <w:rPr>
                <w:sz w:val="19"/>
                <w:szCs w:val="19"/>
              </w:rPr>
              <w:t>Nueva Macroeconomía Clásica</w:t>
            </w:r>
          </w:p>
        </w:tc>
        <w:tc>
          <w:tcPr>
            <w:tcW w:w="3209" w:type="dxa"/>
            <w:vAlign w:val="center"/>
          </w:tcPr>
          <w:p w14:paraId="155DCE33" w14:textId="434213DD" w:rsidR="00057F22" w:rsidRPr="00057F22" w:rsidRDefault="00905068" w:rsidP="00057F22">
            <w:pPr>
              <w:spacing w:after="0"/>
              <w:jc w:val="center"/>
            </w:pPr>
            <w:r>
              <w:t>Precios</w:t>
            </w:r>
          </w:p>
        </w:tc>
        <w:tc>
          <w:tcPr>
            <w:tcW w:w="3210" w:type="dxa"/>
            <w:vAlign w:val="center"/>
          </w:tcPr>
          <w:p w14:paraId="4ABC453B" w14:textId="69909FF5" w:rsidR="00057F22" w:rsidRPr="00057F22" w:rsidRDefault="00905068" w:rsidP="00057F22">
            <w:pPr>
              <w:spacing w:after="0"/>
              <w:jc w:val="center"/>
            </w:pPr>
            <w:r>
              <w:t>No</w:t>
            </w:r>
          </w:p>
        </w:tc>
      </w:tr>
      <w:tr w:rsidR="00057F22" w:rsidRPr="00057F22" w14:paraId="6460CB84" w14:textId="77777777" w:rsidTr="00F7532E">
        <w:trPr>
          <w:jc w:val="center"/>
        </w:trPr>
        <w:tc>
          <w:tcPr>
            <w:tcW w:w="4111" w:type="dxa"/>
            <w:vAlign w:val="center"/>
          </w:tcPr>
          <w:p w14:paraId="199F5472" w14:textId="1A4676A5" w:rsidR="00057F22" w:rsidRPr="00057F22" w:rsidRDefault="00057F22" w:rsidP="00057F22">
            <w:pPr>
              <w:spacing w:after="0"/>
              <w:jc w:val="left"/>
              <w:rPr>
                <w:sz w:val="19"/>
                <w:szCs w:val="19"/>
              </w:rPr>
            </w:pPr>
            <w:r w:rsidRPr="00057F22">
              <w:rPr>
                <w:sz w:val="19"/>
                <w:szCs w:val="19"/>
              </w:rPr>
              <w:t>Economistas de la NEK de 1ª</w:t>
            </w:r>
            <w:r w:rsidR="00F7532E">
              <w:rPr>
                <w:sz w:val="19"/>
                <w:szCs w:val="19"/>
              </w:rPr>
              <w:t> </w:t>
            </w:r>
            <w:r w:rsidRPr="00057F22">
              <w:rPr>
                <w:sz w:val="19"/>
                <w:szCs w:val="19"/>
              </w:rPr>
              <w:t>generación</w:t>
            </w:r>
          </w:p>
        </w:tc>
        <w:tc>
          <w:tcPr>
            <w:tcW w:w="3209" w:type="dxa"/>
            <w:vAlign w:val="center"/>
          </w:tcPr>
          <w:p w14:paraId="10774FE4" w14:textId="1F4AAC92" w:rsidR="00057F22" w:rsidRPr="00905068" w:rsidRDefault="00905068" w:rsidP="00057F22">
            <w:pPr>
              <w:spacing w:after="0"/>
              <w:jc w:val="center"/>
              <w:rPr>
                <w:spacing w:val="-4"/>
              </w:rPr>
            </w:pPr>
            <w:r w:rsidRPr="00905068">
              <w:rPr>
                <w:spacing w:val="-4"/>
              </w:rPr>
              <w:t>Rigideces de salarios nominales</w:t>
            </w:r>
          </w:p>
        </w:tc>
        <w:tc>
          <w:tcPr>
            <w:tcW w:w="3210" w:type="dxa"/>
            <w:vAlign w:val="center"/>
          </w:tcPr>
          <w:p w14:paraId="4C409354" w14:textId="77C5BE2F" w:rsidR="00057F22" w:rsidRPr="00057F22" w:rsidRDefault="00905068" w:rsidP="00057F22">
            <w:pPr>
              <w:spacing w:after="0"/>
              <w:jc w:val="center"/>
            </w:pPr>
            <w:r>
              <w:t>Sí</w:t>
            </w:r>
          </w:p>
        </w:tc>
      </w:tr>
      <w:tr w:rsidR="00AF3F99" w:rsidRPr="00057F22" w14:paraId="0A1468B5" w14:textId="77777777" w:rsidTr="00F7532E">
        <w:trPr>
          <w:jc w:val="center"/>
        </w:trPr>
        <w:tc>
          <w:tcPr>
            <w:tcW w:w="4111" w:type="dxa"/>
            <w:vAlign w:val="center"/>
          </w:tcPr>
          <w:p w14:paraId="3C9EBFDD" w14:textId="1DE13770" w:rsidR="00AF3F99" w:rsidRPr="00057F22" w:rsidRDefault="00AF3F99" w:rsidP="00057F22">
            <w:pPr>
              <w:spacing w:after="0"/>
              <w:jc w:val="left"/>
              <w:rPr>
                <w:sz w:val="19"/>
                <w:szCs w:val="19"/>
              </w:rPr>
            </w:pPr>
            <w:r>
              <w:rPr>
                <w:sz w:val="19"/>
                <w:szCs w:val="19"/>
              </w:rPr>
              <w:t>Economía abierta</w:t>
            </w:r>
          </w:p>
        </w:tc>
        <w:tc>
          <w:tcPr>
            <w:tcW w:w="3209" w:type="dxa"/>
            <w:vAlign w:val="center"/>
          </w:tcPr>
          <w:p w14:paraId="31335CB3" w14:textId="5A037638" w:rsidR="00AF3F99" w:rsidRPr="00905068" w:rsidRDefault="00AF3F99" w:rsidP="00057F22">
            <w:pPr>
              <w:spacing w:after="0"/>
              <w:jc w:val="center"/>
              <w:rPr>
                <w:spacing w:val="-4"/>
              </w:rPr>
            </w:pPr>
            <w:r>
              <w:rPr>
                <w:spacing w:val="-4"/>
              </w:rPr>
              <w:t>Tipo de cambio</w:t>
            </w:r>
          </w:p>
        </w:tc>
        <w:tc>
          <w:tcPr>
            <w:tcW w:w="3210" w:type="dxa"/>
            <w:vAlign w:val="center"/>
          </w:tcPr>
          <w:p w14:paraId="1A780995" w14:textId="613EE16E" w:rsidR="00AF3F99" w:rsidRDefault="00AF3F99" w:rsidP="00057F22">
            <w:pPr>
              <w:spacing w:after="0"/>
              <w:jc w:val="center"/>
            </w:pPr>
            <w:r>
              <w:t>Sí</w:t>
            </w:r>
          </w:p>
        </w:tc>
      </w:tr>
      <w:tr w:rsidR="001C68B8" w:rsidRPr="00057F22" w14:paraId="19EF9891" w14:textId="77777777" w:rsidTr="00F7532E">
        <w:trPr>
          <w:jc w:val="center"/>
        </w:trPr>
        <w:tc>
          <w:tcPr>
            <w:tcW w:w="4111" w:type="dxa"/>
            <w:vAlign w:val="center"/>
          </w:tcPr>
          <w:p w14:paraId="7E14A2C7" w14:textId="34DD4CF1" w:rsidR="001C68B8" w:rsidRPr="00057F22" w:rsidRDefault="001C68B8" w:rsidP="001C68B8">
            <w:pPr>
              <w:spacing w:after="0"/>
              <w:jc w:val="left"/>
              <w:rPr>
                <w:sz w:val="19"/>
                <w:szCs w:val="19"/>
              </w:rPr>
            </w:pPr>
            <w:r w:rsidRPr="00057F22">
              <w:rPr>
                <w:i/>
                <w:iCs/>
                <w:sz w:val="19"/>
                <w:szCs w:val="19"/>
              </w:rPr>
              <w:t>q</w:t>
            </w:r>
            <w:r w:rsidRPr="00057F22">
              <w:rPr>
                <w:sz w:val="19"/>
                <w:szCs w:val="19"/>
              </w:rPr>
              <w:t xml:space="preserve"> de</w:t>
            </w:r>
            <w:r w:rsidRPr="00057F22">
              <w:rPr>
                <w:smallCaps/>
                <w:sz w:val="19"/>
                <w:szCs w:val="19"/>
              </w:rPr>
              <w:t xml:space="preserve"> Tobin</w:t>
            </w:r>
          </w:p>
        </w:tc>
        <w:tc>
          <w:tcPr>
            <w:tcW w:w="3209" w:type="dxa"/>
            <w:vAlign w:val="center"/>
          </w:tcPr>
          <w:p w14:paraId="78B5A90C" w14:textId="28DD8D53" w:rsidR="001C68B8" w:rsidRPr="00905068" w:rsidRDefault="001C68B8" w:rsidP="001C68B8">
            <w:pPr>
              <w:spacing w:after="0"/>
              <w:jc w:val="center"/>
              <w:rPr>
                <w:spacing w:val="-4"/>
              </w:rPr>
            </w:pPr>
            <w:r>
              <w:rPr>
                <w:i/>
                <w:iCs/>
              </w:rPr>
              <w:t>q</w:t>
            </w:r>
          </w:p>
        </w:tc>
        <w:tc>
          <w:tcPr>
            <w:tcW w:w="3210" w:type="dxa"/>
            <w:vAlign w:val="center"/>
          </w:tcPr>
          <w:p w14:paraId="6C231BD5" w14:textId="56835F79" w:rsidR="001C68B8" w:rsidRDefault="001C68B8" w:rsidP="001C68B8">
            <w:pPr>
              <w:spacing w:after="0"/>
              <w:jc w:val="center"/>
            </w:pPr>
            <w:r>
              <w:t>Sí</w:t>
            </w:r>
          </w:p>
        </w:tc>
      </w:tr>
      <w:tr w:rsidR="001C68B8" w:rsidRPr="00057F22" w14:paraId="5055A360" w14:textId="77777777" w:rsidTr="00F7532E">
        <w:trPr>
          <w:jc w:val="center"/>
        </w:trPr>
        <w:tc>
          <w:tcPr>
            <w:tcW w:w="4111" w:type="dxa"/>
            <w:tcBorders>
              <w:bottom w:val="single" w:sz="4" w:space="0" w:color="auto"/>
            </w:tcBorders>
            <w:vAlign w:val="center"/>
          </w:tcPr>
          <w:p w14:paraId="21685579" w14:textId="53F4BD74" w:rsidR="001C68B8" w:rsidRPr="00057F22" w:rsidRDefault="00F7532E" w:rsidP="001C68B8">
            <w:pPr>
              <w:spacing w:after="0"/>
              <w:jc w:val="left"/>
              <w:rPr>
                <w:sz w:val="19"/>
                <w:szCs w:val="19"/>
              </w:rPr>
            </w:pPr>
            <w:proofErr w:type="spellStart"/>
            <w:r w:rsidRPr="00F7532E">
              <w:rPr>
                <w:smallCaps/>
                <w:sz w:val="19"/>
                <w:szCs w:val="19"/>
              </w:rPr>
              <w:t>Blinder</w:t>
            </w:r>
            <w:proofErr w:type="spellEnd"/>
            <w:r>
              <w:rPr>
                <w:sz w:val="19"/>
                <w:szCs w:val="19"/>
              </w:rPr>
              <w:t xml:space="preserve"> y </w:t>
            </w:r>
            <w:r w:rsidRPr="00F7532E">
              <w:rPr>
                <w:smallCaps/>
                <w:sz w:val="19"/>
                <w:szCs w:val="19"/>
              </w:rPr>
              <w:t>Stiglitz</w:t>
            </w:r>
            <w:r>
              <w:rPr>
                <w:sz w:val="19"/>
                <w:szCs w:val="19"/>
              </w:rPr>
              <w:t xml:space="preserve">: </w:t>
            </w:r>
            <w:r w:rsidR="001C68B8">
              <w:rPr>
                <w:sz w:val="19"/>
                <w:szCs w:val="19"/>
              </w:rPr>
              <w:t>Canal del crédito bancario</w:t>
            </w:r>
          </w:p>
        </w:tc>
        <w:tc>
          <w:tcPr>
            <w:tcW w:w="3209" w:type="dxa"/>
            <w:tcBorders>
              <w:bottom w:val="single" w:sz="4" w:space="0" w:color="auto"/>
            </w:tcBorders>
            <w:vAlign w:val="center"/>
          </w:tcPr>
          <w:p w14:paraId="3AA3C545" w14:textId="0AC4C45D" w:rsidR="001C68B8" w:rsidRPr="00057F22" w:rsidRDefault="001D61A0" w:rsidP="001C68B8">
            <w:pPr>
              <w:spacing w:after="0"/>
              <w:jc w:val="center"/>
            </w:pPr>
            <w:r>
              <w:t>Crédito bancario</w:t>
            </w:r>
          </w:p>
        </w:tc>
        <w:tc>
          <w:tcPr>
            <w:tcW w:w="3210" w:type="dxa"/>
            <w:tcBorders>
              <w:bottom w:val="single" w:sz="4" w:space="0" w:color="auto"/>
            </w:tcBorders>
            <w:vAlign w:val="center"/>
          </w:tcPr>
          <w:p w14:paraId="37D3B864" w14:textId="584EA623" w:rsidR="001C68B8" w:rsidRPr="00057F22" w:rsidRDefault="001C68B8" w:rsidP="001C68B8">
            <w:pPr>
              <w:spacing w:after="0"/>
              <w:jc w:val="center"/>
            </w:pPr>
            <w:r>
              <w:t>Sí</w:t>
            </w:r>
          </w:p>
        </w:tc>
      </w:tr>
      <w:tr w:rsidR="001C68B8" w:rsidRPr="00057F22" w14:paraId="1AA19DF1" w14:textId="77777777" w:rsidTr="00F7532E">
        <w:trPr>
          <w:jc w:val="center"/>
        </w:trPr>
        <w:tc>
          <w:tcPr>
            <w:tcW w:w="4111" w:type="dxa"/>
            <w:tcBorders>
              <w:bottom w:val="single" w:sz="12" w:space="0" w:color="auto"/>
            </w:tcBorders>
            <w:vAlign w:val="center"/>
          </w:tcPr>
          <w:p w14:paraId="57C1B60E" w14:textId="21CBC3A1" w:rsidR="001C68B8" w:rsidRPr="00057F22" w:rsidRDefault="001C68B8" w:rsidP="001C68B8">
            <w:pPr>
              <w:spacing w:after="0"/>
              <w:jc w:val="left"/>
              <w:rPr>
                <w:sz w:val="19"/>
                <w:szCs w:val="19"/>
              </w:rPr>
            </w:pPr>
            <w:proofErr w:type="spellStart"/>
            <w:r w:rsidRPr="001F20E5">
              <w:rPr>
                <w:smallCaps/>
                <w:sz w:val="19"/>
                <w:szCs w:val="19"/>
              </w:rPr>
              <w:t>Bernanke</w:t>
            </w:r>
            <w:proofErr w:type="spellEnd"/>
            <w:r>
              <w:rPr>
                <w:sz w:val="19"/>
                <w:szCs w:val="19"/>
              </w:rPr>
              <w:t xml:space="preserve"> y </w:t>
            </w:r>
            <w:r w:rsidRPr="001F20E5">
              <w:rPr>
                <w:smallCaps/>
                <w:sz w:val="19"/>
                <w:szCs w:val="19"/>
              </w:rPr>
              <w:t>Gertler</w:t>
            </w:r>
            <w:r>
              <w:rPr>
                <w:sz w:val="19"/>
                <w:szCs w:val="19"/>
              </w:rPr>
              <w:t>: Canal del balance</w:t>
            </w:r>
          </w:p>
        </w:tc>
        <w:tc>
          <w:tcPr>
            <w:tcW w:w="3209" w:type="dxa"/>
            <w:tcBorders>
              <w:bottom w:val="single" w:sz="12" w:space="0" w:color="auto"/>
            </w:tcBorders>
            <w:vAlign w:val="center"/>
          </w:tcPr>
          <w:p w14:paraId="3D720B75" w14:textId="5EC224DC" w:rsidR="001C68B8" w:rsidRPr="00057F22" w:rsidRDefault="001D61A0" w:rsidP="001C68B8">
            <w:pPr>
              <w:spacing w:after="0"/>
              <w:jc w:val="center"/>
            </w:pPr>
            <w:r>
              <w:t>Balance de situación</w:t>
            </w:r>
          </w:p>
        </w:tc>
        <w:tc>
          <w:tcPr>
            <w:tcW w:w="3210" w:type="dxa"/>
            <w:tcBorders>
              <w:bottom w:val="single" w:sz="12" w:space="0" w:color="auto"/>
            </w:tcBorders>
            <w:vAlign w:val="center"/>
          </w:tcPr>
          <w:p w14:paraId="5B2E4F35" w14:textId="1E78B71D" w:rsidR="001C68B8" w:rsidRPr="00057F22" w:rsidRDefault="001C68B8" w:rsidP="001C68B8">
            <w:pPr>
              <w:spacing w:after="0"/>
              <w:jc w:val="center"/>
            </w:pPr>
            <w:r>
              <w:t>Sí</w:t>
            </w:r>
          </w:p>
        </w:tc>
      </w:tr>
    </w:tbl>
    <w:p w14:paraId="5D4C3C55" w14:textId="77777777" w:rsidR="00314790" w:rsidRDefault="00314790" w:rsidP="007612BD">
      <w:pPr>
        <w:pStyle w:val="Ttulo1"/>
      </w:pPr>
      <w:bookmarkStart w:id="73" w:name="_Toc174195983"/>
      <w:r>
        <w:t>ANÁLISIS DESDE UN MODELO NEOKEYNESIANO DE SEGUNDA GENERACIÓN</w:t>
      </w:r>
      <w:bookmarkEnd w:id="73"/>
    </w:p>
    <w:p w14:paraId="46AE1880" w14:textId="4BDDEFBD" w:rsidR="00314790" w:rsidRDefault="00314790" w:rsidP="00314790">
      <w:pPr>
        <w:pStyle w:val="Ttulo2"/>
      </w:pPr>
      <w:bookmarkStart w:id="74" w:name="_Toc174195984"/>
      <w:r>
        <w:t>Idea</w:t>
      </w:r>
      <w:bookmarkEnd w:id="74"/>
    </w:p>
    <w:p w14:paraId="1C4313BB" w14:textId="48A20A0B" w:rsidR="00B9743B" w:rsidRPr="00B9743B" w:rsidRDefault="00B9743B" w:rsidP="00417A95">
      <w:pPr>
        <w:pStyle w:val="Nivel1SM"/>
        <w:spacing w:before="0"/>
      </w:pPr>
      <w:r>
        <w:t xml:space="preserve">Retoman el relevo de los autores de la Nueva Economía Keynesiana de primera generación, pero adoptan </w:t>
      </w:r>
      <w:r w:rsidR="002D2461">
        <w:t>la</w:t>
      </w:r>
      <w:r>
        <w:t xml:space="preserve"> metodología </w:t>
      </w:r>
      <w:r w:rsidR="002D2461">
        <w:t>propia de la Nueva Macroeconomía Clásica (en particular, abrazan la Hipótesis de las Expectativas Racionales (HER) y el uso de modelos de Equilibrio General Dinámico Estocástico (EGDE)).</w:t>
      </w:r>
    </w:p>
    <w:p w14:paraId="75AE497B" w14:textId="51D54504" w:rsidR="00314790" w:rsidRDefault="00E229E6" w:rsidP="00314790">
      <w:pPr>
        <w:pStyle w:val="Ttulo2"/>
      </w:pPr>
      <w:bookmarkStart w:id="75" w:name="_Toc174195985"/>
      <w:r>
        <w:t>Modelo</w:t>
      </w:r>
      <w:bookmarkEnd w:id="75"/>
    </w:p>
    <w:p w14:paraId="6FD5D908" w14:textId="2056988C" w:rsidR="00314790" w:rsidRDefault="00E229E6" w:rsidP="00417A95">
      <w:pPr>
        <w:pStyle w:val="Ttulo3"/>
        <w:spacing w:before="0"/>
      </w:pPr>
      <w:bookmarkStart w:id="76" w:name="_Hlk120863067"/>
      <w:bookmarkStart w:id="77" w:name="_Toc174195986"/>
      <w:r>
        <w:t>Supuestos</w:t>
      </w:r>
      <w:bookmarkEnd w:id="77"/>
    </w:p>
    <w:p w14:paraId="111F2965" w14:textId="77777777" w:rsidR="003055A2" w:rsidRDefault="003055A2" w:rsidP="003055A2">
      <w:pPr>
        <w:pStyle w:val="Nivel1SM"/>
        <w:keepNext/>
        <w:spacing w:before="0" w:after="0"/>
      </w:pPr>
      <w:r>
        <w:rPr>
          <w:smallCaps/>
        </w:rPr>
        <w:t>Clarida</w:t>
      </w:r>
      <w:r w:rsidRPr="0032799B">
        <w:t xml:space="preserve">, </w:t>
      </w:r>
      <w:r w:rsidRPr="0032799B">
        <w:rPr>
          <w:smallCaps/>
        </w:rPr>
        <w:t>Galí</w:t>
      </w:r>
      <w:r>
        <w:t xml:space="preserve"> y </w:t>
      </w:r>
      <w:r w:rsidRPr="0032799B">
        <w:rPr>
          <w:smallCaps/>
        </w:rPr>
        <w:t>Gertler</w:t>
      </w:r>
      <w:r>
        <w:t xml:space="preserve"> (1999) parten de los siguientes supuestos:</w:t>
      </w:r>
    </w:p>
    <w:p w14:paraId="7383B698" w14:textId="77777777" w:rsidR="003055A2" w:rsidRDefault="003055A2" w:rsidP="003055A2">
      <w:pPr>
        <w:pStyle w:val="Nivel2SM"/>
      </w:pPr>
      <w:r>
        <w:t>Rigidez nominal en la formación de precios y salarios.</w:t>
      </w:r>
    </w:p>
    <w:p w14:paraId="1F00DA2F" w14:textId="77777777" w:rsidR="003055A2" w:rsidRDefault="003055A2" w:rsidP="003055A2">
      <w:pPr>
        <w:pStyle w:val="Nivel2SM"/>
        <w:keepNext/>
        <w:spacing w:after="0"/>
      </w:pPr>
      <w:r>
        <w:t>El modelo estudiará las desviaciones de una economía cerrada de su tendencia de crecimiento. Hay un nivel de output natural que es el que existiría si precios y salarios fueran flexibles y que es el que se buscaría recuperar en caso de perturbaciones por la autoridad monetaria.</w:t>
      </w:r>
    </w:p>
    <w:p w14:paraId="7EBF0560" w14:textId="77777777" w:rsidR="003055A2" w:rsidRDefault="003055A2" w:rsidP="003055A2">
      <w:pPr>
        <w:pStyle w:val="Nivel3SM"/>
      </w:pPr>
      <w:r>
        <w:t xml:space="preserve">Así, podemos definir el output gap, </w:t>
      </w:r>
      <m:oMath>
        <m:sSub>
          <m:sSubPr>
            <m:ctrlPr>
              <w:rPr>
                <w:rFonts w:ascii="Cambria Math" w:hAnsi="Cambria Math"/>
                <w:i/>
              </w:rPr>
            </m:ctrlPr>
          </m:sSubPr>
          <m:e>
            <m:r>
              <m:rPr>
                <m:nor/>
              </m:rPr>
              <w:rPr>
                <w:i/>
              </w:rPr>
              <m:t>x</m:t>
            </m:r>
          </m:e>
          <m:sub>
            <m:r>
              <m:rPr>
                <m:nor/>
              </m:rPr>
              <w:rPr>
                <w:i/>
              </w:rPr>
              <m:t>t</m:t>
            </m:r>
          </m:sub>
        </m:sSub>
      </m:oMath>
      <w:r>
        <w:t>, como la desviación del output observado de la tasa natural.</w:t>
      </w:r>
    </w:p>
    <w:p w14:paraId="6682B119" w14:textId="21083442" w:rsidR="00E229E6" w:rsidRDefault="00E229E6" w:rsidP="00E229E6">
      <w:pPr>
        <w:pStyle w:val="Ttulo3"/>
      </w:pPr>
      <w:bookmarkStart w:id="78" w:name="_Toc174195987"/>
      <w:r>
        <w:t>Desarrollo</w:t>
      </w:r>
      <w:bookmarkEnd w:id="78"/>
    </w:p>
    <w:p w14:paraId="7482071B" w14:textId="4ED07DC4" w:rsidR="00314790" w:rsidRDefault="00314790" w:rsidP="00417A95">
      <w:pPr>
        <w:pStyle w:val="Nivel1SM"/>
        <w:keepNext/>
        <w:spacing w:before="0" w:after="0"/>
      </w:pPr>
      <w:r>
        <w:t xml:space="preserve">A pesar de poseer una elevada complejidad formal, la resolución </w:t>
      </w:r>
      <w:proofErr w:type="gramStart"/>
      <w:r>
        <w:t>del mismo</w:t>
      </w:r>
      <w:proofErr w:type="gramEnd"/>
      <w:r>
        <w:t xml:space="preserve"> llega a un sistema de 3</w:t>
      </w:r>
      <w:r w:rsidR="00417A95">
        <w:t> </w:t>
      </w:r>
      <w:r>
        <w:t>ecuaciones que determinan el comportamiento de todo el modelo</w:t>
      </w:r>
      <w:r w:rsidR="00613C98">
        <w:t xml:space="preserve"> </w:t>
      </w:r>
      <w:r w:rsidR="00613C98" w:rsidRPr="00613C98">
        <w:rPr>
          <w:color w:val="767171" w:themeColor="background2" w:themeShade="80"/>
          <w:sz w:val="19"/>
          <w:szCs w:val="19"/>
        </w:rPr>
        <w:t>[para un análisis más detallado de estas cuestiones ver tema 3.A.</w:t>
      </w:r>
      <w:r w:rsidR="00D60AF5">
        <w:rPr>
          <w:color w:val="767171" w:themeColor="background2" w:themeShade="80"/>
          <w:sz w:val="19"/>
          <w:szCs w:val="19"/>
        </w:rPr>
        <w:t>7</w:t>
      </w:r>
      <w:r w:rsidR="00613C98" w:rsidRPr="00613C98">
        <w:rPr>
          <w:color w:val="767171" w:themeColor="background2" w:themeShade="80"/>
          <w:sz w:val="19"/>
          <w:szCs w:val="19"/>
        </w:rPr>
        <w:t>]</w:t>
      </w:r>
      <w:r>
        <w:t>.</w:t>
      </w:r>
    </w:p>
    <w:p w14:paraId="59624D98" w14:textId="223D961F" w:rsidR="00314790" w:rsidRDefault="00314790">
      <w:pPr>
        <w:pStyle w:val="Prrafodelista"/>
        <w:keepNext/>
        <w:numPr>
          <w:ilvl w:val="0"/>
          <w:numId w:val="23"/>
        </w:numPr>
        <w:spacing w:after="0"/>
        <w:ind w:left="567" w:hanging="113"/>
      </w:pPr>
      <w:r>
        <w:t xml:space="preserve">La </w:t>
      </w:r>
      <w:bookmarkStart w:id="79" w:name="_Hlk130298793"/>
      <w:r w:rsidR="003055A2">
        <w:rPr>
          <w:i/>
          <w:iCs/>
          <w:u w:val="single"/>
          <w14:glow w14:rad="38100">
            <w14:srgbClr w14:val="00B050">
              <w14:alpha w14:val="75000"/>
            </w14:srgbClr>
          </w14:glow>
        </w:rPr>
        <w:t>curva I</w:t>
      </w:r>
      <w:r w:rsidRPr="003055A2">
        <w:rPr>
          <w:i/>
          <w:iCs/>
          <w:u w:val="single"/>
          <w14:glow w14:rad="38100">
            <w14:srgbClr w14:val="00B050">
              <w14:alpha w14:val="75000"/>
            </w14:srgbClr>
          </w14:glow>
        </w:rPr>
        <w:t>S dinámica o ampliada con expectativas</w:t>
      </w:r>
      <w:bookmarkEnd w:id="79"/>
      <w:r w:rsidR="003055A2">
        <w:rPr>
          <w:spacing w:val="-1"/>
        </w:rPr>
        <w:t xml:space="preserve"> (</w:t>
      </w:r>
      <w:r w:rsidR="003055A2" w:rsidRPr="001452E2">
        <w:rPr>
          <w:spacing w:val="-1"/>
        </w:rPr>
        <w:t xml:space="preserve">representativa de la demanda agregada), que se obtiene como una log-linealización alrededor del estado estacionario de las reglas de decisión </w:t>
      </w:r>
      <w:r w:rsidR="003055A2" w:rsidRPr="001452E2">
        <w:rPr>
          <w:spacing w:val="-1"/>
        </w:rPr>
        <w:lastRenderedPageBreak/>
        <w:t xml:space="preserve">del agente representativo. En particular, se obtiene de la ecuación de Euler del problema de maximización de utilidad </w:t>
      </w:r>
      <w:proofErr w:type="spellStart"/>
      <w:r w:rsidR="003055A2" w:rsidRPr="001452E2">
        <w:rPr>
          <w:spacing w:val="-1"/>
        </w:rPr>
        <w:t>intertemporal</w:t>
      </w:r>
      <w:proofErr w:type="spellEnd"/>
      <w:r w:rsidR="003055A2" w:rsidRPr="001452E2">
        <w:rPr>
          <w:spacing w:val="-1"/>
        </w:rPr>
        <w:t xml:space="preserve"> de los hogares. Tendrá la siguiente forma:</w:t>
      </w:r>
    </w:p>
    <w:p w14:paraId="2B4796B0" w14:textId="65A94907" w:rsidR="00314790" w:rsidRPr="00E1276F" w:rsidRDefault="00000000" w:rsidP="00314790">
      <w:pPr>
        <w:keepNext/>
        <w:spacing w:after="0"/>
        <w:rPr>
          <w:rFonts w:eastAsiaTheme="minorEastAsia"/>
          <w:i/>
        </w:rPr>
      </w:pPr>
      <m:oMathPara>
        <m:oMath>
          <m:borderBox>
            <m:borderBoxPr>
              <m:ctrlPr>
                <w:rPr>
                  <w:rFonts w:ascii="Cambria Math" w:hAnsi="Cambria Math"/>
                  <w:i/>
                </w:rPr>
              </m:ctrlPr>
            </m:borderBoxPr>
            <m:e>
              <m:sSub>
                <m:sSubPr>
                  <m:ctrlPr>
                    <w:rPr>
                      <w:rFonts w:ascii="Cambria Math" w:hAnsi="Cambria Math"/>
                      <w:i/>
                    </w:rPr>
                  </m:ctrlPr>
                </m:sSubPr>
                <m:e>
                  <m:r>
                    <m:rPr>
                      <m:nor/>
                    </m:rPr>
                    <w:rPr>
                      <w:i/>
                    </w:rPr>
                    <m:t>x</m:t>
                  </m:r>
                </m:e>
                <m:sub>
                  <m:r>
                    <m:rPr>
                      <m:nor/>
                    </m:rPr>
                    <w:rPr>
                      <w:i/>
                    </w:rPr>
                    <m:t>t</m:t>
                  </m:r>
                </m:sub>
              </m:sSub>
              <m:r>
                <w:rPr>
                  <w:rFonts w:ascii="Cambria Math" w:hAnsi="Cambria Math"/>
                </w:rPr>
                <m:t>=-</m:t>
              </m:r>
              <m:f>
                <m:fPr>
                  <m:ctrlPr>
                    <w:rPr>
                      <w:rFonts w:ascii="Cambria Math" w:hAnsi="Cambria Math"/>
                      <w:i/>
                    </w:rPr>
                  </m:ctrlPr>
                </m:fPr>
                <m:num>
                  <m:r>
                    <m:rPr>
                      <m:nor/>
                    </m:rPr>
                    <w:rPr>
                      <w:rFonts w:eastAsiaTheme="minorEastAsia"/>
                      <w:i/>
                      <w:iCs/>
                    </w:rPr>
                    <m:t>1</m:t>
                  </m:r>
                </m:num>
                <m:den>
                  <m:r>
                    <m:rPr>
                      <m:nor/>
                    </m:rPr>
                    <w:rPr>
                      <w:rFonts w:eastAsiaTheme="minorEastAsia"/>
                      <w:i/>
                      <w:iCs/>
                    </w:rPr>
                    <m:t>θ</m:t>
                  </m:r>
                </m:den>
              </m:f>
              <m:r>
                <w:rPr>
                  <w:rFonts w:ascii="Cambria Math" w:hAnsi="Cambria Math"/>
                </w:rPr>
                <m:t>∙</m:t>
              </m:r>
              <m:d>
                <m:dPr>
                  <m:ctrlPr>
                    <w:rPr>
                      <w:rFonts w:ascii="Cambria Math" w:hAnsi="Cambria Math"/>
                      <w:i/>
                    </w:rPr>
                  </m:ctrlPr>
                </m:dPr>
                <m:e>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w:bookmarkStart w:id="80" w:name="_Hlk120535332"/>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w:bookmarkEnd w:id="80"/>
                        </m:e>
                      </m:groupChr>
                    </m:e>
                    <m:lim>
                      <m:eqArr>
                        <m:eqArrPr>
                          <m:ctrlPr>
                            <w:rPr>
                              <w:rFonts w:ascii="Cambria Math" w:hAnsi="Cambria Math"/>
                              <w:i/>
                            </w:rPr>
                          </m:ctrlPr>
                        </m:eqArrPr>
                        <m:e>
                          <m:sSub>
                            <m:sSubPr>
                              <m:ctrlPr>
                                <w:rPr>
                                  <w:rFonts w:ascii="Cambria Math" w:hAnsi="Cambria Math"/>
                                  <w:i/>
                                </w:rPr>
                              </m:ctrlPr>
                            </m:sSubPr>
                            <m:e>
                              <m:r>
                                <m:rPr>
                                  <m:nor/>
                                </m:rPr>
                                <w:rPr>
                                  <w:i/>
                                </w:rPr>
                                <m:t>r</m:t>
                              </m:r>
                            </m:e>
                            <m:sub>
                              <m:r>
                                <m:rPr>
                                  <m:nor/>
                                </m:rPr>
                                <w:rPr>
                                  <w:i/>
                                </w:rPr>
                                <m:t>t</m:t>
                              </m:r>
                            </m:sub>
                          </m:sSub>
                          <m:d>
                            <m:dPr>
                              <m:ctrlPr>
                                <w:rPr>
                                  <w:rFonts w:ascii="Cambria Math" w:hAnsi="Cambria Math"/>
                                  <w:i/>
                                  <w:lang w:val="fr-FR"/>
                                </w:rPr>
                              </m:ctrlPr>
                            </m:dPr>
                            <m:e>
                              <m:r>
                                <m:rPr>
                                  <m:nor/>
                                </m:rPr>
                                <w:rPr>
                                  <w:i/>
                                </w:rPr>
                                <m:t>tipo</m:t>
                              </m:r>
                              <m:r>
                                <m:rPr>
                                  <m:nor/>
                                </m:rPr>
                                <w:rPr>
                                  <w:rFonts w:ascii="Cambria Math"/>
                                  <w:i/>
                                </w:rPr>
                                <m:t xml:space="preserve"> </m:t>
                              </m:r>
                              <m:r>
                                <m:rPr>
                                  <m:nor/>
                                </m:rPr>
                                <w:rPr>
                                  <w:i/>
                                </w:rPr>
                                <m:t>de</m:t>
                              </m:r>
                              <m:r>
                                <m:rPr>
                                  <m:nor/>
                                </m:rPr>
                                <w:rPr>
                                  <w:rFonts w:ascii="Cambria Math"/>
                                  <w:i/>
                                </w:rPr>
                                <m:t xml:space="preserve"> </m:t>
                              </m:r>
                              <m:r>
                                <m:rPr>
                                  <m:nor/>
                                </m:rPr>
                                <w:rPr>
                                  <w:i/>
                                </w:rPr>
                                <m:t>interés</m:t>
                              </m:r>
                              <m:r>
                                <m:rPr>
                                  <m:nor/>
                                </m:rPr>
                                <w:rPr>
                                  <w:rFonts w:ascii="Cambria Math"/>
                                  <w:i/>
                                </w:rPr>
                                <m:t xml:space="preserve"> </m:t>
                              </m:r>
                              <m:r>
                                <m:rPr>
                                  <m:nor/>
                                </m:rPr>
                                <w:rPr>
                                  <w:i/>
                                </w:rPr>
                                <m:t>real</m:t>
                              </m:r>
                            </m:e>
                          </m:d>
                          <m:ctrlPr>
                            <w:rPr>
                              <w:rFonts w:ascii="Cambria Math" w:hAnsi="Cambria Math"/>
                              <w:i/>
                              <w:lang w:val="fr-FR"/>
                            </w:rPr>
                          </m:ctrlPr>
                        </m:e>
                        <m:e>
                          <m:r>
                            <m:rPr>
                              <m:nor/>
                            </m:rPr>
                            <w:rPr>
                              <w:i/>
                            </w:rPr>
                            <m:t>ecuación de Fisher</m:t>
                          </m:r>
                          <m:ctrlPr>
                            <w:rPr>
                              <w:rFonts w:ascii="Cambria Math" w:hAnsi="Cambria Math"/>
                              <w:i/>
                              <w:lang w:val="fr-FR"/>
                            </w:rPr>
                          </m:ctrlPr>
                        </m:e>
                      </m:eqArr>
                    </m:lim>
                  </m:limUpp>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Sup>
                            <m:sSubSupPr>
                              <m:ctrlPr>
                                <w:rPr>
                                  <w:rFonts w:ascii="Cambria Math" w:hAnsi="Cambria Math"/>
                                  <w:i/>
                                </w:rPr>
                              </m:ctrlPr>
                            </m:sSubSupPr>
                            <m:e>
                              <m:r>
                                <m:rPr>
                                  <m:nor/>
                                </m:rPr>
                                <w:rPr>
                                  <w:i/>
                                </w:rPr>
                                <m:t>r</m:t>
                              </m:r>
                            </m:e>
                            <m:sub>
                              <m:r>
                                <m:rPr>
                                  <m:nor/>
                                </m:rPr>
                                <w:rPr>
                                  <w:i/>
                                </w:rPr>
                                <m:t>t</m:t>
                              </m:r>
                            </m:sub>
                            <m:sup>
                              <m:r>
                                <m:rPr>
                                  <m:nor/>
                                </m:rPr>
                                <w:rPr>
                                  <w:i/>
                                </w:rPr>
                                <m:t>n</m:t>
                              </m:r>
                            </m:sup>
                          </m:sSubSup>
                        </m:e>
                      </m:groupChr>
                    </m:e>
                    <m:lim>
                      <m:eqArr>
                        <m:eqArrPr>
                          <m:ctrlPr>
                            <w:rPr>
                              <w:rFonts w:ascii="Cambria Math" w:hAnsi="Cambria Math"/>
                              <w:i/>
                              <w:spacing w:val="-2"/>
                            </w:rPr>
                          </m:ctrlPr>
                        </m:eqArrPr>
                        <m:e>
                          <m:r>
                            <m:rPr>
                              <m:nor/>
                            </m:rPr>
                            <w:rPr>
                              <w:i/>
                              <w:spacing w:val="-2"/>
                            </w:rPr>
                            <m:t>tipo de interés</m:t>
                          </m:r>
                        </m:e>
                        <m:e>
                          <m:r>
                            <m:rPr>
                              <m:nor/>
                            </m:rPr>
                            <w:rPr>
                              <w:i/>
                              <w:spacing w:val="-2"/>
                            </w:rPr>
                            <m:t>natural</m:t>
                          </m:r>
                        </m:e>
                      </m:eqArr>
                    </m:lim>
                  </m:limLow>
                </m:e>
              </m:d>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t+1</m:t>
                      </m:r>
                    </m:sub>
                  </m:sSub>
                </m:e>
              </m:d>
              <m:r>
                <w:rPr>
                  <w:rFonts w:ascii="Cambria Math" w:eastAsiaTheme="minorEastAsia" w:hAnsi="Cambria Math"/>
                </w:rPr>
                <m:t>+</m:t>
              </m:r>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t</m:t>
                  </m:r>
                </m:sub>
              </m:sSub>
            </m:e>
          </m:borderBox>
        </m:oMath>
      </m:oMathPara>
    </w:p>
    <w:p w14:paraId="663B3C05" w14:textId="760CA7FF" w:rsidR="00E1276F" w:rsidRDefault="00E1276F" w:rsidP="00E1276F">
      <w:pPr>
        <w:pStyle w:val="Nivel3SM"/>
        <w:keepNext/>
      </w:pPr>
      <w:r>
        <w:t>Establece que, por el lado de la demanda existe una relación de equilibrio entre el output gap,</w:t>
      </w:r>
      <w:r w:rsidRPr="00E1276F">
        <w:rPr>
          <w:rFonts w:ascii="Cambria Math" w:hAnsi="Cambria Math"/>
          <w:i/>
        </w:rPr>
        <w:t xml:space="preserve"> </w:t>
      </w:r>
      <m:oMath>
        <m:sSub>
          <m:sSubPr>
            <m:ctrlPr>
              <w:rPr>
                <w:rFonts w:ascii="Cambria Math" w:hAnsi="Cambria Math"/>
                <w:i/>
              </w:rPr>
            </m:ctrlPr>
          </m:sSubPr>
          <m:e>
            <m:r>
              <m:rPr>
                <m:nor/>
              </m:rPr>
              <w:rPr>
                <w:i/>
              </w:rPr>
              <m:t>x</m:t>
            </m:r>
          </m:e>
          <m:sub>
            <m:r>
              <m:rPr>
                <m:nor/>
              </m:rPr>
              <w:rPr>
                <w:i/>
              </w:rPr>
              <m:t>t</m:t>
            </m:r>
          </m:sub>
        </m:sSub>
      </m:oMath>
      <w:r>
        <w:t xml:space="preserve"> , y el tipo de interés nominal, </w:t>
      </w:r>
      <m:oMath>
        <m:sSub>
          <m:sSubPr>
            <m:ctrlPr>
              <w:rPr>
                <w:rFonts w:ascii="Cambria Math" w:hAnsi="Cambria Math"/>
                <w:i/>
              </w:rPr>
            </m:ctrlPr>
          </m:sSubPr>
          <m:e>
            <m:r>
              <m:rPr>
                <m:nor/>
              </m:rPr>
              <w:rPr>
                <w:i/>
              </w:rPr>
              <m:t>i</m:t>
            </m:r>
          </m:e>
          <m:sub>
            <m:r>
              <m:rPr>
                <m:nor/>
              </m:rPr>
              <w:rPr>
                <w:i/>
              </w:rPr>
              <m:t>t</m:t>
            </m:r>
          </m:sub>
        </m:sSub>
      </m:oMath>
      <w:r>
        <w:t xml:space="preserve">, condicionada a las expectativas sobre la inflación futura, </w:t>
      </w:r>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oMath>
      <w:r>
        <w:t xml:space="preserve">, y del output gap futuro, </w:t>
      </w:r>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t+1</m:t>
                </m:r>
              </m:sub>
            </m:sSub>
          </m:e>
        </m:d>
      </m:oMath>
      <w:r>
        <w:t>.</w:t>
      </w:r>
    </w:p>
    <w:p w14:paraId="5E95E7AF" w14:textId="11466DFF" w:rsidR="00E1276F" w:rsidRDefault="00E1276F" w:rsidP="00E1276F">
      <w:pPr>
        <w:pStyle w:val="Nivel4"/>
        <w:ind w:left="1474"/>
      </w:pPr>
      <w:r>
        <w:t xml:space="preserve">Se incluyen las </w:t>
      </w:r>
      <w:r w:rsidRPr="00E1276F">
        <w:rPr>
          <w:i/>
          <w:iCs/>
        </w:rPr>
        <w:t>expectativas de output gap futuro</w:t>
      </w:r>
      <w:r>
        <w:t xml:space="preserve">, </w:t>
      </w:r>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rPr>
                  <m:t>x</m:t>
                </m:r>
              </m:e>
              <m:sub>
                <m:r>
                  <m:rPr>
                    <m:nor/>
                  </m:rPr>
                  <w:rPr>
                    <w:i/>
                    <w:iCs/>
                  </w:rPr>
                  <m:t>t+1</m:t>
                </m:r>
              </m:sub>
            </m:sSub>
          </m:e>
        </m:d>
      </m:oMath>
      <w:r>
        <w:t>, para reflejar la suavización de consumo.</w:t>
      </w:r>
    </w:p>
    <w:p w14:paraId="55F68D9A" w14:textId="42A5C057" w:rsidR="00E1276F" w:rsidRPr="00E1276F" w:rsidRDefault="00E1276F" w:rsidP="00E1276F">
      <w:pPr>
        <w:pStyle w:val="Nivel4"/>
        <w:ind w:left="1474"/>
      </w:pPr>
      <w:r>
        <w:t xml:space="preserve">Se incluye el </w:t>
      </w:r>
      <w:r w:rsidRPr="00613C98">
        <w:rPr>
          <w:i/>
          <w:iCs/>
        </w:rPr>
        <w:t>tipo de interés real</w:t>
      </w:r>
      <w:r>
        <w:t xml:space="preserve">, </w:t>
      </w:r>
      <m:oMath>
        <m:sSub>
          <m:sSubPr>
            <m:ctrlPr>
              <w:rPr>
                <w:rFonts w:ascii="Cambria Math" w:hAnsi="Cambria Math"/>
                <w:i/>
              </w:rPr>
            </m:ctrlPr>
          </m:sSubPr>
          <m:e>
            <m:r>
              <m:rPr>
                <m:nor/>
              </m:rPr>
              <w:rPr>
                <w:i/>
              </w:rPr>
              <m:t>r</m:t>
            </m:r>
          </m:e>
          <m:sub>
            <m:r>
              <m:rPr>
                <m:nor/>
              </m:rPr>
              <w:rPr>
                <w:i/>
              </w:rPr>
              <m:t>t</m:t>
            </m:r>
          </m:sub>
        </m:sSub>
        <m:r>
          <w:rPr>
            <w:rFonts w:ascii="Cambria Math" w:hAnsi="Cambria Math"/>
          </w:rPr>
          <m:t>≡</m:t>
        </m:r>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oMath>
      <w:r>
        <w:rPr>
          <w:rFonts w:eastAsiaTheme="minorEastAsia"/>
          <w:iCs/>
        </w:rPr>
        <w:t xml:space="preserve">, para reflejar el hecho de que, si aumenta el tipo de interés real, los hogares pospondrán su consumo (asumiendo que prevalece el efecto sustitución), reduciendo el consumo presente e incrementando su consumo futuro. Cuanto más elevada sea la ESI, </w:t>
      </w:r>
      <m:oMath>
        <m:f>
          <m:fPr>
            <m:type m:val="lin"/>
            <m:ctrlPr>
              <w:rPr>
                <w:rFonts w:ascii="Cambria Math" w:hAnsi="Cambria Math"/>
                <w:i/>
              </w:rPr>
            </m:ctrlPr>
          </m:fPr>
          <m:num>
            <m:r>
              <m:rPr>
                <m:nor/>
              </m:rPr>
              <w:rPr>
                <w:rFonts w:eastAsiaTheme="minorEastAsia"/>
                <w:i/>
                <w:iCs/>
              </w:rPr>
              <m:t>1</m:t>
            </m:r>
          </m:num>
          <m:den>
            <m:r>
              <m:rPr>
                <m:nor/>
              </m:rPr>
              <w:rPr>
                <w:rFonts w:eastAsiaTheme="minorEastAsia"/>
                <w:i/>
                <w:iCs/>
              </w:rPr>
              <m:t>θ</m:t>
            </m:r>
          </m:den>
        </m:f>
      </m:oMath>
      <w:r>
        <w:rPr>
          <w:rFonts w:eastAsiaTheme="minorEastAsia"/>
          <w:iCs/>
        </w:rPr>
        <w:t>, mayor será este efecto, ya que mayor será la tendencia a sustituir entre períodos</w:t>
      </w:r>
      <w:r w:rsidR="00613C98">
        <w:rPr>
          <w:rFonts w:eastAsiaTheme="minorEastAsia"/>
          <w:iCs/>
        </w:rPr>
        <w:t xml:space="preserve"> y, por lo tanto, mayor será la variación del output gap en un determinado período</w:t>
      </w:r>
      <w:r>
        <w:rPr>
          <w:rFonts w:eastAsiaTheme="minorEastAsia"/>
          <w:iCs/>
        </w:rPr>
        <w:t>.</w:t>
      </w:r>
    </w:p>
    <w:p w14:paraId="3157DDB7" w14:textId="7B5FFBD7" w:rsidR="00E1276F" w:rsidRDefault="00613C98" w:rsidP="00E1276F">
      <w:pPr>
        <w:pStyle w:val="Nivel4"/>
        <w:ind w:left="1474"/>
      </w:pPr>
      <w:r>
        <w:t xml:space="preserve">Se incluye el </w:t>
      </w:r>
      <w:r w:rsidRPr="00613C98">
        <w:rPr>
          <w:i/>
          <w:iCs/>
        </w:rPr>
        <w:t xml:space="preserve">tipo de interés </w:t>
      </w:r>
      <w:r>
        <w:rPr>
          <w:i/>
          <w:iCs/>
        </w:rPr>
        <w:t>natural</w:t>
      </w:r>
      <w:r>
        <w:t xml:space="preserve">, </w:t>
      </w:r>
      <m:oMath>
        <m:sSubSup>
          <m:sSubSupPr>
            <m:ctrlPr>
              <w:rPr>
                <w:rFonts w:ascii="Cambria Math" w:hAnsi="Cambria Math"/>
                <w:i/>
              </w:rPr>
            </m:ctrlPr>
          </m:sSubSupPr>
          <m:e>
            <m:r>
              <m:rPr>
                <m:nor/>
              </m:rPr>
              <w:rPr>
                <w:i/>
              </w:rPr>
              <m:t>r</m:t>
            </m:r>
          </m:e>
          <m:sub>
            <m:r>
              <m:rPr>
                <m:nor/>
              </m:rPr>
              <w:rPr>
                <w:i/>
              </w:rPr>
              <m:t>t</m:t>
            </m:r>
          </m:sub>
          <m:sup>
            <m:r>
              <m:rPr>
                <m:nor/>
              </m:rPr>
              <w:rPr>
                <w:i/>
              </w:rPr>
              <m:t>n</m:t>
            </m:r>
          </m:sup>
        </m:sSubSup>
      </m:oMath>
      <w:r>
        <w:t>, que es el tipo de interés que emergería en una economía de mercado en ausencia de rigideces nominales (por tanto, depende de las características estructurales de la economía, p.ej. la impaciencia).</w:t>
      </w:r>
    </w:p>
    <w:p w14:paraId="2C4D6DAE" w14:textId="62FA3C25" w:rsidR="00613C98" w:rsidRPr="0063456A" w:rsidRDefault="00613C98" w:rsidP="00E1276F">
      <w:pPr>
        <w:pStyle w:val="Nivel4"/>
        <w:ind w:left="1474"/>
      </w:pPr>
      <w:r>
        <w:t xml:space="preserve">Finalmente, se incluye un </w:t>
      </w:r>
      <w:r w:rsidRPr="00C92748">
        <w:rPr>
          <w:i/>
          <w:iCs/>
        </w:rPr>
        <w:t>shock de demanda</w:t>
      </w:r>
      <w:r>
        <w:t xml:space="preserve">, </w:t>
      </w:r>
      <m:oMath>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t</m:t>
            </m:r>
          </m:sub>
        </m:sSub>
      </m:oMath>
      <w:r>
        <w:t xml:space="preserve"> (p.ej. un aumento inesperado del gasto público).</w:t>
      </w:r>
    </w:p>
    <w:p w14:paraId="461D0C37" w14:textId="4C666ED1" w:rsidR="00314790" w:rsidRPr="00E1276F" w:rsidRDefault="00314790">
      <w:pPr>
        <w:pStyle w:val="Prrafodelista"/>
        <w:keepNext/>
        <w:numPr>
          <w:ilvl w:val="0"/>
          <w:numId w:val="23"/>
        </w:numPr>
        <w:spacing w:after="0"/>
        <w:ind w:left="567" w:hanging="113"/>
      </w:pPr>
      <w:r w:rsidRPr="00E1276F">
        <w:t xml:space="preserve">La </w:t>
      </w:r>
      <w:bookmarkStart w:id="81" w:name="_Hlk130298863"/>
      <w:r w:rsidRPr="003055A2">
        <w:rPr>
          <w:i/>
          <w:iCs/>
          <w:u w:val="single"/>
          <w14:glow w14:rad="38100">
            <w14:schemeClr w14:val="accent2">
              <w14:alpha w14:val="75000"/>
              <w14:lumMod w14:val="75000"/>
            </w14:schemeClr>
          </w14:glow>
        </w:rPr>
        <w:t>curva de Phillips de la NEK</w:t>
      </w:r>
      <w:bookmarkEnd w:id="81"/>
      <w:r w:rsidR="003055A2">
        <w:t xml:space="preserve"> (representativa de la oferta agregada),</w:t>
      </w:r>
      <w:r w:rsidRPr="00E1276F">
        <w:t xml:space="preserve"> que se obtiene</w:t>
      </w:r>
      <w:r w:rsidR="00E1276F" w:rsidRPr="00E1276F">
        <w:t xml:space="preserve"> </w:t>
      </w:r>
      <w:r w:rsidR="003055A2">
        <w:t xml:space="preserve">log-linealizando alrededor del estado estacionario la solución </w:t>
      </w:r>
      <w:r w:rsidR="00E1276F" w:rsidRPr="00E1276F">
        <w:t xml:space="preserve">del problema de </w:t>
      </w:r>
      <w:r w:rsidR="00E1276F">
        <w:t>optimización de las empresas (s</w:t>
      </w:r>
      <w:r w:rsidR="00E1276F" w:rsidRPr="00E1276F">
        <w:t>e parte de la fijación óptima de precios por parte de las empresas en un contexto de</w:t>
      </w:r>
      <w:r w:rsidR="003055A2">
        <w:t xml:space="preserve"> competencia monopolística </w:t>
      </w:r>
      <w:r w:rsidR="003055A2" w:rsidRPr="00CE7F71">
        <w:rPr>
          <w:i/>
          <w:iCs/>
        </w:rPr>
        <w:t>à la</w:t>
      </w:r>
      <w:r w:rsidR="003055A2">
        <w:t xml:space="preserve"> </w:t>
      </w:r>
      <w:r w:rsidR="003055A2" w:rsidRPr="00CE7F71">
        <w:rPr>
          <w:smallCaps/>
        </w:rPr>
        <w:t>Dixit</w:t>
      </w:r>
      <w:r w:rsidR="003055A2">
        <w:t>-</w:t>
      </w:r>
      <w:r w:rsidR="003055A2" w:rsidRPr="00CE7F71">
        <w:rPr>
          <w:smallCaps/>
        </w:rPr>
        <w:t>Stiglitz</w:t>
      </w:r>
      <w:r w:rsidR="003055A2">
        <w:t xml:space="preserve"> y</w:t>
      </w:r>
      <w:r w:rsidR="00E1276F" w:rsidRPr="00E1276F">
        <w:t xml:space="preserve"> rigideces </w:t>
      </w:r>
      <w:r w:rsidR="00E1276F" w:rsidRPr="003055A2">
        <w:rPr>
          <w:i/>
          <w:iCs/>
        </w:rPr>
        <w:t>à la</w:t>
      </w:r>
      <w:r w:rsidR="00E1276F" w:rsidRPr="00E1276F">
        <w:t xml:space="preserve"> </w:t>
      </w:r>
      <w:r w:rsidR="00E1276F" w:rsidRPr="003055A2">
        <w:rPr>
          <w:smallCaps/>
        </w:rPr>
        <w:t>Calvo</w:t>
      </w:r>
      <w:r w:rsidR="00E1276F">
        <w:t>)</w:t>
      </w:r>
      <w:r w:rsidR="003055A2">
        <w:t>. E</w:t>
      </w:r>
      <w:r w:rsidR="003055A2" w:rsidRPr="00E1276F">
        <w:t xml:space="preserve">s una versión </w:t>
      </w:r>
      <w:r w:rsidR="003055A2" w:rsidRPr="003055A2">
        <w:rPr>
          <w:i/>
          <w:iCs/>
        </w:rPr>
        <w:t>forward-</w:t>
      </w:r>
      <w:proofErr w:type="spellStart"/>
      <w:r w:rsidR="003055A2" w:rsidRPr="003055A2">
        <w:rPr>
          <w:i/>
          <w:iCs/>
        </w:rPr>
        <w:t>looking</w:t>
      </w:r>
      <w:proofErr w:type="spellEnd"/>
      <w:r w:rsidR="003055A2">
        <w:t xml:space="preserve"> de la curva de Phillips tradicional</w:t>
      </w:r>
      <w:r w:rsidR="00E1276F">
        <w:t>:</w:t>
      </w:r>
    </w:p>
    <w:p w14:paraId="636A7444" w14:textId="27CF8371" w:rsidR="00314790" w:rsidRPr="00E1276F" w:rsidRDefault="00000000" w:rsidP="0035722E">
      <w:pPr>
        <w:pStyle w:val="Nivel2SM"/>
        <w:keepNext/>
        <w:numPr>
          <w:ilvl w:val="0"/>
          <w:numId w:val="0"/>
        </w:numPr>
        <w:spacing w:after="0"/>
        <w:ind w:left="567"/>
        <w:rPr>
          <w:rFonts w:eastAsiaTheme="minorEastAsia"/>
          <w:iCs/>
          <w:lang w:val="fr-FR"/>
        </w:rPr>
      </w:pPr>
      <m:oMathPara>
        <m:oMath>
          <m:borderBox>
            <m:borderBoxPr>
              <m:ctrlPr>
                <w:rPr>
                  <w:rFonts w:ascii="Cambria Math" w:eastAsiaTheme="minorEastAsia" w:hAnsi="Cambria Math"/>
                  <w:i/>
                  <w:iCs/>
                </w:rPr>
              </m:ctrlPr>
            </m:borderBox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m:t>
                  </m:r>
                </m:sub>
              </m:sSub>
              <m:r>
                <w:rPr>
                  <w:rFonts w:ascii="Cambria Math" w:eastAsiaTheme="minorEastAsia" w:hAnsi="Cambria Math"/>
                  <w:lang w:val="fr-FR"/>
                </w:rPr>
                <m:t>=</m:t>
              </m:r>
              <m:r>
                <m:rPr>
                  <m:nor/>
                </m:rPr>
                <w:rPr>
                  <w:i/>
                  <w:iCs/>
                </w:rPr>
                <m:t>β</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E</m:t>
                  </m:r>
                </m:e>
                <m:sub>
                  <m:r>
                    <m:rPr>
                      <m:nor/>
                    </m:rPr>
                    <w:rPr>
                      <w:rFonts w:eastAsiaTheme="minorEastAsia"/>
                      <w:i/>
                      <w:iCs/>
                      <w:lang w:val="fr-FR"/>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t+1</m:t>
                      </m:r>
                    </m:sub>
                  </m:sSub>
                </m:e>
              </m:d>
              <m:r>
                <w:rPr>
                  <w:rFonts w:ascii="Cambria Math" w:eastAsiaTheme="minorEastAsia" w:hAnsi="Cambria Math"/>
                  <w:lang w:val="fr-FR"/>
                </w:rPr>
                <m:t>+</m:t>
              </m:r>
              <m:limUpp>
                <m:limUppPr>
                  <m:ctrlPr>
                    <w:rPr>
                      <w:rFonts w:ascii="Cambria Math" w:eastAsiaTheme="minorEastAsia" w:hAnsi="Cambria Math"/>
                      <w:i/>
                      <w:iCs/>
                    </w:rPr>
                  </m:ctrlPr>
                </m:limUppPr>
                <m:e>
                  <m:groupChr>
                    <m:groupChrPr>
                      <m:chr m:val="⏞"/>
                      <m:pos m:val="top"/>
                      <m:vertJc m:val="bot"/>
                      <m:ctrlPr>
                        <w:rPr>
                          <w:rFonts w:ascii="Cambria Math" w:eastAsiaTheme="minorEastAsia" w:hAnsi="Cambria Math"/>
                          <w:i/>
                          <w:iCs/>
                        </w:rPr>
                      </m:ctrlPr>
                    </m:groupChrPr>
                    <m:e>
                      <m:r>
                        <m:rPr>
                          <m:nor/>
                        </m:rPr>
                        <w:rPr>
                          <w:rFonts w:eastAsiaTheme="minorEastAsia"/>
                          <w:i/>
                        </w:rPr>
                        <m:t>δ</m:t>
                      </m:r>
                    </m:e>
                  </m:groupChr>
                </m:e>
                <m:lim>
                  <m:d>
                    <m:dPr>
                      <m:ctrlPr>
                        <w:rPr>
                          <w:rFonts w:ascii="Cambria Math" w:eastAsiaTheme="minorEastAsia" w:hAnsi="Cambria Math"/>
                          <w:i/>
                          <w:iCs/>
                        </w:rPr>
                      </m:ctrlPr>
                    </m:dPr>
                    <m:e>
                      <m:f>
                        <m:fPr>
                          <m:ctrlPr>
                            <w:rPr>
                              <w:rFonts w:ascii="Cambria Math" w:eastAsiaTheme="minorEastAsia" w:hAnsi="Cambria Math"/>
                              <w:i/>
                              <w:iCs/>
                            </w:rPr>
                          </m:ctrlPr>
                        </m:fPr>
                        <m:num>
                          <m:d>
                            <m:dPr>
                              <m:ctrlPr>
                                <w:rPr>
                                  <w:rFonts w:ascii="Cambria Math" w:eastAsiaTheme="minorEastAsia" w:hAnsi="Cambria Math"/>
                                  <w:i/>
                                  <w:iCs/>
                                </w:rPr>
                              </m:ctrlPr>
                            </m:dPr>
                            <m:e>
                              <m:r>
                                <m:rPr>
                                  <m:nor/>
                                </m:rPr>
                                <w:rPr>
                                  <w:rFonts w:eastAsiaTheme="minorEastAsia"/>
                                  <w:i/>
                                  <w:iCs/>
                                  <w:lang w:val="fr-FR"/>
                                </w:rPr>
                                <m:t>1</m:t>
                              </m:r>
                              <m:r>
                                <w:rPr>
                                  <w:rFonts w:ascii="Cambria Math" w:eastAsiaTheme="minorEastAsia" w:hAnsi="Cambria Math"/>
                                  <w:lang w:val="fr-FR"/>
                                </w:rPr>
                                <m:t>-</m:t>
                              </m:r>
                              <m:r>
                                <m:rPr>
                                  <m:nor/>
                                </m:rPr>
                                <w:rPr>
                                  <w:rFonts w:eastAsiaTheme="minorEastAsia"/>
                                  <w:i/>
                                  <w:iCs/>
                                  <w:lang w:val="fr-FR"/>
                                </w:rPr>
                                <m:t>η</m:t>
                              </m:r>
                            </m:e>
                          </m:d>
                          <m:r>
                            <w:rPr>
                              <w:rFonts w:ascii="Cambria Math" w:eastAsiaTheme="minorEastAsia" w:hAnsi="Cambria Math"/>
                              <w:lang w:val="fr-FR"/>
                            </w:rPr>
                            <m:t>∙</m:t>
                          </m:r>
                          <m:d>
                            <m:dPr>
                              <m:ctrlPr>
                                <w:rPr>
                                  <w:rFonts w:ascii="Cambria Math" w:eastAsiaTheme="minorEastAsia" w:hAnsi="Cambria Math"/>
                                  <w:i/>
                                  <w:iCs/>
                                </w:rPr>
                              </m:ctrlPr>
                            </m:dPr>
                            <m:e>
                              <m:r>
                                <m:rPr>
                                  <m:nor/>
                                </m:rPr>
                                <w:rPr>
                                  <w:rFonts w:eastAsiaTheme="minorEastAsia"/>
                                  <w:i/>
                                  <w:iCs/>
                                  <w:lang w:val="fr-FR"/>
                                </w:rPr>
                                <m:t>1</m:t>
                              </m:r>
                              <m:r>
                                <w:rPr>
                                  <w:rFonts w:ascii="Cambria Math" w:eastAsiaTheme="minorEastAsia" w:hAnsi="Cambria Math"/>
                                  <w:lang w:val="fr-FR"/>
                                </w:rPr>
                                <m:t>-</m:t>
                              </m:r>
                              <m:r>
                                <m:rPr>
                                  <m:nor/>
                                </m:rPr>
                                <w:rPr>
                                  <w:rFonts w:eastAsiaTheme="minorEastAsia"/>
                                  <w:i/>
                                  <w:iCs/>
                                </w:rPr>
                                <m:t>β</m:t>
                              </m:r>
                              <m:r>
                                <w:rPr>
                                  <w:rFonts w:ascii="Cambria Math" w:eastAsiaTheme="minorEastAsia" w:hAnsi="Cambria Math"/>
                                  <w:lang w:val="fr-FR"/>
                                </w:rPr>
                                <m:t>∙</m:t>
                              </m:r>
                              <m:r>
                                <m:rPr>
                                  <m:nor/>
                                </m:rPr>
                                <w:rPr>
                                  <w:rFonts w:eastAsiaTheme="minorEastAsia"/>
                                  <w:i/>
                                  <w:iCs/>
                                  <w:lang w:val="fr-FR"/>
                                </w:rPr>
                                <m:t>η</m:t>
                              </m:r>
                            </m:e>
                          </m:d>
                        </m:num>
                        <m:den>
                          <m:r>
                            <m:rPr>
                              <m:nor/>
                            </m:rPr>
                            <w:rPr>
                              <w:rFonts w:eastAsiaTheme="minorEastAsia"/>
                              <w:i/>
                              <w:iCs/>
                              <w:lang w:val="fr-FR"/>
                            </w:rPr>
                            <m:t>η</m:t>
                          </m:r>
                        </m:den>
                      </m:f>
                    </m:e>
                  </m:d>
                </m:lim>
              </m:limUpp>
              <m:r>
                <w:rPr>
                  <w:rFonts w:ascii="Cambria Math" w:eastAsiaTheme="minorEastAsia" w:hAnsi="Cambria Math"/>
                  <w:lang w:val="fr-FR"/>
                </w:rPr>
                <m:t>∙</m:t>
              </m:r>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sSub>
                        <m:sSubPr>
                          <m:ctrlPr>
                            <w:rPr>
                              <w:rFonts w:ascii="Cambria Math" w:eastAsiaTheme="minorEastAsia" w:hAnsi="Cambria Math"/>
                              <w:i/>
                              <w:iCs/>
                            </w:rPr>
                          </m:ctrlPr>
                        </m:sSubPr>
                        <m:e>
                          <m:r>
                            <m:rPr>
                              <m:nor/>
                            </m:rPr>
                            <w:rPr>
                              <w:rFonts w:eastAsiaTheme="minorEastAsia"/>
                              <w:i/>
                              <w:lang w:val="fr-FR"/>
                            </w:rPr>
                            <m:t>x</m:t>
                          </m:r>
                        </m:e>
                        <m:sub>
                          <m:r>
                            <m:rPr>
                              <m:nor/>
                            </m:rPr>
                            <w:rPr>
                              <w:rFonts w:eastAsiaTheme="minorEastAsia"/>
                              <w:i/>
                              <w:iCs/>
                              <w:lang w:val="fr-FR"/>
                            </w:rPr>
                            <m:t>t</m:t>
                          </m:r>
                        </m:sub>
                      </m:sSub>
                    </m:e>
                  </m:groupChr>
                </m:e>
                <m:lim>
                  <m:r>
                    <w:rPr>
                      <w:rFonts w:ascii="Cambria Math" w:eastAsiaTheme="minorEastAsia" w:hAnsi="Cambria Math"/>
                      <w:lang w:val="fr-FR"/>
                    </w:rPr>
                    <m:t>=</m:t>
                  </m:r>
                  <m:r>
                    <m:rPr>
                      <m:nor/>
                    </m:rPr>
                    <w:rPr>
                      <w:i/>
                      <w:lang w:val="fr-FR"/>
                    </w:rPr>
                    <m:t>dcmg</m:t>
                  </m:r>
                  <m:r>
                    <w:rPr>
                      <w:rFonts w:ascii="Cambria Math" w:eastAsiaTheme="minorEastAsia" w:hAnsi="Cambria Math"/>
                      <w:lang w:val="fr-FR"/>
                    </w:rPr>
                    <m:t>=</m:t>
                  </m:r>
                  <m:d>
                    <m:dPr>
                      <m:ctrlPr>
                        <w:rPr>
                          <w:rFonts w:ascii="Cambria Math" w:eastAsiaTheme="minorEastAsia" w:hAnsi="Cambria Math"/>
                          <w:i/>
                          <w:iCs/>
                        </w:rPr>
                      </m:ctrlPr>
                    </m:dPr>
                    <m:e>
                      <m:r>
                        <m:rPr>
                          <m:nor/>
                        </m:rPr>
                        <w:rPr>
                          <w:rFonts w:eastAsiaTheme="minorEastAsia"/>
                          <w:i/>
                        </w:rPr>
                        <m:t>μ</m:t>
                      </m:r>
                      <m:r>
                        <w:rPr>
                          <w:rFonts w:ascii="Cambria Math" w:eastAsiaTheme="minorEastAsia"/>
                          <w:lang w:val="fr-FR"/>
                        </w:rPr>
                        <m:t>+</m:t>
                      </m:r>
                      <m:r>
                        <m:rPr>
                          <m:nor/>
                        </m:rPr>
                        <w:rPr>
                          <w:rFonts w:eastAsiaTheme="minorEastAsia"/>
                          <w:i/>
                          <w:lang w:val="fr-FR"/>
                        </w:rPr>
                        <m:t>CMg</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lang w:val="fr-FR"/>
                            </w:rPr>
                            <m:t>P</m:t>
                          </m:r>
                        </m:e>
                        <m:sub>
                          <m:r>
                            <m:rPr>
                              <m:nor/>
                            </m:rPr>
                            <w:rPr>
                              <w:rFonts w:eastAsiaTheme="minorEastAsia"/>
                              <w:i/>
                              <w:iCs/>
                              <w:lang w:val="fr-FR"/>
                            </w:rPr>
                            <m:t>t</m:t>
                          </m:r>
                        </m:sub>
                      </m:sSub>
                    </m:e>
                  </m:d>
                </m:lim>
              </m:limLow>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e</m:t>
                  </m:r>
                </m:e>
                <m:sub>
                  <m:r>
                    <m:rPr>
                      <m:nor/>
                    </m:rPr>
                    <w:rPr>
                      <w:rFonts w:eastAsiaTheme="minorEastAsia"/>
                      <w:i/>
                      <w:iCs/>
                      <w:lang w:val="fr-FR"/>
                    </w:rPr>
                    <m:t>t</m:t>
                  </m:r>
                </m:sub>
              </m:sSub>
            </m:e>
          </m:borderBox>
        </m:oMath>
      </m:oMathPara>
    </w:p>
    <w:p w14:paraId="431AF125" w14:textId="6CCDB846" w:rsidR="00E1276F" w:rsidRPr="0035722E" w:rsidRDefault="00E1276F" w:rsidP="00613C98">
      <w:pPr>
        <w:pStyle w:val="Nivel3SM"/>
        <w:keepNext/>
        <w:rPr>
          <w:spacing w:val="-5"/>
        </w:rPr>
      </w:pPr>
      <w:r w:rsidRPr="0035722E">
        <w:rPr>
          <w:spacing w:val="-5"/>
        </w:rPr>
        <w:t xml:space="preserve">Relaciona la inflación actual, </w:t>
      </w:r>
      <m:oMath>
        <m:sSub>
          <m:sSubPr>
            <m:ctrlPr>
              <w:rPr>
                <w:rFonts w:ascii="Cambria Math" w:eastAsiaTheme="minorEastAsia" w:hAnsi="Cambria Math"/>
                <w:i/>
                <w:iCs/>
                <w:spacing w:val="-5"/>
              </w:rPr>
            </m:ctrlPr>
          </m:sSubPr>
          <m:e>
            <m:r>
              <m:rPr>
                <m:nor/>
              </m:rPr>
              <w:rPr>
                <w:rFonts w:eastAsiaTheme="minorEastAsia"/>
                <w:i/>
                <w:iCs/>
                <w:spacing w:val="-5"/>
              </w:rPr>
              <m:t>π</m:t>
            </m:r>
          </m:e>
          <m:sub>
            <m:r>
              <m:rPr>
                <m:nor/>
              </m:rPr>
              <w:rPr>
                <w:rFonts w:eastAsiaTheme="minorEastAsia"/>
                <w:i/>
                <w:iCs/>
                <w:spacing w:val="-5"/>
              </w:rPr>
              <m:t>t</m:t>
            </m:r>
          </m:sub>
        </m:sSub>
      </m:oMath>
      <w:r w:rsidRPr="0035722E">
        <w:rPr>
          <w:spacing w:val="-5"/>
        </w:rPr>
        <w:t xml:space="preserve">, </w:t>
      </w:r>
      <w:r w:rsidR="00C92748" w:rsidRPr="0035722E">
        <w:rPr>
          <w:spacing w:val="-5"/>
        </w:rPr>
        <w:t xml:space="preserve">con las expectativas de inflación futura y </w:t>
      </w:r>
      <w:r w:rsidRPr="0035722E">
        <w:rPr>
          <w:spacing w:val="-5"/>
        </w:rPr>
        <w:t xml:space="preserve">con el output gap, </w:t>
      </w:r>
      <m:oMath>
        <m:sSub>
          <m:sSubPr>
            <m:ctrlPr>
              <w:rPr>
                <w:rFonts w:ascii="Cambria Math" w:eastAsiaTheme="minorEastAsia" w:hAnsi="Cambria Math"/>
                <w:i/>
                <w:iCs/>
                <w:spacing w:val="-5"/>
              </w:rPr>
            </m:ctrlPr>
          </m:sSubPr>
          <m:e>
            <m:r>
              <m:rPr>
                <m:nor/>
              </m:rPr>
              <w:rPr>
                <w:rFonts w:eastAsiaTheme="minorEastAsia"/>
                <w:i/>
                <w:spacing w:val="-5"/>
              </w:rPr>
              <m:t>x</m:t>
            </m:r>
          </m:e>
          <m:sub>
            <m:r>
              <m:rPr>
                <m:nor/>
              </m:rPr>
              <w:rPr>
                <w:rFonts w:eastAsiaTheme="minorEastAsia"/>
                <w:i/>
                <w:iCs/>
                <w:spacing w:val="-5"/>
              </w:rPr>
              <m:t>t</m:t>
            </m:r>
          </m:sub>
        </m:sSub>
      </m:oMath>
      <w:r w:rsidR="00C92748" w:rsidRPr="0035722E">
        <w:rPr>
          <w:rFonts w:eastAsiaTheme="minorEastAsia"/>
          <w:iCs/>
          <w:spacing w:val="-5"/>
        </w:rPr>
        <w:t>.</w:t>
      </w:r>
    </w:p>
    <w:p w14:paraId="3BCC0A1C" w14:textId="7DCB9B1F" w:rsidR="00C92748" w:rsidRDefault="00C92748" w:rsidP="00613C98">
      <w:pPr>
        <w:pStyle w:val="Nivel4"/>
        <w:ind w:left="1474"/>
      </w:pPr>
      <w:r>
        <w:t xml:space="preserve">Se incluyen las </w:t>
      </w:r>
      <w:r w:rsidRPr="00C92748">
        <w:rPr>
          <w:i/>
          <w:iCs/>
        </w:rPr>
        <w:t>expectativas de inflación futuras</w:t>
      </w:r>
      <w:r>
        <w:t xml:space="preserve">, </w:t>
      </w:r>
      <m:oMath>
        <m:sSub>
          <m:sSubPr>
            <m:ctrlPr>
              <w:rPr>
                <w:rFonts w:ascii="Cambria Math" w:eastAsiaTheme="minorEastAsia" w:hAnsi="Cambria Math"/>
                <w:i/>
                <w:iCs/>
              </w:rPr>
            </m:ctrlPr>
          </m:sSubPr>
          <m:e>
            <m:r>
              <m:rPr>
                <m:nor/>
              </m:rPr>
              <w:rPr>
                <w:rFonts w:eastAsiaTheme="minorEastAsia"/>
                <w:i/>
                <w:iCs/>
              </w:rPr>
              <m:t>E</m:t>
            </m:r>
          </m:e>
          <m:sub>
            <m:r>
              <m:rPr>
                <m:nor/>
              </m:rPr>
              <w:rPr>
                <w:rFonts w:eastAsiaTheme="minorEastAsia"/>
                <w:i/>
                <w:iCs/>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rPr>
                  <m:t>t+1</m:t>
                </m:r>
              </m:sub>
            </m:sSub>
          </m:e>
        </m:d>
      </m:oMath>
      <w:r>
        <w:rPr>
          <w:rFonts w:eastAsiaTheme="minorEastAsia"/>
          <w:iCs/>
        </w:rPr>
        <w:t xml:space="preserve">, ya que la inflación no depende solamente de las condiciones económicas hoy pero también de las futuras, en concreto de las </w:t>
      </w:r>
      <w:proofErr w:type="gramStart"/>
      <w:r>
        <w:rPr>
          <w:rFonts w:eastAsiaTheme="minorEastAsia"/>
          <w:iCs/>
        </w:rPr>
        <w:t>expectativas futuras</w:t>
      </w:r>
      <w:proofErr w:type="gramEnd"/>
      <w:r>
        <w:rPr>
          <w:rFonts w:eastAsiaTheme="minorEastAsia"/>
          <w:iCs/>
        </w:rPr>
        <w:t xml:space="preserve"> de inflación. Esto se puede entender como que las empresas </w:t>
      </w:r>
      <w:proofErr w:type="spellStart"/>
      <w:r>
        <w:rPr>
          <w:rFonts w:eastAsiaTheme="minorEastAsia"/>
          <w:iCs/>
        </w:rPr>
        <w:t>maximizadoras</w:t>
      </w:r>
      <w:proofErr w:type="spellEnd"/>
      <w:r>
        <w:rPr>
          <w:rFonts w:eastAsiaTheme="minorEastAsia"/>
          <w:iCs/>
        </w:rPr>
        <w:t xml:space="preserve"> en un contexto de rigideces, </w:t>
      </w:r>
      <w:r w:rsidR="00020C89">
        <w:rPr>
          <w:rFonts w:eastAsiaTheme="minorEastAsia"/>
          <w:iCs/>
        </w:rPr>
        <w:t>v</w:t>
      </w:r>
      <w:r>
        <w:rPr>
          <w:rFonts w:eastAsiaTheme="minorEastAsia"/>
          <w:iCs/>
        </w:rPr>
        <w:t>an a tener en cuenta los costes marginales esperados para fijar precios hoy.</w:t>
      </w:r>
      <w:r w:rsidR="00020C89">
        <w:rPr>
          <w:rFonts w:eastAsiaTheme="minorEastAsia"/>
          <w:iCs/>
        </w:rPr>
        <w:t xml:space="preserve"> A menor impaciencia de los consumidores (i.e. mayor tasa de descuento </w:t>
      </w:r>
      <m:oMath>
        <m:r>
          <m:rPr>
            <m:nor/>
          </m:rPr>
          <w:rPr>
            <w:i/>
            <w:iCs/>
          </w:rPr>
          <m:t>β</m:t>
        </m:r>
      </m:oMath>
      <w:r w:rsidR="00020C89">
        <w:rPr>
          <w:rFonts w:eastAsiaTheme="minorEastAsia"/>
          <w:iCs/>
        </w:rPr>
        <w:t xml:space="preserve">), más afectan las </w:t>
      </w:r>
      <w:proofErr w:type="gramStart"/>
      <w:r w:rsidR="00020C89">
        <w:rPr>
          <w:rFonts w:eastAsiaTheme="minorEastAsia"/>
          <w:iCs/>
        </w:rPr>
        <w:t>expectativas futuras</w:t>
      </w:r>
      <w:proofErr w:type="gramEnd"/>
      <w:r w:rsidR="00020C89">
        <w:rPr>
          <w:rFonts w:eastAsiaTheme="minorEastAsia"/>
          <w:iCs/>
        </w:rPr>
        <w:t xml:space="preserve"> de inflación en la inflación presente.</w:t>
      </w:r>
    </w:p>
    <w:p w14:paraId="52EB4853" w14:textId="0F769708" w:rsidR="00E1276F" w:rsidRDefault="00613C98" w:rsidP="00613C98">
      <w:pPr>
        <w:pStyle w:val="Nivel4"/>
        <w:ind w:left="1474"/>
      </w:pPr>
      <w:r>
        <w:t xml:space="preserve">Se incluye el </w:t>
      </w:r>
      <w:r w:rsidRPr="00C92748">
        <w:rPr>
          <w:i/>
          <w:iCs/>
        </w:rPr>
        <w:t>output gap</w:t>
      </w:r>
      <w:r>
        <w:t xml:space="preserve">, </w:t>
      </w:r>
      <m:oMath>
        <m:sSub>
          <m:sSubPr>
            <m:ctrlPr>
              <w:rPr>
                <w:rFonts w:ascii="Cambria Math" w:eastAsiaTheme="minorEastAsia" w:hAnsi="Cambria Math"/>
                <w:i/>
                <w:iCs/>
              </w:rPr>
            </m:ctrlPr>
          </m:sSubPr>
          <m:e>
            <m:r>
              <m:rPr>
                <m:nor/>
              </m:rPr>
              <w:rPr>
                <w:rFonts w:eastAsiaTheme="minorEastAsia"/>
                <w:i/>
              </w:rPr>
              <m:t>x</m:t>
            </m:r>
          </m:e>
          <m:sub>
            <m:r>
              <m:rPr>
                <m:nor/>
              </m:rPr>
              <w:rPr>
                <w:rFonts w:eastAsiaTheme="minorEastAsia"/>
                <w:i/>
                <w:iCs/>
              </w:rPr>
              <m:t>t</m:t>
            </m:r>
          </m:sub>
        </m:sSub>
      </m:oMath>
      <w:r w:rsidR="00C92748">
        <w:t xml:space="preserve">, </w:t>
      </w:r>
      <w:r>
        <w:t xml:space="preserve">ya que cuanto mayor </w:t>
      </w:r>
      <w:r w:rsidR="00C92748">
        <w:t>es el output gap, existirá una mayor competencia para conseguir los factores productivos disponibles y ello tiende a incrementar los costes marginales y los precios.</w:t>
      </w:r>
    </w:p>
    <w:p w14:paraId="538CC461" w14:textId="3078D115" w:rsidR="00C92748" w:rsidRPr="00E1276F" w:rsidRDefault="00C92748" w:rsidP="00613C98">
      <w:pPr>
        <w:pStyle w:val="Nivel4"/>
        <w:ind w:left="1474"/>
      </w:pPr>
      <w:r>
        <w:t xml:space="preserve">Finalmente, se incluyen </w:t>
      </w:r>
      <w:r>
        <w:rPr>
          <w:i/>
          <w:iCs/>
        </w:rPr>
        <w:t>shocks de costes</w:t>
      </w:r>
      <w:r w:rsidR="00CC3AAF">
        <w:t xml:space="preserve">, </w:t>
      </w:r>
      <m:oMath>
        <m:sSub>
          <m:sSubPr>
            <m:ctrlPr>
              <w:rPr>
                <w:rFonts w:ascii="Cambria Math" w:eastAsiaTheme="minorEastAsia" w:hAnsi="Cambria Math"/>
                <w:i/>
                <w:iCs/>
              </w:rPr>
            </m:ctrlPr>
          </m:sSubPr>
          <m:e>
            <m:r>
              <m:rPr>
                <m:nor/>
              </m:rPr>
              <w:rPr>
                <w:rFonts w:eastAsiaTheme="minorEastAsia"/>
                <w:i/>
                <w:iCs/>
              </w:rPr>
              <m:t>e</m:t>
            </m:r>
          </m:e>
          <m:sub>
            <m:r>
              <m:rPr>
                <m:nor/>
              </m:rPr>
              <w:rPr>
                <w:rFonts w:eastAsiaTheme="minorEastAsia"/>
                <w:i/>
                <w:iCs/>
              </w:rPr>
              <m:t>t</m:t>
            </m:r>
          </m:sub>
        </m:sSub>
      </m:oMath>
      <w:r w:rsidR="00CC3AAF">
        <w:t>.</w:t>
      </w:r>
    </w:p>
    <w:p w14:paraId="3271A754" w14:textId="0DBFE220" w:rsidR="00314790" w:rsidRPr="0035722E" w:rsidRDefault="00314790">
      <w:pPr>
        <w:pStyle w:val="Prrafodelista"/>
        <w:keepNext/>
        <w:numPr>
          <w:ilvl w:val="0"/>
          <w:numId w:val="23"/>
        </w:numPr>
        <w:spacing w:after="0"/>
        <w:ind w:left="567" w:hanging="113"/>
        <w:rPr>
          <w:spacing w:val="-4"/>
        </w:rPr>
      </w:pPr>
      <w:r w:rsidRPr="0035722E">
        <w:rPr>
          <w:spacing w:val="-4"/>
        </w:rPr>
        <w:t xml:space="preserve">Como se ha visto, la </w:t>
      </w:r>
      <w:r w:rsidRPr="0035722E">
        <w:rPr>
          <w:i/>
          <w:iCs/>
          <w:spacing w:val="-4"/>
        </w:rPr>
        <w:t>IS dinámica</w:t>
      </w:r>
      <w:r w:rsidRPr="0035722E">
        <w:rPr>
          <w:spacing w:val="-4"/>
        </w:rPr>
        <w:t xml:space="preserve">, determina el output gap en función de la senda de tipos de interés. Por su parte, la </w:t>
      </w:r>
      <w:r w:rsidRPr="0035722E">
        <w:rPr>
          <w:i/>
          <w:iCs/>
          <w:spacing w:val="-4"/>
        </w:rPr>
        <w:t xml:space="preserve">curva de Phillips </w:t>
      </w:r>
      <w:proofErr w:type="spellStart"/>
      <w:r w:rsidRPr="0035722E">
        <w:rPr>
          <w:i/>
          <w:iCs/>
          <w:spacing w:val="-4"/>
        </w:rPr>
        <w:t>neokeynesiana</w:t>
      </w:r>
      <w:proofErr w:type="spellEnd"/>
      <w:r w:rsidRPr="0035722E">
        <w:rPr>
          <w:spacing w:val="-4"/>
        </w:rPr>
        <w:t xml:space="preserve"> determina la inflación dada una senda de output-</w:t>
      </w:r>
      <w:r w:rsidRPr="0035722E">
        <w:rPr>
          <w:spacing w:val="-4"/>
        </w:rPr>
        <w:lastRenderedPageBreak/>
        <w:t xml:space="preserve">gap. Por tanto, Para cerrar el modelo, es necesaria una ecuación que describa la evolución del tipo de interés nominal, es decir una ecuación que describa el </w:t>
      </w:r>
      <w:r w:rsidRPr="0035722E">
        <w:rPr>
          <w:i/>
          <w:iCs/>
          <w:spacing w:val="-4"/>
          <w:u w:val="single"/>
          <w14:glow w14:rad="38100">
            <w14:srgbClr w14:val="CC66FF">
              <w14:alpha w14:val="75294"/>
            </w14:srgbClr>
          </w14:glow>
        </w:rPr>
        <w:t>comportamiento de la política monetaria</w:t>
      </w:r>
      <w:r w:rsidRPr="0035722E">
        <w:rPr>
          <w:spacing w:val="-4"/>
        </w:rPr>
        <w:t>.</w:t>
      </w:r>
    </w:p>
    <w:p w14:paraId="72E79E96" w14:textId="317B5F72" w:rsidR="00314790" w:rsidRDefault="00314790" w:rsidP="00314790">
      <w:pPr>
        <w:pStyle w:val="Nivel3SM"/>
        <w:keepNext/>
      </w:pPr>
      <w:r w:rsidRPr="00DC2CD3">
        <w:t>En el modelo canónico, es habitual el uso de una regla tipo Taylor modificada de la siguiente forma:</w:t>
      </w:r>
    </w:p>
    <w:p w14:paraId="50E7C99B" w14:textId="6CDD2633" w:rsidR="00314790" w:rsidRPr="00E51B66" w:rsidRDefault="00000000" w:rsidP="0035722E">
      <w:pPr>
        <w:spacing w:after="0"/>
        <w:rPr>
          <w:rFonts w:eastAsiaTheme="minorEastAsia"/>
          <w:lang w:val="fr-FR"/>
        </w:rPr>
      </w:pPr>
      <m:oMathPara>
        <m:oMath>
          <m:borderBox>
            <m:borderBoxPr>
              <m:ctrlPr>
                <w:rPr>
                  <w:rFonts w:ascii="Cambria Math" w:hAnsi="Cambria Math"/>
                  <w:i/>
                </w:rPr>
              </m:ctrlPr>
            </m:borderBoxPr>
            <m:e>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r>
                <m:rPr>
                  <m:nor/>
                </m:rPr>
                <w:rPr>
                  <w:i/>
                  <w:iCs/>
                  <w:lang w:val="fr-FR"/>
                </w:rPr>
                <m:t>ν</m:t>
              </m:r>
              <m:r>
                <w:rPr>
                  <w:rFonts w:ascii="Cambria Math" w:hAnsi="Cambria Math"/>
                  <w:lang w:val="fr-FR"/>
                </w:rPr>
                <m:t>∙</m:t>
              </m:r>
              <m:sSub>
                <m:sSubPr>
                  <m:ctrlPr>
                    <w:rPr>
                      <w:rFonts w:ascii="Cambria Math" w:hAnsi="Cambria Math"/>
                      <w:i/>
                    </w:rPr>
                  </m:ctrlPr>
                </m:sSubPr>
                <m:e>
                  <m:r>
                    <m:rPr>
                      <m:nor/>
                    </m:rPr>
                    <w:rPr>
                      <w:i/>
                      <w:lang w:val="fr-FR"/>
                    </w:rPr>
                    <m:t>i</m:t>
                  </m:r>
                </m:e>
                <m:sub>
                  <m:r>
                    <m:rPr>
                      <m:nor/>
                    </m:rPr>
                    <w:rPr>
                      <w:i/>
                      <w:lang w:val="fr-FR"/>
                    </w:rPr>
                    <m:t>t</m:t>
                  </m:r>
                  <m:r>
                    <w:rPr>
                      <w:rFonts w:ascii="Cambria Math" w:hAnsi="Cambria Math"/>
                      <w:lang w:val="fr-FR"/>
                    </w:rPr>
                    <m:t>-</m:t>
                  </m:r>
                  <m:r>
                    <m:rPr>
                      <m:nor/>
                    </m:rPr>
                    <w:rPr>
                      <w:i/>
                      <w:iCs/>
                      <w:lang w:val="fr-FR"/>
                    </w:rPr>
                    <m:t>1</m:t>
                  </m:r>
                </m:sub>
              </m:sSub>
              <m:r>
                <w:rPr>
                  <w:rFonts w:ascii="Cambria Math" w:hAnsi="Cambria Math"/>
                  <w:lang w:val="fr-FR"/>
                </w:rPr>
                <m:t>+</m:t>
              </m:r>
              <m:r>
                <m:rPr>
                  <m:nor/>
                </m:rPr>
                <w:rPr>
                  <w:i/>
                  <w:iCs/>
                  <w:lang w:val="fr-FR"/>
                </w:rPr>
                <m:t>ϕ</m:t>
              </m:r>
              <m:r>
                <w:rPr>
                  <w:rFonts w:ascii="Cambria Math" w:hAnsi="Cambria Math"/>
                  <w:lang w:val="fr-FR"/>
                </w:rPr>
                <m:t>∙</m:t>
              </m:r>
              <m:sSub>
                <m:sSubPr>
                  <m:ctrlPr>
                    <w:rPr>
                      <w:rFonts w:ascii="Cambria Math" w:hAnsi="Cambria Math"/>
                      <w:i/>
                      <w:iCs/>
                    </w:rPr>
                  </m:ctrlPr>
                </m:sSubPr>
                <m:e>
                  <m:r>
                    <m:rPr>
                      <m:nor/>
                    </m:rPr>
                    <w:rPr>
                      <w:i/>
                      <w:iCs/>
                    </w:rPr>
                    <m:t>π</m:t>
                  </m:r>
                </m:e>
                <m:sub>
                  <m:r>
                    <m:rPr>
                      <m:nor/>
                    </m:rPr>
                    <w:rPr>
                      <w:i/>
                      <w:iCs/>
                      <w:lang w:val="fr-FR"/>
                    </w:rPr>
                    <m:t>t</m:t>
                  </m:r>
                </m:sub>
              </m:sSub>
              <m:r>
                <w:rPr>
                  <w:rFonts w:ascii="Cambria Math" w:hAnsi="Cambria Math"/>
                  <w:lang w:val="fr-FR"/>
                </w:rPr>
                <m:t>+</m:t>
              </m:r>
              <m:sSub>
                <m:sSubPr>
                  <m:ctrlPr>
                    <w:rPr>
                      <w:rFonts w:ascii="Cambria Math" w:hAnsi="Cambria Math"/>
                      <w:i/>
                      <w:iCs/>
                    </w:rPr>
                  </m:ctrlPr>
                </m:sSubPr>
                <m:e>
                  <m:r>
                    <m:rPr>
                      <m:nor/>
                    </m:rPr>
                    <w:rPr>
                      <w:i/>
                      <w:iCs/>
                      <w:lang w:val="fr-FR"/>
                    </w:rPr>
                    <m:t>x</m:t>
                  </m:r>
                </m:e>
                <m:sub>
                  <m:r>
                    <m:rPr>
                      <m:nor/>
                    </m:rPr>
                    <w:rPr>
                      <w:i/>
                      <w:iCs/>
                      <w:lang w:val="fr-FR"/>
                    </w:rPr>
                    <m:t>t</m:t>
                  </m:r>
                </m:sub>
              </m:sSub>
              <m:r>
                <w:rPr>
                  <w:rFonts w:ascii="Cambria Math" w:hAnsi="Cambria Math"/>
                  <w:lang w:val="fr-FR"/>
                </w:rPr>
                <m:t>+</m:t>
              </m:r>
              <m:sSub>
                <m:sSubPr>
                  <m:ctrlPr>
                    <w:rPr>
                      <w:rFonts w:ascii="Cambria Math" w:hAnsi="Cambria Math"/>
                      <w:i/>
                    </w:rPr>
                  </m:ctrlPr>
                </m:sSubPr>
                <m:e>
                  <m:r>
                    <m:rPr>
                      <m:nor/>
                    </m:rPr>
                    <w:rPr>
                      <w:i/>
                    </w:rPr>
                    <m:t>ε</m:t>
                  </m:r>
                </m:e>
                <m:sub>
                  <m:r>
                    <m:rPr>
                      <m:nor/>
                    </m:rPr>
                    <w:rPr>
                      <w:i/>
                      <w:lang w:val="fr-FR"/>
                    </w:rPr>
                    <m:t>t</m:t>
                  </m:r>
                </m:sub>
              </m:sSub>
            </m:e>
          </m:borderBox>
        </m:oMath>
      </m:oMathPara>
    </w:p>
    <w:p w14:paraId="77652565" w14:textId="054ED019" w:rsidR="00C92748" w:rsidRDefault="00C92748" w:rsidP="00C92748">
      <w:pPr>
        <w:pStyle w:val="Nivel3SM"/>
        <w:keepNext/>
      </w:pPr>
      <w:r>
        <w:t xml:space="preserve">Relaciona el tipo de interés, </w:t>
      </w:r>
      <m:oMath>
        <m:sSub>
          <m:sSubPr>
            <m:ctrlPr>
              <w:rPr>
                <w:rFonts w:ascii="Cambria Math" w:eastAsiaTheme="minorEastAsia" w:hAnsi="Cambria Math"/>
                <w:i/>
                <w:iCs/>
              </w:rPr>
            </m:ctrlPr>
          </m:sSubPr>
          <m:e>
            <m:r>
              <m:rPr>
                <m:nor/>
              </m:rPr>
              <w:rPr>
                <w:rFonts w:eastAsiaTheme="minorEastAsia"/>
                <w:i/>
                <w:iCs/>
              </w:rPr>
              <m:t>i</m:t>
            </m:r>
          </m:e>
          <m:sub>
            <m:r>
              <m:rPr>
                <m:nor/>
              </m:rPr>
              <w:rPr>
                <w:rFonts w:eastAsiaTheme="minorEastAsia"/>
                <w:i/>
                <w:iCs/>
              </w:rPr>
              <m:t>t</m:t>
            </m:r>
          </m:sub>
        </m:sSub>
      </m:oMath>
      <w:r>
        <w:t xml:space="preserve">, con el tipo de interés pasado, </w:t>
      </w:r>
      <m:oMath>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iCs/>
              </w:rPr>
              <m:t>1</m:t>
            </m:r>
          </m:sub>
        </m:sSub>
      </m:oMath>
      <w:r>
        <w:t xml:space="preserve">, con la inflación, </w:t>
      </w:r>
      <m:oMath>
        <m:sSub>
          <m:sSubPr>
            <m:ctrlPr>
              <w:rPr>
                <w:rFonts w:ascii="Cambria Math" w:hAnsi="Cambria Math"/>
                <w:i/>
                <w:iCs/>
              </w:rPr>
            </m:ctrlPr>
          </m:sSubPr>
          <m:e>
            <m:r>
              <m:rPr>
                <m:nor/>
              </m:rPr>
              <w:rPr>
                <w:i/>
                <w:iCs/>
              </w:rPr>
              <m:t>π</m:t>
            </m:r>
          </m:e>
          <m:sub>
            <m:r>
              <m:rPr>
                <m:nor/>
              </m:rPr>
              <w:rPr>
                <w:i/>
                <w:iCs/>
              </w:rPr>
              <m:t>t</m:t>
            </m:r>
          </m:sub>
        </m:sSub>
      </m:oMath>
      <w:r>
        <w:t xml:space="preserve">, y con el output gap, </w:t>
      </w:r>
      <m:oMath>
        <m:sSub>
          <m:sSubPr>
            <m:ctrlPr>
              <w:rPr>
                <w:rFonts w:ascii="Cambria Math" w:eastAsiaTheme="minorEastAsia" w:hAnsi="Cambria Math"/>
                <w:i/>
                <w:iCs/>
              </w:rPr>
            </m:ctrlPr>
          </m:sSubPr>
          <m:e>
            <m:r>
              <m:rPr>
                <m:nor/>
              </m:rPr>
              <w:rPr>
                <w:rFonts w:eastAsiaTheme="minorEastAsia"/>
                <w:i/>
              </w:rPr>
              <m:t>x</m:t>
            </m:r>
          </m:e>
          <m:sub>
            <m:r>
              <m:rPr>
                <m:nor/>
              </m:rPr>
              <w:rPr>
                <w:rFonts w:eastAsiaTheme="minorEastAsia"/>
                <w:i/>
                <w:iCs/>
              </w:rPr>
              <m:t>t</m:t>
            </m:r>
          </m:sub>
        </m:sSub>
      </m:oMath>
      <w:r>
        <w:rPr>
          <w:rFonts w:eastAsiaTheme="minorEastAsia"/>
          <w:iCs/>
        </w:rPr>
        <w:t>.</w:t>
      </w:r>
    </w:p>
    <w:p w14:paraId="1F96BDD4" w14:textId="77777777" w:rsidR="003055A2" w:rsidRDefault="003055A2" w:rsidP="003055A2">
      <w:pPr>
        <w:pStyle w:val="Nivel4"/>
        <w:ind w:left="1474"/>
      </w:pPr>
      <w:r>
        <w:t xml:space="preserve">Se incluye el </w:t>
      </w:r>
      <w:r w:rsidRPr="00C92748">
        <w:rPr>
          <w:i/>
          <w:iCs/>
        </w:rPr>
        <w:t>tipo de interés pasado</w:t>
      </w:r>
      <w:r>
        <w:t xml:space="preserve">, </w:t>
      </w:r>
      <m:oMath>
        <m:sSub>
          <m:sSubPr>
            <m:ctrlPr>
              <w:rPr>
                <w:rFonts w:ascii="Cambria Math" w:hAnsi="Cambria Math"/>
                <w:i/>
              </w:rPr>
            </m:ctrlPr>
          </m:sSubPr>
          <m:e>
            <m:r>
              <m:rPr>
                <m:nor/>
              </m:rPr>
              <w:rPr>
                <w:i/>
              </w:rPr>
              <m:t>i</m:t>
            </m:r>
          </m:e>
          <m:sub>
            <m:r>
              <m:rPr>
                <m:nor/>
              </m:rPr>
              <w:rPr>
                <w:i/>
              </w:rPr>
              <m:t>t</m:t>
            </m:r>
            <m:r>
              <w:rPr>
                <w:rFonts w:ascii="Cambria Math" w:hAnsi="Cambria Math"/>
              </w:rPr>
              <m:t>-</m:t>
            </m:r>
            <m:r>
              <m:rPr>
                <m:nor/>
              </m:rPr>
              <w:rPr>
                <w:i/>
                <w:iCs/>
              </w:rPr>
              <m:t>1</m:t>
            </m:r>
          </m:sub>
        </m:sSub>
      </m:oMath>
      <w:r>
        <w:t>, con el objeto de capturar el efecto suavización de los tipos de interés que caracteriza el diseño de la política monetaria en la era moderna</w:t>
      </w:r>
      <w:r w:rsidRPr="00CD6D05">
        <w:t xml:space="preserve">. </w:t>
      </w:r>
      <m:oMath>
        <m:r>
          <m:rPr>
            <m:nor/>
          </m:rPr>
          <w:rPr>
            <w:i/>
            <w:iCs/>
            <w:lang w:val="fr-FR"/>
          </w:rPr>
          <m:t>ν</m:t>
        </m:r>
      </m:oMath>
      <w:r w:rsidRPr="00DC2CD3">
        <w:rPr>
          <w:rFonts w:eastAsiaTheme="minorEastAsia"/>
          <w:iCs/>
        </w:rPr>
        <w:t xml:space="preserve"> indica el gr</w:t>
      </w:r>
      <w:r>
        <w:rPr>
          <w:rFonts w:eastAsiaTheme="minorEastAsia"/>
          <w:iCs/>
        </w:rPr>
        <w:t>ado de suavización del tipo de interés.</w:t>
      </w:r>
    </w:p>
    <w:p w14:paraId="74FD1F64" w14:textId="77777777" w:rsidR="003055A2" w:rsidRPr="00C92748" w:rsidRDefault="003055A2" w:rsidP="003055A2">
      <w:pPr>
        <w:pStyle w:val="Nivel4"/>
        <w:ind w:left="1474"/>
      </w:pPr>
      <w:r>
        <w:t xml:space="preserve">Se incluye la </w:t>
      </w:r>
      <w:r w:rsidRPr="00C92748">
        <w:rPr>
          <w:i/>
        </w:rPr>
        <w:t>inflación</w:t>
      </w:r>
      <w:r>
        <w:t xml:space="preserve">, </w:t>
      </w:r>
      <m:oMath>
        <m:sSub>
          <m:sSubPr>
            <m:ctrlPr>
              <w:rPr>
                <w:rFonts w:ascii="Cambria Math" w:hAnsi="Cambria Math"/>
                <w:i/>
                <w:iCs/>
              </w:rPr>
            </m:ctrlPr>
          </m:sSubPr>
          <m:e>
            <m:r>
              <m:rPr>
                <m:nor/>
              </m:rPr>
              <w:rPr>
                <w:i/>
                <w:iCs/>
              </w:rPr>
              <m:t>π</m:t>
            </m:r>
          </m:e>
          <m:sub>
            <m:r>
              <m:rPr>
                <m:nor/>
              </m:rPr>
              <w:rPr>
                <w:i/>
                <w:iCs/>
              </w:rPr>
              <m:t>t</m:t>
            </m:r>
          </m:sub>
        </m:sSub>
      </m:oMath>
      <w:r>
        <w:t xml:space="preserve">, </w:t>
      </w:r>
      <w:r w:rsidRPr="00334E25">
        <w:rPr>
          <w:highlight w:val="yellow"/>
        </w:rPr>
        <w:t>…</w:t>
      </w:r>
      <w:r>
        <w:t xml:space="preserve">. </w:t>
      </w:r>
      <m:oMath>
        <m:r>
          <m:rPr>
            <m:nor/>
          </m:rPr>
          <w:rPr>
            <w:i/>
            <w:iCs/>
            <w:lang w:val="fr-FR"/>
          </w:rPr>
          <m:t>ϕ</m:t>
        </m:r>
      </m:oMath>
      <w:r w:rsidRPr="00DC2CD3">
        <w:rPr>
          <w:rFonts w:eastAsiaTheme="minorEastAsia"/>
          <w:iCs/>
        </w:rPr>
        <w:t xml:space="preserve"> </w:t>
      </w:r>
      <w:r>
        <w:rPr>
          <w:rFonts w:eastAsiaTheme="minorEastAsia"/>
          <w:iCs/>
        </w:rPr>
        <w:t>es el peso relativo que le asigna el banco central al gap de la inflación</w:t>
      </w:r>
      <w:r>
        <w:rPr>
          <w:rStyle w:val="Refdenotaalpie"/>
          <w:rFonts w:eastAsiaTheme="minorEastAsia"/>
          <w:iCs/>
        </w:rPr>
        <w:footnoteReference w:id="16"/>
      </w:r>
      <w:r>
        <w:rPr>
          <w:rFonts w:eastAsiaTheme="minorEastAsia"/>
          <w:iCs/>
        </w:rPr>
        <w:t>.</w:t>
      </w:r>
    </w:p>
    <w:p w14:paraId="2DAA3411" w14:textId="77777777" w:rsidR="003055A2" w:rsidRDefault="003055A2" w:rsidP="003055A2">
      <w:pPr>
        <w:pStyle w:val="Nivel4"/>
        <w:ind w:left="1474"/>
      </w:pPr>
      <w:r>
        <w:t xml:space="preserve">Se incluye el </w:t>
      </w:r>
      <w:r>
        <w:rPr>
          <w:i/>
          <w:iCs/>
        </w:rPr>
        <w:t>output gap</w:t>
      </w:r>
      <w:r>
        <w:t xml:space="preserve">, </w:t>
      </w:r>
      <m:oMath>
        <m:sSub>
          <m:sSubPr>
            <m:ctrlPr>
              <w:rPr>
                <w:rFonts w:ascii="Cambria Math" w:hAnsi="Cambria Math"/>
                <w:i/>
                <w:iCs/>
              </w:rPr>
            </m:ctrlPr>
          </m:sSubPr>
          <m:e>
            <m:r>
              <m:rPr>
                <m:nor/>
              </m:rPr>
              <w:rPr>
                <w:i/>
                <w:iCs/>
                <w:lang w:val="fr-FR"/>
              </w:rPr>
              <m:t>x</m:t>
            </m:r>
          </m:e>
          <m:sub>
            <m:r>
              <m:rPr>
                <m:nor/>
              </m:rPr>
              <w:rPr>
                <w:i/>
                <w:iCs/>
                <w:lang w:val="fr-FR"/>
              </w:rPr>
              <m:t>t</m:t>
            </m:r>
          </m:sub>
        </m:sSub>
      </m:oMath>
      <w:r>
        <w:t xml:space="preserve">, </w:t>
      </w:r>
      <w:r w:rsidRPr="00334E25">
        <w:rPr>
          <w:highlight w:val="yellow"/>
        </w:rPr>
        <w:t>…</w:t>
      </w:r>
    </w:p>
    <w:p w14:paraId="759C4A03" w14:textId="77777777" w:rsidR="003055A2" w:rsidRPr="00334E25" w:rsidRDefault="003055A2" w:rsidP="003055A2">
      <w:pPr>
        <w:pStyle w:val="Nivel4"/>
        <w:ind w:left="1474"/>
      </w:pPr>
      <w:r>
        <w:t xml:space="preserve">Finalmente, se incluye un </w:t>
      </w:r>
      <w:r>
        <w:rPr>
          <w:i/>
          <w:iCs/>
        </w:rPr>
        <w:t>shock de política monetaria</w:t>
      </w:r>
      <w:r>
        <w:t xml:space="preserve">, </w:t>
      </w:r>
      <m:oMath>
        <m:sSub>
          <m:sSubPr>
            <m:ctrlPr>
              <w:rPr>
                <w:rFonts w:ascii="Cambria Math" w:hAnsi="Cambria Math"/>
                <w:i/>
              </w:rPr>
            </m:ctrlPr>
          </m:sSubPr>
          <m:e>
            <m:r>
              <m:rPr>
                <m:nor/>
              </m:rPr>
              <w:rPr>
                <w:i/>
              </w:rPr>
              <m:t>ε</m:t>
            </m:r>
          </m:e>
          <m:sub>
            <m:r>
              <m:rPr>
                <m:nor/>
              </m:rPr>
              <w:rPr>
                <w:i/>
              </w:rPr>
              <m:t>t</m:t>
            </m:r>
          </m:sub>
        </m:sSub>
      </m:oMath>
      <w:r>
        <w:t xml:space="preserve">, </w:t>
      </w:r>
      <w:r>
        <w:rPr>
          <w:rFonts w:eastAsiaTheme="minorEastAsia"/>
        </w:rPr>
        <w:t>que puede ser definido como cambios en la política monetaria que no son el resultado de respuestas lógicas de la autoridad monetaria en respuesta a movimientos de otras variables.</w:t>
      </w:r>
    </w:p>
    <w:p w14:paraId="25234617" w14:textId="683A2A44" w:rsidR="00334E25" w:rsidRPr="00C92748" w:rsidRDefault="00334E25" w:rsidP="00334E25">
      <w:pPr>
        <w:pStyle w:val="Nivel3SM"/>
      </w:pPr>
      <w:r w:rsidRPr="00334E25">
        <w:t>La política monetaria se realiza siguiendo la regla de Taylor modificada para estabilizar el output gap y para ello busca que los tipos de interés reales sean iguales que los naturales. Ello implica que, por ejemplo, la política monetaria debe reaccionar ante diversos shocks (como shocks de costes</w:t>
      </w:r>
      <w:r>
        <w:t xml:space="preserve"> o de demanda</w:t>
      </w:r>
      <w:r w:rsidRPr="00334E25">
        <w:t>).</w:t>
      </w:r>
    </w:p>
    <w:p w14:paraId="540468E8" w14:textId="2748FDEF" w:rsidR="00314790" w:rsidRDefault="00314790" w:rsidP="00314790">
      <w:pPr>
        <w:pStyle w:val="Ttuloimagen"/>
        <w:rPr>
          <w:i/>
          <w:iCs/>
          <w:smallCaps w:val="0"/>
        </w:rPr>
      </w:pPr>
      <w:r>
        <w:t>Imagen</w:t>
      </w:r>
      <w:r w:rsidR="00417A95">
        <w:t> </w:t>
      </w:r>
      <w:r>
        <w:fldChar w:fldCharType="begin"/>
      </w:r>
      <w:r>
        <w:instrText xml:space="preserve"> SEQ Ilustración \* ARABIC </w:instrText>
      </w:r>
      <w:r>
        <w:fldChar w:fldCharType="separate"/>
      </w:r>
      <w:r w:rsidR="003F54C7">
        <w:t>2</w:t>
      </w:r>
      <w:r>
        <w:fldChar w:fldCharType="end"/>
      </w:r>
      <w:r>
        <w:rPr>
          <w:smallCaps w:val="0"/>
        </w:rPr>
        <w:t xml:space="preserve">.– </w:t>
      </w:r>
      <w:r>
        <w:rPr>
          <w:i/>
          <w:iCs/>
          <w:smallCaps w:val="0"/>
        </w:rPr>
        <w:t>La regla de política monetaria para cerrar el modelo</w:t>
      </w:r>
    </w:p>
    <w:p w14:paraId="48397555" w14:textId="5EAAFA1A" w:rsidR="00314790" w:rsidRDefault="008C05DD" w:rsidP="00314790">
      <w:pPr>
        <w:pStyle w:val="Imagen"/>
      </w:pPr>
      <w:r w:rsidRPr="008C05DD">
        <w:drawing>
          <wp:inline distT="0" distB="0" distL="0" distR="0" wp14:anchorId="60499D0C" wp14:editId="0C1C763C">
            <wp:extent cx="3841256" cy="1800000"/>
            <wp:effectExtent l="0" t="0" r="6985" b="0"/>
            <wp:docPr id="78939143"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39143" name="Imagen 1" descr="Diagrama&#10;&#10;Descripción generada automáticamente"/>
                    <pic:cNvPicPr/>
                  </pic:nvPicPr>
                  <pic:blipFill rotWithShape="1">
                    <a:blip r:embed="rId14"/>
                    <a:srcRect t="3502" b="13192"/>
                    <a:stretch/>
                  </pic:blipFill>
                  <pic:spPr bwMode="auto">
                    <a:xfrm>
                      <a:off x="0" y="0"/>
                      <a:ext cx="3841256" cy="1800000"/>
                    </a:xfrm>
                    <a:prstGeom prst="rect">
                      <a:avLst/>
                    </a:prstGeom>
                    <a:ln>
                      <a:noFill/>
                    </a:ln>
                    <a:extLst>
                      <a:ext uri="{53640926-AAD7-44D8-BBD7-CCE9431645EC}">
                        <a14:shadowObscured xmlns:a14="http://schemas.microsoft.com/office/drawing/2010/main"/>
                      </a:ext>
                    </a:extLst>
                  </pic:spPr>
                </pic:pic>
              </a:graphicData>
            </a:graphic>
          </wp:inline>
        </w:drawing>
      </w:r>
    </w:p>
    <w:p w14:paraId="5F570AAE" w14:textId="77777777" w:rsidR="00314790" w:rsidRPr="008F0EB4" w:rsidRDefault="00314790" w:rsidP="00314790">
      <w:pPr>
        <w:pStyle w:val="PiedeImagen"/>
        <w:rPr>
          <w:i w:val="0"/>
          <w:iCs/>
        </w:rPr>
      </w:pPr>
      <w:r>
        <w:t>Fuente</w:t>
      </w:r>
      <w:r>
        <w:rPr>
          <w:i w:val="0"/>
          <w:iCs/>
        </w:rPr>
        <w:t>: Elaboración propia</w:t>
      </w:r>
    </w:p>
    <w:p w14:paraId="75F7A510" w14:textId="3786D57E" w:rsidR="00E229E6" w:rsidRDefault="00E229E6" w:rsidP="00E229E6">
      <w:pPr>
        <w:pStyle w:val="Ttulo3"/>
      </w:pPr>
      <w:bookmarkStart w:id="82" w:name="_Hlk120863087"/>
      <w:bookmarkStart w:id="83" w:name="_Toc174195988"/>
      <w:r w:rsidRPr="000257C7">
        <w:t>Implicaciones</w:t>
      </w:r>
      <w:bookmarkEnd w:id="83"/>
    </w:p>
    <w:p w14:paraId="61AF88F8" w14:textId="77777777" w:rsidR="00EB45D5" w:rsidRDefault="00EB45D5" w:rsidP="00417A95">
      <w:pPr>
        <w:pStyle w:val="Ttulo6"/>
        <w:spacing w:before="0"/>
      </w:pPr>
      <w:bookmarkStart w:id="84" w:name="_Ref120808909"/>
      <w:bookmarkStart w:id="85" w:name="_Ref120808913"/>
      <w:bookmarkStart w:id="86" w:name="_Toc174195989"/>
      <w:bookmarkEnd w:id="76"/>
      <w:r w:rsidRPr="00E229E6">
        <w:t>Efectos de la política monetaria</w:t>
      </w:r>
      <w:bookmarkEnd w:id="84"/>
      <w:bookmarkEnd w:id="85"/>
      <w:bookmarkEnd w:id="86"/>
    </w:p>
    <w:p w14:paraId="2ECA762C" w14:textId="77777777" w:rsidR="00EB45D5" w:rsidRDefault="00EB45D5" w:rsidP="00417A95">
      <w:pPr>
        <w:pStyle w:val="Nivel1SM"/>
        <w:keepNext/>
        <w:spacing w:before="0" w:after="0"/>
      </w:pPr>
      <w:r>
        <w:t xml:space="preserve">Ante un </w:t>
      </w:r>
      <w:r w:rsidRPr="00047C32">
        <w:rPr>
          <w:b/>
          <w:bCs/>
        </w:rPr>
        <w:t>aumento en los tipos de interés nominales</w:t>
      </w:r>
      <w:r>
        <w:t>,</w:t>
      </w:r>
    </w:p>
    <w:p w14:paraId="28244FE6" w14:textId="77777777" w:rsidR="00EB45D5" w:rsidRPr="00334E25" w:rsidRDefault="00EB45D5" w:rsidP="00EB45D5">
      <w:pPr>
        <w:pStyle w:val="Nivel2SM"/>
      </w:pPr>
      <w:r>
        <w:t xml:space="preserve">El tipo de interés real será mayor, por lo que a través de la </w:t>
      </w:r>
      <w:r>
        <w:rPr>
          <w:i/>
          <w:iCs/>
        </w:rPr>
        <w:t>IS dinámica</w:t>
      </w:r>
      <w:r>
        <w:t xml:space="preserve">, los hogares posponen sus decisiones de consumo al siguiente período y el output gap se reduce. Cuanto más elevada </w:t>
      </w:r>
      <w:r>
        <w:lastRenderedPageBreak/>
        <w:t xml:space="preserve">sea la ESI, </w:t>
      </w:r>
      <m:oMath>
        <m:r>
          <m:rPr>
            <m:nor/>
          </m:rPr>
          <w:rPr>
            <w:i/>
          </w:rPr>
          <m:t>σ</m:t>
        </m:r>
      </m:oMath>
      <w:r>
        <w:t>, mayor será la tendencia a sustituir entre períodos y la variación del output gap en un determinado período.</w:t>
      </w:r>
    </w:p>
    <w:p w14:paraId="141A0333" w14:textId="77777777" w:rsidR="00EB45D5" w:rsidRDefault="00EB45D5" w:rsidP="00A652EB">
      <w:pPr>
        <w:pStyle w:val="Nivel2SM"/>
        <w:spacing w:after="0"/>
      </w:pPr>
      <w:r>
        <w:t xml:space="preserve">La caída del output gap lleva a través de la </w:t>
      </w:r>
      <w:r w:rsidRPr="00D50A12">
        <w:rPr>
          <w:i/>
          <w:iCs/>
        </w:rPr>
        <w:t>curva de Phillips</w:t>
      </w:r>
      <w:r>
        <w:t xml:space="preserve"> a una caída de los costes marginales y a una caída de la inflación.</w:t>
      </w:r>
    </w:p>
    <w:p w14:paraId="271540B4" w14:textId="4E22D7F9" w:rsidR="00A652EB" w:rsidRDefault="00EB45D5" w:rsidP="00A652EB">
      <w:pPr>
        <w:pStyle w:val="Nivel3SM"/>
      </w:pPr>
      <w:r w:rsidRPr="00D50A12">
        <w:t>Si los agentes esperan que dicho shock s</w:t>
      </w:r>
      <w:r w:rsidR="0035722E">
        <w:t>ó</w:t>
      </w:r>
      <w:r w:rsidRPr="00D50A12">
        <w:t>lo dure un período los efectos durarán asimismo un período.</w:t>
      </w:r>
    </w:p>
    <w:p w14:paraId="44F96A6F" w14:textId="09AF59D0" w:rsidR="00EB45D5" w:rsidRDefault="00EB45D5" w:rsidP="00A652EB">
      <w:pPr>
        <w:pStyle w:val="Nivel3SM"/>
      </w:pPr>
      <w:r w:rsidRPr="00D50A12">
        <w:t>Si, por el contrario se espera que la desviación continúe en el siguiente período, eso potenciará los efectos contractivos a través de los términos de expectativas presentes en ambas ecuaciones.</w:t>
      </w:r>
    </w:p>
    <w:p w14:paraId="4E691240" w14:textId="38236546" w:rsidR="00EB45D5" w:rsidRDefault="00EB45D5" w:rsidP="00EB45D5">
      <w:pPr>
        <w:pStyle w:val="Nivel1SM"/>
        <w:rPr>
          <w:spacing w:val="-1"/>
        </w:rPr>
      </w:pPr>
      <w:r>
        <w:rPr>
          <w:spacing w:val="-1"/>
        </w:rPr>
        <w:t>Lo contrario ocurriría ante una caída de los tipos de interés nominales.</w:t>
      </w:r>
    </w:p>
    <w:p w14:paraId="0E6BA3CE" w14:textId="2DE3D609" w:rsidR="00E229E6" w:rsidRDefault="00E229E6" w:rsidP="00E229E6">
      <w:pPr>
        <w:pStyle w:val="Ttulo6"/>
      </w:pPr>
      <w:bookmarkStart w:id="87" w:name="_Toc174195990"/>
      <w:r w:rsidRPr="00334E25">
        <w:t xml:space="preserve">Divina </w:t>
      </w:r>
      <w:r w:rsidRPr="000257C7">
        <w:t>coincidencia</w:t>
      </w:r>
      <w:bookmarkEnd w:id="87"/>
    </w:p>
    <w:p w14:paraId="6D9EDF87" w14:textId="77777777" w:rsidR="00EB45D5" w:rsidRDefault="00EB45D5" w:rsidP="00417A95">
      <w:pPr>
        <w:pStyle w:val="Nivel1SM"/>
        <w:keepNext/>
        <w:spacing w:before="0" w:after="0"/>
      </w:pPr>
      <w:r w:rsidRPr="00566694">
        <w:rPr>
          <w:spacing w:val="2"/>
        </w:rPr>
        <w:t>¿Qué efectos sobre el output gap tiene una política monetaria que persiga estabilizar la inflación?</w:t>
      </w:r>
      <w:r>
        <w:t xml:space="preserve"> La </w:t>
      </w:r>
      <w:r w:rsidRPr="00CB6B7A">
        <w:rPr>
          <w:i/>
          <w:iCs/>
        </w:rPr>
        <w:t>“Divina coincidencia”</w:t>
      </w:r>
      <w:r>
        <w:t xml:space="preserve"> (hallada por </w:t>
      </w:r>
      <w:proofErr w:type="spellStart"/>
      <w:r>
        <w:rPr>
          <w:smallCaps/>
        </w:rPr>
        <w:t>Rotemberg</w:t>
      </w:r>
      <w:proofErr w:type="spellEnd"/>
      <w:r>
        <w:t xml:space="preserve"> y </w:t>
      </w:r>
      <w:r>
        <w:rPr>
          <w:smallCaps/>
        </w:rPr>
        <w:t>Woodford</w:t>
      </w:r>
      <w:r>
        <w:t xml:space="preserve"> (2005), pese a que el </w:t>
      </w:r>
      <w:r w:rsidRPr="0099038A">
        <w:t xml:space="preserve">término </w:t>
      </w:r>
      <w:r>
        <w:t xml:space="preserve">fue </w:t>
      </w:r>
      <w:r w:rsidRPr="0099038A">
        <w:t>acuñado por</w:t>
      </w:r>
      <w:r>
        <w:rPr>
          <w:smallCaps/>
        </w:rPr>
        <w:t xml:space="preserve"> Blanchard</w:t>
      </w:r>
      <w:r>
        <w:t xml:space="preserve"> y </w:t>
      </w:r>
      <w:r>
        <w:rPr>
          <w:smallCaps/>
        </w:rPr>
        <w:t>Galí</w:t>
      </w:r>
      <w:r>
        <w:t xml:space="preserve"> (2005)) supone que de acuerdo con el modelo canónico de la NEK, bajo ciertas condiciones y en ausencia de imperfecciones reales relevantes, los bancos centrales pueden usar la política monetaria para estabilizar simultáneamente inflación y actividad, sin conflicto entre estos dos objetivos, fijando el tipo de interés de modo que replique la evolución del tipo de interés natural.</w:t>
      </w:r>
    </w:p>
    <w:p w14:paraId="02F23555" w14:textId="77777777" w:rsidR="00EB45D5" w:rsidRDefault="00EB45D5" w:rsidP="00EB45D5">
      <w:pPr>
        <w:pStyle w:val="Nivel2SM"/>
        <w:keepNext/>
        <w:spacing w:after="0"/>
      </w:pPr>
      <w:r>
        <w:t>Esto supone que los bancos centrales tienen que centrarse únicamente en el objetivo de inflación y conseguirán simultáneamente estabilizar la actividad.</w:t>
      </w:r>
    </w:p>
    <w:p w14:paraId="20F4B7F3" w14:textId="3037206F" w:rsidR="00EB45D5" w:rsidRDefault="00EB45D5" w:rsidP="00EB45D5">
      <w:pPr>
        <w:pStyle w:val="Nivel3SM"/>
        <w:keepNext/>
      </w:pPr>
      <w:r>
        <w:t>En este sentido, la política monetaria no debería modificar el tipo de interés nominal hasta niveles en los que llegara a ser inconsistente con los acontecimientos reales de la economía</w:t>
      </w:r>
      <w:r w:rsidR="0035722E">
        <w:rPr>
          <w:rStyle w:val="Refdenotaalpie"/>
        </w:rPr>
        <w:footnoteReference w:id="17"/>
      </w:r>
      <w:r w:rsidR="0035722E" w:rsidRPr="00C96FF0">
        <w:rPr>
          <w:vertAlign w:val="superscript"/>
        </w:rPr>
        <w:t>,</w:t>
      </w:r>
      <w:r w:rsidR="0035722E">
        <w:rPr>
          <w:rStyle w:val="Refdenotaalpie"/>
        </w:rPr>
        <w:footnoteReference w:id="18"/>
      </w:r>
      <w:r>
        <w:t>.</w:t>
      </w:r>
    </w:p>
    <w:p w14:paraId="6741B65A" w14:textId="77777777" w:rsidR="00EB45D5" w:rsidRDefault="00EB45D5" w:rsidP="00EB45D5">
      <w:pPr>
        <w:pStyle w:val="Nivel4"/>
        <w:ind w:left="1474"/>
      </w:pPr>
      <w:r>
        <w:t>En un mundo de precios flexibles, las empresas no tendrían dificultad en cambiar los precios, de tal modo, que todos los agentes estarían sobre sus curvas deseadas de demanda y oferta.</w:t>
      </w:r>
    </w:p>
    <w:p w14:paraId="5EFD79B4" w14:textId="77777777" w:rsidR="00EB45D5" w:rsidRPr="00142E38" w:rsidRDefault="00EB45D5" w:rsidP="00EB45D5">
      <w:pPr>
        <w:pStyle w:val="Nivel4"/>
        <w:keepNext/>
        <w:ind w:left="1474"/>
        <w:rPr>
          <w:spacing w:val="-3"/>
        </w:rPr>
      </w:pPr>
      <w:r w:rsidRPr="00142E38">
        <w:rPr>
          <w:spacing w:val="-3"/>
        </w:rPr>
        <w:t>Si hay cierto grado de rigidez en los precios pero el banco central fija su tipo de interés para que la inflación sea cero, entonces la rigidez de precios no causa daño en agregado.</w:t>
      </w:r>
    </w:p>
    <w:p w14:paraId="3D32D485" w14:textId="77777777" w:rsidR="00EB45D5" w:rsidRDefault="00EB45D5" w:rsidP="00EB45D5">
      <w:pPr>
        <w:pStyle w:val="Nivel5"/>
        <w:ind w:left="1871"/>
      </w:pPr>
      <w:r>
        <w:t>En un mundo de inflación cero, todavía algunas empresas desearían aumentar sus precios, mientras que otras desearían reducirlo, y el ajuste costoso en precios implicaría que algunas empresas terminarían produciendo más de lo deseado y otras menos de lo deseado.</w:t>
      </w:r>
    </w:p>
    <w:p w14:paraId="620FBBE5" w14:textId="77BE5018" w:rsidR="00EB45D5" w:rsidRDefault="00EB45D5" w:rsidP="00EB45D5">
      <w:pPr>
        <w:pStyle w:val="Nivel5"/>
        <w:ind w:left="1871"/>
      </w:pPr>
      <w:r>
        <w:t>Sin embargo, el output gap agregado terminaría siendo cero, minimizando el efecto de la fricción.</w:t>
      </w:r>
    </w:p>
    <w:p w14:paraId="1C98B5F8" w14:textId="77777777" w:rsidR="0035722E" w:rsidRPr="00D50A12" w:rsidRDefault="0035722E" w:rsidP="0035722E">
      <w:pPr>
        <w:pStyle w:val="Nivel3SM"/>
      </w:pPr>
      <w:r>
        <w:t xml:space="preserve">En este sentido, el modelo </w:t>
      </w:r>
      <w:proofErr w:type="spellStart"/>
      <w:r>
        <w:t>neokeynesiano</w:t>
      </w:r>
      <w:proofErr w:type="spellEnd"/>
      <w:r>
        <w:t xml:space="preserve"> podría denominarse </w:t>
      </w:r>
      <w:proofErr w:type="spellStart"/>
      <w:r>
        <w:rPr>
          <w:i/>
          <w:iCs/>
        </w:rPr>
        <w:t>neowickselliano</w:t>
      </w:r>
      <w:proofErr w:type="spellEnd"/>
      <w:r w:rsidRPr="00EB45D5">
        <w:t>, debido a que fue el economista sueco</w:t>
      </w:r>
      <w:r>
        <w:t xml:space="preserve"> </w:t>
      </w:r>
      <w:r>
        <w:rPr>
          <w:smallCaps/>
        </w:rPr>
        <w:t xml:space="preserve">Knut </w:t>
      </w:r>
      <w:proofErr w:type="spellStart"/>
      <w:r>
        <w:rPr>
          <w:smallCaps/>
        </w:rPr>
        <w:t>Wicksell</w:t>
      </w:r>
      <w:proofErr w:type="spellEnd"/>
      <w:r>
        <w:t xml:space="preserve"> el primero en proponer que la política monetaria debería ser tal que el tipo de interés real replicará al tipo de interés natural de </w:t>
      </w:r>
      <w:r>
        <w:lastRenderedPageBreak/>
        <w:t>la economía, ya que en caso contrario se abriría el output gap y la economía se recalentaría (si el tipo de interés real es inferior al tipo de interés natural, generando inflación y aumento de la actividad) o se enfriaría (si el tipo de interés real es superior al tipo de interés natural, generando deflación y reducción de la actividad).</w:t>
      </w:r>
    </w:p>
    <w:p w14:paraId="10A82845" w14:textId="77777777" w:rsidR="00EB45D5" w:rsidRPr="002E1FE6" w:rsidRDefault="00EB45D5" w:rsidP="00EB45D5">
      <w:pPr>
        <w:pStyle w:val="Nivel2SM"/>
        <w:keepNext/>
        <w:spacing w:after="0"/>
        <w:rPr>
          <w:spacing w:val="-4"/>
        </w:rPr>
      </w:pPr>
      <w:r w:rsidRPr="002E1FE6">
        <w:rPr>
          <w:spacing w:val="-4"/>
        </w:rPr>
        <w:t xml:space="preserve">Esta implicación de la inexistencia de un </w:t>
      </w:r>
      <w:proofErr w:type="spellStart"/>
      <w:r w:rsidRPr="00142E38">
        <w:rPr>
          <w:i/>
          <w:iCs/>
          <w:spacing w:val="-4"/>
        </w:rPr>
        <w:t>trade</w:t>
      </w:r>
      <w:proofErr w:type="spellEnd"/>
      <w:r w:rsidRPr="00142E38">
        <w:rPr>
          <w:i/>
          <w:iCs/>
          <w:spacing w:val="-4"/>
        </w:rPr>
        <w:t>-off</w:t>
      </w:r>
      <w:r w:rsidRPr="002E1FE6">
        <w:rPr>
          <w:spacing w:val="-4"/>
        </w:rPr>
        <w:t xml:space="preserve"> entre ambas variables es poco probable en la realidad, de modo que se han propuesto distintas soluciones o modificaciones al modelo canónico.</w:t>
      </w:r>
    </w:p>
    <w:p w14:paraId="1E1D9E02" w14:textId="0A5DA9C5" w:rsidR="00EB45D5" w:rsidRPr="000D244D" w:rsidRDefault="00EB45D5" w:rsidP="000D244D">
      <w:pPr>
        <w:pStyle w:val="Nivel3SM"/>
        <w:keepNext/>
        <w:rPr>
          <w:spacing w:val="-3"/>
        </w:rPr>
      </w:pPr>
      <w:bookmarkStart w:id="88" w:name="_Hlk120808067"/>
      <w:r w:rsidRPr="000D244D">
        <w:rPr>
          <w:spacing w:val="-3"/>
        </w:rPr>
        <w:t>Una posibilidad</w:t>
      </w:r>
      <w:r w:rsidR="000D244D" w:rsidRPr="000D244D">
        <w:rPr>
          <w:spacing w:val="-3"/>
        </w:rPr>
        <w:t xml:space="preserve">, propuesta por </w:t>
      </w:r>
      <w:r w:rsidR="000D244D" w:rsidRPr="000D244D">
        <w:rPr>
          <w:smallCaps/>
          <w:spacing w:val="-3"/>
        </w:rPr>
        <w:t>Mankiw</w:t>
      </w:r>
      <w:r w:rsidR="000D244D" w:rsidRPr="000D244D">
        <w:rPr>
          <w:spacing w:val="-3"/>
        </w:rPr>
        <w:t xml:space="preserve">, </w:t>
      </w:r>
      <w:r w:rsidR="000D244D" w:rsidRPr="000D244D">
        <w:rPr>
          <w:smallCaps/>
          <w:spacing w:val="-3"/>
        </w:rPr>
        <w:t>Reis</w:t>
      </w:r>
      <w:r w:rsidR="000D244D" w:rsidRPr="000D244D">
        <w:rPr>
          <w:spacing w:val="-3"/>
        </w:rPr>
        <w:t xml:space="preserve"> y </w:t>
      </w:r>
      <w:r w:rsidR="000D244D" w:rsidRPr="000D244D">
        <w:rPr>
          <w:smallCaps/>
          <w:spacing w:val="-3"/>
        </w:rPr>
        <w:t>Ball</w:t>
      </w:r>
      <w:r w:rsidR="000D244D" w:rsidRPr="000D244D">
        <w:rPr>
          <w:spacing w:val="-3"/>
        </w:rPr>
        <w:t xml:space="preserve">, </w:t>
      </w:r>
      <w:r w:rsidRPr="000D244D">
        <w:rPr>
          <w:spacing w:val="-3"/>
        </w:rPr>
        <w:t xml:space="preserve">es </w:t>
      </w:r>
      <w:r w:rsidRPr="000D244D">
        <w:rPr>
          <w:spacing w:val="-3"/>
          <w:u w:val="single"/>
        </w:rPr>
        <w:t>introducir una perturbación externa (</w:t>
      </w:r>
      <m:oMath>
        <m:sSub>
          <m:sSubPr>
            <m:ctrlPr>
              <w:rPr>
                <w:rFonts w:ascii="Cambria Math" w:hAnsi="Cambria Math"/>
                <w:i/>
                <w:spacing w:val="-3"/>
                <w:u w:val="single"/>
              </w:rPr>
            </m:ctrlPr>
          </m:sSubPr>
          <m:e>
            <m:r>
              <m:rPr>
                <m:nor/>
              </m:rPr>
              <w:rPr>
                <w:i/>
                <w:spacing w:val="-3"/>
                <w:u w:val="single"/>
              </w:rPr>
              <m:t>u</m:t>
            </m:r>
          </m:e>
          <m:sub>
            <m:r>
              <m:rPr>
                <m:nor/>
              </m:rPr>
              <w:rPr>
                <w:i/>
                <w:spacing w:val="-3"/>
                <w:u w:val="single"/>
              </w:rPr>
              <m:t>t</m:t>
            </m:r>
          </m:sub>
        </m:sSub>
      </m:oMath>
      <w:r w:rsidRPr="000D244D">
        <w:rPr>
          <w:spacing w:val="-3"/>
          <w:u w:val="single"/>
        </w:rPr>
        <w:t>) en la curva de Phillips de la NEK</w:t>
      </w:r>
      <w:r w:rsidR="000D244D" w:rsidRPr="000D244D">
        <w:rPr>
          <w:spacing w:val="-3"/>
          <w:u w:val="single"/>
        </w:rPr>
        <w:t xml:space="preserve"> y suponer que pueden ser persistentes y presentar correlación serial</w:t>
      </w:r>
      <w:r w:rsidRPr="000D244D">
        <w:rPr>
          <w:spacing w:val="-3"/>
        </w:rPr>
        <w:t xml:space="preserve">, que puede ser interpretada como variaciones exógenas en impuestos distorsionantes o cambios exógenos en los salarios deseados o en los </w:t>
      </w:r>
      <w:proofErr w:type="spellStart"/>
      <w:r w:rsidRPr="000D244D">
        <w:rPr>
          <w:i/>
          <w:iCs/>
          <w:spacing w:val="-3"/>
        </w:rPr>
        <w:t>mark</w:t>
      </w:r>
      <w:proofErr w:type="spellEnd"/>
      <w:r w:rsidRPr="000D244D">
        <w:rPr>
          <w:i/>
          <w:iCs/>
          <w:spacing w:val="-3"/>
        </w:rPr>
        <w:t>-ups</w:t>
      </w:r>
      <w:r w:rsidRPr="000D244D">
        <w:rPr>
          <w:spacing w:val="-3"/>
        </w:rPr>
        <w:t xml:space="preserve"> de precios.</w:t>
      </w:r>
    </w:p>
    <w:p w14:paraId="71437C61" w14:textId="77777777" w:rsidR="00EB45D5" w:rsidRPr="00142E38" w:rsidRDefault="00000000" w:rsidP="00EB45D5">
      <w:pPr>
        <w:pStyle w:val="Nivel3SM"/>
        <w:numPr>
          <w:ilvl w:val="0"/>
          <w:numId w:val="0"/>
        </w:numPr>
        <w:ind w:left="963"/>
        <w:rPr>
          <w:lang w:val="fr-FR"/>
        </w:rPr>
      </w:pPr>
      <m:oMathPara>
        <m:oMath>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m:t>
              </m:r>
            </m:sub>
          </m:sSub>
          <m:r>
            <w:rPr>
              <w:rFonts w:ascii="Cambria Math" w:eastAsiaTheme="minorEastAsia" w:hAnsi="Cambria Math"/>
              <w:lang w:val="fr-FR"/>
            </w:rPr>
            <m:t>=</m:t>
          </m:r>
          <m:r>
            <m:rPr>
              <m:nor/>
            </m:rPr>
            <w:rPr>
              <w:i/>
              <w:iCs/>
            </w:rPr>
            <m:t>β</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E</m:t>
              </m:r>
            </m:e>
            <m:sub>
              <m:r>
                <m:rPr>
                  <m:nor/>
                </m:rPr>
                <w:rPr>
                  <w:rFonts w:eastAsiaTheme="minorEastAsia"/>
                  <w:i/>
                  <w:iCs/>
                  <w:lang w:val="fr-FR"/>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t+1</m:t>
                  </m:r>
                </m:sub>
              </m:sSub>
            </m:e>
          </m:d>
          <m:r>
            <w:rPr>
              <w:rFonts w:ascii="Cambria Math" w:eastAsiaTheme="minorEastAsia" w:hAnsi="Cambria Math"/>
              <w:lang w:val="fr-FR"/>
            </w:rPr>
            <m:t>+</m:t>
          </m:r>
          <m:r>
            <m:rPr>
              <m:nor/>
            </m:rPr>
            <w:rPr>
              <w:rFonts w:eastAsiaTheme="minorEastAsia"/>
              <w:i/>
            </w:rPr>
            <m:t>δ</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lang w:val="fr-FR"/>
                </w:rPr>
                <m:t>x</m:t>
              </m:r>
            </m:e>
            <m:sub>
              <m:r>
                <m:rPr>
                  <m:nor/>
                </m:rPr>
                <w:rPr>
                  <w:rFonts w:eastAsiaTheme="minorEastAsia"/>
                  <w:i/>
                  <w:iCs/>
                  <w:lang w:val="fr-FR"/>
                </w:rPr>
                <m:t>t</m:t>
              </m:r>
            </m:sub>
          </m:sSub>
          <m:r>
            <w:rPr>
              <w:rFonts w:ascii="Cambria Math"/>
              <w:lang w:val="fr-FR"/>
            </w:rPr>
            <m:t>+</m:t>
          </m:r>
          <m:sSub>
            <m:sSubPr>
              <m:ctrlPr>
                <w:rPr>
                  <w:rFonts w:ascii="Cambria Math" w:eastAsiaTheme="minorEastAsia" w:hAnsi="Cambria Math"/>
                  <w:i/>
                  <w:iCs/>
                  <w:color w:val="C00000"/>
                </w:rPr>
              </m:ctrlPr>
            </m:sSubPr>
            <m:e>
              <m:r>
                <m:rPr>
                  <m:nor/>
                </m:rPr>
                <w:rPr>
                  <w:rFonts w:eastAsiaTheme="minorEastAsia"/>
                  <w:i/>
                  <w:color w:val="C00000"/>
                  <w:lang w:val="fr-FR"/>
                </w:rPr>
                <m:t>u</m:t>
              </m:r>
            </m:e>
            <m:sub>
              <m:r>
                <m:rPr>
                  <m:nor/>
                </m:rPr>
                <w:rPr>
                  <w:rFonts w:eastAsiaTheme="minorEastAsia"/>
                  <w:i/>
                  <w:iCs/>
                  <w:color w:val="C00000"/>
                  <w:lang w:val="fr-FR"/>
                </w:rPr>
                <m:t>t</m:t>
              </m:r>
            </m:sub>
          </m:sSub>
        </m:oMath>
      </m:oMathPara>
    </w:p>
    <w:bookmarkEnd w:id="88"/>
    <w:p w14:paraId="45078448" w14:textId="5BCF0E98" w:rsidR="00EB45D5" w:rsidRPr="00A652EB" w:rsidRDefault="00EB45D5" w:rsidP="00303F72">
      <w:pPr>
        <w:pStyle w:val="Nivel3SM"/>
        <w:keepNext/>
        <w:rPr>
          <w:spacing w:val="-1"/>
        </w:rPr>
      </w:pPr>
      <w:r w:rsidRPr="00A652EB">
        <w:rPr>
          <w:spacing w:val="-1"/>
        </w:rPr>
        <w:t xml:space="preserve">Otra solución fue propuesta por </w:t>
      </w:r>
      <w:r w:rsidRPr="00A652EB">
        <w:rPr>
          <w:smallCaps/>
          <w:spacing w:val="-1"/>
        </w:rPr>
        <w:t>Blanchard</w:t>
      </w:r>
      <w:r w:rsidRPr="00A652EB">
        <w:rPr>
          <w:spacing w:val="-1"/>
        </w:rPr>
        <w:t xml:space="preserve"> y </w:t>
      </w:r>
      <w:r w:rsidRPr="00A652EB">
        <w:rPr>
          <w:smallCaps/>
          <w:spacing w:val="-1"/>
        </w:rPr>
        <w:t>Galí</w:t>
      </w:r>
      <w:r w:rsidRPr="00A652EB">
        <w:rPr>
          <w:spacing w:val="-1"/>
        </w:rPr>
        <w:t xml:space="preserve"> (2005), quienes llegan a la conclusión de que, si el modelo canónico se amplía para </w:t>
      </w:r>
      <w:r w:rsidRPr="00A652EB">
        <w:rPr>
          <w:spacing w:val="-1"/>
          <w:u w:val="single"/>
        </w:rPr>
        <w:t>introducir rigideces reales en los salarios</w:t>
      </w:r>
      <w:r w:rsidR="00A652EB" w:rsidRPr="00A652EB">
        <w:rPr>
          <w:rStyle w:val="Refdenotaalpie"/>
          <w:spacing w:val="-1"/>
        </w:rPr>
        <w:footnoteReference w:id="19"/>
      </w:r>
      <w:r w:rsidRPr="00A652EB">
        <w:rPr>
          <w:spacing w:val="-1"/>
        </w:rPr>
        <w:t xml:space="preserve">, los bancos centrales sí tienen que hacer frente a un </w:t>
      </w:r>
      <w:proofErr w:type="spellStart"/>
      <w:r w:rsidRPr="00A652EB">
        <w:rPr>
          <w:spacing w:val="-1"/>
        </w:rPr>
        <w:t>trade</w:t>
      </w:r>
      <w:proofErr w:type="spellEnd"/>
      <w:r w:rsidRPr="00A652EB">
        <w:rPr>
          <w:spacing w:val="-1"/>
        </w:rPr>
        <w:t>-off entre la inflación y el output gap.</w:t>
      </w:r>
    </w:p>
    <w:p w14:paraId="4C6A9F7D" w14:textId="77777777" w:rsidR="00EB45D5" w:rsidRDefault="00EB45D5" w:rsidP="00EB45D5">
      <w:pPr>
        <w:pStyle w:val="Nivel4"/>
        <w:ind w:left="1474"/>
      </w:pPr>
      <w:r>
        <w:t>De hecho, según los autores este modelo ampliado tiene implicaciones más realistas que el modelo normal.</w:t>
      </w:r>
    </w:p>
    <w:p w14:paraId="31755661" w14:textId="77777777" w:rsidR="00EB45D5" w:rsidRDefault="00EB45D5" w:rsidP="00EB45D5">
      <w:pPr>
        <w:pStyle w:val="Nivel4"/>
        <w:ind w:left="1474"/>
      </w:pPr>
      <w:r>
        <w:t xml:space="preserve">Entre las imperfecciones reales que pueden generar estos </w:t>
      </w:r>
      <w:proofErr w:type="spellStart"/>
      <w:r>
        <w:t>trade-offs</w:t>
      </w:r>
      <w:proofErr w:type="spellEnd"/>
      <w:r>
        <w:t>, los autores se han centrado en el ajuste lento de los salarios reales y, en particular, en el hecho de que, si el salario responde en una relación inferior a uno ante cambios en la tasa marginal de sustitución entre consumo y ocio ante un shock de oferta, el nivel natural de output generará excesivas fluctuaciones en relación a su nivel de eficiencia.</w:t>
      </w:r>
    </w:p>
    <w:p w14:paraId="18920D73" w14:textId="77777777" w:rsidR="0035722E" w:rsidRPr="006045FE" w:rsidRDefault="00EB45D5" w:rsidP="0035722E">
      <w:pPr>
        <w:pStyle w:val="Nivel4"/>
        <w:ind w:left="1474"/>
      </w:pPr>
      <w:r>
        <w:t>De hecho, estabilizar completamente la inflación requeriría cerrar el gap entre el output y su nivel natural, lo que generaría fluctuaciones que reducirían el bienestar. En este contexto, una política monetaria acomodaticia sería lo más adecuado en el corto plazo</w:t>
      </w:r>
      <w:r w:rsidR="0035722E">
        <w:t>, es decir, permitir que la inflación fuera algo superior que la que prevalecería bajo flexibilidad salarial. De lo contrario, el advenimiento de shocks adversos daría lugar a una reducción del output ineficientemente elevada.</w:t>
      </w:r>
    </w:p>
    <w:p w14:paraId="71239E4F" w14:textId="77777777" w:rsidR="00D57E24" w:rsidRPr="00E229E6" w:rsidRDefault="00D57E24" w:rsidP="00D57E24">
      <w:pPr>
        <w:pStyle w:val="Ttulo2"/>
      </w:pPr>
      <w:bookmarkStart w:id="89" w:name="_Toc174195991"/>
      <w:bookmarkEnd w:id="82"/>
      <w:r>
        <w:t>Evidencia empírica</w:t>
      </w:r>
      <w:bookmarkEnd w:id="89"/>
    </w:p>
    <w:p w14:paraId="21F3AF95" w14:textId="77777777" w:rsidR="00696AB1" w:rsidRDefault="00696AB1" w:rsidP="00696AB1">
      <w:pPr>
        <w:pStyle w:val="Ttulo6"/>
        <w:spacing w:before="0"/>
      </w:pPr>
      <w:bookmarkStart w:id="90" w:name="_Toc174195992"/>
      <w:r>
        <w:t>Shocks de política monetaria</w:t>
      </w:r>
      <w:bookmarkEnd w:id="90"/>
    </w:p>
    <w:p w14:paraId="1CA3A5D9" w14:textId="77777777" w:rsidR="00696AB1" w:rsidRPr="00E229E6" w:rsidRDefault="00696AB1" w:rsidP="00696AB1">
      <w:pPr>
        <w:pStyle w:val="Nivel1SM"/>
        <w:keepNext/>
        <w:spacing w:before="0" w:after="0"/>
      </w:pPr>
      <w:r>
        <w:t xml:space="preserve">Los </w:t>
      </w:r>
      <w:r>
        <w:rPr>
          <w:i/>
          <w:iCs/>
        </w:rPr>
        <w:t>shocks de política monetaria</w:t>
      </w:r>
      <w:r>
        <w:t xml:space="preserve">, </w:t>
      </w:r>
      <m:oMath>
        <m:sSub>
          <m:sSubPr>
            <m:ctrlPr>
              <w:rPr>
                <w:rFonts w:ascii="Cambria Math" w:hAnsi="Cambria Math"/>
                <w:i/>
              </w:rPr>
            </m:ctrlPr>
          </m:sSubPr>
          <m:e>
            <m:r>
              <m:rPr>
                <m:nor/>
              </m:rPr>
              <w:rPr>
                <w:i/>
              </w:rPr>
              <m:t>ε</m:t>
            </m:r>
          </m:e>
          <m:sub>
            <m:r>
              <m:rPr>
                <m:nor/>
              </m:rPr>
              <w:rPr>
                <w:i/>
              </w:rPr>
              <m:t>t</m:t>
            </m:r>
          </m:sub>
        </m:sSub>
      </m:oMath>
      <w:r>
        <w:t xml:space="preserve">, </w:t>
      </w:r>
      <w:r>
        <w:rPr>
          <w:rFonts w:eastAsiaTheme="minorEastAsia"/>
        </w:rPr>
        <w:t>pueden ser definidos como cambios en la política monetaria que no son el resultado de respuestas lógicas de la autoridad monetaria en respuesta a movimientos de otras variables. Por tanto, se podrían meter términos de error (como de hecho hemos hecho al definir la ecuación que define el comportamiento de la autoridad monetaria).</w:t>
      </w:r>
    </w:p>
    <w:p w14:paraId="4D1E2A95" w14:textId="77777777" w:rsidR="00696AB1" w:rsidRDefault="00696AB1" w:rsidP="00696AB1">
      <w:pPr>
        <w:pStyle w:val="Nivel2SM"/>
        <w:keepNext/>
        <w:spacing w:after="0"/>
      </w:pPr>
      <w:proofErr w:type="spellStart"/>
      <w:r>
        <w:rPr>
          <w:smallCaps/>
        </w:rPr>
        <w:t>Christiano</w:t>
      </w:r>
      <w:proofErr w:type="spellEnd"/>
      <w:r>
        <w:t xml:space="preserve">, </w:t>
      </w:r>
      <w:proofErr w:type="spellStart"/>
      <w:r>
        <w:rPr>
          <w:smallCaps/>
        </w:rPr>
        <w:t>Eichenbaum</w:t>
      </w:r>
      <w:proofErr w:type="spellEnd"/>
      <w:r>
        <w:t xml:space="preserve"> y </w:t>
      </w:r>
      <w:r>
        <w:rPr>
          <w:smallCaps/>
        </w:rPr>
        <w:t>Evans</w:t>
      </w:r>
      <w:r>
        <w:t>:</w:t>
      </w:r>
    </w:p>
    <w:p w14:paraId="19546B2D" w14:textId="77777777" w:rsidR="00696AB1" w:rsidRDefault="00696AB1" w:rsidP="00696AB1">
      <w:pPr>
        <w:pStyle w:val="Nivel3SM"/>
      </w:pPr>
      <w:r>
        <w:t>Señalan que los shocks de política monetaria son independientes del conjunto de información de la autoridad monetaria.</w:t>
      </w:r>
    </w:p>
    <w:p w14:paraId="56A0570B" w14:textId="77777777" w:rsidR="00696AB1" w:rsidRDefault="00696AB1" w:rsidP="00696AB1">
      <w:pPr>
        <w:pStyle w:val="Nivel3SM"/>
        <w:keepNext/>
      </w:pPr>
      <w:r>
        <w:t xml:space="preserve">Posteriormente, evalúan empíricamente las reacciones de variables endógenas a estos shocks de política monetaria. Para ello adoptaron una </w:t>
      </w:r>
      <w:r w:rsidRPr="000257C7">
        <w:rPr>
          <w:i/>
          <w:iCs/>
          <w:u w:val="single"/>
        </w:rPr>
        <w:t>metodología de VAR estructurales</w:t>
      </w:r>
      <w:r>
        <w:t>, imponiendo relaciones interdependientes siguiendo la teoría económica. Emplearon funciones de impulso-respuesta. En el caso de un shock de política monetaria contractiva, llegaron a la siguiente conclusión:</w:t>
      </w:r>
    </w:p>
    <w:p w14:paraId="60381597" w14:textId="77777777" w:rsidR="00696AB1" w:rsidRDefault="00696AB1" w:rsidP="00696AB1">
      <w:pPr>
        <w:pStyle w:val="Nivel4"/>
        <w:ind w:left="1474"/>
      </w:pPr>
      <w:r>
        <w:t>Cae el output agregado, alcanzando el mínimo después de 6 trimestres e incluso permaneciendo por debajo del nivel inicial tras 15 trimestres.</w:t>
      </w:r>
    </w:p>
    <w:p w14:paraId="62A11E77" w14:textId="77777777" w:rsidR="00696AB1" w:rsidRDefault="00696AB1" w:rsidP="00696AB1">
      <w:pPr>
        <w:pStyle w:val="Nivel4"/>
        <w:ind w:left="1474"/>
      </w:pPr>
      <w:r>
        <w:t>El nivel de precios inicialmente responde muy poco, empezando a decrecer sólo tras 6 trimestres.</w:t>
      </w:r>
    </w:p>
    <w:p w14:paraId="5A1AA88D" w14:textId="77777777" w:rsidR="00696AB1" w:rsidRDefault="00696AB1" w:rsidP="00696AB1">
      <w:pPr>
        <w:pStyle w:val="Nivel2SM"/>
        <w:keepNext/>
        <w:spacing w:after="0"/>
      </w:pPr>
      <w:r>
        <w:rPr>
          <w:smallCaps/>
        </w:rPr>
        <w:lastRenderedPageBreak/>
        <w:t>Christina Romer</w:t>
      </w:r>
      <w:r>
        <w:t xml:space="preserve"> y </w:t>
      </w:r>
      <w:r>
        <w:rPr>
          <w:smallCaps/>
        </w:rPr>
        <w:t>David Romer</w:t>
      </w:r>
      <w:r>
        <w:t xml:space="preserve"> se basan en el método narrativo para buscar identificar estos shocks en base a la evidencia empírica histórica. Por ejemplo, política histórica de la Reserva Federal para ver qué acciones no pueden ser consideradas una reacción a lo que ocurre en la economía real y segundo evaluar si esos shocks se trasladan a cambios en variables reales.</w:t>
      </w:r>
    </w:p>
    <w:p w14:paraId="4BC10396" w14:textId="77777777" w:rsidR="00696AB1" w:rsidRDefault="00696AB1" w:rsidP="00696AB1">
      <w:pPr>
        <w:pStyle w:val="Nivel3SM"/>
      </w:pPr>
      <w:r>
        <w:t>Los resultados obtenidos con esta metodología son cualitativamente análogos a los obtenidos mediante VAR.</w:t>
      </w:r>
    </w:p>
    <w:p w14:paraId="46B36D94" w14:textId="77777777" w:rsidR="00696AB1" w:rsidRPr="009831C9" w:rsidRDefault="00696AB1" w:rsidP="00696AB1">
      <w:pPr>
        <w:pStyle w:val="Nivel2SM"/>
        <w:rPr>
          <w:smallCaps/>
        </w:rPr>
      </w:pPr>
      <w:r w:rsidRPr="009831C9">
        <w:rPr>
          <w:smallCaps/>
        </w:rPr>
        <w:t>Gertler</w:t>
      </w:r>
      <w:r w:rsidRPr="009831C9">
        <w:t xml:space="preserve"> y </w:t>
      </w:r>
      <w:proofErr w:type="spellStart"/>
      <w:r w:rsidRPr="009831C9">
        <w:rPr>
          <w:smallCaps/>
        </w:rPr>
        <w:t>Karadi</w:t>
      </w:r>
      <w:proofErr w:type="spellEnd"/>
      <w:r w:rsidRPr="009831C9">
        <w:t xml:space="preserve"> (2015) estudian sorpresas de política monetaria en </w:t>
      </w:r>
      <w:r>
        <w:t>Estados Unidos</w:t>
      </w:r>
      <w:r w:rsidRPr="009831C9">
        <w:t xml:space="preserve"> y </w:t>
      </w:r>
      <w:r>
        <w:t xml:space="preserve">en </w:t>
      </w:r>
      <w:r w:rsidRPr="009831C9">
        <w:t>la eurozon</w:t>
      </w:r>
      <w:r>
        <w:t xml:space="preserve">a. Aproximan las </w:t>
      </w:r>
      <w:r w:rsidRPr="005D323C">
        <w:rPr>
          <w:i/>
          <w:iCs/>
        </w:rPr>
        <w:t>sorpresas de política monetaria</w:t>
      </w:r>
      <w:r>
        <w:t xml:space="preserve"> mediante los</w:t>
      </w:r>
      <w:r w:rsidRPr="009831C9">
        <w:t xml:space="preserve"> cambios en los r</w:t>
      </w:r>
      <w:r>
        <w:t>espectivos retornos de los bonos del gobierno a dos años en una ventana de tiempo alrededor de cada anuncio de política monetaria</w:t>
      </w:r>
      <w:r w:rsidRPr="009831C9">
        <w:t>. Esto permite captur</w:t>
      </w:r>
      <w:r>
        <w:t>a</w:t>
      </w:r>
      <w:r w:rsidRPr="009831C9">
        <w:t>r los efectos de la comp</w:t>
      </w:r>
      <w:r>
        <w:t>r</w:t>
      </w:r>
      <w:r w:rsidRPr="009831C9">
        <w:t xml:space="preserve">a de activos y del </w:t>
      </w:r>
      <w:r w:rsidRPr="009831C9">
        <w:rPr>
          <w:i/>
          <w:iCs/>
        </w:rPr>
        <w:t xml:space="preserve">forward </w:t>
      </w:r>
      <w:proofErr w:type="spellStart"/>
      <w:r w:rsidRPr="009831C9">
        <w:rPr>
          <w:i/>
          <w:iCs/>
        </w:rPr>
        <w:t>guidance</w:t>
      </w:r>
      <w:proofErr w:type="spellEnd"/>
      <w:r w:rsidRPr="009831C9">
        <w:t>.</w:t>
      </w:r>
      <w:r>
        <w:t xml:space="preserve"> </w:t>
      </w:r>
      <w:r w:rsidRPr="009831C9">
        <w:t>Para la eurozon</w:t>
      </w:r>
      <w:r>
        <w:t>a</w:t>
      </w:r>
      <w:r w:rsidRPr="009831C9">
        <w:t xml:space="preserve"> el retorno del bono a dos años se calcula como la media ponderada</w:t>
      </w:r>
      <w:r>
        <w:t xml:space="preserve"> de los retornos de los bonos alemanes</w:t>
      </w:r>
      <w:r w:rsidRPr="009831C9">
        <w:t xml:space="preserve">, </w:t>
      </w:r>
      <w:r>
        <w:t>franceses</w:t>
      </w:r>
      <w:r w:rsidRPr="009831C9">
        <w:t xml:space="preserve">, </w:t>
      </w:r>
      <w:r>
        <w:t>i</w:t>
      </w:r>
      <w:r w:rsidRPr="009831C9">
        <w:t>tal</w:t>
      </w:r>
      <w:r>
        <w:t>ianos y es</w:t>
      </w:r>
      <w:r w:rsidRPr="009831C9">
        <w:t>pa</w:t>
      </w:r>
      <w:r>
        <w:t>ñoles</w:t>
      </w:r>
      <w:r w:rsidRPr="009831C9">
        <w:t>.</w:t>
      </w:r>
    </w:p>
    <w:p w14:paraId="6BD30542" w14:textId="77777777" w:rsidR="00870131" w:rsidRDefault="00E229E6" w:rsidP="00E229E6">
      <w:pPr>
        <w:pStyle w:val="Ttulo2"/>
        <w:rPr>
          <w:lang w:val="fr-FR"/>
        </w:rPr>
      </w:pPr>
      <w:bookmarkStart w:id="91" w:name="_Toc174195993"/>
      <w:proofErr w:type="spellStart"/>
      <w:r>
        <w:rPr>
          <w:lang w:val="fr-FR"/>
        </w:rPr>
        <w:t>Extensiones</w:t>
      </w:r>
      <w:bookmarkEnd w:id="91"/>
      <w:proofErr w:type="spellEnd"/>
    </w:p>
    <w:p w14:paraId="6E228641" w14:textId="5032EC7E" w:rsidR="00870131" w:rsidRPr="009E1791" w:rsidRDefault="00870131" w:rsidP="00886959">
      <w:pPr>
        <w:pStyle w:val="Ttulo3"/>
        <w:spacing w:before="0"/>
      </w:pPr>
      <w:bookmarkStart w:id="92" w:name="_Toc174195994"/>
      <w:r w:rsidRPr="009E1791">
        <w:t>Fricciones financieras</w:t>
      </w:r>
      <w:r w:rsidR="009E1791" w:rsidRPr="009E1791">
        <w:t xml:space="preserve"> (acelerador financiero</w:t>
      </w:r>
      <w:r w:rsidR="009E1791">
        <w:t xml:space="preserve"> de </w:t>
      </w:r>
      <w:proofErr w:type="spellStart"/>
      <w:r w:rsidR="009E1791" w:rsidRPr="009E1791">
        <w:rPr>
          <w:smallCaps/>
        </w:rPr>
        <w:t>Bernanke</w:t>
      </w:r>
      <w:proofErr w:type="spellEnd"/>
      <w:r w:rsidR="009E1791" w:rsidRPr="009E1791">
        <w:t xml:space="preserve"> y </w:t>
      </w:r>
      <w:r w:rsidR="009E1791" w:rsidRPr="009E1791">
        <w:rPr>
          <w:smallCaps/>
        </w:rPr>
        <w:t>Gertle</w:t>
      </w:r>
      <w:r w:rsidR="009E1791">
        <w:rPr>
          <w:smallCaps/>
        </w:rPr>
        <w:t>r</w:t>
      </w:r>
      <w:r w:rsidR="009E1791" w:rsidRPr="009E1791">
        <w:t>)</w:t>
      </w:r>
      <w:bookmarkEnd w:id="92"/>
    </w:p>
    <w:p w14:paraId="7892C320" w14:textId="18880B93" w:rsidR="00870131" w:rsidRPr="00870131" w:rsidRDefault="00870131" w:rsidP="00417A95">
      <w:pPr>
        <w:pStyle w:val="Ttulo6"/>
        <w:spacing w:before="0"/>
        <w:rPr>
          <w:lang w:val="fr-FR"/>
        </w:rPr>
      </w:pPr>
      <w:bookmarkStart w:id="93" w:name="_Toc174195995"/>
      <w:proofErr w:type="spellStart"/>
      <w:r>
        <w:rPr>
          <w:lang w:val="fr-FR"/>
        </w:rPr>
        <w:t>Idea</w:t>
      </w:r>
      <w:bookmarkEnd w:id="93"/>
      <w:proofErr w:type="spellEnd"/>
    </w:p>
    <w:p w14:paraId="1F8753C2" w14:textId="77777777" w:rsidR="009E1791" w:rsidRDefault="00870131" w:rsidP="00417A95">
      <w:pPr>
        <w:pStyle w:val="Nivel1SM"/>
        <w:keepNext/>
        <w:spacing w:before="0" w:after="0"/>
      </w:pPr>
      <w:r w:rsidRPr="00870131">
        <w:t xml:space="preserve">El modelo </w:t>
      </w:r>
      <w:proofErr w:type="spellStart"/>
      <w:r w:rsidRPr="00870131">
        <w:t>neokeynesiano</w:t>
      </w:r>
      <w:proofErr w:type="spellEnd"/>
      <w:r w:rsidRPr="00870131">
        <w:t xml:space="preserve"> asume m</w:t>
      </w:r>
      <w:r>
        <w:t>ercados de capital perfectos, en los que el ahorro puede asignarse de manera eficiente</w:t>
      </w:r>
      <w:r w:rsidR="008F5617">
        <w:rPr>
          <w:rStyle w:val="Refdenotaalpie"/>
        </w:rPr>
        <w:footnoteReference w:id="20"/>
      </w:r>
      <w:r>
        <w:t>.</w:t>
      </w:r>
    </w:p>
    <w:p w14:paraId="390A3D97" w14:textId="1598BC95" w:rsidR="009E1791" w:rsidRDefault="00870131" w:rsidP="009E1791">
      <w:pPr>
        <w:pStyle w:val="Nivel2SM"/>
      </w:pPr>
      <w:r>
        <w:t xml:space="preserve">No obstante, </w:t>
      </w:r>
      <w:r w:rsidR="009E1791">
        <w:t xml:space="preserve">en el mundo real, </w:t>
      </w:r>
      <w:r>
        <w:t>la existencia de problemas de información asimétrica pone en duda que dicha hipótesis sea correcta.</w:t>
      </w:r>
    </w:p>
    <w:p w14:paraId="3C627427" w14:textId="7AAEE1AB" w:rsidR="009E1791" w:rsidRDefault="009E1791" w:rsidP="009E1791">
      <w:pPr>
        <w:pStyle w:val="Nivel1SM"/>
        <w:keepNext/>
        <w:spacing w:after="0"/>
      </w:pPr>
      <w:r>
        <w:t>A este respecto, u</w:t>
      </w:r>
      <w:r w:rsidR="00870131">
        <w:t xml:space="preserve">no de los mecanismos destacados es el llamado </w:t>
      </w:r>
      <w:r w:rsidR="00870131" w:rsidRPr="009E1791">
        <w:rPr>
          <w:b/>
          <w:bCs/>
        </w:rPr>
        <w:t>acelerador financiero</w:t>
      </w:r>
      <w:r w:rsidR="00870131">
        <w:t xml:space="preserve"> (</w:t>
      </w:r>
      <w:proofErr w:type="spellStart"/>
      <w:r w:rsidR="00870131">
        <w:rPr>
          <w:smallCaps/>
        </w:rPr>
        <w:t>Bernanke</w:t>
      </w:r>
      <w:proofErr w:type="spellEnd"/>
      <w:r w:rsidR="00870131">
        <w:t xml:space="preserve"> y </w:t>
      </w:r>
      <w:r w:rsidR="00870131" w:rsidRPr="00870131">
        <w:rPr>
          <w:smallCaps/>
        </w:rPr>
        <w:t>Gertler</w:t>
      </w:r>
      <w:r w:rsidR="00870131">
        <w:t>).</w:t>
      </w:r>
    </w:p>
    <w:p w14:paraId="048D748D" w14:textId="77777777" w:rsidR="009E1791" w:rsidRPr="009E1791" w:rsidRDefault="00870131" w:rsidP="00301638">
      <w:pPr>
        <w:pStyle w:val="Nivel2SM"/>
        <w:rPr>
          <w:spacing w:val="-2"/>
        </w:rPr>
      </w:pPr>
      <w:r w:rsidRPr="009E1791">
        <w:rPr>
          <w:spacing w:val="-2"/>
        </w:rPr>
        <w:t xml:space="preserve">Parte de que existen </w:t>
      </w:r>
      <w:r w:rsidRPr="009E1791">
        <w:rPr>
          <w:i/>
          <w:iCs/>
          <w:spacing w:val="-2"/>
        </w:rPr>
        <w:t>problemas de verificación de la calidad de las inversiones</w:t>
      </w:r>
      <w:r w:rsidRPr="009E1791">
        <w:rPr>
          <w:spacing w:val="-2"/>
        </w:rPr>
        <w:t xml:space="preserve"> que realiza una empresa.</w:t>
      </w:r>
    </w:p>
    <w:p w14:paraId="1BFA67E5" w14:textId="15E4C6E7" w:rsidR="009E1791" w:rsidRDefault="00870131" w:rsidP="00301638">
      <w:pPr>
        <w:pStyle w:val="Nivel2SM"/>
      </w:pPr>
      <w:r>
        <w:t xml:space="preserve">Para compensar este riesgo, los financiadores exigen una </w:t>
      </w:r>
      <w:r w:rsidRPr="009E1791">
        <w:rPr>
          <w:i/>
          <w:iCs/>
        </w:rPr>
        <w:t>prima de financiación</w:t>
      </w:r>
      <w:r>
        <w:t xml:space="preserve"> externa por la que el tipo de interés al que una empresa puede financiarse es creciente con la cantidad de deuda que la empresa solicita.</w:t>
      </w:r>
      <w:r w:rsidR="002E7C22">
        <w:t xml:space="preserve"> </w:t>
      </w:r>
      <w:r>
        <w:t>Esto refleja el deseo de los inversores de protegerse del riesgo de impago, que es mayor cuanto mayor sea el apalancamiento de una empresa.</w:t>
      </w:r>
    </w:p>
    <w:p w14:paraId="336A7D68" w14:textId="50E68880" w:rsidR="00870131" w:rsidRDefault="00870131" w:rsidP="002E7C22">
      <w:pPr>
        <w:pStyle w:val="Nivel2SM"/>
        <w:keepNext/>
        <w:spacing w:after="0"/>
      </w:pPr>
      <w:r>
        <w:t>Todo esto va a tener impacto en los efectos y en la transmisión de la política monetaria.</w:t>
      </w:r>
    </w:p>
    <w:p w14:paraId="67AE7BC2" w14:textId="77777777" w:rsidR="002E7C22" w:rsidRDefault="002E7C22" w:rsidP="002E7C22">
      <w:pPr>
        <w:pStyle w:val="Nivel3SM"/>
      </w:pPr>
      <w:r>
        <w:t xml:space="preserve">En un entorno de equilibrio general, el </w:t>
      </w:r>
      <w:r w:rsidRPr="002E7C22">
        <w:rPr>
          <w:i/>
          <w:iCs/>
        </w:rPr>
        <w:t>acelerador financiero</w:t>
      </w:r>
      <w:r>
        <w:t xml:space="preserve"> suele amplificar el efecto de las perturbaciones macroeconómicas, en particular dela política monetaria.</w:t>
      </w:r>
    </w:p>
    <w:p w14:paraId="47712C6D" w14:textId="3B8099B0" w:rsidR="00870131" w:rsidRDefault="00870131" w:rsidP="00870131">
      <w:pPr>
        <w:pStyle w:val="Ttulo6"/>
      </w:pPr>
      <w:bookmarkStart w:id="94" w:name="_Toc174195996"/>
      <w:r>
        <w:t>Desarrollo</w:t>
      </w:r>
      <w:bookmarkEnd w:id="94"/>
    </w:p>
    <w:p w14:paraId="5B87E1F9" w14:textId="40AE7C77" w:rsidR="002E7C22" w:rsidRDefault="00870131" w:rsidP="00417A95">
      <w:pPr>
        <w:pStyle w:val="Nivel1SM"/>
        <w:keepNext/>
        <w:spacing w:before="0" w:after="0"/>
      </w:pPr>
      <w:r>
        <w:t>Imagine</w:t>
      </w:r>
      <w:r w:rsidR="002E7C22">
        <w:t>mos</w:t>
      </w:r>
      <w:r>
        <w:t xml:space="preserve"> un </w:t>
      </w:r>
      <w:r w:rsidRPr="002E7C22">
        <w:rPr>
          <w:i/>
          <w:iCs/>
        </w:rPr>
        <w:t>shock contractivo de política monetaria</w:t>
      </w:r>
      <w:r>
        <w:t xml:space="preserve"> por el que el tipo de referencia del Banco Central aumenta.</w:t>
      </w:r>
      <w:r w:rsidR="002E7C22">
        <w:t xml:space="preserve"> En este caso se producen </w:t>
      </w:r>
      <w:r w:rsidR="006C2369">
        <w:t>3 </w:t>
      </w:r>
      <w:r w:rsidR="002E7C22">
        <w:t>fenómenos:</w:t>
      </w:r>
    </w:p>
    <w:p w14:paraId="73481AAD" w14:textId="0D81D1A9" w:rsidR="002E7C22" w:rsidRDefault="002E7C22">
      <w:pPr>
        <w:pStyle w:val="Prrafodelista"/>
        <w:numPr>
          <w:ilvl w:val="0"/>
          <w:numId w:val="14"/>
        </w:numPr>
        <w:spacing w:after="0"/>
        <w:ind w:left="568" w:hanging="284"/>
      </w:pPr>
      <w:r>
        <w:t>L</w:t>
      </w:r>
      <w:r w:rsidR="00870131">
        <w:t xml:space="preserve">as empresas se enfrentan a </w:t>
      </w:r>
      <w:r w:rsidR="00870131" w:rsidRPr="002E7C22">
        <w:rPr>
          <w:i/>
          <w:iCs/>
          <w:u w:val="single"/>
        </w:rPr>
        <w:t>mayores costes de financiación</w:t>
      </w:r>
      <w:r w:rsidR="00870131">
        <w:t xml:space="preserve"> por el aumento del tipo de interés.</w:t>
      </w:r>
    </w:p>
    <w:p w14:paraId="38B716C0" w14:textId="64526CFE" w:rsidR="002E7C22" w:rsidRDefault="002E7C22">
      <w:pPr>
        <w:pStyle w:val="Prrafodelista"/>
        <w:numPr>
          <w:ilvl w:val="0"/>
          <w:numId w:val="14"/>
        </w:numPr>
        <w:spacing w:after="0"/>
        <w:ind w:left="568" w:hanging="284"/>
      </w:pPr>
      <w:r>
        <w:t>Se produce</w:t>
      </w:r>
      <w:r w:rsidR="00870131">
        <w:t xml:space="preserve"> un </w:t>
      </w:r>
      <w:r w:rsidR="00870131" w:rsidRPr="002E7C22">
        <w:rPr>
          <w:i/>
          <w:iCs/>
          <w:u w:val="single"/>
        </w:rPr>
        <w:t>aumento en la prima de financiación</w:t>
      </w:r>
      <w:r w:rsidR="00870131">
        <w:t xml:space="preserve"> debido a la necesidad de dedicar más recursos al pago de intereses.</w:t>
      </w:r>
    </w:p>
    <w:p w14:paraId="49F7F234" w14:textId="0F38A8FF" w:rsidR="002E7C22" w:rsidRDefault="00870131">
      <w:pPr>
        <w:pStyle w:val="Prrafodelista"/>
        <w:numPr>
          <w:ilvl w:val="0"/>
          <w:numId w:val="14"/>
        </w:numPr>
        <w:spacing w:after="0"/>
        <w:ind w:left="568" w:hanging="284"/>
      </w:pPr>
      <w:r>
        <w:t xml:space="preserve">Asimismo, este proceso puede conllevar </w:t>
      </w:r>
      <w:r w:rsidRPr="002E7C22">
        <w:rPr>
          <w:i/>
          <w:iCs/>
          <w:u w:val="single"/>
        </w:rPr>
        <w:t>ventas de activo</w:t>
      </w:r>
      <w:r w:rsidR="002E7C22" w:rsidRPr="002E7C22">
        <w:rPr>
          <w:i/>
          <w:iCs/>
          <w:u w:val="single"/>
        </w:rPr>
        <w:t>s</w:t>
      </w:r>
      <w:r w:rsidRPr="002E7C22">
        <w:rPr>
          <w:i/>
          <w:iCs/>
          <w:u w:val="single"/>
        </w:rPr>
        <w:t xml:space="preserve"> </w:t>
      </w:r>
      <w:r w:rsidR="002E7C22" w:rsidRPr="002E7C22">
        <w:rPr>
          <w:i/>
          <w:iCs/>
          <w:u w:val="single"/>
        </w:rPr>
        <w:t>por parte de las</w:t>
      </w:r>
      <w:r w:rsidRPr="002E7C22">
        <w:rPr>
          <w:i/>
          <w:iCs/>
          <w:u w:val="single"/>
        </w:rPr>
        <w:t xml:space="preserve"> empresas para financiarse</w:t>
      </w:r>
      <w:r>
        <w:t xml:space="preserve">. El problema es que la venta simultánea de activos de muchas empresas ocasiona una caída en el valor de </w:t>
      </w:r>
      <w:proofErr w:type="gramStart"/>
      <w:r>
        <w:t>los mismos</w:t>
      </w:r>
      <w:proofErr w:type="gramEnd"/>
      <w:r>
        <w:t xml:space="preserve">, lo que se conoce como </w:t>
      </w:r>
      <w:proofErr w:type="spellStart"/>
      <w:r w:rsidRPr="002E7C22">
        <w:rPr>
          <w:i/>
          <w:iCs/>
        </w:rPr>
        <w:t>fire</w:t>
      </w:r>
      <w:proofErr w:type="spellEnd"/>
      <w:r w:rsidRPr="002E7C22">
        <w:rPr>
          <w:i/>
          <w:iCs/>
        </w:rPr>
        <w:t xml:space="preserve"> sales</w:t>
      </w:r>
      <w:r>
        <w:t>.</w:t>
      </w:r>
    </w:p>
    <w:p w14:paraId="4F94C6AF" w14:textId="65A70D2D" w:rsidR="00870131" w:rsidRDefault="00870131" w:rsidP="002E7C22">
      <w:pPr>
        <w:pStyle w:val="Nivel3SM"/>
        <w:spacing w:after="100"/>
      </w:pPr>
      <w:r>
        <w:t xml:space="preserve">Estos mecanismos generan un círculo vicioso de </w:t>
      </w:r>
      <w:r w:rsidRPr="002E7C22">
        <w:rPr>
          <w:b/>
          <w:bCs/>
        </w:rPr>
        <w:t>pérdidas patrimoniales y quiebras empresariales</w:t>
      </w:r>
      <w:r w:rsidR="00956BA3">
        <w:t xml:space="preserve">, </w:t>
      </w:r>
      <w:r>
        <w:t>unidos a ventas de activos y caídas en los precios de los mismo que amplifica el efecto contractivo inicial del shock monetario.</w:t>
      </w:r>
    </w:p>
    <w:p w14:paraId="6BEBCEBF" w14:textId="77777777" w:rsidR="002E7C22" w:rsidRDefault="00870131" w:rsidP="002E7C22">
      <w:pPr>
        <w:pStyle w:val="Nivel1SM"/>
        <w:keepNext/>
        <w:spacing w:after="0"/>
      </w:pPr>
      <w:r>
        <w:lastRenderedPageBreak/>
        <w:t xml:space="preserve">Los efectos del acelerador financiero se ven amplificados en el caso de </w:t>
      </w:r>
      <w:r w:rsidRPr="002E7C22">
        <w:rPr>
          <w:i/>
          <w:iCs/>
        </w:rPr>
        <w:t>rigideces nominales en los contratos de deudas</w:t>
      </w:r>
      <w:r>
        <w:t xml:space="preserve"> (i.e. cuando las deudas están expresadas en términos nominales y no reales).</w:t>
      </w:r>
    </w:p>
    <w:p w14:paraId="29136F77" w14:textId="3292A3F4" w:rsidR="002E7C22" w:rsidRDefault="00870131" w:rsidP="002E7C22">
      <w:pPr>
        <w:pStyle w:val="Nivel2SM"/>
        <w:keepNext/>
        <w:spacing w:after="0"/>
      </w:pPr>
      <w:r>
        <w:t xml:space="preserve">En este caso, surge un canal de transmisión adicional, el que se conoce como </w:t>
      </w:r>
      <w:r w:rsidRPr="002E7C22">
        <w:rPr>
          <w:i/>
          <w:iCs/>
          <w:u w:val="single"/>
        </w:rPr>
        <w:t>“deuda-deflación”</w:t>
      </w:r>
      <w:r>
        <w:t xml:space="preserve">, por el que una contracción monetaria genera caídas en el nivel de precios </w:t>
      </w:r>
      <w:r w:rsidR="00956BA3">
        <w:t xml:space="preserve">e </w:t>
      </w:r>
      <w:r>
        <w:t>induce un aumento en el valor real de las deudas, lo que genera un aumento adicional del apalancamiento.</w:t>
      </w:r>
    </w:p>
    <w:p w14:paraId="396C49C3" w14:textId="13B1DA61" w:rsidR="00870131" w:rsidRPr="00870131" w:rsidRDefault="00870131" w:rsidP="002E7C22">
      <w:pPr>
        <w:pStyle w:val="Nivel3SM"/>
      </w:pPr>
      <w:r>
        <w:t>Dicho aumento del apalancamiento pone en marcha el acelerador financiero, amplificando el efecto contractivo.</w:t>
      </w:r>
    </w:p>
    <w:p w14:paraId="7B3F4F77" w14:textId="1747E09D" w:rsidR="00870131" w:rsidRDefault="00870131" w:rsidP="00870131">
      <w:pPr>
        <w:pStyle w:val="Ttulo6"/>
      </w:pPr>
      <w:bookmarkStart w:id="95" w:name="_Toc174195997"/>
      <w:r>
        <w:t>Conclusión</w:t>
      </w:r>
      <w:bookmarkEnd w:id="95"/>
    </w:p>
    <w:p w14:paraId="2D2949B3" w14:textId="6B6BDD6F" w:rsidR="00870131" w:rsidRPr="00870131" w:rsidRDefault="00870131" w:rsidP="00417A95">
      <w:pPr>
        <w:pStyle w:val="Nivel1SM"/>
        <w:spacing w:before="0"/>
      </w:pPr>
      <w:r>
        <w:t>Una política monetaria contractiva que se transmita vía aumento coste de financiación de las empresas, puede tener efectos muy negativos sobre la actividad.</w:t>
      </w:r>
    </w:p>
    <w:p w14:paraId="577C3B86" w14:textId="2EA9BC6D" w:rsidR="00314790" w:rsidRDefault="00870131" w:rsidP="00870131">
      <w:pPr>
        <w:pStyle w:val="Ttulo3"/>
      </w:pPr>
      <w:bookmarkStart w:id="96" w:name="_Toc174195998"/>
      <w:r w:rsidRPr="00870131">
        <w:t xml:space="preserve">Política monetaria en el </w:t>
      </w:r>
      <w:proofErr w:type="spellStart"/>
      <w:r w:rsidRPr="00870131">
        <w:t>Effective</w:t>
      </w:r>
      <w:proofErr w:type="spellEnd"/>
      <w:r w:rsidRPr="00870131">
        <w:t xml:space="preserve"> </w:t>
      </w:r>
      <w:proofErr w:type="spellStart"/>
      <w:r w:rsidRPr="00870131">
        <w:t>Lower</w:t>
      </w:r>
      <w:proofErr w:type="spellEnd"/>
      <w:r w:rsidRPr="00870131">
        <w:t xml:space="preserve"> </w:t>
      </w:r>
      <w:proofErr w:type="spellStart"/>
      <w:r w:rsidRPr="00870131">
        <w:t>Bound</w:t>
      </w:r>
      <w:bookmarkEnd w:id="96"/>
      <w:proofErr w:type="spellEnd"/>
    </w:p>
    <w:p w14:paraId="40AE6110" w14:textId="3D317FD3" w:rsidR="00377CC4" w:rsidRPr="00377CC4" w:rsidRDefault="00377CC4" w:rsidP="00417A95">
      <w:pPr>
        <w:pStyle w:val="Ttulo6"/>
        <w:spacing w:before="0"/>
      </w:pPr>
      <w:bookmarkStart w:id="97" w:name="_Toc174195999"/>
      <w:r>
        <w:t>Idea</w:t>
      </w:r>
      <w:bookmarkEnd w:id="97"/>
    </w:p>
    <w:p w14:paraId="05E0F6EA" w14:textId="7BFEF4F8" w:rsidR="002E7C22" w:rsidRDefault="002E7C22" w:rsidP="00417A95">
      <w:pPr>
        <w:pStyle w:val="Nivel1SM"/>
        <w:keepNext/>
        <w:spacing w:before="0" w:after="0"/>
      </w:pPr>
      <w:r>
        <w:t>Tenemos que hacer referencia</w:t>
      </w:r>
      <w:r w:rsidR="00B02A88">
        <w:t xml:space="preserve"> también</w:t>
      </w:r>
      <w:r>
        <w:t xml:space="preserve"> a los efectos de la política monetaria en un contexto de tipos de interés en mínimos (i.e. situados en el </w:t>
      </w:r>
      <w:proofErr w:type="spellStart"/>
      <w:r>
        <w:rPr>
          <w:i/>
          <w:iCs/>
        </w:rPr>
        <w:t>effective</w:t>
      </w:r>
      <w:proofErr w:type="spellEnd"/>
      <w:r>
        <w:rPr>
          <w:i/>
          <w:iCs/>
        </w:rPr>
        <w:t xml:space="preserve"> </w:t>
      </w:r>
      <w:proofErr w:type="spellStart"/>
      <w:r>
        <w:rPr>
          <w:i/>
          <w:iCs/>
        </w:rPr>
        <w:t>lower</w:t>
      </w:r>
      <w:proofErr w:type="spellEnd"/>
      <w:r>
        <w:rPr>
          <w:i/>
          <w:iCs/>
        </w:rPr>
        <w:t xml:space="preserve"> </w:t>
      </w:r>
      <w:proofErr w:type="spellStart"/>
      <w:r>
        <w:rPr>
          <w:i/>
          <w:iCs/>
        </w:rPr>
        <w:t>bound</w:t>
      </w:r>
      <w:proofErr w:type="spellEnd"/>
      <w:r>
        <w:t>).</w:t>
      </w:r>
    </w:p>
    <w:p w14:paraId="0471D7E3" w14:textId="5C4B2530" w:rsidR="002E7C22" w:rsidRDefault="002E7C22" w:rsidP="00F22498">
      <w:pPr>
        <w:pStyle w:val="Nivel2SM"/>
      </w:pPr>
      <w:r w:rsidRPr="002E7C22">
        <w:t xml:space="preserve">El </w:t>
      </w:r>
      <w:proofErr w:type="spellStart"/>
      <w:r w:rsidRPr="002E7C22">
        <w:rPr>
          <w:i/>
          <w:iCs/>
        </w:rPr>
        <w:t>effective</w:t>
      </w:r>
      <w:proofErr w:type="spellEnd"/>
      <w:r w:rsidRPr="002E7C22">
        <w:rPr>
          <w:i/>
          <w:iCs/>
        </w:rPr>
        <w:t xml:space="preserve"> </w:t>
      </w:r>
      <w:proofErr w:type="spellStart"/>
      <w:r w:rsidRPr="002E7C22">
        <w:rPr>
          <w:i/>
          <w:iCs/>
        </w:rPr>
        <w:t>lower</w:t>
      </w:r>
      <w:proofErr w:type="spellEnd"/>
      <w:r w:rsidRPr="002E7C22">
        <w:rPr>
          <w:i/>
          <w:iCs/>
        </w:rPr>
        <w:t xml:space="preserve"> </w:t>
      </w:r>
      <w:proofErr w:type="spellStart"/>
      <w:r w:rsidRPr="002E7C22">
        <w:rPr>
          <w:i/>
          <w:iCs/>
        </w:rPr>
        <w:t>bound</w:t>
      </w:r>
      <w:proofErr w:type="spellEnd"/>
      <w:r w:rsidRPr="002E7C22">
        <w:t xml:space="preserve"> implica que la autor</w:t>
      </w:r>
      <w:r>
        <w:t xml:space="preserve">idad monetaria no puede fijar los tipos de interés nominales </w:t>
      </w:r>
      <w:r w:rsidR="00CC3AAF">
        <w:t>por debajo de cierto nivel. La existencia de dinero implica que existe una cota inferior al tipo de interés nominal. Un agente jamás invertirá en un activo que no tenga un retorno neto mucho menor que cero</w:t>
      </w:r>
      <w:r w:rsidR="00956BA3">
        <w:t xml:space="preserve"> (m</w:t>
      </w:r>
      <w:r w:rsidR="00CC3AAF">
        <w:t>ás lejos de unos cuantos puntos básicos aceptados por la comodidad de que un tercero te guarde la inversión nadie aceptará entrar en contratos que ofrezcan un retorno menor que el acumular dinero en efectivo en un cajón</w:t>
      </w:r>
      <w:r w:rsidR="00956BA3">
        <w:t>)</w:t>
      </w:r>
      <w:r w:rsidR="00CC3AAF">
        <w:t>.</w:t>
      </w:r>
    </w:p>
    <w:p w14:paraId="6DA56C33" w14:textId="6D29E334" w:rsidR="00377CC4" w:rsidRDefault="00377CC4" w:rsidP="00377CC4">
      <w:pPr>
        <w:pStyle w:val="Ttulo6"/>
      </w:pPr>
      <w:bookmarkStart w:id="98" w:name="_Toc174196000"/>
      <w:r>
        <w:t>Desarrollo</w:t>
      </w:r>
      <w:bookmarkEnd w:id="98"/>
    </w:p>
    <w:p w14:paraId="3574D098" w14:textId="62D3FA1A" w:rsidR="00CC3AAF" w:rsidRDefault="00CC3AAF" w:rsidP="00417A95">
      <w:pPr>
        <w:pStyle w:val="Nivel1SM"/>
        <w:keepNext/>
        <w:spacing w:before="0" w:after="0"/>
      </w:pPr>
      <w:r>
        <w:t>Volvamos a la ecuación IS dinámica:</w:t>
      </w:r>
    </w:p>
    <w:p w14:paraId="792E92EE" w14:textId="01D5F5A6" w:rsidR="00CC3AAF" w:rsidRPr="00CC3AAF" w:rsidRDefault="00000000" w:rsidP="00CC3AAF">
      <w:pPr>
        <w:pStyle w:val="Nivel1SM"/>
        <w:keepNext/>
        <w:numPr>
          <w:ilvl w:val="0"/>
          <w:numId w:val="0"/>
        </w:numPr>
        <w:spacing w:after="0"/>
        <w:rPr>
          <w:lang w:val="fr-FR"/>
        </w:rPr>
      </w:pPr>
      <m:oMathPara>
        <m:oMath>
          <m:sSub>
            <m:sSubPr>
              <m:ctrlPr>
                <w:rPr>
                  <w:rFonts w:ascii="Cambria Math" w:hAnsi="Cambria Math"/>
                  <w:i/>
                </w:rPr>
              </m:ctrlPr>
            </m:sSubPr>
            <m:e>
              <m:r>
                <m:rPr>
                  <m:nor/>
                </m:rPr>
                <w:rPr>
                  <w:i/>
                  <w:lang w:val="fr-FR"/>
                </w:rPr>
                <m:t>x</m:t>
              </m:r>
            </m:e>
            <m:sub>
              <m:r>
                <m:rPr>
                  <m:nor/>
                </m:rPr>
                <w:rPr>
                  <w:i/>
                  <w:lang w:val="fr-FR"/>
                </w:rPr>
                <m:t>t</m:t>
              </m:r>
            </m:sub>
          </m:sSub>
          <m:r>
            <w:rPr>
              <w:rFonts w:ascii="Cambria Math" w:hAnsi="Cambria Math"/>
              <w:lang w:val="fr-FR"/>
            </w:rPr>
            <m:t>=-</m:t>
          </m:r>
          <m:r>
            <m:rPr>
              <m:nor/>
            </m:rPr>
            <w:rPr>
              <w:i/>
            </w:rPr>
            <m:t>σ</m:t>
          </m:r>
          <m:r>
            <w:rPr>
              <w:rFonts w:ascii="Cambria Math" w:hAnsi="Cambria Math"/>
              <w:lang w:val="fr-FR"/>
            </w:rPr>
            <m:t>∙</m:t>
          </m:r>
          <m:d>
            <m:dPr>
              <m:ctrlPr>
                <w:rPr>
                  <w:rFonts w:ascii="Cambria Math" w:hAnsi="Cambria Math"/>
                  <w:i/>
                </w:rPr>
              </m:ctrlPr>
            </m:dPr>
            <m:e>
              <m:limUpp>
                <m:limUppPr>
                  <m:ctrlPr>
                    <w:rPr>
                      <w:rFonts w:ascii="Cambria Math" w:hAnsi="Cambria Math"/>
                      <w:i/>
                    </w:rPr>
                  </m:ctrlPr>
                </m:limUppPr>
                <m:e>
                  <m:groupChr>
                    <m:groupChrPr>
                      <m:chr m:val="⏞"/>
                      <m:pos m:val="top"/>
                      <m:vertJc m:val="bot"/>
                      <m:ctrlPr>
                        <w:rPr>
                          <w:rFonts w:ascii="Cambria Math" w:hAnsi="Cambria Math"/>
                          <w:i/>
                        </w:rPr>
                      </m:ctrlPr>
                    </m:groupChrPr>
                    <m:e>
                      <m:sSub>
                        <m:sSubPr>
                          <m:ctrlPr>
                            <w:rPr>
                              <w:rFonts w:ascii="Cambria Math" w:hAnsi="Cambria Math"/>
                              <w:i/>
                            </w:rPr>
                          </m:ctrlPr>
                        </m:sSubPr>
                        <m:e>
                          <m:r>
                            <m:rPr>
                              <m:nor/>
                            </m:rPr>
                            <w:rPr>
                              <w:i/>
                              <w:lang w:val="fr-FR"/>
                            </w:rPr>
                            <m:t>i</m:t>
                          </m:r>
                        </m:e>
                        <m:sub>
                          <m:r>
                            <m:rPr>
                              <m:nor/>
                            </m:rPr>
                            <w:rPr>
                              <w:i/>
                              <w:lang w:val="fr-FR"/>
                            </w:rPr>
                            <m:t>t</m:t>
                          </m:r>
                        </m:sub>
                      </m:sSub>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lang w:val="fr-FR"/>
                                </w:rPr>
                                <m:t>t+1</m:t>
                              </m:r>
                            </m:sub>
                          </m:sSub>
                        </m:e>
                      </m:d>
                    </m:e>
                  </m:groupChr>
                </m:e>
                <m:lim>
                  <m:sSub>
                    <m:sSubPr>
                      <m:ctrlPr>
                        <w:rPr>
                          <w:rFonts w:ascii="Cambria Math" w:hAnsi="Cambria Math"/>
                          <w:i/>
                        </w:rPr>
                      </m:ctrlPr>
                    </m:sSubPr>
                    <m:e>
                      <m:r>
                        <m:rPr>
                          <m:nor/>
                        </m:rPr>
                        <w:rPr>
                          <w:i/>
                          <w:lang w:val="fr-FR"/>
                        </w:rPr>
                        <m:t>r</m:t>
                      </m:r>
                    </m:e>
                    <m:sub>
                      <m:r>
                        <m:rPr>
                          <m:nor/>
                        </m:rPr>
                        <w:rPr>
                          <w:i/>
                          <w:lang w:val="fr-FR"/>
                        </w:rPr>
                        <m:t>t</m:t>
                      </m:r>
                    </m:sub>
                  </m:sSub>
                </m:lim>
              </m:limUpp>
              <m:r>
                <w:rPr>
                  <w:rFonts w:ascii="Cambria Math" w:hAnsi="Cambria Math"/>
                  <w:lang w:val="fr-FR"/>
                </w:rPr>
                <m:t>-</m:t>
              </m:r>
              <m:sSubSup>
                <m:sSubSupPr>
                  <m:ctrlPr>
                    <w:rPr>
                      <w:rFonts w:ascii="Cambria Math" w:hAnsi="Cambria Math"/>
                      <w:i/>
                    </w:rPr>
                  </m:ctrlPr>
                </m:sSubSupPr>
                <m:e>
                  <m:r>
                    <m:rPr>
                      <m:nor/>
                    </m:rPr>
                    <w:rPr>
                      <w:i/>
                      <w:lang w:val="fr-FR"/>
                    </w:rPr>
                    <m:t>r</m:t>
                  </m:r>
                </m:e>
                <m:sub>
                  <m:r>
                    <m:rPr>
                      <m:nor/>
                    </m:rPr>
                    <w:rPr>
                      <w:i/>
                      <w:lang w:val="fr-FR"/>
                    </w:rPr>
                    <m:t>t</m:t>
                  </m:r>
                </m:sub>
                <m:sup>
                  <m:r>
                    <m:rPr>
                      <m:nor/>
                    </m:rPr>
                    <w:rPr>
                      <w:i/>
                      <w:lang w:val="fr-FR"/>
                    </w:rPr>
                    <m:t>n</m:t>
                  </m:r>
                </m:sup>
              </m:sSubSup>
            </m:e>
          </m:d>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x</m:t>
                  </m:r>
                </m:e>
                <m:sub>
                  <m:r>
                    <m:rPr>
                      <m:nor/>
                    </m:rPr>
                    <w:rPr>
                      <w:i/>
                      <w:iCs/>
                      <w:lang w:val="fr-FR"/>
                    </w:rPr>
                    <m:t>t+1</m:t>
                  </m:r>
                </m:sub>
              </m:sSub>
            </m:e>
          </m:d>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u</m:t>
              </m:r>
            </m:e>
            <m:sub>
              <m:r>
                <m:rPr>
                  <m:nor/>
                </m:rPr>
                <w:rPr>
                  <w:rFonts w:eastAsiaTheme="minorEastAsia"/>
                  <w:i/>
                  <w:iCs/>
                  <w:lang w:val="fr-FR"/>
                </w:rPr>
                <m:t>t</m:t>
              </m:r>
            </m:sub>
          </m:sSub>
        </m:oMath>
      </m:oMathPara>
    </w:p>
    <w:p w14:paraId="69089A48" w14:textId="6689DAC0" w:rsidR="00B83B18" w:rsidRDefault="00B83B18" w:rsidP="00CC3AAF">
      <w:pPr>
        <w:pStyle w:val="Nivel2SM"/>
      </w:pPr>
      <w:r>
        <w:t>Supongamos que el</w:t>
      </w:r>
      <w:r w:rsidR="00CC3AAF">
        <w:t xml:space="preserve"> tipo de interés natural</w:t>
      </w:r>
      <w:r>
        <w:t xml:space="preserve">, </w:t>
      </w:r>
      <m:oMath>
        <m:sSubSup>
          <m:sSubSupPr>
            <m:ctrlPr>
              <w:rPr>
                <w:rFonts w:ascii="Cambria Math" w:hAnsi="Cambria Math"/>
                <w:i/>
              </w:rPr>
            </m:ctrlPr>
          </m:sSubSupPr>
          <m:e>
            <m:r>
              <m:rPr>
                <m:nor/>
              </m:rPr>
              <w:rPr>
                <w:i/>
              </w:rPr>
              <m:t>r</m:t>
            </m:r>
          </m:e>
          <m:sub>
            <m:r>
              <m:rPr>
                <m:nor/>
              </m:rPr>
              <w:rPr>
                <w:i/>
              </w:rPr>
              <m:t>t</m:t>
            </m:r>
          </m:sub>
          <m:sup>
            <m:r>
              <m:rPr>
                <m:nor/>
              </m:rPr>
              <w:rPr>
                <w:i/>
              </w:rPr>
              <m:t>n</m:t>
            </m:r>
          </m:sup>
        </m:sSubSup>
      </m:oMath>
      <w:r>
        <w:t>,</w:t>
      </w:r>
      <w:r w:rsidR="00CC3AAF">
        <w:t xml:space="preserve"> cae por debajo de 0</w:t>
      </w:r>
      <w:r w:rsidR="00CC3AAF">
        <w:rPr>
          <w:rStyle w:val="Refdenotaalpie"/>
        </w:rPr>
        <w:footnoteReference w:id="21"/>
      </w:r>
      <w:r w:rsidR="00CC3AAF">
        <w:t>. Ello lleva a que el tipo de interés real del modelo debería pasar a valores negativos</w:t>
      </w:r>
      <w:r>
        <w:t xml:space="preserve"> o el output gap caerá</w:t>
      </w:r>
      <w:r w:rsidR="00F22498">
        <w:t xml:space="preserve"> (recordemos que el modelo es </w:t>
      </w:r>
      <w:proofErr w:type="spellStart"/>
      <w:r w:rsidR="00F22498">
        <w:t>neowickselliano</w:t>
      </w:r>
      <w:proofErr w:type="spellEnd"/>
      <w:r w:rsidR="00F22498">
        <w:t xml:space="preserve"> </w:t>
      </w:r>
      <w:r w:rsidR="00F22498" w:rsidRPr="007F0AC2">
        <w:rPr>
          <w:color w:val="767171" w:themeColor="background2" w:themeShade="80"/>
          <w:sz w:val="19"/>
          <w:szCs w:val="19"/>
        </w:rPr>
        <w:t xml:space="preserve">[ver </w:t>
      </w:r>
      <w:r w:rsidR="007F0AC2" w:rsidRPr="007F0AC2">
        <w:rPr>
          <w:color w:val="767171" w:themeColor="background2" w:themeShade="80"/>
          <w:sz w:val="19"/>
          <w:szCs w:val="19"/>
        </w:rPr>
        <w:fldChar w:fldCharType="begin"/>
      </w:r>
      <w:r w:rsidR="007F0AC2" w:rsidRPr="007F0AC2">
        <w:rPr>
          <w:color w:val="767171" w:themeColor="background2" w:themeShade="80"/>
          <w:sz w:val="19"/>
          <w:szCs w:val="19"/>
        </w:rPr>
        <w:instrText xml:space="preserve"> REF _Ref120808909 \h  \* MERGEFORMAT </w:instrText>
      </w:r>
      <w:r w:rsidR="007F0AC2" w:rsidRPr="007F0AC2">
        <w:rPr>
          <w:color w:val="767171" w:themeColor="background2" w:themeShade="80"/>
          <w:sz w:val="19"/>
          <w:szCs w:val="19"/>
        </w:rPr>
      </w:r>
      <w:r w:rsidR="007F0AC2" w:rsidRPr="007F0AC2">
        <w:rPr>
          <w:color w:val="767171" w:themeColor="background2" w:themeShade="80"/>
          <w:sz w:val="19"/>
          <w:szCs w:val="19"/>
        </w:rPr>
        <w:fldChar w:fldCharType="separate"/>
      </w:r>
      <w:r w:rsidR="003F54C7" w:rsidRPr="003F54C7">
        <w:rPr>
          <w:color w:val="767171" w:themeColor="background2" w:themeShade="80"/>
          <w:sz w:val="19"/>
          <w:szCs w:val="19"/>
        </w:rPr>
        <w:t>Efectos de la política monetaria</w:t>
      </w:r>
      <w:r w:rsidR="007F0AC2" w:rsidRPr="007F0AC2">
        <w:rPr>
          <w:color w:val="767171" w:themeColor="background2" w:themeShade="80"/>
          <w:sz w:val="19"/>
          <w:szCs w:val="19"/>
        </w:rPr>
        <w:fldChar w:fldCharType="end"/>
      </w:r>
      <w:r w:rsidR="007F0AC2" w:rsidRPr="007F0AC2">
        <w:rPr>
          <w:color w:val="767171" w:themeColor="background2" w:themeShade="80"/>
          <w:sz w:val="19"/>
          <w:szCs w:val="19"/>
        </w:rPr>
        <w:t xml:space="preserve">, </w:t>
      </w:r>
      <w:r w:rsidR="00F22498" w:rsidRPr="007F0AC2">
        <w:rPr>
          <w:color w:val="767171" w:themeColor="background2" w:themeShade="80"/>
          <w:sz w:val="19"/>
          <w:szCs w:val="19"/>
        </w:rPr>
        <w:t>página</w:t>
      </w:r>
      <w:r w:rsidR="00417A95">
        <w:rPr>
          <w:color w:val="767171" w:themeColor="background2" w:themeShade="80"/>
          <w:sz w:val="19"/>
          <w:szCs w:val="19"/>
        </w:rPr>
        <w:t> </w:t>
      </w:r>
      <w:r w:rsidR="007F0AC2" w:rsidRPr="007F0AC2">
        <w:rPr>
          <w:color w:val="767171" w:themeColor="background2" w:themeShade="80"/>
          <w:sz w:val="19"/>
          <w:szCs w:val="19"/>
        </w:rPr>
        <w:fldChar w:fldCharType="begin"/>
      </w:r>
      <w:r w:rsidR="007F0AC2" w:rsidRPr="007F0AC2">
        <w:rPr>
          <w:color w:val="767171" w:themeColor="background2" w:themeShade="80"/>
          <w:sz w:val="19"/>
          <w:szCs w:val="19"/>
        </w:rPr>
        <w:instrText xml:space="preserve"> PAGEREF _Ref120808913 \h </w:instrText>
      </w:r>
      <w:r w:rsidR="007F0AC2" w:rsidRPr="007F0AC2">
        <w:rPr>
          <w:color w:val="767171" w:themeColor="background2" w:themeShade="80"/>
          <w:sz w:val="19"/>
          <w:szCs w:val="19"/>
        </w:rPr>
      </w:r>
      <w:r w:rsidR="007F0AC2" w:rsidRPr="007F0AC2">
        <w:rPr>
          <w:color w:val="767171" w:themeColor="background2" w:themeShade="80"/>
          <w:sz w:val="19"/>
          <w:szCs w:val="19"/>
        </w:rPr>
        <w:fldChar w:fldCharType="separate"/>
      </w:r>
      <w:r w:rsidR="003F54C7">
        <w:rPr>
          <w:noProof/>
          <w:color w:val="767171" w:themeColor="background2" w:themeShade="80"/>
          <w:sz w:val="19"/>
          <w:szCs w:val="19"/>
        </w:rPr>
        <w:t>21</w:t>
      </w:r>
      <w:r w:rsidR="007F0AC2" w:rsidRPr="007F0AC2">
        <w:rPr>
          <w:color w:val="767171" w:themeColor="background2" w:themeShade="80"/>
          <w:sz w:val="19"/>
          <w:szCs w:val="19"/>
        </w:rPr>
        <w:fldChar w:fldCharType="end"/>
      </w:r>
      <w:r w:rsidR="00F22498" w:rsidRPr="007F0AC2">
        <w:rPr>
          <w:color w:val="767171" w:themeColor="background2" w:themeShade="80"/>
          <w:sz w:val="19"/>
          <w:szCs w:val="19"/>
        </w:rPr>
        <w:t>]</w:t>
      </w:r>
      <w:r w:rsidR="00F22498">
        <w:t>)</w:t>
      </w:r>
      <w:r w:rsidR="00CC3AAF">
        <w:t>.</w:t>
      </w:r>
    </w:p>
    <w:p w14:paraId="5F76430B" w14:textId="5BF3348F" w:rsidR="00B83B18" w:rsidRDefault="00CC3AAF" w:rsidP="00CC3AAF">
      <w:pPr>
        <w:pStyle w:val="Nivel2SM"/>
      </w:pPr>
      <w:r>
        <w:lastRenderedPageBreak/>
        <w:t xml:space="preserve">Si tenemos en cuenta el </w:t>
      </w:r>
      <w:proofErr w:type="spellStart"/>
      <w:r>
        <w:t>Effective</w:t>
      </w:r>
      <w:proofErr w:type="spellEnd"/>
      <w:r>
        <w:t xml:space="preserve"> </w:t>
      </w:r>
      <w:proofErr w:type="spellStart"/>
      <w:r>
        <w:t>Lower</w:t>
      </w:r>
      <w:proofErr w:type="spellEnd"/>
      <w:r>
        <w:t xml:space="preserve"> </w:t>
      </w:r>
      <w:proofErr w:type="spellStart"/>
      <w:r>
        <w:t>Bound</w:t>
      </w:r>
      <w:proofErr w:type="spellEnd"/>
      <w:r>
        <w:t xml:space="preserve"> (por comodidad trabajamos con Zero </w:t>
      </w:r>
      <w:proofErr w:type="spellStart"/>
      <w:r>
        <w:t>Lower</w:t>
      </w:r>
      <w:proofErr w:type="spellEnd"/>
      <w:r>
        <w:t xml:space="preserve"> </w:t>
      </w:r>
      <w:proofErr w:type="spellStart"/>
      <w:r>
        <w:t>Bound</w:t>
      </w:r>
      <w:proofErr w:type="spellEnd"/>
      <w:r w:rsidR="00B83B18">
        <w:t>)</w:t>
      </w:r>
      <w:r>
        <w:t xml:space="preserve"> </w:t>
      </w:r>
      <w:r w:rsidR="00B83B18">
        <w:rPr>
          <w:rFonts w:eastAsiaTheme="minorEastAsia"/>
        </w:rPr>
        <w:t xml:space="preserve">el tipo de interés nominal no puede </w:t>
      </w:r>
      <w:proofErr w:type="gramStart"/>
      <w:r w:rsidR="00B83B18">
        <w:rPr>
          <w:rFonts w:eastAsiaTheme="minorEastAsia"/>
        </w:rPr>
        <w:t>bajar por debajo de</w:t>
      </w:r>
      <w:proofErr w:type="gramEnd"/>
      <w:r w:rsidR="00B83B18">
        <w:rPr>
          <w:rFonts w:eastAsiaTheme="minorEastAsia"/>
        </w:rPr>
        <w:t xml:space="preserve"> </w:t>
      </w:r>
      <m:oMath>
        <m:sSub>
          <m:sSubPr>
            <m:ctrlPr>
              <w:rPr>
                <w:rFonts w:ascii="Cambria Math" w:hAnsi="Cambria Math"/>
                <w:i/>
                <w:iCs/>
              </w:rPr>
            </m:ctrlPr>
          </m:sSubPr>
          <m:e>
            <m:r>
              <m:rPr>
                <m:nor/>
              </m:rPr>
              <w:rPr>
                <w:i/>
                <w:iCs/>
              </w:rPr>
              <m:t>i</m:t>
            </m:r>
          </m:e>
          <m:sub>
            <m:r>
              <m:rPr>
                <m:nor/>
              </m:rPr>
              <w:rPr>
                <w:i/>
                <w:iCs/>
              </w:rPr>
              <m:t>t</m:t>
            </m:r>
          </m:sub>
        </m:sSub>
        <m:r>
          <w:rPr>
            <w:rFonts w:ascii="Cambria Math" w:hAnsi="Cambria Math"/>
          </w:rPr>
          <m:t>=</m:t>
        </m:r>
        <m:r>
          <m:rPr>
            <m:nor/>
          </m:rPr>
          <w:rPr>
            <w:i/>
            <w:iCs/>
          </w:rPr>
          <m:t>0</m:t>
        </m:r>
      </m:oMath>
      <w:r w:rsidR="00F42EBA">
        <w:t>.</w:t>
      </w:r>
      <w:r w:rsidR="007F0AC2">
        <w:t xml:space="preserve"> P</w:t>
      </w:r>
      <w:r>
        <w:t>or lo tanto, el tipo de interés real es igual a las expectativas de inflación futura con signo negativo.</w:t>
      </w:r>
    </w:p>
    <w:p w14:paraId="32CC93A9" w14:textId="135CA947" w:rsidR="007F0AC2" w:rsidRPr="007F0AC2" w:rsidRDefault="00000000" w:rsidP="007F0AC2">
      <w:pPr>
        <w:pStyle w:val="Nivel2SM"/>
        <w:numPr>
          <w:ilvl w:val="0"/>
          <w:numId w:val="0"/>
        </w:numPr>
        <w:ind w:left="567"/>
        <w:rPr>
          <w:lang w:val="fr-FR"/>
        </w:rPr>
      </w:pPr>
      <m:oMathPara>
        <m:oMath>
          <m:sSub>
            <m:sSubPr>
              <m:ctrlPr>
                <w:rPr>
                  <w:rFonts w:ascii="Cambria Math" w:hAnsi="Cambria Math"/>
                  <w:i/>
                </w:rPr>
              </m:ctrlPr>
            </m:sSubPr>
            <m:e>
              <m:r>
                <m:rPr>
                  <m:nor/>
                </m:rPr>
                <w:rPr>
                  <w:i/>
                  <w:lang w:val="fr-FR"/>
                </w:rPr>
                <m:t>r</m:t>
              </m:r>
            </m:e>
            <m:sub>
              <m:r>
                <m:rPr>
                  <m:nor/>
                </m:rPr>
                <w:rPr>
                  <w:i/>
                  <w:lang w:val="fr-FR"/>
                </w:rPr>
                <m:t>t</m:t>
              </m:r>
            </m:sub>
          </m:sSub>
          <m:r>
            <w:rPr>
              <w:rFonts w:ascii="Cambria Math" w:hAnsi="Cambria Math"/>
              <w:lang w:val="fr-FR"/>
            </w:rPr>
            <m:t>=</m:t>
          </m:r>
          <m:limLow>
            <m:limLowPr>
              <m:ctrlPr>
                <w:rPr>
                  <w:rFonts w:ascii="Cambria Math" w:hAnsi="Cambria Math"/>
                  <w:i/>
                  <w:lang w:val="fr-FR"/>
                </w:rPr>
              </m:ctrlPr>
            </m:limLowPr>
            <m:e>
              <m:groupChr>
                <m:groupChrPr>
                  <m:ctrlPr>
                    <w:rPr>
                      <w:rFonts w:ascii="Cambria Math" w:hAnsi="Cambria Math"/>
                      <w:i/>
                      <w:lang w:val="fr-FR"/>
                    </w:rPr>
                  </m:ctrlPr>
                </m:groupChrPr>
                <m:e>
                  <m:sSub>
                    <m:sSubPr>
                      <m:ctrlPr>
                        <w:rPr>
                          <w:rFonts w:ascii="Cambria Math" w:hAnsi="Cambria Math"/>
                          <w:i/>
                        </w:rPr>
                      </m:ctrlPr>
                    </m:sSubPr>
                    <m:e>
                      <m:r>
                        <m:rPr>
                          <m:nor/>
                        </m:rPr>
                        <w:rPr>
                          <w:i/>
                          <w:lang w:val="fr-FR"/>
                        </w:rPr>
                        <m:t>i</m:t>
                      </m:r>
                    </m:e>
                    <m:sub>
                      <m:r>
                        <m:rPr>
                          <m:nor/>
                        </m:rPr>
                        <w:rPr>
                          <w:i/>
                          <w:lang w:val="fr-FR"/>
                        </w:rPr>
                        <m:t>t</m:t>
                      </m:r>
                    </m:sub>
                  </m:sSub>
                </m:e>
              </m:groupChr>
            </m:e>
            <m:lim>
              <m:r>
                <w:rPr>
                  <w:rFonts w:ascii="Cambria Math"/>
                  <w:lang w:val="fr-FR"/>
                </w:rPr>
                <m:t>=</m:t>
              </m:r>
              <m:r>
                <m:rPr>
                  <m:nor/>
                </m:rPr>
                <w:rPr>
                  <w:i/>
                  <w:lang w:val="fr-FR"/>
                </w:rPr>
                <m:t>0</m:t>
              </m:r>
            </m:lim>
          </m:limLow>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lang w:val="fr-FR"/>
                    </w:rPr>
                    <m:t>t+1</m:t>
                  </m:r>
                </m:sub>
              </m:sSub>
            </m:e>
          </m:d>
        </m:oMath>
      </m:oMathPara>
    </w:p>
    <w:p w14:paraId="6038E36A" w14:textId="565974B6" w:rsidR="007F0AC2" w:rsidRPr="007F0AC2" w:rsidRDefault="00CC3AAF" w:rsidP="007F0AC2">
      <w:pPr>
        <w:pStyle w:val="Nivel2SM"/>
        <w:spacing w:after="0"/>
      </w:pPr>
      <w:r>
        <w:t>Si la</w:t>
      </w:r>
      <w:r w:rsidR="00B83B18">
        <w:t>s</w:t>
      </w:r>
      <w:r>
        <w:t xml:space="preserve"> expectativa</w:t>
      </w:r>
      <w:r w:rsidR="00B83B18">
        <w:t>s</w:t>
      </w:r>
      <w:r>
        <w:t xml:space="preserve"> de inflación </w:t>
      </w:r>
      <w:r w:rsidR="00B83B18">
        <w:t>son</w:t>
      </w:r>
      <w:r>
        <w:t xml:space="preserve"> negativa</w:t>
      </w:r>
      <w:r w:rsidR="00B83B18">
        <w:t>s</w:t>
      </w:r>
      <w:r>
        <w:t xml:space="preserve">, </w:t>
      </w:r>
      <w:r w:rsidR="00B83B18">
        <w:t>se</w:t>
      </w:r>
      <w:r>
        <w:t xml:space="preserve"> genera un tipo de interés real positivo, lo que </w:t>
      </w:r>
      <w:r w:rsidR="007F0AC2">
        <w:t xml:space="preserve">a través de la curva </w:t>
      </w:r>
      <w:r w:rsidR="007F0AC2">
        <w:rPr>
          <w:i/>
          <w:iCs/>
        </w:rPr>
        <w:t>IS dinámica</w:t>
      </w:r>
      <w:r w:rsidR="007F0AC2">
        <w:t xml:space="preserve"> </w:t>
      </w:r>
      <w:r>
        <w:t>genera un output gap negativo (indicando recesión)</w:t>
      </w:r>
      <w:r w:rsidR="007F0AC2">
        <w:t>:</w:t>
      </w:r>
    </w:p>
    <w:p w14:paraId="5E6AE6F2" w14:textId="1D1010C4" w:rsidR="007F0AC2" w:rsidRPr="007F0AC2" w:rsidRDefault="00000000" w:rsidP="007F0AC2">
      <w:pPr>
        <w:pStyle w:val="Nivel1SM"/>
        <w:keepNext/>
        <w:numPr>
          <w:ilvl w:val="0"/>
          <w:numId w:val="0"/>
        </w:numPr>
        <w:spacing w:after="0"/>
        <w:rPr>
          <w:lang w:val="fr-FR"/>
        </w:rPr>
      </w:pPr>
      <m:oMathPara>
        <m:oMath>
          <m:sSub>
            <m:sSubPr>
              <m:ctrlPr>
                <w:rPr>
                  <w:rFonts w:ascii="Cambria Math" w:hAnsi="Cambria Math"/>
                  <w:i/>
                </w:rPr>
              </m:ctrlPr>
            </m:sSubPr>
            <m:e>
              <m:r>
                <m:rPr>
                  <m:nor/>
                </m:rPr>
                <w:rPr>
                  <w:i/>
                  <w:lang w:val="fr-FR"/>
                </w:rPr>
                <m:t>x</m:t>
              </m:r>
            </m:e>
            <m:sub>
              <m:r>
                <m:rPr>
                  <m:nor/>
                </m:rPr>
                <w:rPr>
                  <w:i/>
                  <w:lang w:val="fr-FR"/>
                </w:rPr>
                <m:t>t</m:t>
              </m:r>
            </m:sub>
          </m:sSub>
          <m:r>
            <w:rPr>
              <w:rFonts w:ascii="Cambria Math" w:hAnsi="Cambria Math"/>
              <w:lang w:val="fr-FR"/>
            </w:rPr>
            <m:t>=-</m:t>
          </m:r>
          <m:r>
            <m:rPr>
              <m:nor/>
            </m:rPr>
            <w:rPr>
              <w:i/>
            </w:rPr>
            <m:t>σ</m:t>
          </m:r>
          <m:r>
            <w:rPr>
              <w:rFonts w:ascii="Cambria Math" w:hAnsi="Cambria Math"/>
              <w:lang w:val="fr-FR"/>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limUpp>
                        <m:limUppPr>
                          <m:ctrlPr>
                            <w:rPr>
                              <w:rFonts w:ascii="Cambria Math" w:hAnsi="Cambria Math"/>
                              <w:i/>
                            </w:rPr>
                          </m:ctrlPr>
                        </m:limUppPr>
                        <m:e>
                          <m:groupChr>
                            <m:groupChrPr>
                              <m:chr m:val="⏞"/>
                              <m:pos m:val="top"/>
                              <m:vertJc m:val="bot"/>
                              <m:ctrlPr>
                                <w:rPr>
                                  <w:rFonts w:ascii="Cambria Math" w:hAnsi="Cambria Math"/>
                                  <w:i/>
                                </w:rPr>
                              </m:ctrlPr>
                            </m:groupChrPr>
                            <m:e>
                              <m:limLow>
                                <m:limLowPr>
                                  <m:ctrlPr>
                                    <w:rPr>
                                      <w:rFonts w:ascii="Cambria Math" w:hAnsi="Cambria Math"/>
                                      <w:i/>
                                      <w:lang w:val="fr-FR"/>
                                    </w:rPr>
                                  </m:ctrlPr>
                                </m:limLowPr>
                                <m:e>
                                  <m:groupChr>
                                    <m:groupChrPr>
                                      <m:ctrlPr>
                                        <w:rPr>
                                          <w:rFonts w:ascii="Cambria Math" w:hAnsi="Cambria Math"/>
                                          <w:i/>
                                          <w:lang w:val="fr-FR"/>
                                        </w:rPr>
                                      </m:ctrlPr>
                                    </m:groupChrPr>
                                    <m:e>
                                      <m:sSub>
                                        <m:sSubPr>
                                          <m:ctrlPr>
                                            <w:rPr>
                                              <w:rFonts w:ascii="Cambria Math" w:hAnsi="Cambria Math"/>
                                              <w:i/>
                                            </w:rPr>
                                          </m:ctrlPr>
                                        </m:sSubPr>
                                        <m:e>
                                          <m:r>
                                            <m:rPr>
                                              <m:nor/>
                                            </m:rPr>
                                            <w:rPr>
                                              <w:i/>
                                              <w:lang w:val="fr-FR"/>
                                            </w:rPr>
                                            <m:t>i</m:t>
                                          </m:r>
                                        </m:e>
                                        <m:sub>
                                          <m:r>
                                            <m:rPr>
                                              <m:nor/>
                                            </m:rPr>
                                            <w:rPr>
                                              <w:i/>
                                              <w:lang w:val="fr-FR"/>
                                            </w:rPr>
                                            <m:t>t</m:t>
                                          </m:r>
                                        </m:sub>
                                      </m:sSub>
                                    </m:e>
                                  </m:groupChr>
                                </m:e>
                                <m:lim>
                                  <m:r>
                                    <w:rPr>
                                      <w:rFonts w:ascii="Cambria Math"/>
                                      <w:lang w:val="fr-FR"/>
                                    </w:rPr>
                                    <m:t>=</m:t>
                                  </m:r>
                                  <m:r>
                                    <m:rPr>
                                      <m:nor/>
                                    </m:rPr>
                                    <w:rPr>
                                      <w:i/>
                                      <w:lang w:val="fr-FR"/>
                                    </w:rPr>
                                    <m:t>0</m:t>
                                  </m:r>
                                </m:lim>
                              </m:limLow>
                              <m:limLow>
                                <m:limLowPr>
                                  <m:ctrlPr>
                                    <w:rPr>
                                      <w:rFonts w:ascii="Cambria Math" w:hAnsi="Cambria Math"/>
                                      <w:i/>
                                      <w:lang w:val="fr-FR"/>
                                    </w:rPr>
                                  </m:ctrlPr>
                                </m:limLowPr>
                                <m:e>
                                  <m:groupChr>
                                    <m:groupChrPr>
                                      <m:ctrlPr>
                                        <w:rPr>
                                          <w:rFonts w:ascii="Cambria Math" w:hAnsi="Cambria Math"/>
                                          <w:i/>
                                          <w:lang w:val="fr-FR"/>
                                        </w:rPr>
                                      </m:ctrlPr>
                                    </m:groupChrPr>
                                    <m:e>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lang w:val="fr-FR"/>
                                                </w:rPr>
                                                <m:t>t+1</m:t>
                                              </m:r>
                                            </m:sub>
                                          </m:sSub>
                                        </m:e>
                                      </m:d>
                                    </m:e>
                                  </m:groupChr>
                                </m:e>
                                <m:lim>
                                  <m:r>
                                    <w:rPr>
                                      <w:rFonts w:ascii="Cambria Math"/>
                                      <w:lang w:val="fr-FR"/>
                                    </w:rPr>
                                    <m:t>&gt;</m:t>
                                  </m:r>
                                  <m:r>
                                    <m:rPr>
                                      <m:nor/>
                                    </m:rPr>
                                    <w:rPr>
                                      <w:i/>
                                      <w:lang w:val="fr-FR"/>
                                    </w:rPr>
                                    <m:t>0</m:t>
                                  </m:r>
                                </m:lim>
                              </m:limLow>
                            </m:e>
                          </m:groupChr>
                        </m:e>
                        <m:lim>
                          <m:sSub>
                            <m:sSubPr>
                              <m:ctrlPr>
                                <w:rPr>
                                  <w:rFonts w:ascii="Cambria Math" w:hAnsi="Cambria Math"/>
                                  <w:i/>
                                </w:rPr>
                              </m:ctrlPr>
                            </m:sSubPr>
                            <m:e>
                              <m:r>
                                <m:rPr>
                                  <m:nor/>
                                </m:rPr>
                                <w:rPr>
                                  <w:i/>
                                  <w:lang w:val="fr-FR"/>
                                </w:rPr>
                                <m:t>r</m:t>
                              </m:r>
                            </m:e>
                            <m:sub>
                              <m:r>
                                <m:rPr>
                                  <m:nor/>
                                </m:rPr>
                                <w:rPr>
                                  <w:i/>
                                  <w:lang w:val="fr-FR"/>
                                </w:rPr>
                                <m:t>t</m:t>
                              </m:r>
                            </m:sub>
                          </m:sSub>
                        </m:lim>
                      </m:limUpp>
                      <m:r>
                        <w:rPr>
                          <w:rFonts w:ascii="Cambria Math" w:hAnsi="Cambria Math"/>
                          <w:lang w:val="fr-FR"/>
                        </w:rPr>
                        <m:t>-</m:t>
                      </m:r>
                      <m:limLow>
                        <m:limLowPr>
                          <m:ctrlPr>
                            <w:rPr>
                              <w:rFonts w:ascii="Cambria Math" w:hAnsi="Cambria Math"/>
                              <w:i/>
                              <w:lang w:val="fr-FR"/>
                            </w:rPr>
                          </m:ctrlPr>
                        </m:limLowPr>
                        <m:e>
                          <m:groupChr>
                            <m:groupChrPr>
                              <m:ctrlPr>
                                <w:rPr>
                                  <w:rFonts w:ascii="Cambria Math" w:hAnsi="Cambria Math"/>
                                  <w:i/>
                                  <w:lang w:val="fr-FR"/>
                                </w:rPr>
                              </m:ctrlPr>
                            </m:groupChrPr>
                            <m:e>
                              <m:sSubSup>
                                <m:sSubSupPr>
                                  <m:ctrlPr>
                                    <w:rPr>
                                      <w:rFonts w:ascii="Cambria Math" w:hAnsi="Cambria Math"/>
                                      <w:i/>
                                    </w:rPr>
                                  </m:ctrlPr>
                                </m:sSubSupPr>
                                <m:e>
                                  <m:r>
                                    <m:rPr>
                                      <m:nor/>
                                    </m:rPr>
                                    <w:rPr>
                                      <w:i/>
                                      <w:lang w:val="fr-FR"/>
                                    </w:rPr>
                                    <m:t>r</m:t>
                                  </m:r>
                                </m:e>
                                <m:sub>
                                  <m:r>
                                    <m:rPr>
                                      <m:nor/>
                                    </m:rPr>
                                    <w:rPr>
                                      <w:i/>
                                      <w:lang w:val="fr-FR"/>
                                    </w:rPr>
                                    <m:t>t</m:t>
                                  </m:r>
                                </m:sub>
                                <m:sup>
                                  <m:r>
                                    <m:rPr>
                                      <m:nor/>
                                    </m:rPr>
                                    <w:rPr>
                                      <w:i/>
                                      <w:lang w:val="fr-FR"/>
                                    </w:rPr>
                                    <m:t>n</m:t>
                                  </m:r>
                                </m:sup>
                              </m:sSubSup>
                            </m:e>
                          </m:groupChr>
                        </m:e>
                        <m:lim>
                          <m:r>
                            <w:rPr>
                              <w:rFonts w:ascii="Cambria Math"/>
                              <w:lang w:val="fr-FR"/>
                            </w:rPr>
                            <m:t>&lt;</m:t>
                          </m:r>
                          <m:r>
                            <m:rPr>
                              <m:nor/>
                            </m:rPr>
                            <w:rPr>
                              <w:i/>
                              <w:lang w:val="fr-FR"/>
                            </w:rPr>
                            <m:t>0</m:t>
                          </m:r>
                        </m:lim>
                      </m:limLow>
                    </m:e>
                  </m:d>
                </m:e>
              </m:groupChr>
            </m:e>
            <m:lim>
              <m:r>
                <w:rPr>
                  <w:rFonts w:ascii="Cambria Math"/>
                  <w:lang w:val="fr-FR"/>
                </w:rPr>
                <m:t>&gt;</m:t>
              </m:r>
              <m:r>
                <m:rPr>
                  <m:nor/>
                </m:rPr>
                <w:rPr>
                  <w:i/>
                  <w:lang w:val="fr-FR"/>
                </w:rPr>
                <m:t>0</m:t>
              </m:r>
            </m:lim>
          </m:limLow>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iCs/>
                </w:rPr>
              </m:ctrlPr>
            </m:dPr>
            <m:e>
              <m:sSub>
                <m:sSubPr>
                  <m:ctrlPr>
                    <w:rPr>
                      <w:rFonts w:ascii="Cambria Math" w:hAnsi="Cambria Math"/>
                      <w:i/>
                      <w:iCs/>
                    </w:rPr>
                  </m:ctrlPr>
                </m:sSubPr>
                <m:e>
                  <m:r>
                    <m:rPr>
                      <m:nor/>
                    </m:rPr>
                    <w:rPr>
                      <w:i/>
                      <w:iCs/>
                      <w:lang w:val="fr-FR"/>
                    </w:rPr>
                    <m:t>x</m:t>
                  </m:r>
                </m:e>
                <m:sub>
                  <m:r>
                    <m:rPr>
                      <m:nor/>
                    </m:rPr>
                    <w:rPr>
                      <w:i/>
                      <w:iCs/>
                      <w:lang w:val="fr-FR"/>
                    </w:rPr>
                    <m:t>t+1</m:t>
                  </m:r>
                </m:sub>
              </m:sSub>
            </m:e>
          </m:d>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u</m:t>
              </m:r>
            </m:e>
            <m:sub>
              <m:r>
                <m:rPr>
                  <m:nor/>
                </m:rPr>
                <w:rPr>
                  <w:rFonts w:eastAsiaTheme="minorEastAsia"/>
                  <w:i/>
                  <w:iCs/>
                  <w:lang w:val="fr-FR"/>
                </w:rPr>
                <m:t>t</m:t>
              </m:r>
            </m:sub>
          </m:sSub>
        </m:oMath>
      </m:oMathPara>
    </w:p>
    <w:p w14:paraId="761BFD33" w14:textId="628835A7" w:rsidR="00CC3AAF" w:rsidRDefault="007F0AC2" w:rsidP="00B83B18">
      <w:pPr>
        <w:pStyle w:val="Nivel2SM"/>
        <w:spacing w:after="0"/>
      </w:pPr>
      <w:r>
        <w:t>Este output gap conduce a</w:t>
      </w:r>
      <w:r w:rsidR="00CC3AAF">
        <w:t xml:space="preserve"> través de la </w:t>
      </w:r>
      <w:r w:rsidR="00CC3AAF" w:rsidRPr="007F0AC2">
        <w:rPr>
          <w:i/>
          <w:iCs/>
        </w:rPr>
        <w:t>curva de Philips de la NEK</w:t>
      </w:r>
      <w:r w:rsidR="00CC3AAF">
        <w:t xml:space="preserve"> una inflación presente también negativa</w:t>
      </w:r>
      <w:r w:rsidR="00B83B18">
        <w:t xml:space="preserve"> (i.e. deflación)</w:t>
      </w:r>
      <w:r w:rsidR="00CC3AAF">
        <w:t>.</w:t>
      </w:r>
    </w:p>
    <w:p w14:paraId="1932BB99" w14:textId="1D88CC43" w:rsidR="00CC3AAF" w:rsidRPr="00E51B66" w:rsidRDefault="00000000" w:rsidP="00CC3AAF">
      <w:pPr>
        <w:pStyle w:val="Nivel1SM"/>
        <w:numPr>
          <w:ilvl w:val="0"/>
          <w:numId w:val="0"/>
        </w:numPr>
        <w:rPr>
          <w:rFonts w:eastAsiaTheme="minorEastAsia"/>
          <w:iCs/>
          <w:lang w:val="fr-FR"/>
        </w:rPr>
      </w:pPr>
      <m:oMathPara>
        <m:oMath>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m:t>
              </m:r>
            </m:sub>
          </m:sSub>
          <m:r>
            <w:rPr>
              <w:rFonts w:ascii="Cambria Math" w:eastAsiaTheme="minorEastAsia" w:hAnsi="Cambria Math"/>
              <w:lang w:val="fr-FR"/>
            </w:rPr>
            <m:t>=</m:t>
          </m:r>
          <m:r>
            <m:rPr>
              <m:nor/>
            </m:rPr>
            <w:rPr>
              <w:i/>
              <w:iCs/>
            </w:rPr>
            <m:t>β</m:t>
          </m:r>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E</m:t>
              </m:r>
            </m:e>
            <m:sub>
              <m:r>
                <m:rPr>
                  <m:nor/>
                </m:rPr>
                <w:rPr>
                  <w:rFonts w:eastAsiaTheme="minorEastAsia"/>
                  <w:i/>
                  <w:iCs/>
                  <w:lang w:val="fr-FR"/>
                </w:rPr>
                <m:t>t</m:t>
              </m:r>
            </m:sub>
          </m:sSub>
          <m:d>
            <m:dPr>
              <m:begChr m:val="["/>
              <m:endChr m:val="]"/>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π</m:t>
                  </m:r>
                </m:e>
                <m:sub>
                  <m:r>
                    <m:rPr>
                      <m:nor/>
                    </m:rPr>
                    <w:rPr>
                      <w:rFonts w:eastAsiaTheme="minorEastAsia"/>
                      <w:i/>
                      <w:iCs/>
                      <w:lang w:val="fr-FR"/>
                    </w:rPr>
                    <m:t>t+1</m:t>
                  </m:r>
                </m:sub>
              </m:sSub>
            </m:e>
          </m:d>
          <m:r>
            <w:rPr>
              <w:rFonts w:ascii="Cambria Math" w:eastAsiaTheme="minorEastAsia" w:hAnsi="Cambria Math"/>
              <w:lang w:val="fr-FR"/>
            </w:rPr>
            <m:t>+</m:t>
          </m:r>
          <m:r>
            <m:rPr>
              <m:nor/>
            </m:rPr>
            <w:rPr>
              <w:rFonts w:eastAsiaTheme="minorEastAsia"/>
              <w:i/>
            </w:rPr>
            <m:t>δ</m:t>
          </m:r>
          <m:r>
            <w:rPr>
              <w:rFonts w:ascii="Cambria Math" w:eastAsiaTheme="minorEastAsia" w:hAnsi="Cambria Math"/>
              <w:lang w:val="fr-FR"/>
            </w:rPr>
            <m:t>∙</m:t>
          </m:r>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sSub>
                    <m:sSubPr>
                      <m:ctrlPr>
                        <w:rPr>
                          <w:rFonts w:ascii="Cambria Math" w:eastAsiaTheme="minorEastAsia" w:hAnsi="Cambria Math"/>
                          <w:i/>
                          <w:iCs/>
                        </w:rPr>
                      </m:ctrlPr>
                    </m:sSubPr>
                    <m:e>
                      <m:r>
                        <m:rPr>
                          <m:nor/>
                        </m:rPr>
                        <w:rPr>
                          <w:rFonts w:eastAsiaTheme="minorEastAsia"/>
                          <w:i/>
                          <w:lang w:val="fr-FR"/>
                        </w:rPr>
                        <m:t>x</m:t>
                      </m:r>
                    </m:e>
                    <m:sub>
                      <m:r>
                        <m:rPr>
                          <m:nor/>
                        </m:rPr>
                        <w:rPr>
                          <w:rFonts w:eastAsiaTheme="minorEastAsia"/>
                          <w:i/>
                          <w:iCs/>
                          <w:lang w:val="fr-FR"/>
                        </w:rPr>
                        <m:t>t</m:t>
                      </m:r>
                    </m:sub>
                  </m:sSub>
                </m:e>
              </m:groupChr>
            </m:e>
            <m:lim>
              <m:r>
                <w:rPr>
                  <w:rFonts w:ascii="Cambria Math"/>
                  <w:lang w:val="fr-FR"/>
                </w:rPr>
                <m:t>&lt;</m:t>
              </m:r>
              <m:r>
                <m:rPr>
                  <m:nor/>
                </m:rPr>
                <w:rPr>
                  <w:i/>
                  <w:lang w:val="fr-FR"/>
                </w:rPr>
                <m:t>0</m:t>
              </m:r>
            </m:lim>
          </m:limLow>
          <m:r>
            <w:rPr>
              <w:rFonts w:ascii="Cambria Math" w:eastAsiaTheme="minorEastAsia" w:hAnsi="Cambria Math"/>
              <w:lang w:val="fr-FR"/>
            </w:rPr>
            <m:t>+</m:t>
          </m:r>
          <m:sSub>
            <m:sSubPr>
              <m:ctrlPr>
                <w:rPr>
                  <w:rFonts w:ascii="Cambria Math" w:eastAsiaTheme="minorEastAsia" w:hAnsi="Cambria Math"/>
                  <w:i/>
                  <w:iCs/>
                </w:rPr>
              </m:ctrlPr>
            </m:sSubPr>
            <m:e>
              <m:r>
                <m:rPr>
                  <m:nor/>
                </m:rPr>
                <w:rPr>
                  <w:rFonts w:eastAsiaTheme="minorEastAsia"/>
                  <w:i/>
                  <w:iCs/>
                  <w:lang w:val="fr-FR"/>
                </w:rPr>
                <m:t>e</m:t>
              </m:r>
            </m:e>
            <m:sub>
              <m:r>
                <m:rPr>
                  <m:nor/>
                </m:rPr>
                <w:rPr>
                  <w:rFonts w:eastAsiaTheme="minorEastAsia"/>
                  <w:i/>
                  <w:iCs/>
                  <w:lang w:val="fr-FR"/>
                </w:rPr>
                <m:t>t</m:t>
              </m:r>
            </m:sub>
          </m:sSub>
        </m:oMath>
      </m:oMathPara>
    </w:p>
    <w:p w14:paraId="0B1EA267" w14:textId="7AEB70FF" w:rsidR="00B83B18" w:rsidRDefault="00B83B18" w:rsidP="00B83B18">
      <w:pPr>
        <w:pStyle w:val="Nivel1SM"/>
      </w:pPr>
      <w:r w:rsidRPr="00B83B18">
        <w:t>En resumen, con la e</w:t>
      </w:r>
      <w:r>
        <w:t xml:space="preserve">xistencia de </w:t>
      </w:r>
      <w:proofErr w:type="spellStart"/>
      <w:r>
        <w:t>Effective</w:t>
      </w:r>
      <w:proofErr w:type="spellEnd"/>
      <w:r>
        <w:t xml:space="preserve"> </w:t>
      </w:r>
      <w:proofErr w:type="spellStart"/>
      <w:r>
        <w:t>Lower</w:t>
      </w:r>
      <w:proofErr w:type="spellEnd"/>
      <w:r>
        <w:t xml:space="preserve"> </w:t>
      </w:r>
      <w:proofErr w:type="spellStart"/>
      <w:r>
        <w:t>Bound</w:t>
      </w:r>
      <w:proofErr w:type="spellEnd"/>
      <w:r>
        <w:t xml:space="preserve"> y expectativas ancladas en baja inflación, la política monetaria tiene muchas dificultades para estabilizar el output gap y llevar</w:t>
      </w:r>
      <w:r w:rsidR="00F42EBA">
        <w:t>lo</w:t>
      </w:r>
      <w:r>
        <w:t xml:space="preserve"> a su potencial.</w:t>
      </w:r>
    </w:p>
    <w:p w14:paraId="6248C0A6" w14:textId="7C9ABCD9" w:rsidR="00B83B18" w:rsidRDefault="00B83B18" w:rsidP="00B83B18">
      <w:pPr>
        <w:pStyle w:val="Nivel1SM"/>
      </w:pPr>
      <w:r>
        <w:t>Esto ha sido uno de los principales problemas a los que se han enfrentado la mayoría de economías desarrolladas (incluida la eurozona) desde la crisis financiera de 2007 hasta 2021. En este período, los tipos nominales de los Bancos Centrales se mantuvieron en torno a cero y los niveles de inflación fueron inferiores al objetivo</w:t>
      </w:r>
      <w:r w:rsidR="00377CC4">
        <w:t>, unid</w:t>
      </w:r>
      <w:r w:rsidR="00F42EBA">
        <w:t>o</w:t>
      </w:r>
      <w:r w:rsidR="00377CC4">
        <w:t>s a unas expectativas de inflación futura sistemáticamente inferiores al objetivo.</w:t>
      </w:r>
    </w:p>
    <w:p w14:paraId="0F298472" w14:textId="57D8BFAC" w:rsidR="00377CC4" w:rsidRDefault="00377CC4" w:rsidP="00377CC4">
      <w:pPr>
        <w:pStyle w:val="Ttulo6"/>
      </w:pPr>
      <w:bookmarkStart w:id="99" w:name="_Toc174196001"/>
      <w:r>
        <w:t>Implicaciones de política económica</w:t>
      </w:r>
      <w:bookmarkEnd w:id="99"/>
    </w:p>
    <w:p w14:paraId="313E1E00" w14:textId="2823DE8C" w:rsidR="00F64BBB" w:rsidRDefault="00F64BBB" w:rsidP="00417A95">
      <w:pPr>
        <w:pStyle w:val="Nivel1SM"/>
        <w:keepNext/>
        <w:spacing w:before="0" w:after="0"/>
      </w:pPr>
      <w:r>
        <w:t xml:space="preserve">Existen múltiples soluciones al problema del </w:t>
      </w:r>
      <w:proofErr w:type="spellStart"/>
      <w:r>
        <w:rPr>
          <w:i/>
          <w:iCs/>
        </w:rPr>
        <w:t>Effective</w:t>
      </w:r>
      <w:proofErr w:type="spellEnd"/>
      <w:r>
        <w:rPr>
          <w:i/>
          <w:iCs/>
        </w:rPr>
        <w:t xml:space="preserve"> </w:t>
      </w:r>
      <w:proofErr w:type="spellStart"/>
      <w:r>
        <w:rPr>
          <w:i/>
          <w:iCs/>
        </w:rPr>
        <w:t>Lower</w:t>
      </w:r>
      <w:proofErr w:type="spellEnd"/>
      <w:r>
        <w:rPr>
          <w:i/>
          <w:iCs/>
        </w:rPr>
        <w:t xml:space="preserve"> </w:t>
      </w:r>
      <w:proofErr w:type="spellStart"/>
      <w:r>
        <w:rPr>
          <w:i/>
          <w:iCs/>
        </w:rPr>
        <w:t>Bound</w:t>
      </w:r>
      <w:proofErr w:type="spellEnd"/>
      <w:r>
        <w:t>:</w:t>
      </w:r>
    </w:p>
    <w:p w14:paraId="2D27ECA3" w14:textId="4CAFF01A" w:rsidR="0015324A" w:rsidRDefault="00F64BBB">
      <w:pPr>
        <w:pStyle w:val="Prrafodelista"/>
        <w:numPr>
          <w:ilvl w:val="0"/>
          <w:numId w:val="16"/>
        </w:numPr>
        <w:spacing w:after="100"/>
        <w:ind w:left="568" w:hanging="284"/>
      </w:pPr>
      <w:r>
        <w:fldChar w:fldCharType="begin"/>
      </w:r>
      <w:r>
        <w:instrText xml:space="preserve"> REF _Ref120547942 \h </w:instrText>
      </w:r>
      <w:r w:rsidR="0015324A">
        <w:instrText xml:space="preserve"> \* MERGEFORMAT </w:instrText>
      </w:r>
      <w:r>
        <w:fldChar w:fldCharType="separate"/>
      </w:r>
      <w:r w:rsidR="003F54C7">
        <w:t>Eliminación del dinero en efectivo</w:t>
      </w:r>
      <w:r>
        <w:fldChar w:fldCharType="end"/>
      </w:r>
    </w:p>
    <w:p w14:paraId="1EA3E7D3" w14:textId="4244A4BA" w:rsidR="0015324A" w:rsidRDefault="00F64BBB">
      <w:pPr>
        <w:pStyle w:val="Prrafodelista"/>
        <w:numPr>
          <w:ilvl w:val="0"/>
          <w:numId w:val="16"/>
        </w:numPr>
        <w:spacing w:after="100"/>
        <w:ind w:left="568" w:hanging="284"/>
      </w:pPr>
      <w:r>
        <w:fldChar w:fldCharType="begin"/>
      </w:r>
      <w:r>
        <w:instrText xml:space="preserve"> REF _Ref120547943 \h </w:instrText>
      </w:r>
      <w:r w:rsidR="0015324A">
        <w:instrText xml:space="preserve"> \* MERGEFORMAT </w:instrText>
      </w:r>
      <w:r>
        <w:fldChar w:fldCharType="separate"/>
      </w:r>
      <w:r w:rsidR="003F54C7">
        <w:t>Buscar anclar las expectativas de inflación en niveles más altos</w:t>
      </w:r>
      <w:r>
        <w:fldChar w:fldCharType="end"/>
      </w:r>
    </w:p>
    <w:p w14:paraId="39A200C6" w14:textId="4212987A" w:rsidR="0015324A" w:rsidRDefault="00F64BBB">
      <w:pPr>
        <w:pStyle w:val="Prrafodelista"/>
        <w:numPr>
          <w:ilvl w:val="0"/>
          <w:numId w:val="16"/>
        </w:numPr>
        <w:spacing w:after="100"/>
        <w:ind w:left="568" w:hanging="284"/>
      </w:pPr>
      <w:r>
        <w:fldChar w:fldCharType="begin"/>
      </w:r>
      <w:r>
        <w:instrText xml:space="preserve"> REF _Ref120547947 \h </w:instrText>
      </w:r>
      <w:r w:rsidR="0015324A">
        <w:instrText xml:space="preserve"> \* MERGEFORMAT </w:instrText>
      </w:r>
      <w:r>
        <w:fldChar w:fldCharType="separate"/>
      </w:r>
      <w:proofErr w:type="spellStart"/>
      <w:r w:rsidR="003F54C7">
        <w:t>Yield</w:t>
      </w:r>
      <w:proofErr w:type="spellEnd"/>
      <w:r w:rsidR="003F54C7">
        <w:t xml:space="preserve"> curve control</w:t>
      </w:r>
      <w:r>
        <w:fldChar w:fldCharType="end"/>
      </w:r>
    </w:p>
    <w:p w14:paraId="18EA7E0D" w14:textId="6A170253" w:rsidR="0015324A" w:rsidRPr="0015324A" w:rsidRDefault="00F64BBB">
      <w:pPr>
        <w:pStyle w:val="Prrafodelista"/>
        <w:numPr>
          <w:ilvl w:val="0"/>
          <w:numId w:val="16"/>
        </w:numPr>
        <w:spacing w:after="100"/>
        <w:ind w:left="568" w:hanging="284"/>
        <w:rPr>
          <w:spacing w:val="-2"/>
        </w:rPr>
      </w:pPr>
      <w:r>
        <w:fldChar w:fldCharType="begin"/>
      </w:r>
      <w:r>
        <w:instrText xml:space="preserve"> REF _Ref120547950 \h </w:instrText>
      </w:r>
      <w:r w:rsidR="0015324A">
        <w:instrText xml:space="preserve"> \* MERGEFORMAT </w:instrText>
      </w:r>
      <w:r>
        <w:fldChar w:fldCharType="separate"/>
      </w:r>
      <w:r w:rsidR="003F54C7">
        <w:t>Concesión de liquidez condicionada a la concesión de créditos a la economía real</w:t>
      </w:r>
      <w:r>
        <w:fldChar w:fldCharType="end"/>
      </w:r>
    </w:p>
    <w:p w14:paraId="031D5C6E" w14:textId="636A5A88" w:rsidR="00F64BBB" w:rsidRPr="0015324A" w:rsidRDefault="00F64BBB">
      <w:pPr>
        <w:pStyle w:val="Prrafodelista"/>
        <w:numPr>
          <w:ilvl w:val="0"/>
          <w:numId w:val="16"/>
        </w:numPr>
        <w:spacing w:after="100"/>
        <w:ind w:left="568" w:hanging="284"/>
        <w:rPr>
          <w:spacing w:val="-2"/>
        </w:rPr>
      </w:pPr>
      <w:r w:rsidRPr="0015324A">
        <w:rPr>
          <w:spacing w:val="-2"/>
        </w:rPr>
        <w:fldChar w:fldCharType="begin"/>
      </w:r>
      <w:r w:rsidRPr="0015324A">
        <w:rPr>
          <w:spacing w:val="-2"/>
        </w:rPr>
        <w:instrText xml:space="preserve"> REF _Ref120547953 \h  \* MERGEFORMAT </w:instrText>
      </w:r>
      <w:r w:rsidRPr="0015324A">
        <w:rPr>
          <w:spacing w:val="-2"/>
        </w:rPr>
      </w:r>
      <w:r w:rsidRPr="0015324A">
        <w:rPr>
          <w:spacing w:val="-2"/>
        </w:rPr>
        <w:fldChar w:fldCharType="separate"/>
      </w:r>
      <w:r w:rsidR="003F54C7" w:rsidRPr="003F54C7">
        <w:rPr>
          <w:spacing w:val="-2"/>
        </w:rPr>
        <w:t>Políticas monetarias no convencionales basadas en compras de activos (</w:t>
      </w:r>
      <w:proofErr w:type="spellStart"/>
      <w:r w:rsidR="003F54C7" w:rsidRPr="003F54C7">
        <w:rPr>
          <w:spacing w:val="-2"/>
        </w:rPr>
        <w:t>Quantitative</w:t>
      </w:r>
      <w:proofErr w:type="spellEnd"/>
      <w:r w:rsidR="003F54C7" w:rsidRPr="003F54C7">
        <w:rPr>
          <w:spacing w:val="-2"/>
        </w:rPr>
        <w:t xml:space="preserve"> </w:t>
      </w:r>
      <w:proofErr w:type="spellStart"/>
      <w:r w:rsidR="003F54C7" w:rsidRPr="003F54C7">
        <w:rPr>
          <w:spacing w:val="-2"/>
        </w:rPr>
        <w:t>Easing</w:t>
      </w:r>
      <w:proofErr w:type="spellEnd"/>
      <w:r w:rsidR="003F54C7" w:rsidRPr="003F54C7">
        <w:rPr>
          <w:spacing w:val="-2"/>
        </w:rPr>
        <w:t>, QE)</w:t>
      </w:r>
      <w:r w:rsidRPr="0015324A">
        <w:rPr>
          <w:spacing w:val="-2"/>
        </w:rPr>
        <w:fldChar w:fldCharType="end"/>
      </w:r>
    </w:p>
    <w:p w14:paraId="224BADAD" w14:textId="01C53CBA" w:rsidR="00377CC4" w:rsidRDefault="00377CC4">
      <w:pPr>
        <w:pStyle w:val="Ttulo7"/>
        <w:numPr>
          <w:ilvl w:val="0"/>
          <w:numId w:val="15"/>
        </w:numPr>
        <w:ind w:left="1135" w:hanging="284"/>
      </w:pPr>
      <w:bookmarkStart w:id="100" w:name="_Ref120547942"/>
      <w:r>
        <w:lastRenderedPageBreak/>
        <w:t>Eliminación del dinero en efectivo</w:t>
      </w:r>
      <w:bookmarkEnd w:id="100"/>
    </w:p>
    <w:p w14:paraId="0395C7CE" w14:textId="6CBAEDB8" w:rsidR="00377CC4" w:rsidRPr="00696AB1" w:rsidRDefault="000E6778" w:rsidP="00417A95">
      <w:pPr>
        <w:pStyle w:val="Nivel1SM"/>
        <w:spacing w:before="0"/>
        <w:rPr>
          <w:spacing w:val="-4"/>
        </w:rPr>
      </w:pPr>
      <w:r w:rsidRPr="00696AB1">
        <w:rPr>
          <w:smallCaps/>
          <w:spacing w:val="-4"/>
        </w:rPr>
        <w:t xml:space="preserve">Kenneth </w:t>
      </w:r>
      <w:proofErr w:type="spellStart"/>
      <w:r w:rsidR="00377CC4" w:rsidRPr="00696AB1">
        <w:rPr>
          <w:smallCaps/>
          <w:spacing w:val="-4"/>
        </w:rPr>
        <w:t>Rogoff</w:t>
      </w:r>
      <w:proofErr w:type="spellEnd"/>
      <w:r w:rsidR="007F0AC2" w:rsidRPr="00696AB1">
        <w:rPr>
          <w:rStyle w:val="Refdenotaalpie"/>
          <w:spacing w:val="-4"/>
        </w:rPr>
        <w:footnoteReference w:id="22"/>
      </w:r>
      <w:r w:rsidR="007F0AC2" w:rsidRPr="00696AB1">
        <w:rPr>
          <w:spacing w:val="-4"/>
        </w:rPr>
        <w:t xml:space="preserve"> </w:t>
      </w:r>
      <w:r w:rsidR="00377CC4" w:rsidRPr="00696AB1">
        <w:rPr>
          <w:spacing w:val="-4"/>
        </w:rPr>
        <w:t xml:space="preserve">y </w:t>
      </w:r>
      <w:r w:rsidR="00377CC4" w:rsidRPr="00696AB1">
        <w:rPr>
          <w:smallCaps/>
          <w:spacing w:val="-4"/>
        </w:rPr>
        <w:t>Jesús Fernández-Villaverde</w:t>
      </w:r>
      <w:r w:rsidR="00377CC4" w:rsidRPr="00696AB1">
        <w:rPr>
          <w:spacing w:val="-4"/>
        </w:rPr>
        <w:t xml:space="preserve"> proponen eliminar el dinero en efectivo. E</w:t>
      </w:r>
      <w:r w:rsidR="008A7EDD" w:rsidRPr="00696AB1">
        <w:rPr>
          <w:spacing w:val="-4"/>
        </w:rPr>
        <w:t>l</w:t>
      </w:r>
      <w:r w:rsidR="00377CC4" w:rsidRPr="00696AB1">
        <w:rPr>
          <w:spacing w:val="-4"/>
        </w:rPr>
        <w:t xml:space="preserve"> problema de la política monetaria es la existencia de dinero en efectivo en la economía que </w:t>
      </w:r>
      <w:r w:rsidR="00377CC4" w:rsidRPr="00696AB1">
        <w:rPr>
          <w:i/>
          <w:iCs/>
          <w:spacing w:val="-4"/>
        </w:rPr>
        <w:t>es el factor que genera la cota inferior a los tipos de interés</w:t>
      </w:r>
      <w:r w:rsidR="007F0AC2" w:rsidRPr="00696AB1">
        <w:rPr>
          <w:i/>
          <w:iCs/>
          <w:spacing w:val="-4"/>
        </w:rPr>
        <w:t xml:space="preserve"> nominales</w:t>
      </w:r>
      <w:r w:rsidR="00377CC4" w:rsidRPr="00696AB1">
        <w:rPr>
          <w:i/>
          <w:iCs/>
          <w:spacing w:val="-4"/>
        </w:rPr>
        <w:t xml:space="preserve"> </w:t>
      </w:r>
      <w:r w:rsidR="00377CC4" w:rsidRPr="00696AB1">
        <w:rPr>
          <w:spacing w:val="-4"/>
        </w:rPr>
        <w:t>y provoca un tipo de interés real artificialmente alto.</w:t>
      </w:r>
    </w:p>
    <w:p w14:paraId="58FC5BDD" w14:textId="77777777" w:rsidR="00096281" w:rsidRDefault="00096281" w:rsidP="00096281">
      <w:pPr>
        <w:pStyle w:val="Nivel1SM"/>
        <w:keepNext/>
        <w:spacing w:after="0"/>
      </w:pPr>
      <w:r>
        <w:t>No obstante, una economía sin metálico puede enfrentarse a problemas serios:</w:t>
      </w:r>
    </w:p>
    <w:p w14:paraId="645D229F" w14:textId="77777777" w:rsidR="00096281" w:rsidRDefault="00096281" w:rsidP="00096281">
      <w:pPr>
        <w:pStyle w:val="Nivel2SM"/>
      </w:pPr>
      <w:r>
        <w:t>La pérdida de anonimato en las transacciones.</w:t>
      </w:r>
    </w:p>
    <w:p w14:paraId="640618D5" w14:textId="77777777" w:rsidR="00096281" w:rsidRDefault="00096281" w:rsidP="00096281">
      <w:pPr>
        <w:pStyle w:val="Nivel2SM"/>
      </w:pPr>
      <w:r>
        <w:t>La dificultad de integrar en el sistema a las personas de mayor edad y con menores recursos.</w:t>
      </w:r>
    </w:p>
    <w:p w14:paraId="58F392DF" w14:textId="77777777" w:rsidR="00096281" w:rsidRDefault="00096281" w:rsidP="00096281">
      <w:pPr>
        <w:pStyle w:val="Nivel2SM"/>
      </w:pPr>
      <w:r>
        <w:t>La fiabilidad de la red de pagos (solidez, seguridad, etc.).</w:t>
      </w:r>
    </w:p>
    <w:p w14:paraId="72B9C03E" w14:textId="28A920DE" w:rsidR="00096281" w:rsidRDefault="00096281" w:rsidP="00096281">
      <w:pPr>
        <w:pStyle w:val="Nivel1SM"/>
        <w:keepNext/>
        <w:spacing w:after="0"/>
      </w:pPr>
      <w:r>
        <w:t>En cualquier caso, no se trataría de una revolución, al menos no en términos cuantitativos: en algunos países de la UE, las transacciones realizadas con efectivo representan menos de la mitad del total (Dinamarca: 25 %; Suecia: 2 %).</w:t>
      </w:r>
    </w:p>
    <w:p w14:paraId="5B10F84B" w14:textId="4BF098DC" w:rsidR="00096281" w:rsidRDefault="00096281" w:rsidP="00096281">
      <w:pPr>
        <w:pStyle w:val="Nivel2SM"/>
      </w:pPr>
      <w:r>
        <w:t>No obstante, en España el 80</w:t>
      </w:r>
      <w:r w:rsidR="00C63DEB">
        <w:t> </w:t>
      </w:r>
      <w:r>
        <w:t>% de las transacciones se realizan todavía en efectivo (aunque sólo representan el 46 % en valor).</w:t>
      </w:r>
    </w:p>
    <w:p w14:paraId="58DD8276" w14:textId="0172F7F3" w:rsidR="00377CC4" w:rsidRDefault="00377CC4">
      <w:pPr>
        <w:pStyle w:val="Ttulo7"/>
        <w:numPr>
          <w:ilvl w:val="0"/>
          <w:numId w:val="15"/>
        </w:numPr>
        <w:ind w:left="1135" w:hanging="284"/>
      </w:pPr>
      <w:bookmarkStart w:id="101" w:name="_Ref120547943"/>
      <w:r>
        <w:t>Buscar anclar las expectativas de inflación en niveles más altos</w:t>
      </w:r>
      <w:bookmarkEnd w:id="101"/>
    </w:p>
    <w:p w14:paraId="44D22DD6" w14:textId="6240FFC8" w:rsidR="00870131" w:rsidRPr="008E222A" w:rsidRDefault="00D74CDB" w:rsidP="00417A95">
      <w:pPr>
        <w:pStyle w:val="Nivel1SM"/>
        <w:spacing w:before="0"/>
      </w:pPr>
      <w:bookmarkStart w:id="102" w:name="_Hlk121045013"/>
      <w:proofErr w:type="spellStart"/>
      <w:r w:rsidRPr="008E222A">
        <w:rPr>
          <w:i/>
          <w:iCs/>
        </w:rPr>
        <w:t>Average</w:t>
      </w:r>
      <w:r w:rsidR="008E222A">
        <w:rPr>
          <w:i/>
          <w:iCs/>
        </w:rPr>
        <w:t>-</w:t>
      </w:r>
      <w:r w:rsidRPr="008E222A">
        <w:rPr>
          <w:i/>
          <w:iCs/>
        </w:rPr>
        <w:t>in</w:t>
      </w:r>
      <w:r w:rsidR="008E222A" w:rsidRPr="008E222A">
        <w:rPr>
          <w:i/>
          <w:iCs/>
        </w:rPr>
        <w:t>f</w:t>
      </w:r>
      <w:r w:rsidRPr="008E222A">
        <w:rPr>
          <w:i/>
          <w:iCs/>
        </w:rPr>
        <w:t>lation</w:t>
      </w:r>
      <w:proofErr w:type="spellEnd"/>
      <w:r w:rsidRPr="008E222A">
        <w:rPr>
          <w:i/>
          <w:iCs/>
        </w:rPr>
        <w:t xml:space="preserve"> targeting de la </w:t>
      </w:r>
      <w:r w:rsidR="00354A35" w:rsidRPr="00354A35">
        <w:rPr>
          <w:i/>
          <w:iCs/>
        </w:rPr>
        <w:t>Reserva Federal</w:t>
      </w:r>
      <w:r w:rsidR="00FA1128">
        <w:rPr>
          <w:rStyle w:val="Refdenotaalpie"/>
        </w:rPr>
        <w:footnoteReference w:id="23"/>
      </w:r>
      <w:r w:rsidRPr="008E222A">
        <w:t xml:space="preserve">: </w:t>
      </w:r>
      <w:r w:rsidR="008E222A" w:rsidRPr="008E222A">
        <w:t xml:space="preserve">A diferencia del </w:t>
      </w:r>
      <w:proofErr w:type="spellStart"/>
      <w:r w:rsidR="008E222A" w:rsidRPr="008E222A">
        <w:rPr>
          <w:i/>
          <w:iCs/>
        </w:rPr>
        <w:t>inflation</w:t>
      </w:r>
      <w:proofErr w:type="spellEnd"/>
      <w:r w:rsidR="008E222A" w:rsidRPr="008E222A">
        <w:rPr>
          <w:i/>
          <w:iCs/>
        </w:rPr>
        <w:t xml:space="preserve"> targeting</w:t>
      </w:r>
      <w:r w:rsidR="008E222A" w:rsidRPr="008E222A">
        <w:t xml:space="preserve"> </w:t>
      </w:r>
      <w:r w:rsidR="008E222A">
        <w:t>(</w:t>
      </w:r>
      <w:r w:rsidR="008E222A" w:rsidRPr="008E222A">
        <w:t>que persigue mantener una</w:t>
      </w:r>
      <w:r w:rsidR="008E222A">
        <w:t xml:space="preserve"> tasa de inflación constante a lo largo del tiempo) el </w:t>
      </w:r>
      <w:proofErr w:type="spellStart"/>
      <w:r w:rsidR="008E222A" w:rsidRPr="008E222A">
        <w:rPr>
          <w:i/>
          <w:iCs/>
        </w:rPr>
        <w:t>price-level</w:t>
      </w:r>
      <w:proofErr w:type="spellEnd"/>
      <w:r w:rsidR="008E222A" w:rsidRPr="008E222A">
        <w:rPr>
          <w:i/>
          <w:iCs/>
        </w:rPr>
        <w:t xml:space="preserve"> targeting</w:t>
      </w:r>
      <w:r w:rsidR="008E222A">
        <w:t xml:space="preserve"> o </w:t>
      </w:r>
      <w:proofErr w:type="spellStart"/>
      <w:r w:rsidR="008E222A" w:rsidRPr="008E222A">
        <w:rPr>
          <w:i/>
          <w:iCs/>
        </w:rPr>
        <w:t>average-inflation</w:t>
      </w:r>
      <w:proofErr w:type="spellEnd"/>
      <w:r w:rsidR="008E222A" w:rsidRPr="008E222A">
        <w:rPr>
          <w:i/>
          <w:iCs/>
        </w:rPr>
        <w:t xml:space="preserve"> targeting</w:t>
      </w:r>
      <w:r w:rsidR="008E222A">
        <w:t xml:space="preserve"> permite compensar períodos de inflación superior (o inferior) al objetivo, con períodos de inflación inferior (o superior) al objetivo.</w:t>
      </w:r>
    </w:p>
    <w:p w14:paraId="10FFA7F6" w14:textId="20DAE99C" w:rsidR="007F07B0" w:rsidRPr="007F07B0" w:rsidRDefault="007F07B0" w:rsidP="007F07B0">
      <w:pPr>
        <w:pStyle w:val="Ttuloimagen"/>
        <w:rPr>
          <w:i/>
          <w:iCs/>
          <w:smallCaps w:val="0"/>
          <w:lang w:val="en-US"/>
        </w:rPr>
      </w:pPr>
      <w:r w:rsidRPr="007F07B0">
        <w:rPr>
          <w:lang w:val="en-US"/>
        </w:rPr>
        <w:t>Imagen</w:t>
      </w:r>
      <w:r w:rsidR="00417A95">
        <w:rPr>
          <w:lang w:val="en-US"/>
        </w:rPr>
        <w:t> </w:t>
      </w:r>
      <w:r>
        <w:fldChar w:fldCharType="begin"/>
      </w:r>
      <w:r w:rsidRPr="007F07B0">
        <w:rPr>
          <w:lang w:val="en-US"/>
        </w:rPr>
        <w:instrText xml:space="preserve"> SEQ Ilustración \* ARABIC </w:instrText>
      </w:r>
      <w:r>
        <w:fldChar w:fldCharType="separate"/>
      </w:r>
      <w:r w:rsidR="003F54C7">
        <w:rPr>
          <w:lang w:val="en-US"/>
        </w:rPr>
        <w:t>3</w:t>
      </w:r>
      <w:r>
        <w:fldChar w:fldCharType="end"/>
      </w:r>
      <w:r w:rsidRPr="007F07B0">
        <w:rPr>
          <w:smallCaps w:val="0"/>
          <w:lang w:val="en-US"/>
        </w:rPr>
        <w:t xml:space="preserve">.– </w:t>
      </w:r>
      <w:r w:rsidRPr="007F07B0">
        <w:rPr>
          <w:i/>
          <w:iCs/>
          <w:smallCaps w:val="0"/>
          <w:lang w:val="en-US"/>
        </w:rPr>
        <w:t>Inflation and price-level targeting compared</w:t>
      </w:r>
    </w:p>
    <w:p w14:paraId="3313CA53" w14:textId="25A39E61" w:rsidR="00D74CDB" w:rsidRDefault="00D74CDB" w:rsidP="00D74CDB">
      <w:pPr>
        <w:pStyle w:val="Imagen"/>
      </w:pPr>
      <w:r>
        <w:drawing>
          <wp:inline distT="0" distB="0" distL="0" distR="0" wp14:anchorId="4535A809" wp14:editId="37174BA5">
            <wp:extent cx="3603679" cy="1178169"/>
            <wp:effectExtent l="0" t="0" r="0" b="3175"/>
            <wp:docPr id="25" name="Imagen 25"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Forma&#10;&#10;Descripción generada automáticamente con confianza medi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19865" cy="1183461"/>
                    </a:xfrm>
                    <a:prstGeom prst="rect">
                      <a:avLst/>
                    </a:prstGeom>
                    <a:noFill/>
                    <a:ln>
                      <a:noFill/>
                    </a:ln>
                  </pic:spPr>
                </pic:pic>
              </a:graphicData>
            </a:graphic>
          </wp:inline>
        </w:drawing>
      </w:r>
    </w:p>
    <w:p w14:paraId="3DF70C15" w14:textId="68E48669" w:rsidR="00D74CDB" w:rsidRPr="008C588C" w:rsidRDefault="00D74CDB" w:rsidP="00D74CDB">
      <w:pPr>
        <w:pStyle w:val="PiedeImagen"/>
        <w:rPr>
          <w:i w:val="0"/>
          <w:iCs/>
        </w:rPr>
      </w:pPr>
      <w:r w:rsidRPr="00D74CDB">
        <w:rPr>
          <w:lang w:val="en-US"/>
        </w:rPr>
        <w:t>Fuente</w:t>
      </w:r>
      <w:r w:rsidRPr="00D74CDB">
        <w:rPr>
          <w:i w:val="0"/>
          <w:iCs/>
          <w:lang w:val="en-US"/>
        </w:rPr>
        <w:t>: Minford, P. &amp; Hatcher, M. (</w:t>
      </w:r>
      <w:r>
        <w:rPr>
          <w:i w:val="0"/>
          <w:iCs/>
          <w:lang w:val="en-US"/>
        </w:rPr>
        <w:t>2014</w:t>
      </w:r>
      <w:r w:rsidRPr="00D74CDB">
        <w:rPr>
          <w:i w:val="0"/>
          <w:iCs/>
          <w:lang w:val="en-US"/>
        </w:rPr>
        <w:t xml:space="preserve">). </w:t>
      </w:r>
      <w:r w:rsidRPr="00D74CDB">
        <w:rPr>
          <w:lang w:val="en-US"/>
        </w:rPr>
        <w:t>Inflation targeting vs price-level targeting: A new survey of theory and empirics</w:t>
      </w:r>
      <w:r w:rsidRPr="00D74CDB">
        <w:rPr>
          <w:i w:val="0"/>
          <w:iCs/>
          <w:lang w:val="en-US"/>
        </w:rPr>
        <w:t>.</w:t>
      </w:r>
      <w:r>
        <w:rPr>
          <w:i w:val="0"/>
          <w:iCs/>
          <w:lang w:val="en-US"/>
        </w:rPr>
        <w:t xml:space="preserve"> </w:t>
      </w:r>
      <w:r w:rsidRPr="00E51B66">
        <w:rPr>
          <w:i w:val="0"/>
          <w:iCs/>
          <w:lang w:val="fr-FR"/>
        </w:rPr>
        <w:t xml:space="preserve">CEPR. </w:t>
      </w:r>
      <w:hyperlink r:id="rId16" w:history="1">
        <w:r w:rsidRPr="008C588C">
          <w:rPr>
            <w:rStyle w:val="Hipervnculo"/>
            <w:i w:val="0"/>
            <w:iCs/>
          </w:rPr>
          <w:t>https://cepr.org/voxeu/columns/inflation-targeting-vs-price-level-targeting-new-survey-theory-and-empirics</w:t>
        </w:r>
      </w:hyperlink>
    </w:p>
    <w:bookmarkEnd w:id="102"/>
    <w:p w14:paraId="740501FC" w14:textId="2CD2AFED" w:rsidR="00D74CDB" w:rsidRDefault="008E222A" w:rsidP="008E222A">
      <w:pPr>
        <w:pStyle w:val="Nivel1SM"/>
        <w:keepNext/>
        <w:spacing w:after="0"/>
      </w:pPr>
      <w:r>
        <w:rPr>
          <w:i/>
          <w:iCs/>
        </w:rPr>
        <w:t xml:space="preserve">Forward </w:t>
      </w:r>
      <w:proofErr w:type="spellStart"/>
      <w:r>
        <w:rPr>
          <w:i/>
          <w:iCs/>
        </w:rPr>
        <w:t>guidance</w:t>
      </w:r>
      <w:proofErr w:type="spellEnd"/>
      <w:r>
        <w:t>: Otra forma de conseguir anclar las expectativas de inflación en niveles más altos es la comunicación de compromisos sobre la política monetaria (</w:t>
      </w:r>
      <w:r>
        <w:rPr>
          <w:i/>
          <w:iCs/>
        </w:rPr>
        <w:t>“Esperaremos que los tipos de interés queden en niveles bajos por un tiempo, seguiremos comprando activos hasta 2019 mínimo.”</w:t>
      </w:r>
      <w:r>
        <w:t>).</w:t>
      </w:r>
    </w:p>
    <w:p w14:paraId="29B3E9AC" w14:textId="6396B746" w:rsidR="008E222A" w:rsidRPr="00D74CDB" w:rsidRDefault="008E222A" w:rsidP="008E222A">
      <w:pPr>
        <w:pStyle w:val="Nivel2SM"/>
      </w:pPr>
      <w:r>
        <w:t>La clave para que esta táctica funcione es la credibilidad de los anuncios. Existe diversa evidencia empírica que afirma que los efectos de esta medida han sido positivos pero no muy significativos. Un</w:t>
      </w:r>
      <w:r w:rsidR="004D4194">
        <w:t xml:space="preserve"> fundamento teórico</w:t>
      </w:r>
      <w:r w:rsidR="00E3437D">
        <w:t xml:space="preserve"> de estos resultados</w:t>
      </w:r>
      <w:r w:rsidR="004D4194">
        <w:t xml:space="preserve"> siguiendo el modelo canónico de la NEK sería que la sustitución </w:t>
      </w:r>
      <w:proofErr w:type="spellStart"/>
      <w:r w:rsidR="004D4194">
        <w:t>intertemporal</w:t>
      </w:r>
      <w:proofErr w:type="spellEnd"/>
      <w:r w:rsidR="004D4194">
        <w:t xml:space="preserve"> sea reducida.</w:t>
      </w:r>
    </w:p>
    <w:p w14:paraId="316F3E33" w14:textId="3DBE801C" w:rsidR="00D74CDB" w:rsidRDefault="00D74CDB">
      <w:pPr>
        <w:pStyle w:val="Ttulo7"/>
        <w:numPr>
          <w:ilvl w:val="0"/>
          <w:numId w:val="15"/>
        </w:numPr>
        <w:ind w:left="1135" w:hanging="284"/>
      </w:pPr>
      <w:bookmarkStart w:id="103" w:name="_Ref120547947"/>
      <w:proofErr w:type="spellStart"/>
      <w:r>
        <w:t>Yield</w:t>
      </w:r>
      <w:proofErr w:type="spellEnd"/>
      <w:r>
        <w:t xml:space="preserve"> curve control</w:t>
      </w:r>
      <w:bookmarkEnd w:id="103"/>
    </w:p>
    <w:p w14:paraId="2A9B2AA0" w14:textId="5DF0AACE" w:rsidR="00D74CDB" w:rsidRDefault="0043163B" w:rsidP="00417A95">
      <w:pPr>
        <w:pStyle w:val="Nivel1SM"/>
        <w:keepNext/>
        <w:spacing w:before="0" w:after="0"/>
      </w:pPr>
      <w:r>
        <w:t xml:space="preserve">La idea es que, si bien el tipo de interés a croto plazo está limitado por el </w:t>
      </w:r>
      <w:proofErr w:type="spellStart"/>
      <w:r>
        <w:rPr>
          <w:i/>
          <w:iCs/>
        </w:rPr>
        <w:t>Effective</w:t>
      </w:r>
      <w:proofErr w:type="spellEnd"/>
      <w:r>
        <w:rPr>
          <w:i/>
          <w:iCs/>
        </w:rPr>
        <w:t xml:space="preserve"> </w:t>
      </w:r>
      <w:proofErr w:type="spellStart"/>
      <w:r>
        <w:rPr>
          <w:i/>
          <w:iCs/>
        </w:rPr>
        <w:t>Lower</w:t>
      </w:r>
      <w:proofErr w:type="spellEnd"/>
      <w:r>
        <w:rPr>
          <w:i/>
          <w:iCs/>
        </w:rPr>
        <w:t xml:space="preserve"> </w:t>
      </w:r>
      <w:proofErr w:type="spellStart"/>
      <w:r>
        <w:rPr>
          <w:i/>
          <w:iCs/>
        </w:rPr>
        <w:t>Bound</w:t>
      </w:r>
      <w:proofErr w:type="spellEnd"/>
      <w:r>
        <w:t>, el tipo de interés a largo plazo todavía puede disminuir. E</w:t>
      </w:r>
      <w:r w:rsidR="006F0B9B">
        <w:t>l</w:t>
      </w:r>
      <w:r>
        <w:t xml:space="preserve"> tipo de interés a largo plazo es, en muchos </w:t>
      </w:r>
      <w:r>
        <w:lastRenderedPageBreak/>
        <w:t>casos, más relevante que el de corto plazo para las decisiones de consumo e inversión de hogares y empresas.</w:t>
      </w:r>
    </w:p>
    <w:p w14:paraId="4B3630A4" w14:textId="56296EDE" w:rsidR="0043163B" w:rsidRDefault="0043163B" w:rsidP="0043163B">
      <w:pPr>
        <w:pStyle w:val="Nivel2SM"/>
      </w:pPr>
      <w:r w:rsidRPr="0043163B">
        <w:rPr>
          <w:i/>
          <w:iCs/>
        </w:rPr>
        <w:t>Mecanismo de transmisión</w:t>
      </w:r>
      <w:r>
        <w:t xml:space="preserve">: </w:t>
      </w:r>
      <w:r w:rsidR="008B5FCB">
        <w:t>T</w:t>
      </w:r>
      <w:r>
        <w:t>ipo de interés a largo plazo.</w:t>
      </w:r>
    </w:p>
    <w:p w14:paraId="32BCDF35" w14:textId="22200C98" w:rsidR="0043163B" w:rsidRPr="00D74CDB" w:rsidRDefault="0043163B" w:rsidP="0043163B">
      <w:pPr>
        <w:pStyle w:val="Nivel2SM"/>
      </w:pPr>
      <w:r w:rsidRPr="0043163B">
        <w:rPr>
          <w:i/>
          <w:iCs/>
        </w:rPr>
        <w:t>Efectos</w:t>
      </w:r>
      <w:r>
        <w:t xml:space="preserve">: </w:t>
      </w:r>
      <w:r w:rsidR="008B5FCB">
        <w:t>S</w:t>
      </w:r>
      <w:r>
        <w:t xml:space="preserve">i se </w:t>
      </w:r>
      <w:r w:rsidR="008B5FCB">
        <w:t>consigue</w:t>
      </w:r>
      <w:r>
        <w:t xml:space="preserve"> reducir el tipo de interés a largo plazo se estará consiguiendo una expansión monetaria adicional que podría tener efectos expansivos.</w:t>
      </w:r>
    </w:p>
    <w:p w14:paraId="64C160E6" w14:textId="081A23E7" w:rsidR="00D74CDB" w:rsidRPr="00D74CDB" w:rsidRDefault="00D74CDB">
      <w:pPr>
        <w:pStyle w:val="Ttulo7"/>
        <w:numPr>
          <w:ilvl w:val="0"/>
          <w:numId w:val="15"/>
        </w:numPr>
        <w:ind w:left="1135" w:hanging="284"/>
      </w:pPr>
      <w:bookmarkStart w:id="104" w:name="_Ref120547950"/>
      <w:r>
        <w:t>Concesión de liquidez condicionada a la concesión de créditos a la economía real</w:t>
      </w:r>
      <w:bookmarkEnd w:id="104"/>
    </w:p>
    <w:p w14:paraId="521D0933" w14:textId="60CC691C" w:rsidR="00377CC4" w:rsidRDefault="00D74CDB">
      <w:pPr>
        <w:pStyle w:val="Ttulo7"/>
        <w:numPr>
          <w:ilvl w:val="0"/>
          <w:numId w:val="15"/>
        </w:numPr>
        <w:ind w:left="1135" w:hanging="284"/>
      </w:pPr>
      <w:bookmarkStart w:id="105" w:name="_Ref120547953"/>
      <w:r>
        <w:t>Políticas monetarias no convencionales basadas en compras de activos (</w:t>
      </w:r>
      <w:proofErr w:type="spellStart"/>
      <w:r>
        <w:t>Quantitative</w:t>
      </w:r>
      <w:proofErr w:type="spellEnd"/>
      <w:r>
        <w:t xml:space="preserve"> </w:t>
      </w:r>
      <w:proofErr w:type="spellStart"/>
      <w:r>
        <w:t>Easing</w:t>
      </w:r>
      <w:proofErr w:type="spellEnd"/>
      <w:r>
        <w:t>, QE)</w:t>
      </w:r>
      <w:bookmarkEnd w:id="105"/>
    </w:p>
    <w:p w14:paraId="5BFBFEE7" w14:textId="07EC2332" w:rsidR="00377CC4" w:rsidRDefault="0043163B" w:rsidP="000C032A">
      <w:pPr>
        <w:pStyle w:val="Nivel1SM"/>
        <w:keepNext/>
        <w:spacing w:before="0" w:after="0"/>
      </w:pPr>
      <w:r>
        <w:t>El objetivo es facilitar las condiciones de financiación de los agentes para así generar un efecto expansivo.</w:t>
      </w:r>
    </w:p>
    <w:p w14:paraId="090EEFFD" w14:textId="5DF945CD" w:rsidR="0043163B" w:rsidRDefault="0043163B" w:rsidP="00E3437D">
      <w:pPr>
        <w:pStyle w:val="Nivel2SM"/>
      </w:pPr>
      <w:r>
        <w:t>(+) Reduce el coste de financiación de países y reduce volatilidad de los mercados financieros.</w:t>
      </w:r>
    </w:p>
    <w:p w14:paraId="0AA9E31C" w14:textId="7D8369B2" w:rsidR="0043163B" w:rsidRPr="00C63DEB" w:rsidRDefault="0043163B" w:rsidP="00E3437D">
      <w:pPr>
        <w:pStyle w:val="Nivel2SM"/>
        <w:rPr>
          <w:spacing w:val="-3"/>
        </w:rPr>
      </w:pPr>
      <w:r w:rsidRPr="00C63DEB">
        <w:rPr>
          <w:spacing w:val="-3"/>
        </w:rPr>
        <w:t>(+) Genera confianza sobre respaldo autoridad monetaria a la actividad ante posibles turbulencia.</w:t>
      </w:r>
    </w:p>
    <w:p w14:paraId="357ABE89" w14:textId="6518F13E" w:rsidR="0043163B" w:rsidRDefault="0043163B" w:rsidP="00E3437D">
      <w:pPr>
        <w:pStyle w:val="Nivel1SM"/>
        <w:keepNext/>
        <w:spacing w:after="0"/>
      </w:pPr>
      <w:r>
        <w:t xml:space="preserve">El QE no tiene efectos sobre la actividad </w:t>
      </w:r>
      <w:r w:rsidRPr="0043163B">
        <w:rPr>
          <w:i/>
          <w:iCs/>
        </w:rPr>
        <w:t>“</w:t>
      </w:r>
      <w:r>
        <w:rPr>
          <w:i/>
          <w:iCs/>
        </w:rPr>
        <w:t xml:space="preserve">A Modigliani-Miller </w:t>
      </w:r>
      <w:proofErr w:type="spellStart"/>
      <w:r>
        <w:rPr>
          <w:i/>
          <w:iCs/>
        </w:rPr>
        <w:t>theorem</w:t>
      </w:r>
      <w:proofErr w:type="spellEnd"/>
      <w:r>
        <w:rPr>
          <w:i/>
          <w:iCs/>
        </w:rPr>
        <w:t xml:space="preserve"> </w:t>
      </w:r>
      <w:proofErr w:type="spellStart"/>
      <w:r>
        <w:rPr>
          <w:i/>
          <w:iCs/>
        </w:rPr>
        <w:t>for</w:t>
      </w:r>
      <w:proofErr w:type="spellEnd"/>
      <w:r>
        <w:rPr>
          <w:i/>
          <w:iCs/>
        </w:rPr>
        <w:t xml:space="preserve"> Open-</w:t>
      </w:r>
      <w:proofErr w:type="spellStart"/>
      <w:r>
        <w:rPr>
          <w:i/>
          <w:iCs/>
        </w:rPr>
        <w:t>Market</w:t>
      </w:r>
      <w:proofErr w:type="spellEnd"/>
      <w:r>
        <w:rPr>
          <w:i/>
          <w:iCs/>
        </w:rPr>
        <w:t xml:space="preserve"> </w:t>
      </w:r>
      <w:proofErr w:type="spellStart"/>
      <w:r>
        <w:rPr>
          <w:i/>
          <w:iCs/>
        </w:rPr>
        <w:t>Operations</w:t>
      </w:r>
      <w:proofErr w:type="spellEnd"/>
      <w:r w:rsidRPr="0043163B">
        <w:rPr>
          <w:i/>
          <w:iCs/>
        </w:rPr>
        <w:t>”</w:t>
      </w:r>
      <w:r>
        <w:t xml:space="preserve"> (</w:t>
      </w:r>
      <w:r>
        <w:rPr>
          <w:smallCaps/>
        </w:rPr>
        <w:t>Neil Wallace</w:t>
      </w:r>
      <w:r>
        <w:t>, 1981)</w:t>
      </w:r>
    </w:p>
    <w:p w14:paraId="3CC624CA" w14:textId="70B0FCC6" w:rsidR="00D770C2" w:rsidRDefault="0043163B" w:rsidP="00D770C2">
      <w:pPr>
        <w:pStyle w:val="Nivel2SM"/>
        <w:keepNext/>
        <w:spacing w:after="0"/>
      </w:pPr>
      <w:r>
        <w:t>La intuición de por</w:t>
      </w:r>
      <w:r w:rsidR="00161CB4">
        <w:t xml:space="preserve"> </w:t>
      </w:r>
      <w:r>
        <w:t>qu</w:t>
      </w:r>
      <w:r w:rsidR="00161CB4">
        <w:t>é</w:t>
      </w:r>
      <w:r>
        <w:t xml:space="preserve"> programas de compra de activos no tienen efectos reales se retrotrae a un artículo de </w:t>
      </w:r>
      <w:r>
        <w:rPr>
          <w:smallCaps/>
        </w:rPr>
        <w:t>Neil Wallace</w:t>
      </w:r>
      <w:r>
        <w:t xml:space="preserve"> de 1981.</w:t>
      </w:r>
    </w:p>
    <w:p w14:paraId="71DCD91F" w14:textId="08CA89B9" w:rsidR="00E3437D" w:rsidRDefault="0043163B" w:rsidP="00D770C2">
      <w:pPr>
        <w:pStyle w:val="Nivel3SM"/>
      </w:pPr>
      <w:r>
        <w:rPr>
          <w:smallCaps/>
        </w:rPr>
        <w:t>Wallace</w:t>
      </w:r>
      <w:r>
        <w:t xml:space="preserve"> </w:t>
      </w:r>
      <w:r w:rsidR="00D770C2">
        <w:t>halla</w:t>
      </w:r>
      <w:r w:rsidR="00161CB4">
        <w:t xml:space="preserve"> que</w:t>
      </w:r>
      <w:r>
        <w:t xml:space="preserve">, bajo ciertas condiciones, las operaciones de mercado abierto como las anunciadas por la </w:t>
      </w:r>
      <w:r w:rsidR="00161CB4">
        <w:t>Reserva Federal</w:t>
      </w:r>
      <w:r>
        <w:t>, y más en general, el tamaño y composición del balance del banco central de un país, son irrelevantes.</w:t>
      </w:r>
    </w:p>
    <w:p w14:paraId="4DD69A1B" w14:textId="4C8061D9" w:rsidR="0043163B" w:rsidRDefault="0043163B" w:rsidP="00D770C2">
      <w:pPr>
        <w:pStyle w:val="Nivel2SM"/>
        <w:keepNext/>
        <w:spacing w:after="0"/>
      </w:pPr>
      <w:r>
        <w:t xml:space="preserve">La respuesta de </w:t>
      </w:r>
      <w:r>
        <w:rPr>
          <w:smallCaps/>
        </w:rPr>
        <w:t>Wallace</w:t>
      </w:r>
      <w:r>
        <w:t xml:space="preserve"> es (</w:t>
      </w:r>
      <w:r>
        <w:rPr>
          <w:i/>
          <w:iCs/>
        </w:rPr>
        <w:t>i</w:t>
      </w:r>
      <w:r>
        <w:t>)</w:t>
      </w:r>
      <w:r w:rsidR="00417A95">
        <w:t> </w:t>
      </w:r>
      <w:r>
        <w:t xml:space="preserve">no hay un tamaño óptimo del balance de la </w:t>
      </w:r>
      <w:r w:rsidR="00161CB4">
        <w:t>Reserva Federal</w:t>
      </w:r>
      <w:r>
        <w:t xml:space="preserve"> y (</w:t>
      </w:r>
      <w:proofErr w:type="spellStart"/>
      <w:r>
        <w:rPr>
          <w:i/>
          <w:iCs/>
        </w:rPr>
        <w:t>ii</w:t>
      </w:r>
      <w:proofErr w:type="spellEnd"/>
      <w:r>
        <w:t>)</w:t>
      </w:r>
      <w:r w:rsidR="00417A95">
        <w:t> </w:t>
      </w:r>
      <w:r>
        <w:t>dado que no hay un tamaño óptimo, el tamaño actual es tan bueno como otro cualquiera.</w:t>
      </w:r>
    </w:p>
    <w:p w14:paraId="22600D7C" w14:textId="18932972" w:rsidR="00E3437D" w:rsidRDefault="0043163B" w:rsidP="00D770C2">
      <w:pPr>
        <w:pStyle w:val="Nivel3SM"/>
        <w:keepNext/>
      </w:pPr>
      <w:r>
        <w:t xml:space="preserve">La intuición del resultado de </w:t>
      </w:r>
      <w:r w:rsidRPr="00E3437D">
        <w:rPr>
          <w:smallCaps/>
        </w:rPr>
        <w:t>Wallace</w:t>
      </w:r>
      <w:r>
        <w:t xml:space="preserve"> es en realidad trivial: lo único que hizo el QE en </w:t>
      </w:r>
      <w:r w:rsidR="00C96CF1">
        <w:t>Estados Unidos</w:t>
      </w:r>
      <w:r>
        <w:t xml:space="preserve"> es cambiar la madurez de la deuda del tesoro americano.</w:t>
      </w:r>
    </w:p>
    <w:p w14:paraId="2B63854F" w14:textId="298E6EA0" w:rsidR="00E3437D" w:rsidRDefault="0043163B" w:rsidP="00D770C2">
      <w:pPr>
        <w:pStyle w:val="Nivel4"/>
        <w:ind w:left="1474"/>
      </w:pPr>
      <w:r>
        <w:t xml:space="preserve">Cuando el </w:t>
      </w:r>
      <w:r w:rsidR="00E3437D">
        <w:t>B</w:t>
      </w:r>
      <w:r>
        <w:t xml:space="preserve">anco </w:t>
      </w:r>
      <w:r w:rsidR="00E3437D">
        <w:t>C</w:t>
      </w:r>
      <w:r>
        <w:t>entral incrementa sus activos comprando, por ejemplo, deuda pública a largo plazo, no cambia la deuda pública neta (el pasivo de la deuda a largo es exactamente compensado por el pasivo del dinero creado para comprarla</w:t>
      </w:r>
      <w:r w:rsidR="00D770C2">
        <w:t>)</w:t>
      </w:r>
      <w:r>
        <w:t xml:space="preserve">. No tiene efecto sobre el consumo, inversión y otras cosas porque no cambian ni las funciones objetivo de los agentes ni la restricción presupuestaria </w:t>
      </w:r>
      <w:proofErr w:type="spellStart"/>
      <w:r>
        <w:t>intertemporal</w:t>
      </w:r>
      <w:proofErr w:type="spellEnd"/>
      <w:r>
        <w:t xml:space="preserve"> del sector público (el efecto de ambos se netea).</w:t>
      </w:r>
    </w:p>
    <w:p w14:paraId="22F2605E" w14:textId="62A58B70" w:rsidR="0043163B" w:rsidRDefault="0043163B" w:rsidP="00D770C2">
      <w:pPr>
        <w:pStyle w:val="Nivel4"/>
        <w:ind w:left="1474"/>
      </w:pPr>
      <w:r>
        <w:t xml:space="preserve">Otra manera de verlo es que, en el margen, el vendedor de cédulas hipotecarias tiene que estar indiferente entre las cédulas y las reservas de dólares con las que la </w:t>
      </w:r>
      <w:r w:rsidR="00C96CF1">
        <w:t>Reserva Federal</w:t>
      </w:r>
      <w:r>
        <w:t xml:space="preserve"> le paga.</w:t>
      </w:r>
    </w:p>
    <w:p w14:paraId="18D7F517" w14:textId="59E78E4D" w:rsidR="00D770C2" w:rsidRDefault="00D770C2" w:rsidP="00E979F5">
      <w:pPr>
        <w:pStyle w:val="Nivel3SM"/>
        <w:keepNext/>
      </w:pPr>
      <w:r>
        <w:t>¿Es esto cierto?</w:t>
      </w:r>
    </w:p>
    <w:p w14:paraId="76C698AF" w14:textId="1B8C3E30" w:rsidR="0043163B" w:rsidRDefault="00D770C2" w:rsidP="00D770C2">
      <w:pPr>
        <w:pStyle w:val="Nivel4"/>
        <w:ind w:left="1474"/>
      </w:pPr>
      <w:r>
        <w:t xml:space="preserve">Por un lado, la experiencia vivida durante la Gran Recesión, concuerda con las tesis de </w:t>
      </w:r>
      <w:r>
        <w:rPr>
          <w:smallCaps/>
        </w:rPr>
        <w:t>Wallace</w:t>
      </w:r>
      <w:r>
        <w:t xml:space="preserve">, ya que </w:t>
      </w:r>
      <w:r w:rsidR="0043163B">
        <w:t xml:space="preserve">la </w:t>
      </w:r>
      <w:r w:rsidR="00C96CF1">
        <w:t>Reserva Federal</w:t>
      </w:r>
      <w:r w:rsidR="0043163B">
        <w:t xml:space="preserve"> cuadriplicó el balance y la inflación no sufrió consecuencias.</w:t>
      </w:r>
    </w:p>
    <w:p w14:paraId="4FA3AA76" w14:textId="77777777" w:rsidR="00E979F5" w:rsidRDefault="00D770C2" w:rsidP="00E979F5">
      <w:pPr>
        <w:pStyle w:val="Nivel4"/>
        <w:keepNext/>
        <w:ind w:left="1474"/>
      </w:pPr>
      <w:r>
        <w:t xml:space="preserve">Sin embargo, </w:t>
      </w:r>
      <w:r w:rsidR="00E979F5">
        <w:t xml:space="preserve">el razonamiento de </w:t>
      </w:r>
      <w:r w:rsidR="00E979F5">
        <w:rPr>
          <w:smallCaps/>
        </w:rPr>
        <w:t>Wallace</w:t>
      </w:r>
      <w:r w:rsidR="00E979F5">
        <w:t xml:space="preserve"> a</w:t>
      </w:r>
      <w:r w:rsidR="0043163B">
        <w:t>sume que los mercados financieros funcionan bien, y sin esta hipótesis la conclusión se nos cae.</w:t>
      </w:r>
    </w:p>
    <w:p w14:paraId="4471D979" w14:textId="439BEB6E" w:rsidR="0043163B" w:rsidRDefault="0043163B" w:rsidP="00E979F5">
      <w:pPr>
        <w:pStyle w:val="Nivel5"/>
        <w:ind w:left="1871"/>
      </w:pPr>
      <w:r>
        <w:t xml:space="preserve">Por ejemplo: papel fundamental de los bancos como intermediadores de crédito entre familias y empresas. Los bancos están sujetos a diversas restricciones como los </w:t>
      </w:r>
      <w:r w:rsidR="00F64BBB">
        <w:t>requisitos</w:t>
      </w:r>
      <w:r>
        <w:t xml:space="preserve"> de capital bancario. También existen imperfecciones – problemas de información asimétrica.</w:t>
      </w:r>
    </w:p>
    <w:p w14:paraId="4B698A78" w14:textId="77777777" w:rsidR="003A6BD7" w:rsidRDefault="0043163B" w:rsidP="003A6BD7">
      <w:pPr>
        <w:pStyle w:val="Nivel5"/>
        <w:keepNext/>
        <w:ind w:left="1871"/>
      </w:pPr>
      <w:r>
        <w:t>Pero, ¿se nos cae por mucho o por poco</w:t>
      </w:r>
      <w:r w:rsidR="00F64BBB">
        <w:t xml:space="preserve">? ¿Tienen las desviaciones de los supuestos un efecto de primer o de segundo orden? Ahí es donde necesitamos </w:t>
      </w:r>
      <w:r w:rsidR="00F64BBB">
        <w:lastRenderedPageBreak/>
        <w:t>un modelo con mercados financieros con fricciones y poner números más o menos razonables.</w:t>
      </w:r>
    </w:p>
    <w:p w14:paraId="2E138A2C" w14:textId="7E218B85" w:rsidR="0043163B" w:rsidRDefault="00F64BBB" w:rsidP="003A6BD7">
      <w:pPr>
        <w:pStyle w:val="Nivel6"/>
      </w:pPr>
      <w:r>
        <w:rPr>
          <w:smallCaps/>
        </w:rPr>
        <w:t>Woodford</w:t>
      </w:r>
      <w:r>
        <w:t xml:space="preserve"> ha investigado este asunto en un modelo </w:t>
      </w:r>
      <w:proofErr w:type="spellStart"/>
      <w:r>
        <w:t>neokeynesiano</w:t>
      </w:r>
      <w:proofErr w:type="spellEnd"/>
      <w:r>
        <w:t xml:space="preserve"> con rigideces nominales y financiera</w:t>
      </w:r>
      <w:r w:rsidR="003A6BD7">
        <w:t>s</w:t>
      </w:r>
      <w:r>
        <w:t xml:space="preserve"> y encuentra que los efectos de la flexibilización cuantitativa probablemente sean casi cero.</w:t>
      </w:r>
    </w:p>
    <w:p w14:paraId="70D436C3" w14:textId="1026ABFC" w:rsidR="00F64BBB" w:rsidRDefault="003A6BD7" w:rsidP="00E3437D">
      <w:pPr>
        <w:pStyle w:val="Nivel1SM"/>
        <w:keepNext/>
        <w:spacing w:after="0"/>
      </w:pPr>
      <w:r>
        <w:t>Sin embargo, en una economía abierta, e</w:t>
      </w:r>
      <w:r w:rsidR="00F64BBB">
        <w:t>l QE sí puede tener efectos:</w:t>
      </w:r>
    </w:p>
    <w:p w14:paraId="68335A88" w14:textId="543A8A9E" w:rsidR="00F64BBB" w:rsidRDefault="00F64BBB" w:rsidP="00E3437D">
      <w:pPr>
        <w:pStyle w:val="Nivel2SM"/>
        <w:keepNext/>
        <w:spacing w:after="0"/>
      </w:pPr>
      <w:r>
        <w:t>Efectos sobre la determinación del tipo de cambio (</w:t>
      </w:r>
      <w:r w:rsidR="000C032A">
        <w:rPr>
          <w:rFonts w:ascii="Times New Roman" w:hAnsi="Times New Roman" w:cs="Times New Roman"/>
        </w:rPr>
        <w:t>−</w:t>
      </w:r>
      <w:r>
        <w:t>)</w:t>
      </w:r>
      <w:r w:rsidR="000C032A">
        <w:t>:</w:t>
      </w:r>
    </w:p>
    <w:p w14:paraId="5FE8A42D" w14:textId="77777777" w:rsidR="00E3437D" w:rsidRDefault="00F64BBB" w:rsidP="00E3437D">
      <w:pPr>
        <w:pStyle w:val="Nivel3SM"/>
        <w:keepNext/>
      </w:pPr>
      <w:r>
        <w:t>La evidencia empírica (</w:t>
      </w:r>
      <w:proofErr w:type="spellStart"/>
      <w:r>
        <w:rPr>
          <w:smallCaps/>
        </w:rPr>
        <w:t>Corsetti</w:t>
      </w:r>
      <w:proofErr w:type="spellEnd"/>
      <w:r w:rsidRPr="00F64BBB">
        <w:t xml:space="preserve"> y </w:t>
      </w:r>
      <w:proofErr w:type="spellStart"/>
      <w:r>
        <w:rPr>
          <w:smallCaps/>
        </w:rPr>
        <w:t>Pesenti</w:t>
      </w:r>
      <w:proofErr w:type="spellEnd"/>
      <w:r>
        <w:t>) apunta a efectos positivos por depreciación del tipo de cambio. Exceso de liquidez puede provocar, por ejemplo, compras de activos fuera del país de referencia denominados en otra manera por efecto reajuste de carteras, lo que puede provocar una depreciación del tipo de cambio.</w:t>
      </w:r>
    </w:p>
    <w:p w14:paraId="6DF6A85D" w14:textId="420549AF" w:rsidR="00F64BBB" w:rsidRPr="00B83B18" w:rsidRDefault="00F64BBB" w:rsidP="00E3437D">
      <w:pPr>
        <w:pStyle w:val="Nivel4"/>
        <w:ind w:left="1474"/>
      </w:pPr>
      <w:r>
        <w:t>Por tanto, el canal del tipo de cambio puede ser otro mecanismo de transmisión. Ello nos lleva a analizar la política monetaria suponiendo una economía abierta al mundo.</w:t>
      </w:r>
    </w:p>
    <w:p w14:paraId="5F437B2B" w14:textId="67F26DE4" w:rsidR="00A270D2" w:rsidRDefault="00314790" w:rsidP="00314790">
      <w:pPr>
        <w:pStyle w:val="Ttulo2"/>
      </w:pPr>
      <w:bookmarkStart w:id="106" w:name="_Toc174196002"/>
      <w:r>
        <w:t>Valoración</w:t>
      </w:r>
      <w:bookmarkEnd w:id="106"/>
    </w:p>
    <w:p w14:paraId="5A6EB857" w14:textId="77777777" w:rsidR="00C96CF1" w:rsidRPr="00C96CF1" w:rsidRDefault="00C96CF1" w:rsidP="00C96CF1"/>
    <w:p w14:paraId="30E02516" w14:textId="29C60038" w:rsidR="00A270D2" w:rsidRDefault="00A270D2" w:rsidP="00A270D2">
      <w:pPr>
        <w:pStyle w:val="Ttulo1"/>
      </w:pPr>
      <w:bookmarkStart w:id="107" w:name="_Toc174196003"/>
      <w:r>
        <w:t>MECANISMOS DE TRANSMISIÓN Y EFECTOS EN UNA ECONOMÍA ABIER</w:t>
      </w:r>
      <w:r w:rsidR="00354A35">
        <w:t>T</w:t>
      </w:r>
      <w:r>
        <w:t>A</w:t>
      </w:r>
      <w:bookmarkEnd w:id="107"/>
    </w:p>
    <w:p w14:paraId="513CD6A3" w14:textId="77777777" w:rsidR="00B04AB0" w:rsidRDefault="00A270D2" w:rsidP="00A270D2">
      <w:pPr>
        <w:pStyle w:val="Ttulo2"/>
        <w:rPr>
          <w:lang w:val="en-US"/>
        </w:rPr>
      </w:pPr>
      <w:bookmarkStart w:id="108" w:name="_Toc174196004"/>
      <w:proofErr w:type="spellStart"/>
      <w:r w:rsidRPr="00B04AB0">
        <w:rPr>
          <w:lang w:val="en-US"/>
        </w:rPr>
        <w:t>Modelo</w:t>
      </w:r>
      <w:proofErr w:type="spellEnd"/>
      <w:r w:rsidRPr="00B04AB0">
        <w:rPr>
          <w:lang w:val="en-US"/>
        </w:rPr>
        <w:t xml:space="preserve"> IS-LM-BP (</w:t>
      </w:r>
      <w:r w:rsidRPr="00B04AB0">
        <w:rPr>
          <w:smallCaps/>
          <w:lang w:val="en-US"/>
        </w:rPr>
        <w:t>Mundell</w:t>
      </w:r>
      <w:r w:rsidRPr="00B04AB0">
        <w:rPr>
          <w:lang w:val="en-US"/>
        </w:rPr>
        <w:t xml:space="preserve"> y </w:t>
      </w:r>
      <w:r w:rsidRPr="00B04AB0">
        <w:rPr>
          <w:smallCaps/>
          <w:lang w:val="en-US"/>
        </w:rPr>
        <w:t>Fleming</w:t>
      </w:r>
      <w:r w:rsidRPr="00B04AB0">
        <w:rPr>
          <w:lang w:val="en-US"/>
        </w:rPr>
        <w:t>)</w:t>
      </w:r>
      <w:bookmarkEnd w:id="108"/>
    </w:p>
    <w:p w14:paraId="5B2A1856" w14:textId="373EBD83" w:rsidR="00B04AB0" w:rsidRDefault="00B04AB0" w:rsidP="00886959">
      <w:pPr>
        <w:pStyle w:val="Ttulo3"/>
        <w:spacing w:before="0"/>
        <w:rPr>
          <w:lang w:val="en-US"/>
        </w:rPr>
      </w:pPr>
      <w:bookmarkStart w:id="109" w:name="_Toc174196005"/>
      <w:r>
        <w:rPr>
          <w:lang w:val="en-US"/>
        </w:rPr>
        <w:t>Idea</w:t>
      </w:r>
      <w:bookmarkEnd w:id="109"/>
    </w:p>
    <w:p w14:paraId="1DCE06D1" w14:textId="77777777" w:rsidR="00CA26AF" w:rsidRDefault="00CA26AF" w:rsidP="00CA26AF">
      <w:pPr>
        <w:pStyle w:val="Nivel1SM"/>
        <w:spacing w:before="0"/>
      </w:pPr>
      <w:r>
        <w:t xml:space="preserve">El valor de estos modelos es meramente poner de relieve los </w:t>
      </w:r>
      <w:r w:rsidRPr="00D312AB">
        <w:rPr>
          <w:b/>
          <w:bCs/>
        </w:rPr>
        <w:t>canales por los que existe interdependencia</w:t>
      </w:r>
      <w:r>
        <w:t xml:space="preserve"> de las políticas económicas.</w:t>
      </w:r>
    </w:p>
    <w:p w14:paraId="03E84709" w14:textId="77777777" w:rsidR="00CA26AF" w:rsidRDefault="00CA26AF" w:rsidP="00CA26AF">
      <w:pPr>
        <w:pStyle w:val="Nivel1SM"/>
        <w:keepNext/>
        <w:spacing w:after="0"/>
      </w:pPr>
      <w:r>
        <w:t xml:space="preserve">Se trata de un modelo muy </w:t>
      </w:r>
      <w:r w:rsidRPr="00ED4BBE">
        <w:rPr>
          <w:b/>
          <w:bCs/>
        </w:rPr>
        <w:t>relevante</w:t>
      </w:r>
      <w:r>
        <w:t xml:space="preserve"> en la literatura económica por diversos motivos:</w:t>
      </w:r>
    </w:p>
    <w:p w14:paraId="00F9E636" w14:textId="77777777" w:rsidR="00CA26AF" w:rsidRDefault="00CA26AF" w:rsidP="00CA26AF">
      <w:pPr>
        <w:pStyle w:val="Nivel2SM"/>
      </w:pPr>
      <w:r>
        <w:t>Modelo dominante en la macroeconomía keynesiana entre los 40 y los 70 que analiza la interacción entre las variables macroeconómicas.</w:t>
      </w:r>
    </w:p>
    <w:p w14:paraId="0E01531A" w14:textId="77777777" w:rsidR="00CA26AF" w:rsidRDefault="00CA26AF" w:rsidP="00CA26AF">
      <w:pPr>
        <w:pStyle w:val="Nivel2SM"/>
      </w:pPr>
      <w:r>
        <w:t xml:space="preserve">Es una de las razones por las que </w:t>
      </w:r>
      <w:r>
        <w:rPr>
          <w:smallCaps/>
        </w:rPr>
        <w:t xml:space="preserve">Robert </w:t>
      </w:r>
      <w:proofErr w:type="spellStart"/>
      <w:r>
        <w:rPr>
          <w:smallCaps/>
        </w:rPr>
        <w:t>Mundell</w:t>
      </w:r>
      <w:proofErr w:type="spellEnd"/>
      <w:r>
        <w:t xml:space="preserve"> recibe el Premio Nobel en 1999.</w:t>
      </w:r>
    </w:p>
    <w:p w14:paraId="63DDC9BC" w14:textId="77777777" w:rsidR="00CA26AF" w:rsidRDefault="00CA26AF" w:rsidP="00CA26AF">
      <w:pPr>
        <w:pStyle w:val="Nivel2SM"/>
      </w:pPr>
      <w:r>
        <w:t>La popularidad del modelo es tal, que aún se enseña en las universidades de todo el mundo por su simplicidad, facilidad de interpretación e identificación de mecanismos de transmisión adecuados.</w:t>
      </w:r>
    </w:p>
    <w:p w14:paraId="4E912CF7" w14:textId="77777777" w:rsidR="00CA26AF" w:rsidRDefault="00CA26AF" w:rsidP="00CA26AF">
      <w:pPr>
        <w:pStyle w:val="Nivel2SM"/>
      </w:pPr>
      <w:r>
        <w:t>A pesar de su antigüedad, la mayoría de los modelos desarrollados por la OCDE, el FMI y los bancos centrales confirman efectos desbordamiento de las políticas análogos a los que predice el modelo. No solo podemos aplicar el modelo para analizar las políticas económicas de un país, sino los efectos de políticas económicas de otros países.</w:t>
      </w:r>
    </w:p>
    <w:p w14:paraId="3276E509" w14:textId="77777777" w:rsidR="00CA26AF" w:rsidRDefault="00CA26AF" w:rsidP="00CA26AF">
      <w:pPr>
        <w:pStyle w:val="Ttulo3"/>
      </w:pPr>
      <w:bookmarkStart w:id="110" w:name="_Toc122523390"/>
      <w:bookmarkStart w:id="111" w:name="_Toc174196006"/>
      <w:r>
        <w:t>Modelo</w:t>
      </w:r>
      <w:bookmarkEnd w:id="110"/>
      <w:bookmarkEnd w:id="111"/>
    </w:p>
    <w:p w14:paraId="163D53ED" w14:textId="77777777" w:rsidR="00CA26AF" w:rsidRDefault="00CA26AF" w:rsidP="00CA26AF">
      <w:pPr>
        <w:pStyle w:val="Ttulo6"/>
        <w:spacing w:before="0"/>
      </w:pPr>
      <w:bookmarkStart w:id="112" w:name="_Toc122523391"/>
      <w:bookmarkStart w:id="113" w:name="_Toc174196007"/>
      <w:r>
        <w:t>Supuestos</w:t>
      </w:r>
      <w:bookmarkEnd w:id="112"/>
      <w:bookmarkEnd w:id="113"/>
    </w:p>
    <w:p w14:paraId="49C973C7" w14:textId="77777777" w:rsidR="00CA26AF" w:rsidRDefault="00CA26AF" w:rsidP="00CA26AF">
      <w:pPr>
        <w:pStyle w:val="Nivel1SM"/>
        <w:keepNext/>
        <w:spacing w:before="0" w:after="0"/>
      </w:pPr>
      <w:r w:rsidRPr="00CE47B3">
        <w:t xml:space="preserve">El modelo IS-LM-BP parte </w:t>
      </w:r>
      <w:r>
        <w:t xml:space="preserve">de los siguientes </w:t>
      </w:r>
      <w:r w:rsidRPr="00CE47B3">
        <w:rPr>
          <w:b/>
          <w:bCs/>
        </w:rPr>
        <w:t>supuestos</w:t>
      </w:r>
      <w:r>
        <w:t>:</w:t>
      </w:r>
    </w:p>
    <w:p w14:paraId="506B7A79" w14:textId="77777777" w:rsidR="00CA26AF" w:rsidRDefault="00CA26AF">
      <w:pPr>
        <w:pStyle w:val="Prrafodelista"/>
        <w:numPr>
          <w:ilvl w:val="0"/>
          <w:numId w:val="26"/>
        </w:numPr>
        <w:spacing w:after="100"/>
        <w:ind w:left="568" w:hanging="284"/>
      </w:pPr>
      <w:r>
        <w:t xml:space="preserve">Es un </w:t>
      </w:r>
      <w:r w:rsidRPr="00A9722A">
        <w:rPr>
          <w:i/>
          <w:iCs/>
          <w:u w:val="single"/>
        </w:rPr>
        <w:t>modelo estático</w:t>
      </w:r>
      <w:r>
        <w:rPr>
          <w:rStyle w:val="Refdenotaalpie"/>
        </w:rPr>
        <w:footnoteReference w:id="24"/>
      </w:r>
      <w:r>
        <w:t>.</w:t>
      </w:r>
    </w:p>
    <w:p w14:paraId="46466459" w14:textId="77777777" w:rsidR="00CA26AF" w:rsidRDefault="00CA26AF">
      <w:pPr>
        <w:pStyle w:val="Prrafodelista"/>
        <w:numPr>
          <w:ilvl w:val="0"/>
          <w:numId w:val="26"/>
        </w:numPr>
        <w:spacing w:after="100"/>
        <w:ind w:left="568" w:hanging="284"/>
      </w:pPr>
      <w:r>
        <w:t xml:space="preserve">Incluye </w:t>
      </w:r>
      <w:r w:rsidRPr="00A9722A">
        <w:rPr>
          <w:i/>
          <w:iCs/>
          <w:u w:val="single"/>
        </w:rPr>
        <w:t>fricciones de precios y salarios</w:t>
      </w:r>
      <w:r>
        <w:t xml:space="preserve"> que impiden que los mercados funcionaran perfectamente (recursos ociosos y precios fijos). Esto implica que la oferta es horizontal para el nivel de precios fijado, y que el nivel de renta vendrá determinado por la demanda agregada. Además, al ser los precios fijos no habrá expectativas de inflación, por lo que </w:t>
      </w:r>
      <m:oMath>
        <m:r>
          <m:rPr>
            <m:nor/>
          </m:rPr>
          <w:rPr>
            <w:i/>
            <w:iCs/>
          </w:rPr>
          <m:t>i</m:t>
        </m:r>
        <m:r>
          <w:rPr>
            <w:rFonts w:ascii="Cambria Math" w:hAnsi="Cambria Math"/>
          </w:rPr>
          <m:t>=</m:t>
        </m:r>
        <m:r>
          <m:rPr>
            <m:nor/>
          </m:rPr>
          <w:rPr>
            <w:i/>
            <w:iCs/>
          </w:rPr>
          <m:t>r</m:t>
        </m:r>
      </m:oMath>
      <w:r>
        <w:rPr>
          <w:rFonts w:eastAsiaTheme="minorEastAsia"/>
        </w:rPr>
        <w:t>.</w:t>
      </w:r>
    </w:p>
    <w:p w14:paraId="158495DB" w14:textId="77777777" w:rsidR="00CA26AF" w:rsidRDefault="00CA26AF">
      <w:pPr>
        <w:pStyle w:val="Prrafodelista"/>
        <w:numPr>
          <w:ilvl w:val="0"/>
          <w:numId w:val="26"/>
        </w:numPr>
        <w:spacing w:after="100"/>
        <w:ind w:left="568" w:hanging="284"/>
      </w:pPr>
      <w:r>
        <w:t xml:space="preserve">Se supone la existencia de </w:t>
      </w:r>
      <w:r w:rsidRPr="00A9722A">
        <w:rPr>
          <w:i/>
          <w:iCs/>
          <w:u w:val="single"/>
        </w:rPr>
        <w:t>dos países</w:t>
      </w:r>
      <w:r>
        <w:t>: nacional (</w:t>
      </w:r>
      <w:r w:rsidRPr="00A9722A">
        <w:rPr>
          <w:i/>
          <w:iCs/>
        </w:rPr>
        <w:t>A</w:t>
      </w:r>
      <w:r>
        <w:t>) y extranjero (</w:t>
      </w:r>
      <w:r w:rsidRPr="00A9722A">
        <w:rPr>
          <w:i/>
          <w:iCs/>
        </w:rPr>
        <w:t>B</w:t>
      </w:r>
      <w:r>
        <w:t>).</w:t>
      </w:r>
    </w:p>
    <w:p w14:paraId="1A75BF23" w14:textId="77777777" w:rsidR="00CA26AF" w:rsidRDefault="00CA26AF">
      <w:pPr>
        <w:pStyle w:val="Prrafodelista"/>
        <w:numPr>
          <w:ilvl w:val="0"/>
          <w:numId w:val="26"/>
        </w:numPr>
        <w:spacing w:after="100"/>
        <w:ind w:left="568" w:hanging="284"/>
      </w:pPr>
      <w:r w:rsidRPr="00A9722A">
        <w:rPr>
          <w:i/>
          <w:iCs/>
          <w:u w:val="single"/>
        </w:rPr>
        <w:t>Tipo de cambio directo</w:t>
      </w:r>
      <w:r>
        <w:t>.</w:t>
      </w:r>
    </w:p>
    <w:p w14:paraId="32326D9E" w14:textId="1D075C87" w:rsidR="00CA26AF" w:rsidRDefault="00CA26AF">
      <w:pPr>
        <w:pStyle w:val="Prrafodelista"/>
        <w:numPr>
          <w:ilvl w:val="0"/>
          <w:numId w:val="26"/>
        </w:numPr>
        <w:spacing w:after="100"/>
        <w:ind w:left="568" w:hanging="284"/>
      </w:pPr>
      <w:r>
        <w:t xml:space="preserve">Se cumple la </w:t>
      </w:r>
      <w:r w:rsidRPr="00A9722A">
        <w:rPr>
          <w:i/>
          <w:iCs/>
          <w:u w:val="single"/>
        </w:rPr>
        <w:t>condición de Marshall-Lerner</w:t>
      </w:r>
      <w:r>
        <w:t xml:space="preserve"> </w:t>
      </w:r>
      <w:r w:rsidRPr="00A9722A">
        <w:rPr>
          <w:color w:val="767171" w:themeColor="background2" w:themeShade="80"/>
          <w:sz w:val="19"/>
          <w:szCs w:val="19"/>
        </w:rPr>
        <w:t>[ver tema 3.B.1</w:t>
      </w:r>
      <w:r w:rsidR="00886959">
        <w:rPr>
          <w:color w:val="767171" w:themeColor="background2" w:themeShade="80"/>
          <w:sz w:val="19"/>
          <w:szCs w:val="19"/>
        </w:rPr>
        <w:t>2</w:t>
      </w:r>
      <w:r w:rsidRPr="00A9722A">
        <w:rPr>
          <w:color w:val="767171" w:themeColor="background2" w:themeShade="80"/>
          <w:sz w:val="19"/>
          <w:szCs w:val="19"/>
        </w:rPr>
        <w:t>]</w:t>
      </w:r>
      <w:r>
        <w:t>, es decir, una pérdida de valor de la moneda mejora el saldo comercial.</w:t>
      </w:r>
    </w:p>
    <w:p w14:paraId="53A42050" w14:textId="77777777" w:rsidR="00CA26AF" w:rsidRDefault="00CA26AF">
      <w:pPr>
        <w:pStyle w:val="Prrafodelista"/>
        <w:numPr>
          <w:ilvl w:val="0"/>
          <w:numId w:val="26"/>
        </w:numPr>
        <w:spacing w:after="100"/>
        <w:ind w:left="568" w:hanging="284"/>
      </w:pPr>
      <w:r w:rsidRPr="00C12AAF">
        <w:rPr>
          <w:i/>
          <w:iCs/>
          <w:u w:val="single"/>
        </w:rPr>
        <w:lastRenderedPageBreak/>
        <w:t>Sustituibilidad perfecta</w:t>
      </w:r>
      <w:r>
        <w:t xml:space="preserve"> de los activos (bonos) nacionales y extranjeros.</w:t>
      </w:r>
    </w:p>
    <w:p w14:paraId="5A7875B4" w14:textId="77777777" w:rsidR="00CA26AF" w:rsidRDefault="00CA26AF">
      <w:pPr>
        <w:pStyle w:val="Prrafodelista"/>
        <w:numPr>
          <w:ilvl w:val="0"/>
          <w:numId w:val="26"/>
        </w:numPr>
        <w:spacing w:after="100"/>
        <w:ind w:left="568" w:hanging="284"/>
      </w:pPr>
      <w:r>
        <w:rPr>
          <w:i/>
          <w:iCs/>
          <w:u w:val="single"/>
        </w:rPr>
        <w:t>Neutralidad al riesgo</w:t>
      </w:r>
      <w:r>
        <w:t xml:space="preserve"> de los agentes (pues de lo contrario habría que contemplar una prima de riesgo).</w:t>
      </w:r>
    </w:p>
    <w:p w14:paraId="5A484FA8" w14:textId="77777777" w:rsidR="00CA26AF" w:rsidRPr="00534452" w:rsidRDefault="00CA26AF">
      <w:pPr>
        <w:pStyle w:val="Prrafodelista"/>
        <w:numPr>
          <w:ilvl w:val="0"/>
          <w:numId w:val="26"/>
        </w:numPr>
        <w:spacing w:after="100"/>
        <w:ind w:left="568" w:hanging="284"/>
      </w:pPr>
      <w:r w:rsidRPr="00534452">
        <w:rPr>
          <w:i/>
          <w:iCs/>
          <w:u w:val="single"/>
        </w:rPr>
        <w:t>Movilidad perfecta de capitales</w:t>
      </w:r>
      <w:r>
        <w:t xml:space="preserve"> (i.e. curva BP perfectamente elástica).</w:t>
      </w:r>
    </w:p>
    <w:p w14:paraId="2324D4FF" w14:textId="77777777" w:rsidR="00CA26AF" w:rsidRDefault="00CA26AF">
      <w:pPr>
        <w:pStyle w:val="Prrafodelista"/>
        <w:numPr>
          <w:ilvl w:val="0"/>
          <w:numId w:val="26"/>
        </w:numPr>
        <w:spacing w:after="100"/>
        <w:ind w:left="568" w:hanging="284"/>
      </w:pPr>
      <w:r w:rsidRPr="00A9722A">
        <w:rPr>
          <w:i/>
          <w:iCs/>
          <w:u w:val="single"/>
        </w:rPr>
        <w:t>Expectativas sobre el tipo de cambio estáticas</w:t>
      </w:r>
      <w:r>
        <w:t>.</w:t>
      </w:r>
    </w:p>
    <w:p w14:paraId="570C02DE" w14:textId="77777777" w:rsidR="00CA26AF" w:rsidRDefault="00CA26AF" w:rsidP="00CA26AF">
      <w:pPr>
        <w:pStyle w:val="Ttulo6"/>
      </w:pPr>
      <w:bookmarkStart w:id="114" w:name="_Toc122523392"/>
      <w:bookmarkStart w:id="115" w:name="_Toc174196008"/>
      <w:r>
        <w:t>Desarrollo</w:t>
      </w:r>
      <w:bookmarkEnd w:id="114"/>
      <w:bookmarkEnd w:id="115"/>
    </w:p>
    <w:p w14:paraId="02D6DC63" w14:textId="77777777" w:rsidR="00CA26AF" w:rsidRPr="002F0A7A" w:rsidRDefault="00CA26AF" w:rsidP="00CA26AF">
      <w:pPr>
        <w:pStyle w:val="Ttulo7"/>
        <w:spacing w:before="0"/>
      </w:pPr>
      <w:bookmarkStart w:id="116" w:name="_Toc122523393"/>
      <w:r>
        <w:t>Marco IS-LM-BP</w:t>
      </w:r>
      <w:bookmarkEnd w:id="116"/>
    </w:p>
    <w:p w14:paraId="07D17E5C" w14:textId="359E12BC" w:rsidR="00CA26AF" w:rsidRDefault="00CA26AF" w:rsidP="00CA26AF">
      <w:pPr>
        <w:pStyle w:val="Nivel1SM"/>
        <w:keepNext/>
        <w:spacing w:before="0" w:after="0"/>
      </w:pPr>
      <w:r>
        <w:t xml:space="preserve">El modelo se basa en la existencia de </w:t>
      </w:r>
      <w:r w:rsidRPr="00DA3D77">
        <w:rPr>
          <w:b/>
          <w:bCs/>
        </w:rPr>
        <w:t>equilibrio</w:t>
      </w:r>
      <w:r>
        <w:t xml:space="preserve"> en los mercados de bienes, dinero y bonos y en el sector exterior para las dos economías. Para cada mercado podemos representar el equilibrio gráficamente mediante </w:t>
      </w:r>
      <w:r w:rsidRPr="00DA3D77">
        <w:rPr>
          <w:b/>
          <w:bCs/>
        </w:rPr>
        <w:t>3</w:t>
      </w:r>
      <w:r>
        <w:rPr>
          <w:b/>
          <w:bCs/>
        </w:rPr>
        <w:t> </w:t>
      </w:r>
      <w:r w:rsidRPr="00DA3D77">
        <w:rPr>
          <w:b/>
          <w:bCs/>
        </w:rPr>
        <w:t>curvas</w:t>
      </w:r>
      <w:r>
        <w:t xml:space="preserve"> en el plano renta-tipos de interés:</w:t>
      </w:r>
    </w:p>
    <w:p w14:paraId="0AE95257" w14:textId="5CF96C50" w:rsidR="00CA26AF" w:rsidRPr="001B3BC2" w:rsidRDefault="00CA26AF">
      <w:pPr>
        <w:pStyle w:val="Prrafodelista"/>
        <w:keepNext/>
        <w:numPr>
          <w:ilvl w:val="0"/>
          <w:numId w:val="25"/>
        </w:numPr>
        <w:spacing w:after="0"/>
        <w:ind w:left="568" w:hanging="284"/>
        <w:rPr>
          <w:color w:val="5F2987"/>
        </w:rPr>
      </w:pPr>
      <w:r w:rsidRPr="001B3BC2">
        <w:rPr>
          <w:i/>
          <w:iCs/>
          <w:color w:val="5F2987"/>
          <w:u w:val="single"/>
        </w:rPr>
        <w:t>Curva</w:t>
      </w:r>
      <w:r w:rsidR="00F02987">
        <w:rPr>
          <w:i/>
          <w:iCs/>
          <w:color w:val="5F2987"/>
          <w:u w:val="single"/>
        </w:rPr>
        <w:t> </w:t>
      </w:r>
      <w:r w:rsidRPr="001B3BC2">
        <w:rPr>
          <w:i/>
          <w:iCs/>
          <w:color w:val="5F2987"/>
          <w:u w:val="single"/>
        </w:rPr>
        <w:t>IS</w:t>
      </w:r>
      <w:r w:rsidRPr="001B3BC2">
        <w:rPr>
          <w:color w:val="5F2987"/>
        </w:rPr>
        <w:t xml:space="preserve"> (</w:t>
      </w:r>
      <w:proofErr w:type="spellStart"/>
      <w:r w:rsidRPr="001B3BC2">
        <w:rPr>
          <w:i/>
          <w:iCs/>
          <w:color w:val="5F2987"/>
        </w:rPr>
        <w:t>Investment-Saving</w:t>
      </w:r>
      <w:proofErr w:type="spellEnd"/>
      <w:r w:rsidRPr="001B3BC2">
        <w:rPr>
          <w:color w:val="5F2987"/>
        </w:rPr>
        <w:t>)</w:t>
      </w:r>
    </w:p>
    <w:p w14:paraId="34087F94" w14:textId="2D8F604F" w:rsidR="00CA26AF" w:rsidRDefault="00CA26AF" w:rsidP="00CA26AF">
      <w:pPr>
        <w:pStyle w:val="Nivel3SM"/>
      </w:pPr>
      <w:r>
        <w:t>La curva</w:t>
      </w:r>
      <w:r w:rsidR="00F02987">
        <w:t> </w:t>
      </w:r>
      <w:r w:rsidRPr="003509D3">
        <w:rPr>
          <w:i/>
          <w:iCs/>
        </w:rPr>
        <w:t>IS</w:t>
      </w:r>
      <w:r>
        <w:t xml:space="preserve"> representa los pares de renta y tipo de interés que representan el equilibrio en el mercado de bienes.</w:t>
      </w:r>
    </w:p>
    <w:p w14:paraId="45133340" w14:textId="77777777" w:rsidR="00CA26AF" w:rsidRDefault="00CA26AF" w:rsidP="00CA26AF">
      <w:pPr>
        <w:pStyle w:val="Nivel3SM"/>
      </w:pPr>
      <w:r>
        <w:t>Muestra la economía determinada por el lado de la demanda (i.e. aumentos de los componentes de la demanda elevan el output):</w:t>
      </w:r>
    </w:p>
    <w:p w14:paraId="0CA1F313" w14:textId="77777777" w:rsidR="00CA26AF" w:rsidRPr="00835DDE" w:rsidRDefault="00000000" w:rsidP="00CA26AF">
      <w:pPr>
        <w:pStyle w:val="Nivel3SM"/>
        <w:numPr>
          <w:ilvl w:val="0"/>
          <w:numId w:val="0"/>
        </w:numPr>
        <w:ind w:left="963"/>
      </w:pPr>
      <m:oMathPara>
        <m:oMath>
          <m:m>
            <m:mPr>
              <m:mcs>
                <m:mc>
                  <m:mcPr>
                    <m:count m:val="1"/>
                    <m:mcJc m:val="center"/>
                  </m:mcPr>
                </m:mc>
              </m:mcs>
              <m:ctrlPr>
                <w:rPr>
                  <w:rFonts w:ascii="Cambria Math" w:hAnsi="Cambria Math"/>
                  <w:i/>
                  <w:iCs/>
                </w:rPr>
              </m:ctrlPr>
            </m:mPr>
            <m:mr>
              <m:e>
                <m:r>
                  <m:rPr>
                    <m:nor/>
                  </m:rPr>
                  <w:rPr>
                    <w:i/>
                    <w:iCs/>
                  </w:rPr>
                  <m:t>Y</m:t>
                </m:r>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iCs/>
                              </w:rPr>
                            </m:ctrlPr>
                          </m:accPr>
                          <m:e>
                            <m:r>
                              <m:rPr>
                                <m:nor/>
                              </m:rPr>
                              <w:rPr>
                                <w:i/>
                                <w:iCs/>
                              </w:rPr>
                              <m:t>C</m:t>
                            </m:r>
                          </m:e>
                        </m:acc>
                        <m:r>
                          <w:rPr>
                            <w:rFonts w:ascii="Cambria Math" w:hAnsi="Cambria Math"/>
                          </w:rPr>
                          <m:t>+</m:t>
                        </m:r>
                        <m:r>
                          <m:rPr>
                            <m:nor/>
                          </m:rPr>
                          <w:rPr>
                            <w:i/>
                            <w:iCs/>
                          </w:rPr>
                          <m:t>c</m:t>
                        </m:r>
                        <m:r>
                          <w:rPr>
                            <w:rFonts w:ascii="Cambria Math" w:hAnsi="Cambria Math"/>
                          </w:rPr>
                          <m:t>∙</m:t>
                        </m:r>
                        <m:r>
                          <m:rPr>
                            <m:nor/>
                          </m:rPr>
                          <w:rPr>
                            <w:i/>
                            <w:iCs/>
                          </w:rPr>
                          <m:t>Y</m:t>
                        </m:r>
                        <m:r>
                          <w:rPr>
                            <w:rFonts w:ascii="Cambria Math" w:hAnsi="Cambria Math"/>
                          </w:rPr>
                          <m:t>∙</m:t>
                        </m:r>
                        <m:d>
                          <m:dPr>
                            <m:ctrlPr>
                              <w:rPr>
                                <w:rFonts w:ascii="Cambria Math" w:hAnsi="Cambria Math"/>
                                <w:i/>
                              </w:rPr>
                            </m:ctrlPr>
                          </m:dPr>
                          <m:e>
                            <m:r>
                              <m:rPr>
                                <m:nor/>
                              </m:rPr>
                              <w:rPr>
                                <w:i/>
                                <w:iCs/>
                              </w:rPr>
                              <m:t>1</m:t>
                            </m:r>
                            <m:r>
                              <w:rPr>
                                <w:rFonts w:ascii="Cambria Math" w:hAnsi="Cambria Math"/>
                              </w:rPr>
                              <m:t>-</m:t>
                            </m:r>
                            <m:r>
                              <m:rPr>
                                <m:nor/>
                              </m:rPr>
                              <w:rPr>
                                <w:i/>
                                <w:iCs/>
                              </w:rPr>
                              <m:t>t</m:t>
                            </m:r>
                          </m:e>
                        </m:d>
                      </m:e>
                    </m:groupChr>
                  </m:e>
                  <m:lim>
                    <m:r>
                      <m:rPr>
                        <m:nor/>
                      </m:rPr>
                      <w:rPr>
                        <w:i/>
                        <w:iCs/>
                      </w:rPr>
                      <m:t>C</m:t>
                    </m:r>
                  </m:lim>
                </m:limLow>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iCs/>
                              </w:rPr>
                            </m:ctrlPr>
                          </m:accPr>
                          <m:e>
                            <m:r>
                              <m:rPr>
                                <m:nor/>
                              </m:rPr>
                              <w:rPr>
                                <w:i/>
                                <w:iCs/>
                              </w:rPr>
                              <m:t>I</m:t>
                            </m:r>
                          </m:e>
                        </m:acc>
                        <m:r>
                          <w:rPr>
                            <w:rFonts w:ascii="Cambria Math" w:hAnsi="Cambria Math"/>
                          </w:rPr>
                          <m:t>-</m:t>
                        </m:r>
                        <m:r>
                          <m:rPr>
                            <m:nor/>
                          </m:rPr>
                          <w:rPr>
                            <w:i/>
                            <w:iCs/>
                          </w:rPr>
                          <m:t>v</m:t>
                        </m:r>
                        <m:r>
                          <w:rPr>
                            <w:rFonts w:ascii="Cambria Math" w:hAnsi="Cambria Math"/>
                          </w:rPr>
                          <m:t>∙</m:t>
                        </m:r>
                        <m:r>
                          <m:rPr>
                            <m:nor/>
                          </m:rPr>
                          <w:rPr>
                            <w:i/>
                            <w:iCs/>
                          </w:rPr>
                          <m:t>i</m:t>
                        </m:r>
                      </m:e>
                    </m:groupChr>
                  </m:e>
                  <m:lim>
                    <m:r>
                      <m:rPr>
                        <m:nor/>
                      </m:rPr>
                      <w:rPr>
                        <w:i/>
                        <w:iCs/>
                      </w:rPr>
                      <m:t>I</m:t>
                    </m:r>
                  </m:lim>
                </m:limLow>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acc>
                          <m:accPr>
                            <m:chr m:val="̅"/>
                            <m:ctrlPr>
                              <w:rPr>
                                <w:rFonts w:ascii="Cambria Math" w:hAnsi="Cambria Math"/>
                                <w:i/>
                                <w:iCs/>
                              </w:rPr>
                            </m:ctrlPr>
                          </m:accPr>
                          <m:e>
                            <m:r>
                              <m:rPr>
                                <m:nor/>
                              </m:rPr>
                              <w:rPr>
                                <w:i/>
                                <w:iCs/>
                              </w:rPr>
                              <m:t>G</m:t>
                            </m:r>
                          </m:e>
                        </m:acc>
                      </m:e>
                    </m:groupChr>
                  </m:e>
                  <m:lim>
                    <m:r>
                      <m:rPr>
                        <m:nor/>
                      </m:rPr>
                      <w:rPr>
                        <w:i/>
                        <w:iCs/>
                      </w:rPr>
                      <m:t>G</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r>
                          <m:rPr>
                            <m:nor/>
                          </m:rPr>
                          <w:rPr>
                            <w:i/>
                            <w:iCs/>
                          </w:rPr>
                          <m:t>x</m:t>
                        </m:r>
                        <m:r>
                          <w:rPr>
                            <w:rFonts w:ascii="Cambria Math" w:hAnsi="Cambria Math"/>
                          </w:rPr>
                          <m:t>∙</m:t>
                        </m:r>
                        <m:r>
                          <m:rPr>
                            <m:nor/>
                          </m:rPr>
                          <w:rPr>
                            <w:i/>
                            <w:iCs/>
                          </w:rPr>
                          <m:t>Y*</m:t>
                        </m:r>
                        <m:r>
                          <w:rPr>
                            <w:rFonts w:ascii="Cambria Math" w:hAnsi="Cambria Math"/>
                          </w:rPr>
                          <m:t>-</m:t>
                        </m:r>
                        <m:r>
                          <m:rPr>
                            <m:nor/>
                          </m:rPr>
                          <w:rPr>
                            <w:i/>
                            <w:iCs/>
                          </w:rPr>
                          <m:t>m</m:t>
                        </m:r>
                        <m:r>
                          <w:rPr>
                            <w:rFonts w:ascii="Cambria Math" w:hAnsi="Cambria Math"/>
                          </w:rPr>
                          <m:t>∙</m:t>
                        </m:r>
                        <m:r>
                          <m:rPr>
                            <m:nor/>
                          </m:rPr>
                          <w:rPr>
                            <w:i/>
                            <w:iCs/>
                          </w:rPr>
                          <m:t>Y</m:t>
                        </m:r>
                        <m:r>
                          <w:rPr>
                            <w:rFonts w:ascii="Cambria Math" w:hAnsi="Cambria Math"/>
                          </w:rPr>
                          <m:t>+</m:t>
                        </m:r>
                        <m:r>
                          <m:rPr>
                            <m:nor/>
                          </m:rPr>
                          <w:rPr>
                            <w:i/>
                            <w:iCs/>
                          </w:rPr>
                          <m:t>ϕ</m:t>
                        </m:r>
                        <m:r>
                          <w:rPr>
                            <w:rFonts w:ascii="Cambria Math" w:hAnsi="Cambria Math"/>
                          </w:rPr>
                          <m:t>∙</m:t>
                        </m:r>
                        <m:r>
                          <m:rPr>
                            <m:nor/>
                          </m:rPr>
                          <w:rPr>
                            <w:i/>
                          </w:rPr>
                          <m:t>ϰ</m:t>
                        </m:r>
                      </m:e>
                    </m:groupChr>
                  </m:e>
                  <m:lim>
                    <m:r>
                      <m:rPr>
                        <m:nor/>
                      </m:rPr>
                      <w:rPr>
                        <w:i/>
                        <w:iCs/>
                      </w:rPr>
                      <m:t>XN</m:t>
                    </m:r>
                  </m:lim>
                </m:limLow>
              </m:e>
            </m:mr>
            <m:mr>
              <m:e>
                <m:r>
                  <w:rPr>
                    <w:rFonts w:ascii="Cambria Math" w:hAnsi="Cambria Math"/>
                  </w:rPr>
                  <m:t>⇓</m:t>
                </m:r>
              </m:e>
            </m:mr>
            <m:mr>
              <m:e>
                <m:borderBox>
                  <m:borderBoxPr>
                    <m:ctrlPr>
                      <w:rPr>
                        <w:rFonts w:ascii="Cambria Math" w:hAnsi="Cambria Math"/>
                        <w:i/>
                        <w:iCs/>
                        <w:color w:val="5F2987"/>
                      </w:rPr>
                    </m:ctrlPr>
                  </m:borderBoxPr>
                  <m:e>
                    <m:r>
                      <m:rPr>
                        <m:nor/>
                      </m:rPr>
                      <w:rPr>
                        <w:i/>
                        <w:iCs/>
                        <w:color w:val="5F2987"/>
                      </w:rPr>
                      <m:t>Y</m:t>
                    </m:r>
                    <m:r>
                      <w:rPr>
                        <w:rFonts w:ascii="Cambria Math" w:hAnsi="Cambria Math"/>
                        <w:color w:val="5F2987"/>
                      </w:rPr>
                      <m:t>=</m:t>
                    </m:r>
                    <m:f>
                      <m:fPr>
                        <m:ctrlPr>
                          <w:rPr>
                            <w:rFonts w:ascii="Cambria Math" w:hAnsi="Cambria Math"/>
                            <w:i/>
                            <w:color w:val="5F2987"/>
                          </w:rPr>
                        </m:ctrlPr>
                      </m:fPr>
                      <m:num>
                        <m:acc>
                          <m:accPr>
                            <m:chr m:val="̅"/>
                            <m:ctrlPr>
                              <w:rPr>
                                <w:rFonts w:ascii="Cambria Math" w:hAnsi="Cambria Math"/>
                                <w:i/>
                                <w:iCs/>
                                <w:color w:val="5F2987"/>
                              </w:rPr>
                            </m:ctrlPr>
                          </m:accPr>
                          <m:e>
                            <m:r>
                              <m:rPr>
                                <m:nor/>
                              </m:rPr>
                              <w:rPr>
                                <w:i/>
                                <w:iCs/>
                                <w:color w:val="5F2987"/>
                              </w:rPr>
                              <m:t>C</m:t>
                            </m:r>
                          </m:e>
                        </m:acc>
                        <m:r>
                          <w:rPr>
                            <w:rFonts w:ascii="Cambria Math" w:hAnsi="Cambria Math"/>
                            <w:color w:val="5F2987"/>
                          </w:rPr>
                          <m:t>+</m:t>
                        </m:r>
                        <m:acc>
                          <m:accPr>
                            <m:chr m:val="̅"/>
                            <m:ctrlPr>
                              <w:rPr>
                                <w:rFonts w:ascii="Cambria Math" w:hAnsi="Cambria Math"/>
                                <w:i/>
                                <w:iCs/>
                                <w:color w:val="5F2987"/>
                              </w:rPr>
                            </m:ctrlPr>
                          </m:accPr>
                          <m:e>
                            <m:r>
                              <m:rPr>
                                <m:nor/>
                              </m:rPr>
                              <w:rPr>
                                <w:i/>
                                <w:iCs/>
                                <w:color w:val="5F2987"/>
                              </w:rPr>
                              <m:t>I</m:t>
                            </m:r>
                          </m:e>
                        </m:acc>
                        <m:r>
                          <w:rPr>
                            <w:rFonts w:ascii="Cambria Math" w:hAnsi="Cambria Math"/>
                            <w:color w:val="5F2987"/>
                          </w:rPr>
                          <m:t>-</m:t>
                        </m:r>
                        <m:r>
                          <m:rPr>
                            <m:nor/>
                          </m:rPr>
                          <w:rPr>
                            <w:i/>
                            <w:iCs/>
                            <w:color w:val="5F2987"/>
                          </w:rPr>
                          <m:t>v</m:t>
                        </m:r>
                        <m:r>
                          <w:rPr>
                            <w:rFonts w:ascii="Cambria Math" w:hAnsi="Cambria Math"/>
                            <w:color w:val="5F2987"/>
                          </w:rPr>
                          <m:t>∙</m:t>
                        </m:r>
                        <m:r>
                          <m:rPr>
                            <m:nor/>
                          </m:rPr>
                          <w:rPr>
                            <w:i/>
                            <w:iCs/>
                            <w:color w:val="5F2987"/>
                          </w:rPr>
                          <m:t>i</m:t>
                        </m:r>
                        <m:r>
                          <w:rPr>
                            <w:rFonts w:ascii="Cambria Math" w:eastAsiaTheme="minorEastAsia" w:hAnsi="Cambria Math"/>
                            <w:color w:val="5F2987"/>
                          </w:rPr>
                          <m:t>+</m:t>
                        </m:r>
                        <m:acc>
                          <m:accPr>
                            <m:chr m:val="̅"/>
                            <m:ctrlPr>
                              <w:rPr>
                                <w:rFonts w:ascii="Cambria Math" w:hAnsi="Cambria Math"/>
                                <w:i/>
                                <w:iCs/>
                                <w:color w:val="5F2987"/>
                              </w:rPr>
                            </m:ctrlPr>
                          </m:accPr>
                          <m:e>
                            <m:r>
                              <m:rPr>
                                <m:nor/>
                              </m:rPr>
                              <w:rPr>
                                <w:i/>
                                <w:iCs/>
                                <w:color w:val="5F2987"/>
                              </w:rPr>
                              <m:t>G</m:t>
                            </m:r>
                          </m:e>
                        </m:acc>
                        <m:r>
                          <w:rPr>
                            <w:rFonts w:ascii="Cambria Math" w:hAnsi="Cambria Math"/>
                            <w:color w:val="5F2987"/>
                          </w:rPr>
                          <m:t>+</m:t>
                        </m:r>
                        <m:r>
                          <m:rPr>
                            <m:nor/>
                          </m:rPr>
                          <w:rPr>
                            <w:i/>
                            <w:iCs/>
                            <w:color w:val="5F2987"/>
                          </w:rPr>
                          <m:t>x</m:t>
                        </m:r>
                        <m:r>
                          <w:rPr>
                            <w:rFonts w:ascii="Cambria Math" w:hAnsi="Cambria Math"/>
                            <w:color w:val="5F2987"/>
                          </w:rPr>
                          <m:t>∙</m:t>
                        </m:r>
                        <m:r>
                          <m:rPr>
                            <m:nor/>
                          </m:rPr>
                          <w:rPr>
                            <w:i/>
                            <w:iCs/>
                            <w:color w:val="5F2987"/>
                          </w:rPr>
                          <m:t>Y*</m:t>
                        </m:r>
                        <m:r>
                          <w:rPr>
                            <w:rFonts w:ascii="Cambria Math" w:hAnsi="Cambria Math"/>
                            <w:color w:val="5F2987"/>
                          </w:rPr>
                          <m:t>+</m:t>
                        </m:r>
                        <m:r>
                          <m:rPr>
                            <m:nor/>
                          </m:rPr>
                          <w:rPr>
                            <w:i/>
                            <w:iCs/>
                            <w:color w:val="5F2987"/>
                          </w:rPr>
                          <m:t>ϕ</m:t>
                        </m:r>
                        <m:r>
                          <w:rPr>
                            <w:rFonts w:ascii="Cambria Math" w:hAnsi="Cambria Math"/>
                            <w:color w:val="5F2987"/>
                          </w:rPr>
                          <m:t>∙</m:t>
                        </m:r>
                        <m:r>
                          <m:rPr>
                            <m:nor/>
                          </m:rPr>
                          <w:rPr>
                            <w:i/>
                            <w:color w:val="5F2987"/>
                          </w:rPr>
                          <m:t>ϰ</m:t>
                        </m:r>
                      </m:num>
                      <m:den>
                        <m:r>
                          <m:rPr>
                            <m:nor/>
                          </m:rPr>
                          <w:rPr>
                            <w:i/>
                            <w:iCs/>
                            <w:color w:val="5F2987"/>
                          </w:rPr>
                          <m:t>1</m:t>
                        </m:r>
                        <m:r>
                          <w:rPr>
                            <w:rFonts w:ascii="Cambria Math" w:hAnsi="Cambria Math"/>
                            <w:color w:val="5F2987"/>
                          </w:rPr>
                          <m:t>-</m:t>
                        </m:r>
                        <m:r>
                          <m:rPr>
                            <m:nor/>
                          </m:rPr>
                          <w:rPr>
                            <w:i/>
                            <w:iCs/>
                            <w:color w:val="5F2987"/>
                          </w:rPr>
                          <m:t>c</m:t>
                        </m:r>
                        <m:r>
                          <w:rPr>
                            <w:rFonts w:ascii="Cambria Math" w:hAnsi="Cambria Math"/>
                            <w:color w:val="5F2987"/>
                          </w:rPr>
                          <m:t>∙</m:t>
                        </m:r>
                        <m:d>
                          <m:dPr>
                            <m:ctrlPr>
                              <w:rPr>
                                <w:rFonts w:ascii="Cambria Math" w:hAnsi="Cambria Math"/>
                                <w:i/>
                                <w:color w:val="5F2987"/>
                              </w:rPr>
                            </m:ctrlPr>
                          </m:dPr>
                          <m:e>
                            <m:r>
                              <m:rPr>
                                <m:nor/>
                              </m:rPr>
                              <w:rPr>
                                <w:i/>
                                <w:iCs/>
                                <w:color w:val="5F2987"/>
                              </w:rPr>
                              <m:t>1</m:t>
                            </m:r>
                            <m:r>
                              <w:rPr>
                                <w:rFonts w:ascii="Cambria Math" w:hAnsi="Cambria Math"/>
                                <w:color w:val="5F2987"/>
                              </w:rPr>
                              <m:t>-</m:t>
                            </m:r>
                            <m:r>
                              <m:rPr>
                                <m:nor/>
                              </m:rPr>
                              <w:rPr>
                                <w:i/>
                                <w:iCs/>
                                <w:color w:val="5F2987"/>
                              </w:rPr>
                              <m:t>t</m:t>
                            </m:r>
                          </m:e>
                        </m:d>
                        <m:r>
                          <w:rPr>
                            <w:rFonts w:ascii="Cambria Math" w:hAnsi="Cambria Math"/>
                            <w:color w:val="5F2987"/>
                          </w:rPr>
                          <m:t>+</m:t>
                        </m:r>
                        <m:r>
                          <m:rPr>
                            <m:nor/>
                          </m:rPr>
                          <w:rPr>
                            <w:i/>
                            <w:iCs/>
                            <w:color w:val="5F2987"/>
                          </w:rPr>
                          <m:t>m</m:t>
                        </m:r>
                      </m:den>
                    </m:f>
                  </m:e>
                </m:borderBox>
              </m:e>
            </m:mr>
          </m:m>
        </m:oMath>
      </m:oMathPara>
    </w:p>
    <w:p w14:paraId="3BF6C4B1" w14:textId="4B44D586" w:rsidR="00CA26AF" w:rsidRDefault="00CA26AF" w:rsidP="00CA26AF">
      <w:pPr>
        <w:pStyle w:val="Nivel3SM"/>
      </w:pPr>
      <w:r>
        <w:t>La curva</w:t>
      </w:r>
      <w:r w:rsidR="00F02987">
        <w:t> </w:t>
      </w:r>
      <w:r w:rsidRPr="003509D3">
        <w:rPr>
          <w:i/>
          <w:iCs/>
        </w:rPr>
        <w:t>IS</w:t>
      </w:r>
      <w:r>
        <w:t xml:space="preserve"> es decreciente en el plano</w:t>
      </w:r>
      <w:r w:rsidR="00F02987">
        <w:t> </w:t>
      </w:r>
      <w:r>
        <w:rPr>
          <w:i/>
          <w:iCs/>
        </w:rPr>
        <w:t>Y</w:t>
      </w:r>
      <w:r w:rsidRPr="00A03A0E">
        <w:t>-</w:t>
      </w:r>
      <w:r>
        <w:rPr>
          <w:i/>
          <w:iCs/>
        </w:rPr>
        <w:t>i</w:t>
      </w:r>
      <w:r>
        <w:t xml:space="preserve"> porque aumentos del tipo de interés reducen la inversión y por lo tanto la renta.</w:t>
      </w:r>
    </w:p>
    <w:p w14:paraId="04E49B43" w14:textId="635AC98F" w:rsidR="00CA26AF" w:rsidRPr="001B3BC2" w:rsidRDefault="00CA26AF">
      <w:pPr>
        <w:pStyle w:val="Prrafodelista"/>
        <w:keepNext/>
        <w:numPr>
          <w:ilvl w:val="0"/>
          <w:numId w:val="25"/>
        </w:numPr>
        <w:spacing w:after="0"/>
        <w:ind w:left="568" w:hanging="284"/>
        <w:rPr>
          <w:color w:val="00B050"/>
        </w:rPr>
      </w:pPr>
      <w:r w:rsidRPr="001B3BC2">
        <w:rPr>
          <w:i/>
          <w:iCs/>
          <w:color w:val="00B050"/>
          <w:u w:val="single"/>
        </w:rPr>
        <w:t>Curva</w:t>
      </w:r>
      <w:r w:rsidR="00F02987">
        <w:rPr>
          <w:i/>
          <w:iCs/>
          <w:color w:val="00B050"/>
          <w:u w:val="single"/>
        </w:rPr>
        <w:t> </w:t>
      </w:r>
      <w:r w:rsidRPr="001B3BC2">
        <w:rPr>
          <w:i/>
          <w:iCs/>
          <w:color w:val="00B050"/>
          <w:u w:val="single"/>
        </w:rPr>
        <w:t>LM</w:t>
      </w:r>
      <w:r w:rsidRPr="001B3BC2">
        <w:rPr>
          <w:color w:val="00B050"/>
        </w:rPr>
        <w:t xml:space="preserve"> (</w:t>
      </w:r>
      <w:proofErr w:type="spellStart"/>
      <w:r w:rsidRPr="001B3BC2">
        <w:rPr>
          <w:i/>
          <w:iCs/>
          <w:color w:val="00B050"/>
        </w:rPr>
        <w:t>Liquidity</w:t>
      </w:r>
      <w:proofErr w:type="spellEnd"/>
      <w:r w:rsidRPr="001B3BC2">
        <w:rPr>
          <w:i/>
          <w:iCs/>
          <w:color w:val="00B050"/>
        </w:rPr>
        <w:t>-Money</w:t>
      </w:r>
      <w:r w:rsidRPr="001B3BC2">
        <w:rPr>
          <w:color w:val="00B050"/>
        </w:rPr>
        <w:t>)</w:t>
      </w:r>
    </w:p>
    <w:p w14:paraId="51250E77" w14:textId="10426B9D" w:rsidR="00CA26AF" w:rsidRDefault="00CA26AF" w:rsidP="00CA26AF">
      <w:pPr>
        <w:pStyle w:val="Nivel3SM"/>
      </w:pPr>
      <w:r>
        <w:t xml:space="preserve">La </w:t>
      </w:r>
      <w:r w:rsidRPr="003509D3">
        <w:rPr>
          <w:i/>
          <w:iCs/>
        </w:rPr>
        <w:t>curva</w:t>
      </w:r>
      <w:r w:rsidR="00F02987">
        <w:rPr>
          <w:i/>
          <w:iCs/>
        </w:rPr>
        <w:t> </w:t>
      </w:r>
      <w:r w:rsidRPr="003509D3">
        <w:rPr>
          <w:i/>
          <w:iCs/>
        </w:rPr>
        <w:t>LM</w:t>
      </w:r>
      <w:r>
        <w:t xml:space="preserve"> representa los pares de renta y tipo de interés que representan el equilibrio en el mercado de dinero y en el mercado de bonos.</w:t>
      </w:r>
    </w:p>
    <w:p w14:paraId="15A8BCC1" w14:textId="77777777" w:rsidR="00CA26AF" w:rsidRDefault="00CA26AF" w:rsidP="00CA26AF">
      <w:pPr>
        <w:pStyle w:val="Nivel3SM"/>
        <w:keepNext/>
      </w:pPr>
      <w:r>
        <w:t>Se supone que la oferta monetaria viene dada exógenamente y la demanda de dinero sigue una función que depende positivamente de la renta y negativamente del tipo de interés:</w:t>
      </w:r>
    </w:p>
    <w:p w14:paraId="055E0392" w14:textId="77777777" w:rsidR="00CA26AF" w:rsidRPr="00887161" w:rsidRDefault="00000000" w:rsidP="00CA26AF">
      <w:pPr>
        <w:pStyle w:val="Nivel3SM"/>
        <w:numPr>
          <w:ilvl w:val="0"/>
          <w:numId w:val="0"/>
        </w:numPr>
        <w:ind w:left="963"/>
        <w:rPr>
          <w:lang w:val="en-US"/>
        </w:rPr>
      </w:pPr>
      <m:oMathPara>
        <m:oMath>
          <m:f>
            <m:fPr>
              <m:ctrlPr>
                <w:rPr>
                  <w:rFonts w:ascii="Cambria Math" w:hAnsi="Cambria Math"/>
                  <w:i/>
                  <w:iCs/>
                </w:rPr>
              </m:ctrlPr>
            </m:fPr>
            <m:num>
              <m:r>
                <m:rPr>
                  <m:nor/>
                </m:rPr>
                <w:rPr>
                  <w:i/>
                  <w:iCs/>
                  <w:lang w:val="en-US"/>
                </w:rPr>
                <m:t>M</m:t>
              </m:r>
            </m:num>
            <m:den>
              <m:r>
                <m:rPr>
                  <m:nor/>
                </m:rPr>
                <w:rPr>
                  <w:i/>
                  <w:iCs/>
                  <w:lang w:val="en-US"/>
                </w:rPr>
                <m:t>P</m:t>
              </m:r>
            </m:den>
          </m:f>
          <m:r>
            <w:rPr>
              <w:rFonts w:ascii="Cambria Math" w:hAnsi="Cambria Math"/>
              <w:lang w:val="en-US"/>
            </w:rPr>
            <m:t>=</m:t>
          </m:r>
          <m:r>
            <m:rPr>
              <m:nor/>
            </m:rPr>
            <w:rPr>
              <w:i/>
              <w:iCs/>
              <w:lang w:val="en-US"/>
            </w:rPr>
            <m:t>k</m:t>
          </m:r>
          <m:r>
            <w:rPr>
              <w:rFonts w:ascii="Cambria Math" w:hAnsi="Cambria Math"/>
              <w:lang w:val="en-US"/>
            </w:rPr>
            <m:t>∙</m:t>
          </m:r>
          <m:r>
            <m:rPr>
              <m:nor/>
            </m:rPr>
            <w:rPr>
              <w:i/>
              <w:iCs/>
              <w:lang w:val="en-US"/>
            </w:rPr>
            <m:t>Y</m:t>
          </m:r>
          <m:r>
            <w:rPr>
              <w:rFonts w:ascii="Cambria Math" w:hAnsi="Cambria Math"/>
              <w:lang w:val="en-US"/>
            </w:rPr>
            <m:t>-</m:t>
          </m:r>
          <m:r>
            <m:rPr>
              <m:nor/>
            </m:rPr>
            <w:rPr>
              <w:i/>
              <w:iCs/>
              <w:lang w:val="en-US"/>
            </w:rPr>
            <m:t>h</m:t>
          </m:r>
          <m:r>
            <w:rPr>
              <w:rFonts w:ascii="Cambria Math" w:hAnsi="Cambria Math"/>
              <w:lang w:val="en-US"/>
            </w:rPr>
            <m:t>∙</m:t>
          </m:r>
          <m:r>
            <m:rPr>
              <m:nor/>
            </m:rPr>
            <w:rPr>
              <w:i/>
              <w:iCs/>
              <w:lang w:val="en-US"/>
            </w:rPr>
            <m:t>i</m:t>
          </m:r>
          <m:r>
            <w:rPr>
              <w:rFonts w:ascii="Cambria Math" w:eastAsiaTheme="minorEastAsia" w:hAnsi="Cambria Math"/>
            </w:rPr>
            <m:t>⟹</m:t>
          </m:r>
          <m:borderBox>
            <m:borderBoxPr>
              <m:ctrlPr>
                <w:rPr>
                  <w:rFonts w:ascii="Cambria Math" w:eastAsiaTheme="minorEastAsia" w:hAnsi="Cambria Math"/>
                  <w:i/>
                  <w:iCs/>
                  <w:color w:val="00B050"/>
                </w:rPr>
              </m:ctrlPr>
            </m:borderBoxPr>
            <m:e>
              <m:r>
                <m:rPr>
                  <m:nor/>
                </m:rPr>
                <w:rPr>
                  <w:i/>
                  <w:iCs/>
                  <w:color w:val="00B050"/>
                  <w:lang w:val="en-US"/>
                </w:rPr>
                <m:t>i</m:t>
              </m:r>
              <m:r>
                <w:rPr>
                  <w:rFonts w:ascii="Cambria Math" w:hAnsi="Cambria Math"/>
                  <w:color w:val="00B050"/>
                  <w:lang w:val="en-US"/>
                </w:rPr>
                <m:t>=</m:t>
              </m:r>
              <m:f>
                <m:fPr>
                  <m:ctrlPr>
                    <w:rPr>
                      <w:rFonts w:ascii="Cambria Math" w:hAnsi="Cambria Math"/>
                      <w:i/>
                      <w:color w:val="00B050"/>
                    </w:rPr>
                  </m:ctrlPr>
                </m:fPr>
                <m:num>
                  <m:r>
                    <m:rPr>
                      <m:nor/>
                    </m:rPr>
                    <w:rPr>
                      <w:i/>
                      <w:iCs/>
                      <w:color w:val="00B050"/>
                      <w:lang w:val="en-US"/>
                    </w:rPr>
                    <m:t>1</m:t>
                  </m:r>
                </m:num>
                <m:den>
                  <m:r>
                    <m:rPr>
                      <m:nor/>
                    </m:rPr>
                    <w:rPr>
                      <w:i/>
                      <w:iCs/>
                      <w:color w:val="00B050"/>
                      <w:lang w:val="en-US"/>
                    </w:rPr>
                    <m:t>h</m:t>
                  </m:r>
                </m:den>
              </m:f>
              <m:r>
                <w:rPr>
                  <w:rFonts w:ascii="Cambria Math" w:hAnsi="Cambria Math"/>
                  <w:color w:val="00B050"/>
                  <w:lang w:val="en-US"/>
                </w:rPr>
                <m:t>∙</m:t>
              </m:r>
              <m:d>
                <m:dPr>
                  <m:ctrlPr>
                    <w:rPr>
                      <w:rFonts w:ascii="Cambria Math" w:hAnsi="Cambria Math"/>
                      <w:i/>
                      <w:iCs/>
                      <w:color w:val="00B050"/>
                    </w:rPr>
                  </m:ctrlPr>
                </m:dPr>
                <m:e>
                  <m:r>
                    <m:rPr>
                      <m:nor/>
                    </m:rPr>
                    <w:rPr>
                      <w:i/>
                      <w:iCs/>
                      <w:color w:val="00B050"/>
                      <w:lang w:val="en-US"/>
                    </w:rPr>
                    <m:t>k</m:t>
                  </m:r>
                  <m:r>
                    <w:rPr>
                      <w:rFonts w:ascii="Cambria Math" w:hAnsi="Cambria Math"/>
                      <w:color w:val="00B050"/>
                      <w:lang w:val="en-US"/>
                    </w:rPr>
                    <m:t>∙</m:t>
                  </m:r>
                  <m:r>
                    <m:rPr>
                      <m:nor/>
                    </m:rPr>
                    <w:rPr>
                      <w:i/>
                      <w:iCs/>
                      <w:color w:val="00B050"/>
                      <w:lang w:val="en-US"/>
                    </w:rPr>
                    <m:t>Y</m:t>
                  </m:r>
                  <m:r>
                    <w:rPr>
                      <w:rFonts w:ascii="Cambria Math" w:hAnsi="Cambria Math"/>
                      <w:color w:val="00B050"/>
                      <w:lang w:val="en-US"/>
                    </w:rPr>
                    <m:t>-</m:t>
                  </m:r>
                  <m:f>
                    <m:fPr>
                      <m:ctrlPr>
                        <w:rPr>
                          <w:rFonts w:ascii="Cambria Math" w:hAnsi="Cambria Math"/>
                          <w:i/>
                          <w:iCs/>
                          <w:color w:val="00B050"/>
                        </w:rPr>
                      </m:ctrlPr>
                    </m:fPr>
                    <m:num>
                      <m:r>
                        <m:rPr>
                          <m:nor/>
                        </m:rPr>
                        <w:rPr>
                          <w:i/>
                          <w:iCs/>
                          <w:color w:val="00B050"/>
                          <w:lang w:val="en-US"/>
                        </w:rPr>
                        <m:t>M</m:t>
                      </m:r>
                    </m:num>
                    <m:den>
                      <m:r>
                        <m:rPr>
                          <m:nor/>
                        </m:rPr>
                        <w:rPr>
                          <w:i/>
                          <w:iCs/>
                          <w:color w:val="00B050"/>
                          <w:lang w:val="en-US"/>
                        </w:rPr>
                        <m:t>P</m:t>
                      </m:r>
                    </m:den>
                  </m:f>
                </m:e>
              </m:d>
            </m:e>
          </m:borderBox>
        </m:oMath>
      </m:oMathPara>
    </w:p>
    <w:p w14:paraId="02BBA826" w14:textId="7B551963" w:rsidR="00CA26AF" w:rsidRPr="00D66B55" w:rsidRDefault="00CA26AF" w:rsidP="00CA26AF">
      <w:pPr>
        <w:pStyle w:val="Nivel3SM"/>
      </w:pPr>
      <w:r>
        <w:t>La curva</w:t>
      </w:r>
      <w:r w:rsidR="00F02987">
        <w:t> </w:t>
      </w:r>
      <w:r w:rsidRPr="003509D3">
        <w:rPr>
          <w:i/>
          <w:iCs/>
        </w:rPr>
        <w:t>LM</w:t>
      </w:r>
      <w:r>
        <w:t xml:space="preserve"> será creciente con el tipo de interés, pues un aumento de la renta requiere un aumento del tipo de interés para reequilibrar el mercado monetario.</w:t>
      </w:r>
    </w:p>
    <w:p w14:paraId="742E5E71" w14:textId="305D5E3A" w:rsidR="00CA26AF" w:rsidRPr="001B3BC2" w:rsidRDefault="00CA26AF">
      <w:pPr>
        <w:pStyle w:val="Prrafodelista"/>
        <w:keepNext/>
        <w:numPr>
          <w:ilvl w:val="0"/>
          <w:numId w:val="25"/>
        </w:numPr>
        <w:spacing w:after="0"/>
        <w:ind w:left="568" w:hanging="284"/>
        <w:rPr>
          <w:color w:val="FF6600"/>
          <w:lang w:val="en-US"/>
        </w:rPr>
      </w:pPr>
      <w:r w:rsidRPr="001B3BC2">
        <w:rPr>
          <w:i/>
          <w:iCs/>
          <w:color w:val="FF6600"/>
          <w:u w:val="single"/>
          <w:lang w:val="en-US"/>
        </w:rPr>
        <w:t>Curva</w:t>
      </w:r>
      <w:r w:rsidR="00F02987">
        <w:rPr>
          <w:i/>
          <w:iCs/>
          <w:color w:val="FF6600"/>
          <w:u w:val="single"/>
          <w:lang w:val="en-US"/>
        </w:rPr>
        <w:t> </w:t>
      </w:r>
      <w:r w:rsidRPr="001B3BC2">
        <w:rPr>
          <w:i/>
          <w:iCs/>
          <w:color w:val="FF6600"/>
          <w:u w:val="single"/>
          <w:lang w:val="en-US"/>
        </w:rPr>
        <w:t>BP</w:t>
      </w:r>
      <w:r w:rsidRPr="001B3BC2">
        <w:rPr>
          <w:color w:val="FF6600"/>
          <w:lang w:val="en-US"/>
        </w:rPr>
        <w:t xml:space="preserve"> (</w:t>
      </w:r>
      <w:r w:rsidRPr="001B3BC2">
        <w:rPr>
          <w:i/>
          <w:iCs/>
          <w:color w:val="FF6600"/>
          <w:lang w:val="en-US"/>
        </w:rPr>
        <w:t>Balance of Payments</w:t>
      </w:r>
      <w:r w:rsidRPr="001B3BC2">
        <w:rPr>
          <w:color w:val="FF6600"/>
          <w:lang w:val="en-US"/>
        </w:rPr>
        <w:t>)</w:t>
      </w:r>
    </w:p>
    <w:p w14:paraId="31EA0E70" w14:textId="2A0C332C" w:rsidR="00CA26AF" w:rsidRDefault="00CA26AF" w:rsidP="00CA26AF">
      <w:pPr>
        <w:pStyle w:val="Nivel3SM"/>
      </w:pPr>
      <w:r>
        <w:t>La curva</w:t>
      </w:r>
      <w:r w:rsidR="00F02987">
        <w:t> </w:t>
      </w:r>
      <w:r w:rsidRPr="003509D3">
        <w:rPr>
          <w:i/>
          <w:iCs/>
        </w:rPr>
        <w:t>BP</w:t>
      </w:r>
      <w:r>
        <w:t xml:space="preserve"> representa los pares de renta y tipo de interés que representan el equilibrio en el sector exterior (i.e. equilibrio de balanza de pagos).</w:t>
      </w:r>
    </w:p>
    <w:p w14:paraId="7B38B321" w14:textId="77777777" w:rsidR="00CA26AF" w:rsidRDefault="00CA26AF" w:rsidP="00CA26AF">
      <w:pPr>
        <w:pStyle w:val="Nivel3SM"/>
        <w:keepNext/>
      </w:pPr>
      <w:r>
        <w:t>Suponemos que la balanza de pagos queda definida de la siguiente manera</w:t>
      </w:r>
      <w:r>
        <w:rPr>
          <w:rStyle w:val="Refdenotaalpie"/>
        </w:rPr>
        <w:footnoteReference w:id="25"/>
      </w:r>
      <w:r>
        <w:t>:</w:t>
      </w:r>
    </w:p>
    <w:p w14:paraId="493CEE07" w14:textId="77777777" w:rsidR="00CA26AF" w:rsidRPr="00887161" w:rsidRDefault="00000000" w:rsidP="00CA26AF">
      <w:pPr>
        <w:pStyle w:val="Nivel3SM"/>
        <w:numPr>
          <w:ilvl w:val="0"/>
          <w:numId w:val="0"/>
        </w:numPr>
        <w:ind w:left="963"/>
        <w:rPr>
          <w:rFonts w:eastAsiaTheme="minorEastAsia"/>
        </w:rPr>
      </w:pPr>
      <m:oMathPara>
        <m:oMath>
          <m:m>
            <m:mPr>
              <m:mcs>
                <m:mc>
                  <m:mcPr>
                    <m:count m:val="1"/>
                    <m:mcJc m:val="center"/>
                  </m:mcPr>
                </m:mc>
              </m:mcs>
              <m:ctrlPr>
                <w:rPr>
                  <w:rFonts w:ascii="Cambria Math" w:hAnsi="Cambria Math"/>
                  <w:i/>
                </w:rPr>
              </m:ctrlPr>
            </m:mPr>
            <m:mr>
              <m:e>
                <m:limLow>
                  <m:limLowPr>
                    <m:ctrlPr>
                      <w:rPr>
                        <w:rFonts w:ascii="Cambria Math" w:hAnsi="Cambria Math"/>
                        <w:i/>
                      </w:rPr>
                    </m:ctrlPr>
                  </m:limLowPr>
                  <m:e>
                    <m:groupChr>
                      <m:groupChrPr>
                        <m:ctrlPr>
                          <w:rPr>
                            <w:rFonts w:ascii="Cambria Math" w:hAnsi="Cambria Math"/>
                            <w:i/>
                          </w:rPr>
                        </m:ctrlPr>
                      </m:groupChrPr>
                      <m:e>
                        <m:r>
                          <m:rPr>
                            <m:nor/>
                          </m:rPr>
                          <w:rPr>
                            <w:i/>
                            <w:iCs/>
                          </w:rPr>
                          <m:t>x</m:t>
                        </m:r>
                        <m:r>
                          <w:rPr>
                            <w:rFonts w:ascii="Cambria Math" w:hAnsi="Cambria Math"/>
                          </w:rPr>
                          <m:t>∙</m:t>
                        </m:r>
                        <m:r>
                          <m:rPr>
                            <m:nor/>
                          </m:rPr>
                          <w:rPr>
                            <w:i/>
                            <w:iCs/>
                          </w:rPr>
                          <m:t>Y*</m:t>
                        </m:r>
                        <m:r>
                          <w:rPr>
                            <w:rFonts w:ascii="Cambria Math" w:hAnsi="Cambria Math"/>
                          </w:rPr>
                          <m:t>-</m:t>
                        </m:r>
                        <m:r>
                          <m:rPr>
                            <m:nor/>
                          </m:rPr>
                          <w:rPr>
                            <w:i/>
                            <w:iCs/>
                          </w:rPr>
                          <m:t>m</m:t>
                        </m:r>
                        <m:r>
                          <w:rPr>
                            <w:rFonts w:ascii="Cambria Math" w:hAnsi="Cambria Math"/>
                          </w:rPr>
                          <m:t>∙</m:t>
                        </m:r>
                        <m:r>
                          <m:rPr>
                            <m:nor/>
                          </m:rPr>
                          <w:rPr>
                            <w:i/>
                            <w:iCs/>
                          </w:rPr>
                          <m:t>Y</m:t>
                        </m:r>
                        <m:r>
                          <w:rPr>
                            <w:rFonts w:ascii="Cambria Math" w:hAnsi="Cambria Math"/>
                          </w:rPr>
                          <m:t>+</m:t>
                        </m:r>
                        <m:r>
                          <m:rPr>
                            <m:nor/>
                          </m:rPr>
                          <w:rPr>
                            <w:i/>
                            <w:iCs/>
                          </w:rPr>
                          <m:t>ϕ</m:t>
                        </m:r>
                        <m:r>
                          <w:rPr>
                            <w:rFonts w:ascii="Cambria Math" w:hAnsi="Cambria Math"/>
                          </w:rPr>
                          <m:t>∙</m:t>
                        </m:r>
                        <m:r>
                          <m:rPr>
                            <m:nor/>
                          </m:rPr>
                          <w:rPr>
                            <w:i/>
                          </w:rPr>
                          <m:t>ϰ</m:t>
                        </m:r>
                      </m:e>
                    </m:groupChr>
                  </m:e>
                  <m:lim>
                    <m:r>
                      <m:rPr>
                        <m:nor/>
                      </m:rPr>
                      <w:rPr>
                        <w:i/>
                        <w:iCs/>
                      </w:rPr>
                      <m:t>XN</m:t>
                    </m:r>
                    <m:r>
                      <w:rPr>
                        <w:rFonts w:ascii="Cambria Math" w:hAnsi="Cambria Math"/>
                      </w:rPr>
                      <m:t>=</m:t>
                    </m:r>
                    <m:r>
                      <m:rPr>
                        <m:nor/>
                      </m:rPr>
                      <w:rPr>
                        <w:i/>
                        <w:iCs/>
                      </w:rPr>
                      <m:t>CC</m:t>
                    </m:r>
                  </m:lim>
                </m:limLow>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r>
                          <w:rPr>
                            <w:rFonts w:ascii="Cambria Math" w:hAnsi="Cambria Math"/>
                          </w:rPr>
                          <m:t>-</m:t>
                        </m:r>
                        <m:r>
                          <m:rPr>
                            <m:nor/>
                          </m:rPr>
                          <w:rPr>
                            <w:i/>
                            <w:lang w:val="en-US"/>
                          </w:rPr>
                          <m:t>β</m:t>
                        </m:r>
                        <m:r>
                          <w:rPr>
                            <w:rFonts w:ascii="Cambria Math" w:hAnsi="Cambria Math"/>
                          </w:rPr>
                          <m:t>∙</m:t>
                        </m:r>
                        <m:d>
                          <m:dPr>
                            <m:ctrlPr>
                              <w:rPr>
                                <w:rFonts w:ascii="Cambria Math" w:hAnsi="Cambria Math"/>
                                <w:i/>
                                <w:iCs/>
                                <w:lang w:val="en-US"/>
                              </w:rPr>
                            </m:ctrlPr>
                          </m:dPr>
                          <m:e>
                            <m:r>
                              <m:rPr>
                                <m:nor/>
                              </m:rPr>
                              <w:rPr>
                                <w:i/>
                                <w:iCs/>
                              </w:rPr>
                              <m:t>i</m:t>
                            </m:r>
                            <m:r>
                              <w:rPr>
                                <w:rFonts w:ascii="Cambria Math" w:hAnsi="Cambria Math"/>
                              </w:rPr>
                              <m:t>-</m:t>
                            </m:r>
                            <m:r>
                              <m:rPr>
                                <m:nor/>
                              </m:rPr>
                              <w:rPr>
                                <w:i/>
                                <w:iCs/>
                              </w:rPr>
                              <m:t>i*</m:t>
                            </m:r>
                          </m:e>
                        </m:d>
                      </m:e>
                    </m:groupChr>
                  </m:e>
                  <m:lim>
                    <m:r>
                      <m:rPr>
                        <m:nor/>
                      </m:rPr>
                      <w:rPr>
                        <w:i/>
                        <w:iCs/>
                      </w:rPr>
                      <m:t>CF</m:t>
                    </m:r>
                  </m:lim>
                </m:limLow>
              </m:e>
            </m:mr>
            <m:mr>
              <m:e>
                <m:r>
                  <w:rPr>
                    <w:rFonts w:ascii="Cambria Math" w:hAnsi="Cambria Math"/>
                  </w:rPr>
                  <m:t>⇓</m:t>
                </m:r>
              </m:e>
            </m:mr>
            <m:mr>
              <m:e>
                <m:borderBox>
                  <m:borderBoxPr>
                    <m:ctrlPr>
                      <w:rPr>
                        <w:rFonts w:ascii="Cambria Math" w:hAnsi="Cambria Math"/>
                        <w:i/>
                        <w:iCs/>
                        <w:color w:val="FF6600"/>
                      </w:rPr>
                    </m:ctrlPr>
                  </m:borderBoxPr>
                  <m:e>
                    <m:r>
                      <m:rPr>
                        <m:nor/>
                      </m:rPr>
                      <w:rPr>
                        <w:i/>
                        <w:iCs/>
                        <w:color w:val="FF6600"/>
                      </w:rPr>
                      <m:t>i</m:t>
                    </m:r>
                    <m:r>
                      <w:rPr>
                        <w:rFonts w:ascii="Cambria Math"/>
                        <w:color w:val="FF6600"/>
                      </w:rPr>
                      <m:t>=</m:t>
                    </m:r>
                    <m:f>
                      <m:fPr>
                        <m:ctrlPr>
                          <w:rPr>
                            <w:rFonts w:ascii="Cambria Math" w:hAnsi="Cambria Math"/>
                            <w:i/>
                            <w:color w:val="FF6600"/>
                          </w:rPr>
                        </m:ctrlPr>
                      </m:fPr>
                      <m:num>
                        <m:r>
                          <w:rPr>
                            <w:rFonts w:ascii="Cambria Math" w:hAnsi="Cambria Math"/>
                            <w:color w:val="FF6600"/>
                          </w:rPr>
                          <m:t>-</m:t>
                        </m:r>
                        <m:r>
                          <m:rPr>
                            <m:nor/>
                          </m:rPr>
                          <w:rPr>
                            <w:i/>
                            <w:color w:val="FF6600"/>
                          </w:rPr>
                          <m:t>1</m:t>
                        </m:r>
                      </m:num>
                      <m:den>
                        <m:r>
                          <m:rPr>
                            <m:nor/>
                          </m:rPr>
                          <w:rPr>
                            <w:i/>
                            <w:color w:val="FF6600"/>
                            <w:lang w:val="en-US"/>
                          </w:rPr>
                          <m:t>β</m:t>
                        </m:r>
                      </m:den>
                    </m:f>
                    <m:r>
                      <w:rPr>
                        <w:rFonts w:ascii="Cambria Math" w:hAnsi="Cambria Math"/>
                        <w:color w:val="FF6600"/>
                      </w:rPr>
                      <m:t>∙</m:t>
                    </m:r>
                    <m:limLow>
                      <m:limLowPr>
                        <m:ctrlPr>
                          <w:rPr>
                            <w:rFonts w:ascii="Cambria Math" w:hAnsi="Cambria Math"/>
                            <w:i/>
                            <w:color w:val="FF6600"/>
                          </w:rPr>
                        </m:ctrlPr>
                      </m:limLowPr>
                      <m:e>
                        <m:groupChr>
                          <m:groupChrPr>
                            <m:ctrlPr>
                              <w:rPr>
                                <w:rFonts w:ascii="Cambria Math" w:hAnsi="Cambria Math"/>
                                <w:i/>
                                <w:color w:val="FF6600"/>
                              </w:rPr>
                            </m:ctrlPr>
                          </m:groupChrPr>
                          <m:e>
                            <m:d>
                              <m:dPr>
                                <m:ctrlPr>
                                  <w:rPr>
                                    <w:rFonts w:ascii="Cambria Math" w:hAnsi="Cambria Math"/>
                                    <w:i/>
                                    <w:iCs/>
                                    <w:color w:val="FF6600"/>
                                    <w:lang w:val="en-US"/>
                                  </w:rPr>
                                </m:ctrlPr>
                              </m:dPr>
                              <m:e>
                                <m:r>
                                  <m:rPr>
                                    <m:nor/>
                                  </m:rPr>
                                  <w:rPr>
                                    <w:i/>
                                    <w:iCs/>
                                    <w:color w:val="FF6600"/>
                                  </w:rPr>
                                  <m:t>x</m:t>
                                </m:r>
                                <m:r>
                                  <w:rPr>
                                    <w:rFonts w:ascii="Cambria Math" w:hAnsi="Cambria Math"/>
                                    <w:color w:val="FF6600"/>
                                  </w:rPr>
                                  <m:t>∙</m:t>
                                </m:r>
                                <m:r>
                                  <m:rPr>
                                    <m:nor/>
                                  </m:rPr>
                                  <w:rPr>
                                    <w:i/>
                                    <w:iCs/>
                                    <w:color w:val="FF6600"/>
                                  </w:rPr>
                                  <m:t>Y*</m:t>
                                </m:r>
                                <m:r>
                                  <w:rPr>
                                    <w:rFonts w:ascii="Cambria Math" w:hAnsi="Cambria Math"/>
                                    <w:color w:val="FF6600"/>
                                  </w:rPr>
                                  <m:t>-</m:t>
                                </m:r>
                                <m:r>
                                  <m:rPr>
                                    <m:nor/>
                                  </m:rPr>
                                  <w:rPr>
                                    <w:i/>
                                    <w:iCs/>
                                    <w:color w:val="FF6600"/>
                                  </w:rPr>
                                  <m:t>m</m:t>
                                </m:r>
                                <m:r>
                                  <w:rPr>
                                    <w:rFonts w:ascii="Cambria Math" w:hAnsi="Cambria Math"/>
                                    <w:color w:val="FF6600"/>
                                  </w:rPr>
                                  <m:t>∙</m:t>
                                </m:r>
                                <m:r>
                                  <m:rPr>
                                    <m:nor/>
                                  </m:rPr>
                                  <w:rPr>
                                    <w:i/>
                                    <w:iCs/>
                                    <w:color w:val="FF6600"/>
                                  </w:rPr>
                                  <m:t>Y</m:t>
                                </m:r>
                                <m:r>
                                  <w:rPr>
                                    <w:rFonts w:ascii="Cambria Math" w:hAnsi="Cambria Math"/>
                                    <w:color w:val="FF6600"/>
                                  </w:rPr>
                                  <m:t>+</m:t>
                                </m:r>
                                <m:r>
                                  <m:rPr>
                                    <m:nor/>
                                  </m:rPr>
                                  <w:rPr>
                                    <w:i/>
                                    <w:iCs/>
                                    <w:color w:val="FF6600"/>
                                  </w:rPr>
                                  <m:t>ϕ</m:t>
                                </m:r>
                                <m:r>
                                  <w:rPr>
                                    <w:rFonts w:ascii="Cambria Math" w:hAnsi="Cambria Math"/>
                                    <w:color w:val="FF6600"/>
                                  </w:rPr>
                                  <m:t>∙</m:t>
                                </m:r>
                                <m:r>
                                  <m:rPr>
                                    <m:nor/>
                                  </m:rPr>
                                  <w:rPr>
                                    <w:i/>
                                    <w:color w:val="FF6600"/>
                                  </w:rPr>
                                  <m:t>ϰ</m:t>
                                </m:r>
                              </m:e>
                            </m:d>
                          </m:e>
                        </m:groupChr>
                      </m:e>
                      <m:lim>
                        <m:r>
                          <m:rPr>
                            <m:nor/>
                          </m:rPr>
                          <w:rPr>
                            <w:i/>
                            <w:iCs/>
                            <w:color w:val="FF6600"/>
                          </w:rPr>
                          <m:t>XN</m:t>
                        </m:r>
                        <m:r>
                          <w:rPr>
                            <w:rFonts w:ascii="Cambria Math" w:hAnsi="Cambria Math"/>
                            <w:color w:val="FF6600"/>
                          </w:rPr>
                          <m:t>=</m:t>
                        </m:r>
                        <m:r>
                          <m:rPr>
                            <m:nor/>
                          </m:rPr>
                          <w:rPr>
                            <w:i/>
                            <w:iCs/>
                            <w:color w:val="FF6600"/>
                          </w:rPr>
                          <m:t>CC</m:t>
                        </m:r>
                      </m:lim>
                    </m:limLow>
                    <m:r>
                      <w:rPr>
                        <w:rFonts w:ascii="Cambria Math"/>
                        <w:color w:val="FF6600"/>
                      </w:rPr>
                      <m:t>+</m:t>
                    </m:r>
                    <m:r>
                      <m:rPr>
                        <m:nor/>
                      </m:rPr>
                      <w:rPr>
                        <w:i/>
                        <w:iCs/>
                        <w:color w:val="FF6600"/>
                      </w:rPr>
                      <m:t>i*</m:t>
                    </m:r>
                  </m:e>
                </m:borderBox>
              </m:e>
            </m:mr>
          </m:m>
        </m:oMath>
      </m:oMathPara>
    </w:p>
    <w:p w14:paraId="418451E4" w14:textId="77777777" w:rsidR="00CA26AF" w:rsidRDefault="00CA26AF" w:rsidP="00CA26AF">
      <w:pPr>
        <w:pStyle w:val="Nivel3SM"/>
        <w:keepNext/>
        <w:ind w:left="964"/>
      </w:pPr>
      <w:r>
        <w:lastRenderedPageBreak/>
        <w:t xml:space="preserve">Para hallar la pendiente de la curva </w:t>
      </w:r>
      <w:r w:rsidRPr="003509D3">
        <w:rPr>
          <w:i/>
          <w:iCs/>
        </w:rPr>
        <w:t>BP</w:t>
      </w:r>
      <w:r>
        <w:t>, bastaría con calcular la derivada parcial respecto a la renta doméstica, de modo que:</w:t>
      </w:r>
    </w:p>
    <w:p w14:paraId="0C467F62" w14:textId="77777777" w:rsidR="00CA26AF" w:rsidRPr="00887161" w:rsidRDefault="00000000" w:rsidP="00CA26AF">
      <w:pPr>
        <w:pStyle w:val="Nivel3SM"/>
        <w:keepNext/>
        <w:numPr>
          <w:ilvl w:val="0"/>
          <w:numId w:val="0"/>
        </w:numPr>
        <w:ind w:left="964"/>
        <w:rPr>
          <w:i/>
        </w:rPr>
      </w:pPr>
      <m:oMathPara>
        <m:oMath>
          <m:f>
            <m:fPr>
              <m:ctrlPr>
                <w:rPr>
                  <w:rFonts w:ascii="Cambria Math" w:hAnsi="Cambria Math"/>
                  <w:i/>
                </w:rPr>
              </m:ctrlPr>
            </m:fPr>
            <m:num>
              <m:r>
                <m:rPr>
                  <m:nor/>
                </m:rPr>
                <w:rPr>
                  <w:i/>
                </w:rPr>
                <m:t>∂</m:t>
              </m:r>
              <m:r>
                <m:rPr>
                  <m:nor/>
                </m:rPr>
                <w:rPr>
                  <w:i/>
                  <w:iCs/>
                </w:rPr>
                <m:t>i</m:t>
              </m:r>
            </m:num>
            <m:den>
              <m:r>
                <m:rPr>
                  <m:nor/>
                </m:rPr>
                <w:rPr>
                  <w:i/>
                </w:rPr>
                <m:t>∂</m:t>
              </m:r>
              <m:r>
                <m:rPr>
                  <m:nor/>
                </m:rPr>
                <w:rPr>
                  <w:i/>
                  <w:iCs/>
                </w:rPr>
                <m:t>Y</m:t>
              </m:r>
            </m:den>
          </m:f>
          <m:r>
            <w:rPr>
              <w:rFonts w:ascii="Cambria Math" w:hAnsi="Cambria Math"/>
            </w:rPr>
            <m:t>=</m:t>
          </m:r>
          <m:f>
            <m:fPr>
              <m:ctrlPr>
                <w:rPr>
                  <w:rFonts w:ascii="Cambria Math" w:hAnsi="Cambria Math"/>
                  <w:i/>
                </w:rPr>
              </m:ctrlPr>
            </m:fPr>
            <m:num>
              <m:r>
                <m:rPr>
                  <m:nor/>
                </m:rPr>
                <w:rPr>
                  <w:i/>
                </w:rPr>
                <m:t>m</m:t>
              </m:r>
            </m:num>
            <m:den>
              <m:r>
                <m:rPr>
                  <m:nor/>
                </m:rPr>
                <w:rPr>
                  <w:i/>
                  <w:lang w:val="en-US"/>
                </w:rPr>
                <m:t>β</m:t>
              </m:r>
            </m:den>
          </m:f>
        </m:oMath>
      </m:oMathPara>
    </w:p>
    <w:p w14:paraId="07918721" w14:textId="77777777" w:rsidR="00CA26AF" w:rsidRPr="00887161" w:rsidRDefault="00CA26AF" w:rsidP="00CA26AF">
      <w:pPr>
        <w:pStyle w:val="Nivel4"/>
        <w:keepNext/>
        <w:ind w:left="1474"/>
        <w:rPr>
          <w:spacing w:val="-1"/>
        </w:rPr>
      </w:pPr>
      <w:r w:rsidRPr="00887161">
        <w:rPr>
          <w:spacing w:val="-1"/>
        </w:rPr>
        <w:t xml:space="preserve">Por lo tanto, la pendiente va a depender especialmente del </w:t>
      </w:r>
      <w:r w:rsidRPr="00887161">
        <w:rPr>
          <w:i/>
          <w:iCs/>
          <w:spacing w:val="-1"/>
        </w:rPr>
        <w:t>grado de movilidad del capital</w:t>
      </w:r>
      <w:r w:rsidRPr="00887161">
        <w:rPr>
          <w:spacing w:val="-1"/>
        </w:rPr>
        <w:t>:</w:t>
      </w:r>
    </w:p>
    <w:p w14:paraId="74F9BD20" w14:textId="13BE7B71" w:rsidR="00CA26AF" w:rsidRPr="003509D3" w:rsidRDefault="00CA26AF" w:rsidP="00CA26AF">
      <w:pPr>
        <w:pStyle w:val="Nivel5"/>
        <w:ind w:left="1871"/>
      </w:pPr>
      <w:r w:rsidRPr="003509D3">
        <w:rPr>
          <w:i/>
          <w:iCs/>
        </w:rPr>
        <w:t>Si existe movilidad perfecta de capital</w:t>
      </w:r>
      <w:r>
        <w:t xml:space="preserve">, </w:t>
      </w:r>
      <m:oMath>
        <m:r>
          <m:rPr>
            <m:nor/>
          </m:rPr>
          <w:rPr>
            <w:i/>
            <w:lang w:val="en-US"/>
          </w:rPr>
          <m:t>β</m:t>
        </m:r>
        <m:r>
          <w:rPr>
            <w:rFonts w:ascii="Cambria Math" w:eastAsiaTheme="minorEastAsia" w:hAnsi="Cambria Math"/>
          </w:rPr>
          <m:t>=+∞</m:t>
        </m:r>
      </m:oMath>
      <w:r>
        <w:rPr>
          <w:rFonts w:eastAsiaTheme="minorEastAsia"/>
        </w:rPr>
        <w:t>, la curva</w:t>
      </w:r>
      <w:r w:rsidR="00F02987">
        <w:rPr>
          <w:rFonts w:eastAsiaTheme="minorEastAsia"/>
        </w:rPr>
        <w:t> </w:t>
      </w:r>
      <w:r w:rsidRPr="003509D3">
        <w:rPr>
          <w:rFonts w:eastAsiaTheme="minorEastAsia"/>
          <w:i/>
          <w:iCs/>
        </w:rPr>
        <w:t>BP</w:t>
      </w:r>
      <w:r>
        <w:rPr>
          <w:rFonts w:eastAsiaTheme="minorEastAsia"/>
        </w:rPr>
        <w:t xml:space="preserve"> será totalmente horizontal (i.e. pendiente nula). En este caso, debe cumplirse que </w:t>
      </w:r>
      <m:oMath>
        <m:r>
          <m:rPr>
            <m:nor/>
          </m:rPr>
          <w:rPr>
            <w:i/>
            <w:iCs/>
          </w:rPr>
          <m:t>i</m:t>
        </m:r>
        <m:r>
          <w:rPr>
            <w:rFonts w:ascii="Cambria Math" w:hAnsi="Cambria Math"/>
          </w:rPr>
          <m:t>=</m:t>
        </m:r>
        <m:r>
          <m:rPr>
            <m:nor/>
          </m:rPr>
          <w:rPr>
            <w:i/>
            <w:iCs/>
          </w:rPr>
          <m:t>i*</m:t>
        </m:r>
      </m:oMath>
      <w:r>
        <w:rPr>
          <w:rFonts w:eastAsiaTheme="minorEastAsia"/>
          <w:iCs/>
        </w:rPr>
        <w:t xml:space="preserve">, ya que si </w:t>
      </w:r>
      <m:oMath>
        <m:r>
          <m:rPr>
            <m:nor/>
          </m:rPr>
          <w:rPr>
            <w:i/>
            <w:iCs/>
          </w:rPr>
          <m:t>i</m:t>
        </m:r>
      </m:oMath>
      <w:r>
        <w:rPr>
          <w:rFonts w:eastAsiaTheme="minorEastAsia"/>
          <w:iCs/>
        </w:rPr>
        <w:t xml:space="preserve"> fuese ligeramente mayor, se produciría una entrada masiva de capitales, y si fuera ligeramente menor, se produciría una salida masiva de capitales.</w:t>
      </w:r>
    </w:p>
    <w:p w14:paraId="2BD9610C" w14:textId="5C0F33A4" w:rsidR="00CA26AF" w:rsidRPr="003509D3" w:rsidRDefault="00CA26AF" w:rsidP="00CA26AF">
      <w:pPr>
        <w:pStyle w:val="Nivel5"/>
        <w:ind w:left="1871"/>
      </w:pPr>
      <w:r w:rsidRPr="003509D3">
        <w:rPr>
          <w:i/>
          <w:iCs/>
        </w:rPr>
        <w:t>Si existe movilidad perfecta de capital</w:t>
      </w:r>
      <w:r>
        <w:t xml:space="preserve">, </w:t>
      </w:r>
      <m:oMath>
        <m:r>
          <m:rPr>
            <m:nor/>
          </m:rPr>
          <w:rPr>
            <w:i/>
            <w:lang w:val="en-US"/>
          </w:rPr>
          <m:t>β</m:t>
        </m:r>
        <m:r>
          <w:rPr>
            <w:rFonts w:ascii="Cambria Math" w:eastAsiaTheme="minorEastAsia" w:hAnsi="Cambria Math"/>
          </w:rPr>
          <m:t>=</m:t>
        </m:r>
        <m:r>
          <m:rPr>
            <m:nor/>
          </m:rPr>
          <w:rPr>
            <w:i/>
          </w:rPr>
          <m:t>0</m:t>
        </m:r>
      </m:oMath>
      <w:r>
        <w:rPr>
          <w:rFonts w:eastAsiaTheme="minorEastAsia"/>
        </w:rPr>
        <w:t>, la curva</w:t>
      </w:r>
      <w:r w:rsidR="00F02987">
        <w:rPr>
          <w:rFonts w:eastAsiaTheme="minorEastAsia"/>
        </w:rPr>
        <w:t> </w:t>
      </w:r>
      <w:r w:rsidRPr="003509D3">
        <w:rPr>
          <w:rFonts w:eastAsiaTheme="minorEastAsia"/>
          <w:i/>
          <w:iCs/>
        </w:rPr>
        <w:t>BP</w:t>
      </w:r>
      <w:r>
        <w:rPr>
          <w:rFonts w:eastAsiaTheme="minorEastAsia"/>
        </w:rPr>
        <w:t xml:space="preserve"> será totalmente vertical (i.e. pendiente infinita). En este caso, la balanza de pagos depende exclusivamente de la balanza comercial</w:t>
      </w:r>
      <w:r>
        <w:rPr>
          <w:rFonts w:eastAsiaTheme="minorEastAsia"/>
          <w:iCs/>
        </w:rPr>
        <w:t>.</w:t>
      </w:r>
    </w:p>
    <w:p w14:paraId="4D6CDCE7" w14:textId="77777777" w:rsidR="00CA26AF" w:rsidRPr="003509D3" w:rsidRDefault="00CA26AF" w:rsidP="00CA26AF">
      <w:pPr>
        <w:pStyle w:val="Nivel5"/>
        <w:ind w:left="1871"/>
      </w:pPr>
      <w:r w:rsidRPr="003509D3">
        <w:rPr>
          <w:i/>
          <w:iCs/>
        </w:rPr>
        <w:t xml:space="preserve">Si existe movilidad </w:t>
      </w:r>
      <w:r>
        <w:rPr>
          <w:i/>
          <w:iCs/>
        </w:rPr>
        <w:t>im</w:t>
      </w:r>
      <w:r w:rsidRPr="003509D3">
        <w:rPr>
          <w:i/>
          <w:iCs/>
        </w:rPr>
        <w:t>perfecta de capital</w:t>
      </w:r>
      <w:r>
        <w:t>,</w:t>
      </w:r>
      <m:oMath>
        <m:r>
          <w:rPr>
            <w:rFonts w:ascii="Cambria Math" w:hAnsi="Cambria Math"/>
          </w:rPr>
          <m:t xml:space="preserve"> </m:t>
        </m:r>
        <m:r>
          <m:rPr>
            <m:nor/>
          </m:rPr>
          <w:rPr>
            <w:i/>
            <w:lang w:val="en-US"/>
          </w:rPr>
          <m:t>β</m:t>
        </m:r>
        <m:r>
          <w:rPr>
            <w:rFonts w:ascii="Cambria Math" w:eastAsiaTheme="minorEastAsia" w:hAnsi="Cambria Math"/>
          </w:rPr>
          <m:t>∈</m:t>
        </m:r>
        <m:d>
          <m:dPr>
            <m:ctrlPr>
              <w:rPr>
                <w:rFonts w:ascii="Cambria Math" w:eastAsiaTheme="minorEastAsia" w:hAnsi="Cambria Math"/>
                <w:i/>
              </w:rPr>
            </m:ctrlPr>
          </m:dPr>
          <m:e>
            <m:r>
              <m:rPr>
                <m:nor/>
              </m:rPr>
              <w:rPr>
                <w:i/>
              </w:rPr>
              <m:t>0,</m:t>
            </m:r>
            <m:r>
              <w:rPr>
                <w:rFonts w:ascii="Cambria Math" w:eastAsiaTheme="minorEastAsia" w:hAnsi="Cambria Math"/>
              </w:rPr>
              <m:t>+∞</m:t>
            </m:r>
          </m:e>
        </m:d>
      </m:oMath>
      <w:r>
        <w:rPr>
          <w:rFonts w:eastAsiaTheme="minorEastAsia"/>
        </w:rPr>
        <w:t xml:space="preserve">, la curva </w:t>
      </w:r>
      <w:r w:rsidRPr="003509D3">
        <w:rPr>
          <w:rFonts w:eastAsiaTheme="minorEastAsia"/>
          <w:i/>
          <w:iCs/>
        </w:rPr>
        <w:t>BP</w:t>
      </w:r>
      <w:r>
        <w:rPr>
          <w:rFonts w:eastAsiaTheme="minorEastAsia"/>
        </w:rPr>
        <w:t xml:space="preserve"> tendrá pendiente positiva.</w:t>
      </w:r>
    </w:p>
    <w:p w14:paraId="64637810" w14:textId="77777777" w:rsidR="00CA26AF" w:rsidRDefault="00CA26AF" w:rsidP="00CA26AF">
      <w:pPr>
        <w:pStyle w:val="Nivel6"/>
      </w:pPr>
      <w:r>
        <w:t xml:space="preserve">Diremos que existe un alto grado de movilidad del capital cuando la </w:t>
      </w:r>
      <w:r>
        <w:rPr>
          <w:i/>
          <w:iCs/>
        </w:rPr>
        <w:t>BP</w:t>
      </w:r>
      <w:r>
        <w:t xml:space="preserve"> sea menos inclinada que la </w:t>
      </w:r>
      <w:r>
        <w:rPr>
          <w:i/>
          <w:iCs/>
        </w:rPr>
        <w:t>LM</w:t>
      </w:r>
      <w:r>
        <w:t xml:space="preserve">, y que existe un bajo nivel de movilidad del capital cuando la </w:t>
      </w:r>
      <w:r>
        <w:rPr>
          <w:i/>
          <w:iCs/>
        </w:rPr>
        <w:t>BP</w:t>
      </w:r>
      <w:r>
        <w:t xml:space="preserve"> sea </w:t>
      </w:r>
      <w:r>
        <w:rPr>
          <w:i/>
          <w:iCs/>
        </w:rPr>
        <w:t>más</w:t>
      </w:r>
      <w:r w:rsidRPr="003509D3">
        <w:t xml:space="preserve"> inclinada</w:t>
      </w:r>
      <w:r>
        <w:t xml:space="preserve"> que la </w:t>
      </w:r>
      <w:r>
        <w:rPr>
          <w:i/>
          <w:iCs/>
        </w:rPr>
        <w:t>LM</w:t>
      </w:r>
      <w:r>
        <w:t>.</w:t>
      </w:r>
    </w:p>
    <w:p w14:paraId="5701D81A" w14:textId="43AA1E8E" w:rsidR="00CA26AF" w:rsidRDefault="00CA26AF" w:rsidP="00CA26AF">
      <w:pPr>
        <w:pStyle w:val="Nivel6"/>
        <w:spacing w:after="100"/>
      </w:pPr>
      <w:r>
        <w:t>Que la curva</w:t>
      </w:r>
      <w:r w:rsidR="00F02987">
        <w:t> </w:t>
      </w:r>
      <w:r>
        <w:rPr>
          <w:i/>
          <w:iCs/>
        </w:rPr>
        <w:t>BP</w:t>
      </w:r>
      <w:r>
        <w:t xml:space="preserve"> sea creciente se debe a que, partiendo de un punto de equilibrio en la balanza de pagos, un aumento del nivel de renta hará crecer las importaciones y, por tanto, empeorará el saldo de la balanza comercial, por lo que, para recuperar el equilibrio de la balanza de pagos, se necesitaría un aumento del tipo de interés que llevara a una mejora de la balanza de capitales.</w:t>
      </w:r>
    </w:p>
    <w:p w14:paraId="7CCC328F" w14:textId="56ACF393" w:rsidR="00CA26AF" w:rsidRDefault="00CA26AF" w:rsidP="00CA26AF">
      <w:pPr>
        <w:pStyle w:val="Ttuloimagen"/>
        <w:rPr>
          <w:i/>
          <w:iCs/>
          <w:smallCaps w:val="0"/>
        </w:rPr>
      </w:pPr>
      <w:r>
        <w:t xml:space="preserve">Imagen </w:t>
      </w:r>
      <w:r w:rsidRPr="009C1D3F">
        <w:fldChar w:fldCharType="begin"/>
      </w:r>
      <w:r w:rsidRPr="009C1D3F">
        <w:instrText xml:space="preserve"> SEQ Ilustración \* ARABIC </w:instrText>
      </w:r>
      <w:r w:rsidRPr="009C1D3F">
        <w:fldChar w:fldCharType="separate"/>
      </w:r>
      <w:r w:rsidR="003F54C7">
        <w:t>4</w:t>
      </w:r>
      <w:r w:rsidRPr="009C1D3F">
        <w:fldChar w:fldCharType="end"/>
      </w:r>
      <w:r w:rsidRPr="009C1D3F">
        <w:rPr>
          <w:smallCaps w:val="0"/>
        </w:rPr>
        <w:t xml:space="preserve">.– </w:t>
      </w:r>
      <w:r>
        <w:rPr>
          <w:i/>
          <w:iCs/>
          <w:smallCaps w:val="0"/>
        </w:rPr>
        <w:t>Modelo de Mundell-Fleming (IS-LM-BP)</w:t>
      </w:r>
    </w:p>
    <w:p w14:paraId="40BCA557" w14:textId="77777777" w:rsidR="00CA26AF" w:rsidRDefault="00CA26AF" w:rsidP="00CA26AF">
      <w:pPr>
        <w:pStyle w:val="Imagen"/>
      </w:pPr>
      <w:r>
        <w:drawing>
          <wp:inline distT="0" distB="0" distL="0" distR="0" wp14:anchorId="7EC17B1E" wp14:editId="5F9D39F0">
            <wp:extent cx="3200221" cy="1800000"/>
            <wp:effectExtent l="0" t="0" r="635" b="0"/>
            <wp:docPr id="24" name="Imagen 24"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Gráfico, Gráfico radial&#10;&#10;Descripción generada automáticamente"/>
                    <pic:cNvPicPr/>
                  </pic:nvPicPr>
                  <pic:blipFill>
                    <a:blip r:embed="rId17"/>
                    <a:stretch>
                      <a:fillRect/>
                    </a:stretch>
                  </pic:blipFill>
                  <pic:spPr>
                    <a:xfrm>
                      <a:off x="0" y="0"/>
                      <a:ext cx="3200221" cy="1800000"/>
                    </a:xfrm>
                    <a:prstGeom prst="rect">
                      <a:avLst/>
                    </a:prstGeom>
                  </pic:spPr>
                </pic:pic>
              </a:graphicData>
            </a:graphic>
          </wp:inline>
        </w:drawing>
      </w:r>
    </w:p>
    <w:p w14:paraId="201FCB28" w14:textId="7919EF01" w:rsidR="00CA26AF" w:rsidRDefault="00CA26AF" w:rsidP="00CA26AF">
      <w:pPr>
        <w:pStyle w:val="PiedeImagen"/>
        <w:rPr>
          <w:i w:val="0"/>
          <w:iCs/>
        </w:rPr>
      </w:pPr>
      <w:r>
        <w:t>Fuente</w:t>
      </w:r>
      <w:r>
        <w:rPr>
          <w:i w:val="0"/>
          <w:iCs/>
        </w:rPr>
        <w:t>: Elaboración propia</w:t>
      </w:r>
    </w:p>
    <w:p w14:paraId="7EAD3F5B" w14:textId="77777777" w:rsidR="00446990" w:rsidRDefault="00446990" w:rsidP="00446990">
      <w:pPr>
        <w:pStyle w:val="Nivel1SM"/>
        <w:keepNext/>
        <w:spacing w:after="0"/>
      </w:pPr>
      <w:bookmarkStart w:id="117" w:name="_Toc122523394"/>
      <w:r>
        <w:t xml:space="preserve">En este modelo, la </w:t>
      </w:r>
      <w:r>
        <w:rPr>
          <w:i/>
          <w:iCs/>
          <w:u w:val="single"/>
        </w:rPr>
        <w:t>demanda agregada</w:t>
      </w:r>
      <w:r>
        <w:t xml:space="preserve"> (determinada por las curvas </w:t>
      </w:r>
      <w:r>
        <w:rPr>
          <w:i/>
          <w:iCs/>
        </w:rPr>
        <w:t>IS</w:t>
      </w:r>
      <w:r>
        <w:t xml:space="preserve">, </w:t>
      </w:r>
      <w:r>
        <w:rPr>
          <w:i/>
          <w:iCs/>
        </w:rPr>
        <w:t>LM</w:t>
      </w:r>
      <w:r>
        <w:t xml:space="preserve"> y </w:t>
      </w:r>
      <w:r>
        <w:rPr>
          <w:i/>
          <w:iCs/>
        </w:rPr>
        <w:t>BP</w:t>
      </w:r>
      <w:r>
        <w:t xml:space="preserve">) </w:t>
      </w:r>
      <w:r w:rsidRPr="00700412">
        <w:rPr>
          <w:i/>
          <w:iCs/>
          <w:u w:val="single"/>
        </w:rPr>
        <w:t xml:space="preserve">determina la </w:t>
      </w:r>
      <w:r>
        <w:rPr>
          <w:i/>
          <w:iCs/>
          <w:u w:val="single"/>
        </w:rPr>
        <w:t>renta</w:t>
      </w:r>
      <w:r>
        <w:t xml:space="preserve">, mientras que los </w:t>
      </w:r>
      <w:r w:rsidRPr="00700412">
        <w:rPr>
          <w:i/>
          <w:iCs/>
          <w:u w:val="single"/>
        </w:rPr>
        <w:t>precios son fijos</w:t>
      </w:r>
      <w:r>
        <w:t xml:space="preserve"> (vienen dados por una </w:t>
      </w:r>
      <w:r>
        <w:rPr>
          <w:i/>
          <w:iCs/>
          <w:u w:val="single"/>
        </w:rPr>
        <w:t>oferta agregada</w:t>
      </w:r>
      <w:r>
        <w:t xml:space="preserve"> que es totalmente horizontal).</w:t>
      </w:r>
    </w:p>
    <w:p w14:paraId="57647148" w14:textId="77777777" w:rsidR="00446990" w:rsidRDefault="00446990" w:rsidP="00446990">
      <w:pPr>
        <w:pStyle w:val="Nivel2SM"/>
      </w:pPr>
      <w:r>
        <w:t xml:space="preserve">El equilibrio en el modelo </w:t>
      </w:r>
      <w:proofErr w:type="spellStart"/>
      <w:r>
        <w:t>Mundell</w:t>
      </w:r>
      <w:proofErr w:type="spellEnd"/>
      <w:r>
        <w:t xml:space="preserve">-Fleming se da cuando hay equilibrio en todos los mercados, esto es, cuando se cortan sus curvas </w:t>
      </w:r>
      <w:r>
        <w:rPr>
          <w:i/>
          <w:iCs/>
        </w:rPr>
        <w:t>IS</w:t>
      </w:r>
      <w:r>
        <w:t xml:space="preserve"> (mercado de bienes), </w:t>
      </w:r>
      <w:r>
        <w:rPr>
          <w:i/>
          <w:iCs/>
        </w:rPr>
        <w:t>LM</w:t>
      </w:r>
      <w:r>
        <w:t xml:space="preserve"> (mercado de activos financieros –dinero y bonos–) y </w:t>
      </w:r>
      <w:r>
        <w:rPr>
          <w:i/>
          <w:iCs/>
        </w:rPr>
        <w:t>BP</w:t>
      </w:r>
      <w:r>
        <w:t>.</w:t>
      </w:r>
    </w:p>
    <w:p w14:paraId="707B6CA6" w14:textId="77777777" w:rsidR="00322D15" w:rsidRPr="002F0A7A" w:rsidRDefault="00322D15" w:rsidP="00322D15">
      <w:pPr>
        <w:pStyle w:val="Ttulo7"/>
      </w:pPr>
      <w:r>
        <w:t>Análisis de los efectos de distintas políticas económicas</w:t>
      </w:r>
      <w:bookmarkEnd w:id="117"/>
    </w:p>
    <w:p w14:paraId="4A03FF5C" w14:textId="77777777" w:rsidR="00322D15" w:rsidRDefault="00322D15" w:rsidP="00322D15">
      <w:pPr>
        <w:pStyle w:val="Nivel1SM"/>
        <w:keepNext/>
        <w:spacing w:before="0" w:after="0"/>
        <w:rPr>
          <w:spacing w:val="-1"/>
        </w:rPr>
      </w:pPr>
      <w:r w:rsidRPr="00730A94">
        <w:rPr>
          <w:spacing w:val="-1"/>
        </w:rPr>
        <w:t xml:space="preserve">Este marco nos permite estudiar el efecto de distintas políticas de demanda. El ajuste que conduzca al equilibrio global dependerá del </w:t>
      </w:r>
      <w:r w:rsidRPr="00730A94">
        <w:rPr>
          <w:i/>
          <w:iCs/>
          <w:spacing w:val="-1"/>
        </w:rPr>
        <w:t>grado de movilidad de capitales</w:t>
      </w:r>
      <w:r>
        <w:rPr>
          <w:spacing w:val="-1"/>
        </w:rPr>
        <w:t xml:space="preserve">, </w:t>
      </w:r>
      <w:r w:rsidRPr="00730A94">
        <w:rPr>
          <w:spacing w:val="-1"/>
        </w:rPr>
        <w:t xml:space="preserve">del </w:t>
      </w:r>
      <w:r w:rsidRPr="00730A94">
        <w:rPr>
          <w:i/>
          <w:iCs/>
          <w:spacing w:val="-1"/>
        </w:rPr>
        <w:t>régimen de tipo de cambio</w:t>
      </w:r>
      <w:r w:rsidRPr="00730A94">
        <w:rPr>
          <w:spacing w:val="-1"/>
        </w:rPr>
        <w:t xml:space="preserve"> existente</w:t>
      </w:r>
      <w:r>
        <w:rPr>
          <w:spacing w:val="-1"/>
        </w:rPr>
        <w:t xml:space="preserve"> y de la consideración de </w:t>
      </w:r>
      <w:r>
        <w:rPr>
          <w:i/>
          <w:iCs/>
          <w:spacing w:val="-1"/>
        </w:rPr>
        <w:t>países grandes o pequeños</w:t>
      </w:r>
      <w:r w:rsidRPr="00730A94">
        <w:rPr>
          <w:spacing w:val="-1"/>
        </w:rPr>
        <w:t>.</w:t>
      </w:r>
    </w:p>
    <w:p w14:paraId="16684B5C" w14:textId="3D9ADAEC" w:rsidR="00322D15" w:rsidRDefault="00322D15" w:rsidP="00322D15">
      <w:pPr>
        <w:pStyle w:val="Nivel2SM"/>
      </w:pPr>
      <w:r>
        <w:t xml:space="preserve">Empezaremos cada caso analizando </w:t>
      </w:r>
      <w:r>
        <w:rPr>
          <w:i/>
          <w:iCs/>
        </w:rPr>
        <w:t>dos países grandes</w:t>
      </w:r>
      <w:r>
        <w:t xml:space="preserve">, </w:t>
      </w:r>
      <w:r w:rsidRPr="002F0A7A">
        <w:t>y tras ello</w:t>
      </w:r>
      <w:r>
        <w:t xml:space="preserve"> veremos cómo cambian los resultados cuando cambia el tamaño de </w:t>
      </w:r>
      <w:r>
        <w:rPr>
          <w:i/>
          <w:iCs/>
        </w:rPr>
        <w:t>A</w:t>
      </w:r>
      <w:r>
        <w:t xml:space="preserve"> en relación a </w:t>
      </w:r>
      <w:r>
        <w:rPr>
          <w:i/>
          <w:iCs/>
        </w:rPr>
        <w:t>B</w:t>
      </w:r>
      <w:r>
        <w:t>.</w:t>
      </w:r>
    </w:p>
    <w:p w14:paraId="3A1FC138" w14:textId="77777777" w:rsidR="00322D15" w:rsidRDefault="00322D15" w:rsidP="00322D15">
      <w:pPr>
        <w:pStyle w:val="Ttulo8"/>
      </w:pPr>
      <w:bookmarkStart w:id="118" w:name="_Toc122523395"/>
      <w:r>
        <w:lastRenderedPageBreak/>
        <w:t>Política monetaria expansiva con tipo de cambio flexible</w:t>
      </w:r>
      <w:bookmarkEnd w:id="118"/>
    </w:p>
    <w:p w14:paraId="6F444F0B" w14:textId="6B5FBE82" w:rsidR="00322D15" w:rsidRDefault="00322D15" w:rsidP="00322D15">
      <w:pPr>
        <w:pStyle w:val="Nivel1SM"/>
        <w:keepNext/>
        <w:spacing w:before="0" w:after="0"/>
      </w:pPr>
      <w:r w:rsidRPr="00D607B3">
        <w:t>Comenzaremos por el estudio de una</w:t>
      </w:r>
      <w:r>
        <w:rPr>
          <w:b/>
          <w:bCs/>
        </w:rPr>
        <w:t xml:space="preserve"> política monetaria expansiva del país </w:t>
      </w:r>
      <w:r>
        <w:rPr>
          <w:b/>
          <w:bCs/>
          <w:i/>
          <w:iCs/>
        </w:rPr>
        <w:t>A</w:t>
      </w:r>
      <w:r>
        <w:rPr>
          <w:b/>
          <w:bCs/>
        </w:rPr>
        <w:t>, con tipo de cambio flexible para dos países grandes</w:t>
      </w:r>
      <w:r>
        <w:t xml:space="preserve"> </w:t>
      </w:r>
      <w:r w:rsidRPr="003D2BA2">
        <w:rPr>
          <w:sz w:val="19"/>
          <w:szCs w:val="19"/>
        </w:rPr>
        <w:t>(= efectos de la política monetaria expansiva del BCE sobre Estados Unidos)</w:t>
      </w:r>
      <w:r>
        <w:t>:</w:t>
      </w:r>
    </w:p>
    <w:p w14:paraId="2A9940B3" w14:textId="1C03EF39" w:rsidR="00322D15" w:rsidRDefault="00322D15" w:rsidP="00322D15">
      <w:pPr>
        <w:pStyle w:val="Nivel2SM"/>
      </w:pPr>
      <w:r>
        <w:t>La expansión monetaria provocará una elevación del nivel de renta y una reducción del tipo de interés en el país </w:t>
      </w:r>
      <w:r>
        <w:rPr>
          <w:i/>
          <w:iCs/>
        </w:rPr>
        <w:t>A</w:t>
      </w:r>
      <w:r>
        <w:t xml:space="preserve">, ya que la curva </w:t>
      </w:r>
      <w:r>
        <w:rPr>
          <w:i/>
          <w:iCs/>
        </w:rPr>
        <w:t>LM</w:t>
      </w:r>
      <w:r>
        <w:t xml:space="preserve"> se desplaza a la derecha hasta </w:t>
      </w:r>
      <w:r>
        <w:rPr>
          <w:i/>
          <w:iCs/>
        </w:rPr>
        <w:t>LM</w:t>
      </w:r>
      <w:r w:rsidRPr="00976C72">
        <w:rPr>
          <w:i/>
          <w:iCs/>
          <w:vertAlign w:val="subscript"/>
        </w:rPr>
        <w:t>1</w:t>
      </w:r>
      <w:r>
        <w:t>.</w:t>
      </w:r>
    </w:p>
    <w:p w14:paraId="5453D57D" w14:textId="63124DB2" w:rsidR="00322D15" w:rsidRDefault="00322D15" w:rsidP="00322D15">
      <w:pPr>
        <w:pStyle w:val="Nivel2SM"/>
        <w:keepNext/>
        <w:spacing w:after="0"/>
      </w:pPr>
      <w:r>
        <w:t>Bajo perfe</w:t>
      </w:r>
      <w:r w:rsidR="00391DCD">
        <w:t>c</w:t>
      </w:r>
      <w:r>
        <w:t xml:space="preserve">ta movilidad del capital, el diferencial de intereses generado provocará una salida de capitales de </w:t>
      </w:r>
      <w:r>
        <w:rPr>
          <w:i/>
          <w:iCs/>
        </w:rPr>
        <w:t>A</w:t>
      </w:r>
      <w:r>
        <w:t>. Ello implicará una fuerte demanda de bonos del país </w:t>
      </w:r>
      <w:r>
        <w:rPr>
          <w:i/>
          <w:iCs/>
        </w:rPr>
        <w:t>B</w:t>
      </w:r>
      <w:r>
        <w:t>, ahora más rentables, cuyo precio deberá subir reduciendo el tipo de interés del resto del mundo (por la relación inversa precio del bono – tipo de interés), lo que se representa con un desplazamiento hacia debajo de la curva</w:t>
      </w:r>
      <w:r w:rsidR="00391DCD">
        <w:t> </w:t>
      </w:r>
      <w:r>
        <w:rPr>
          <w:i/>
          <w:iCs/>
        </w:rPr>
        <w:t>BP</w:t>
      </w:r>
      <w:r>
        <w:t>.</w:t>
      </w:r>
    </w:p>
    <w:p w14:paraId="2F31FAAC" w14:textId="51B6DC2B" w:rsidR="00322D15" w:rsidRDefault="00322D15" w:rsidP="00322D15">
      <w:pPr>
        <w:pStyle w:val="Nivel3SM"/>
      </w:pPr>
      <w:r>
        <w:t>Nótese que la reducción inicial del tipo de interés en el país </w:t>
      </w:r>
      <w:r>
        <w:rPr>
          <w:i/>
          <w:iCs/>
        </w:rPr>
        <w:t>A</w:t>
      </w:r>
      <w:r>
        <w:t xml:space="preserve"> provocada por la política monetaria expansiva es superior a la reducción del tipo de interés mundial, dado que el tamaño similar de ambos países no permite al primero de ellos determinar, sino sólo afectar, a las variables del segundo.</w:t>
      </w:r>
    </w:p>
    <w:p w14:paraId="2B6A5F4B" w14:textId="19952ED0" w:rsidR="00322D15" w:rsidRDefault="00322D15" w:rsidP="00322D15">
      <w:pPr>
        <w:pStyle w:val="Nivel2SM"/>
      </w:pPr>
      <w:r>
        <w:t>El tipo de cambio del país </w:t>
      </w:r>
      <w:r>
        <w:rPr>
          <w:i/>
          <w:iCs/>
        </w:rPr>
        <w:t>A</w:t>
      </w:r>
      <w:r>
        <w:t xml:space="preserve"> se depreciará hasta eliminar el exceso de oferta de moneda nacional, lo que aumentará sus exportaciones netas (i.e. la curva </w:t>
      </w:r>
      <w:r>
        <w:rPr>
          <w:i/>
          <w:iCs/>
        </w:rPr>
        <w:t>IS</w:t>
      </w:r>
      <w:r>
        <w:t xml:space="preserve"> se desplazará a la derecha hasta </w:t>
      </w:r>
      <w:r>
        <w:rPr>
          <w:i/>
          <w:iCs/>
        </w:rPr>
        <w:t>IS</w:t>
      </w:r>
      <w:r w:rsidRPr="000001E6">
        <w:rPr>
          <w:i/>
          <w:iCs/>
          <w:vertAlign w:val="subscript"/>
        </w:rPr>
        <w:t>1</w:t>
      </w:r>
      <w:r>
        <w:t>).</w:t>
      </w:r>
    </w:p>
    <w:p w14:paraId="2AD68CAD" w14:textId="1AE02362" w:rsidR="00322D15" w:rsidRDefault="00322D15" w:rsidP="00322D15">
      <w:pPr>
        <w:pStyle w:val="Nivel2SM"/>
        <w:keepNext/>
        <w:spacing w:after="0"/>
      </w:pPr>
      <w:r>
        <w:t>Paralelamente, en el país </w:t>
      </w:r>
      <w:r>
        <w:rPr>
          <w:i/>
          <w:iCs/>
        </w:rPr>
        <w:t>B</w:t>
      </w:r>
      <w:r>
        <w:t xml:space="preserve"> la política de su vecino habrá provocado 2 efectos:</w:t>
      </w:r>
    </w:p>
    <w:p w14:paraId="03DF86D1" w14:textId="70F496B4" w:rsidR="00322D15" w:rsidRDefault="00322D15">
      <w:pPr>
        <w:pStyle w:val="Prrafodelista"/>
        <w:numPr>
          <w:ilvl w:val="0"/>
          <w:numId w:val="27"/>
        </w:numPr>
        <w:spacing w:after="0"/>
        <w:ind w:left="1135" w:hanging="284"/>
      </w:pPr>
      <w:r>
        <w:rPr>
          <w:i/>
          <w:iCs/>
        </w:rPr>
        <w:t>Efecto renta del país A</w:t>
      </w:r>
      <w:r>
        <w:t>: El incremento de la renta del país </w:t>
      </w:r>
      <w:r>
        <w:rPr>
          <w:i/>
          <w:iCs/>
        </w:rPr>
        <w:t>A</w:t>
      </w:r>
      <w:r>
        <w:t xml:space="preserve"> habrá elevado sus importaciones (i.e. exportaciones del país </w:t>
      </w:r>
      <w:r>
        <w:rPr>
          <w:i/>
          <w:iCs/>
        </w:rPr>
        <w:t>B</w:t>
      </w:r>
      <w:r>
        <w:t>), desplazando la curva</w:t>
      </w:r>
      <w:r w:rsidR="00414D65">
        <w:t> </w:t>
      </w:r>
      <w:r>
        <w:rPr>
          <w:i/>
          <w:iCs/>
        </w:rPr>
        <w:t>IS</w:t>
      </w:r>
      <w:r>
        <w:t xml:space="preserve"> hasta </w:t>
      </w:r>
      <w:r>
        <w:rPr>
          <w:i/>
          <w:iCs/>
        </w:rPr>
        <w:t>IS</w:t>
      </w:r>
      <w:r w:rsidRPr="000001E6">
        <w:rPr>
          <w:i/>
          <w:iCs/>
          <w:vertAlign w:val="subscript"/>
        </w:rPr>
        <w:t>1</w:t>
      </w:r>
      <w:r>
        <w:t>.</w:t>
      </w:r>
    </w:p>
    <w:p w14:paraId="3143BBB8" w14:textId="0FE06803" w:rsidR="00322D15" w:rsidRDefault="00322D15">
      <w:pPr>
        <w:pStyle w:val="Prrafodelista"/>
        <w:numPr>
          <w:ilvl w:val="0"/>
          <w:numId w:val="27"/>
        </w:numPr>
        <w:spacing w:after="0"/>
        <w:ind w:left="1135" w:hanging="284"/>
      </w:pPr>
      <w:r>
        <w:rPr>
          <w:i/>
          <w:iCs/>
        </w:rPr>
        <w:t>Efecto tipo de cambio</w:t>
      </w:r>
      <w:r>
        <w:t>: El menor tipo de interés inicial del país </w:t>
      </w:r>
      <w:r>
        <w:rPr>
          <w:i/>
          <w:iCs/>
        </w:rPr>
        <w:t>A</w:t>
      </w:r>
      <w:r>
        <w:t xml:space="preserve"> frente al internacional provocará una entrada masiva de capitales en </w:t>
      </w:r>
      <w:r>
        <w:rPr>
          <w:i/>
          <w:iCs/>
        </w:rPr>
        <w:t>B</w:t>
      </w:r>
      <w:r>
        <w:t xml:space="preserve"> que apreciará su tipo de cambio, lo que disminuirá sus exportaciones netas (i.e. curva</w:t>
      </w:r>
      <w:r w:rsidR="00414D65">
        <w:t> </w:t>
      </w:r>
      <w:r>
        <w:rPr>
          <w:i/>
          <w:iCs/>
        </w:rPr>
        <w:t>IS</w:t>
      </w:r>
      <w:r>
        <w:t xml:space="preserve"> se desplazará a la izquierda hasta </w:t>
      </w:r>
      <w:r>
        <w:rPr>
          <w:i/>
          <w:iCs/>
        </w:rPr>
        <w:t>IS</w:t>
      </w:r>
      <w:r w:rsidRPr="000001E6">
        <w:rPr>
          <w:i/>
          <w:iCs/>
          <w:vertAlign w:val="subscript"/>
        </w:rPr>
        <w:t>2</w:t>
      </w:r>
      <w:r>
        <w:t>).</w:t>
      </w:r>
    </w:p>
    <w:p w14:paraId="0E8559BD" w14:textId="370E315A" w:rsidR="00322D15" w:rsidRDefault="00322D15" w:rsidP="00322D15">
      <w:pPr>
        <w:pStyle w:val="Nivel4"/>
        <w:ind w:left="1474"/>
      </w:pPr>
      <w:r>
        <w:t>Ambos efectos son de signo contrario, sin embargo, consideraremos que determinan una contracción de la renta del país </w:t>
      </w:r>
      <w:r>
        <w:rPr>
          <w:i/>
          <w:iCs/>
        </w:rPr>
        <w:t>B</w:t>
      </w:r>
      <w:r w:rsidRPr="00406DF9">
        <w:t xml:space="preserve"> </w:t>
      </w:r>
      <w:r>
        <w:t>(predomina el efecto tipo de cambio), y por lo tanto el tipo de interés de equilibrio mundial es ahora menor.</w:t>
      </w:r>
    </w:p>
    <w:p w14:paraId="2CD05D9C" w14:textId="6E2BE38A" w:rsidR="00322D15" w:rsidRPr="00BA0335" w:rsidRDefault="00322D15" w:rsidP="00322D15">
      <w:pPr>
        <w:pStyle w:val="Nivel2SM"/>
      </w:pPr>
      <w:r>
        <w:t>Es importante notar que el efecto de la vuelta sobre el país </w:t>
      </w:r>
      <w:r>
        <w:rPr>
          <w:i/>
          <w:iCs/>
        </w:rPr>
        <w:t>A</w:t>
      </w:r>
      <w:r>
        <w:t xml:space="preserve"> (una reducción de sus exportaciones por la reducción de las importaciones del país </w:t>
      </w:r>
      <w:r>
        <w:rPr>
          <w:i/>
          <w:iCs/>
        </w:rPr>
        <w:t>B</w:t>
      </w:r>
      <w:r>
        <w:t xml:space="preserve">) se verá exactamente contrarrestado por una depreciación del tipo de cambio de </w:t>
      </w:r>
      <w:r>
        <w:rPr>
          <w:i/>
          <w:iCs/>
        </w:rPr>
        <w:t>A</w:t>
      </w:r>
      <w:r>
        <w:t xml:space="preserve"> hasta garantizar que de nuevo se cumpla la condición </w:t>
      </w:r>
      <m:oMath>
        <m:r>
          <m:rPr>
            <m:nor/>
          </m:rPr>
          <w:rPr>
            <w:i/>
            <w:iCs/>
          </w:rPr>
          <m:t>i'</m:t>
        </m:r>
        <m:r>
          <w:rPr>
            <w:rFonts w:ascii="Cambria Math" w:hAnsi="Cambria Math"/>
          </w:rPr>
          <m:t>=</m:t>
        </m:r>
        <m:r>
          <m:rPr>
            <m:nor/>
          </m:rPr>
          <w:rPr>
            <w:i/>
            <w:iCs/>
          </w:rPr>
          <m:t>i*</m:t>
        </m:r>
      </m:oMath>
      <w:r>
        <w:rPr>
          <w:rFonts w:eastAsiaTheme="minorEastAsia"/>
          <w:iCs/>
        </w:rPr>
        <w:t>, por lo que podemos ignorar dicho efecto.</w:t>
      </w:r>
    </w:p>
    <w:p w14:paraId="50A3FB1E" w14:textId="77777777" w:rsidR="00322D15" w:rsidRPr="003D2BA2" w:rsidRDefault="00322D15" w:rsidP="00322D15">
      <w:pPr>
        <w:pStyle w:val="Nivel2SM"/>
      </w:pPr>
      <w:r>
        <w:rPr>
          <w:rFonts w:eastAsiaTheme="minorEastAsia"/>
          <w:iCs/>
        </w:rPr>
        <w:t>Además, si la movilidad de capitales fuera más reducida, ambos efectos de signo contrario serían menos potentes, con lo que se espera que no cambien sustancialmente las conclusiones.</w:t>
      </w:r>
    </w:p>
    <w:p w14:paraId="3DE598BF" w14:textId="4FB2E2B2" w:rsidR="00322D15" w:rsidRPr="003D2BA2" w:rsidRDefault="00322D15" w:rsidP="00322D15">
      <w:pPr>
        <w:pStyle w:val="Nivel2SM"/>
        <w:keepNext/>
        <w:spacing w:after="0"/>
      </w:pPr>
      <w:bookmarkStart w:id="119" w:name="_Hlk122428877"/>
      <w:r>
        <w:rPr>
          <w:rFonts w:eastAsiaTheme="minorEastAsia"/>
          <w:iCs/>
        </w:rPr>
        <w:t xml:space="preserve">En conclusión, </w:t>
      </w:r>
      <w:r w:rsidRPr="003D2BA2">
        <w:rPr>
          <w:rFonts w:eastAsiaTheme="minorEastAsia"/>
          <w:b/>
          <w:bCs/>
          <w:iCs/>
        </w:rPr>
        <w:t>la política monetaria expansiva del país</w:t>
      </w:r>
      <w:r>
        <w:rPr>
          <w:rFonts w:eastAsiaTheme="minorEastAsia"/>
          <w:b/>
          <w:bCs/>
          <w:iCs/>
        </w:rPr>
        <w:t> </w:t>
      </w:r>
      <w:r w:rsidRPr="003D2BA2">
        <w:rPr>
          <w:rFonts w:eastAsiaTheme="minorEastAsia"/>
          <w:b/>
          <w:bCs/>
          <w:i/>
        </w:rPr>
        <w:t>A</w:t>
      </w:r>
      <w:r w:rsidRPr="003D2BA2">
        <w:rPr>
          <w:rFonts w:eastAsiaTheme="minorEastAsia"/>
          <w:b/>
          <w:bCs/>
          <w:iCs/>
        </w:rPr>
        <w:t xml:space="preserve"> habrá provocado una expansión de la renta en el país</w:t>
      </w:r>
      <w:r>
        <w:rPr>
          <w:rFonts w:eastAsiaTheme="minorEastAsia"/>
          <w:b/>
          <w:bCs/>
          <w:iCs/>
        </w:rPr>
        <w:t> </w:t>
      </w:r>
      <w:r w:rsidRPr="003D2BA2">
        <w:rPr>
          <w:rFonts w:eastAsiaTheme="minorEastAsia"/>
          <w:b/>
          <w:bCs/>
          <w:i/>
        </w:rPr>
        <w:t>A</w:t>
      </w:r>
      <w:r w:rsidRPr="003D2BA2">
        <w:rPr>
          <w:rFonts w:eastAsiaTheme="minorEastAsia"/>
          <w:b/>
          <w:bCs/>
          <w:iCs/>
        </w:rPr>
        <w:t xml:space="preserve"> y una recesión en el país</w:t>
      </w:r>
      <w:r>
        <w:rPr>
          <w:rFonts w:eastAsiaTheme="minorEastAsia"/>
          <w:b/>
          <w:bCs/>
          <w:iCs/>
        </w:rPr>
        <w:t> </w:t>
      </w:r>
      <w:r w:rsidRPr="003D2BA2">
        <w:rPr>
          <w:rFonts w:eastAsiaTheme="minorEastAsia"/>
          <w:b/>
          <w:bCs/>
          <w:i/>
        </w:rPr>
        <w:t>B</w:t>
      </w:r>
      <w:r>
        <w:rPr>
          <w:rFonts w:eastAsiaTheme="minorEastAsia"/>
          <w:iCs/>
        </w:rPr>
        <w:t>.</w:t>
      </w:r>
    </w:p>
    <w:p w14:paraId="2C21B1FA" w14:textId="77777777" w:rsidR="00322D15" w:rsidRDefault="00322D15" w:rsidP="00322D15">
      <w:pPr>
        <w:pStyle w:val="Nivel3SM"/>
      </w:pPr>
      <w:r>
        <w:t xml:space="preserve">Es decir, la política monetaria expansiva del BCE tendrá, </w:t>
      </w:r>
      <w:proofErr w:type="spellStart"/>
      <w:r>
        <w:rPr>
          <w:i/>
        </w:rPr>
        <w:t>ceteris</w:t>
      </w:r>
      <w:proofErr w:type="spellEnd"/>
      <w:r>
        <w:rPr>
          <w:i/>
        </w:rPr>
        <w:t xml:space="preserve"> </w:t>
      </w:r>
      <w:proofErr w:type="spellStart"/>
      <w:r>
        <w:rPr>
          <w:i/>
        </w:rPr>
        <w:t>paribus</w:t>
      </w:r>
      <w:proofErr w:type="spellEnd"/>
      <w:r>
        <w:t>, un efecto positivo en el PIB de la UE y un efecto negativo en el de Estados Unidos.</w:t>
      </w:r>
    </w:p>
    <w:bookmarkEnd w:id="119"/>
    <w:p w14:paraId="23B58E73" w14:textId="77777777" w:rsidR="00322D15" w:rsidRPr="009C1D3F" w:rsidRDefault="00322D15" w:rsidP="00322D15">
      <w:pPr>
        <w:pStyle w:val="Nivel1SM"/>
        <w:rPr>
          <w:highlight w:val="yellow"/>
        </w:rPr>
      </w:pPr>
      <w:r>
        <w:rPr>
          <w:i/>
          <w:iCs/>
          <w:u w:val="single"/>
        </w:rPr>
        <w:t>País A pequeño – País B grande</w:t>
      </w:r>
      <w:r>
        <w:t xml:space="preserve">. </w:t>
      </w:r>
      <w:r w:rsidRPr="009C1D3F">
        <w:rPr>
          <w:highlight w:val="yellow"/>
        </w:rPr>
        <w:t xml:space="preserve">Comparando los resultados con los obtenidos en el modelo </w:t>
      </w:r>
      <w:proofErr w:type="spellStart"/>
      <w:r w:rsidRPr="009C1D3F">
        <w:rPr>
          <w:smallCaps/>
          <w:highlight w:val="yellow"/>
        </w:rPr>
        <w:t>Mundell</w:t>
      </w:r>
      <w:proofErr w:type="spellEnd"/>
      <w:r w:rsidRPr="009C1D3F">
        <w:rPr>
          <w:smallCaps/>
          <w:highlight w:val="yellow"/>
        </w:rPr>
        <w:t>-Fleming</w:t>
      </w:r>
      <w:r w:rsidRPr="009C1D3F">
        <w:rPr>
          <w:highlight w:val="yellow"/>
        </w:rPr>
        <w:t xml:space="preserve"> (un único país </w:t>
      </w:r>
      <w:r w:rsidRPr="009C1D3F">
        <w:rPr>
          <w:i/>
          <w:iCs/>
          <w:highlight w:val="yellow"/>
        </w:rPr>
        <w:t>A</w:t>
      </w:r>
      <w:r w:rsidRPr="009C1D3F">
        <w:rPr>
          <w:highlight w:val="yellow"/>
        </w:rPr>
        <w:t xml:space="preserve"> pequeño)</w:t>
      </w:r>
      <w:r>
        <w:rPr>
          <w:highlight w:val="yellow"/>
        </w:rPr>
        <w:t xml:space="preserve"> </w:t>
      </w:r>
      <w:r w:rsidRPr="009C1D3F">
        <w:rPr>
          <w:highlight w:val="yellow"/>
        </w:rPr>
        <w:t>se comprueba que la política monetaria con tipo de cambio flexible pierde parte de su efectividad, debido a la capacidad del país que la aplica para afectar al tipo de interés del resto del mundo.</w:t>
      </w:r>
    </w:p>
    <w:p w14:paraId="0726A853" w14:textId="77777777" w:rsidR="00322D15" w:rsidRPr="009C1D3F" w:rsidRDefault="00322D15" w:rsidP="00322D15">
      <w:pPr>
        <w:pStyle w:val="Nivel1SM"/>
        <w:keepNext/>
        <w:spacing w:after="0"/>
        <w:rPr>
          <w:highlight w:val="yellow"/>
        </w:rPr>
      </w:pPr>
      <w:r>
        <w:rPr>
          <w:i/>
          <w:iCs/>
          <w:u w:val="single"/>
        </w:rPr>
        <w:t>País A grande – País B pequeño</w:t>
      </w:r>
      <w:r>
        <w:t xml:space="preserve">. </w:t>
      </w:r>
      <w:r w:rsidRPr="009C1D3F">
        <w:rPr>
          <w:highlight w:val="yellow"/>
        </w:rPr>
        <w:t xml:space="preserve">La efectividad de la política será tanto mayor para el país </w:t>
      </w:r>
      <w:r w:rsidRPr="009C1D3F">
        <w:rPr>
          <w:i/>
          <w:iCs/>
          <w:highlight w:val="yellow"/>
        </w:rPr>
        <w:t>A</w:t>
      </w:r>
      <w:r w:rsidRPr="009C1D3F">
        <w:rPr>
          <w:highlight w:val="yellow"/>
        </w:rPr>
        <w:t xml:space="preserve"> cuanto menor sea </w:t>
      </w:r>
      <w:r w:rsidRPr="009C1D3F">
        <w:rPr>
          <w:i/>
          <w:iCs/>
          <w:highlight w:val="yellow"/>
        </w:rPr>
        <w:t>A</w:t>
      </w:r>
      <w:r w:rsidRPr="009C1D3F">
        <w:rPr>
          <w:highlight w:val="yellow"/>
        </w:rPr>
        <w:t xml:space="preserve"> respecto a </w:t>
      </w:r>
      <w:r w:rsidRPr="009C1D3F">
        <w:rPr>
          <w:i/>
          <w:iCs/>
          <w:highlight w:val="yellow"/>
        </w:rPr>
        <w:t>B</w:t>
      </w:r>
      <w:r w:rsidRPr="009C1D3F">
        <w:rPr>
          <w:highlight w:val="yellow"/>
        </w:rPr>
        <w:t xml:space="preserve">, mientras que el tamaño de </w:t>
      </w:r>
      <w:r w:rsidRPr="009C1D3F">
        <w:rPr>
          <w:i/>
          <w:iCs/>
          <w:highlight w:val="yellow"/>
        </w:rPr>
        <w:t>A</w:t>
      </w:r>
      <w:r w:rsidRPr="009C1D3F">
        <w:rPr>
          <w:highlight w:val="yellow"/>
        </w:rPr>
        <w:t xml:space="preserve"> respecto a </w:t>
      </w:r>
      <w:r w:rsidRPr="009C1D3F">
        <w:rPr>
          <w:i/>
          <w:iCs/>
          <w:highlight w:val="yellow"/>
        </w:rPr>
        <w:t>B</w:t>
      </w:r>
      <w:r w:rsidRPr="009C1D3F">
        <w:rPr>
          <w:highlight w:val="yellow"/>
        </w:rPr>
        <w:t xml:space="preserve"> es ambiguo en los mayores o menores efectos sobre </w:t>
      </w:r>
      <w:r w:rsidRPr="009C1D3F">
        <w:rPr>
          <w:i/>
          <w:iCs/>
          <w:highlight w:val="yellow"/>
        </w:rPr>
        <w:t>B</w:t>
      </w:r>
      <w:r w:rsidRPr="009C1D3F">
        <w:rPr>
          <w:highlight w:val="yellow"/>
        </w:rPr>
        <w:t>.</w:t>
      </w:r>
    </w:p>
    <w:p w14:paraId="711423C2" w14:textId="77777777" w:rsidR="00322D15" w:rsidRDefault="00322D15" w:rsidP="00322D15">
      <w:pPr>
        <w:pStyle w:val="Nivel2SM"/>
        <w:rPr>
          <w:highlight w:val="yellow"/>
        </w:rPr>
      </w:pPr>
      <w:r w:rsidRPr="009C1D3F">
        <w:rPr>
          <w:highlight w:val="yellow"/>
        </w:rPr>
        <w:t xml:space="preserve">En último término, en un contexto de país </w:t>
      </w:r>
      <w:r w:rsidRPr="009C1D3F">
        <w:rPr>
          <w:i/>
          <w:iCs/>
          <w:highlight w:val="yellow"/>
        </w:rPr>
        <w:t>A</w:t>
      </w:r>
      <w:r w:rsidRPr="009C1D3F">
        <w:rPr>
          <w:highlight w:val="yellow"/>
        </w:rPr>
        <w:t xml:space="preserve"> grande – país </w:t>
      </w:r>
      <w:r w:rsidRPr="009C1D3F">
        <w:rPr>
          <w:i/>
          <w:iCs/>
          <w:highlight w:val="yellow"/>
        </w:rPr>
        <w:t>B</w:t>
      </w:r>
      <w:r w:rsidRPr="009C1D3F">
        <w:rPr>
          <w:highlight w:val="yellow"/>
        </w:rPr>
        <w:t xml:space="preserve"> pequeño, la efectividad de la medida sería igual a la de una economía cerrada en el país </w:t>
      </w:r>
      <w:r w:rsidRPr="009C1D3F">
        <w:rPr>
          <w:i/>
          <w:iCs/>
          <w:highlight w:val="yellow"/>
        </w:rPr>
        <w:t>A</w:t>
      </w:r>
      <w:r w:rsidRPr="009C1D3F">
        <w:rPr>
          <w:highlight w:val="yellow"/>
        </w:rPr>
        <w:t xml:space="preserve"> (mínima, punto 1 del gráfico), y máxima en el país </w:t>
      </w:r>
      <w:r w:rsidRPr="009C1D3F">
        <w:rPr>
          <w:i/>
          <w:iCs/>
          <w:highlight w:val="yellow"/>
        </w:rPr>
        <w:t>B</w:t>
      </w:r>
      <w:r w:rsidRPr="009C1D3F">
        <w:rPr>
          <w:highlight w:val="yellow"/>
        </w:rPr>
        <w:t xml:space="preserve">, ya que el país </w:t>
      </w:r>
      <w:r w:rsidRPr="009C1D3F">
        <w:rPr>
          <w:i/>
          <w:iCs/>
          <w:highlight w:val="yellow"/>
        </w:rPr>
        <w:t>A</w:t>
      </w:r>
      <w:r w:rsidRPr="009C1D3F">
        <w:rPr>
          <w:highlight w:val="yellow"/>
        </w:rPr>
        <w:t xml:space="preserve"> sería quien determinase enteramente el tipo de interés internacional.</w:t>
      </w:r>
    </w:p>
    <w:p w14:paraId="2CACBEBE" w14:textId="0DE4DFBA" w:rsidR="00322D15" w:rsidRDefault="00322D15" w:rsidP="00322D15">
      <w:pPr>
        <w:pStyle w:val="Ttuloimagen"/>
        <w:rPr>
          <w:i/>
          <w:iCs/>
          <w:smallCaps w:val="0"/>
        </w:rPr>
      </w:pPr>
      <w:r>
        <w:lastRenderedPageBreak/>
        <w:t xml:space="preserve">Imagen </w:t>
      </w:r>
      <w:r w:rsidRPr="009C1D3F">
        <w:fldChar w:fldCharType="begin"/>
      </w:r>
      <w:r w:rsidRPr="009C1D3F">
        <w:instrText xml:space="preserve"> SEQ Ilustración \* ARABIC </w:instrText>
      </w:r>
      <w:r w:rsidRPr="009C1D3F">
        <w:fldChar w:fldCharType="separate"/>
      </w:r>
      <w:r w:rsidR="003F54C7">
        <w:t>5</w:t>
      </w:r>
      <w:r w:rsidRPr="009C1D3F">
        <w:fldChar w:fldCharType="end"/>
      </w:r>
      <w:r w:rsidRPr="009C1D3F">
        <w:rPr>
          <w:smallCaps w:val="0"/>
        </w:rPr>
        <w:t xml:space="preserve">.– </w:t>
      </w:r>
      <w:r>
        <w:rPr>
          <w:i/>
          <w:iCs/>
          <w:smallCaps w:val="0"/>
        </w:rPr>
        <w:t>Efectos de una expansión monetaria en el marco de Mundell-Fleming</w:t>
      </w:r>
    </w:p>
    <w:p w14:paraId="7A1E3CD6" w14:textId="77777777" w:rsidR="00322D15" w:rsidRDefault="00322D15" w:rsidP="00322D15">
      <w:pPr>
        <w:pStyle w:val="Imagen"/>
      </w:pPr>
      <w:r>
        <w:drawing>
          <wp:inline distT="0" distB="0" distL="0" distR="0" wp14:anchorId="1FDDC316" wp14:editId="1991EDC6">
            <wp:extent cx="3352800" cy="1760220"/>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52800" cy="1760220"/>
                    </a:xfrm>
                    <a:prstGeom prst="rect">
                      <a:avLst/>
                    </a:prstGeom>
                    <a:noFill/>
                    <a:ln>
                      <a:noFill/>
                    </a:ln>
                  </pic:spPr>
                </pic:pic>
              </a:graphicData>
            </a:graphic>
          </wp:inline>
        </w:drawing>
      </w:r>
    </w:p>
    <w:p w14:paraId="7510D852" w14:textId="77777777" w:rsidR="00322D15" w:rsidRPr="009C1D3F" w:rsidRDefault="00322D15" w:rsidP="00322D15">
      <w:pPr>
        <w:pStyle w:val="PiedeImagen"/>
        <w:rPr>
          <w:i w:val="0"/>
          <w:iCs/>
        </w:rPr>
      </w:pPr>
      <w:r>
        <w:t>Fuente</w:t>
      </w:r>
      <w:r>
        <w:rPr>
          <w:i w:val="0"/>
          <w:iCs/>
        </w:rPr>
        <w:t>: Sahuquillo</w:t>
      </w:r>
    </w:p>
    <w:p w14:paraId="2247C84A" w14:textId="77777777" w:rsidR="00322D15" w:rsidRPr="00322D15" w:rsidRDefault="00322D15" w:rsidP="00322D15">
      <w:pPr>
        <w:pStyle w:val="Ttulo8"/>
        <w:rPr>
          <w:highlight w:val="yellow"/>
        </w:rPr>
      </w:pPr>
      <w:bookmarkStart w:id="120" w:name="_Toc122523396"/>
      <w:r w:rsidRPr="00322D15">
        <w:rPr>
          <w:highlight w:val="yellow"/>
        </w:rPr>
        <w:t>Política fiscal expansiva con tipo de cambio flexible</w:t>
      </w:r>
      <w:bookmarkEnd w:id="120"/>
    </w:p>
    <w:p w14:paraId="36DB7428" w14:textId="77777777" w:rsidR="00322D15" w:rsidRPr="00322D15" w:rsidRDefault="00322D15" w:rsidP="00322D15">
      <w:pPr>
        <w:pStyle w:val="Nivel1SM"/>
        <w:keepNext/>
        <w:spacing w:before="0" w:after="0"/>
        <w:rPr>
          <w:highlight w:val="yellow"/>
        </w:rPr>
      </w:pPr>
      <w:r w:rsidRPr="00322D15">
        <w:rPr>
          <w:highlight w:val="yellow"/>
        </w:rPr>
        <w:t>Ahora parasemos al estudio de una</w:t>
      </w:r>
      <w:r w:rsidRPr="00322D15">
        <w:rPr>
          <w:b/>
          <w:bCs/>
          <w:highlight w:val="yellow"/>
        </w:rPr>
        <w:t xml:space="preserve"> política fiscal expansiva del país </w:t>
      </w:r>
      <w:r w:rsidRPr="00322D15">
        <w:rPr>
          <w:b/>
          <w:bCs/>
          <w:i/>
          <w:iCs/>
          <w:highlight w:val="yellow"/>
        </w:rPr>
        <w:t>A</w:t>
      </w:r>
      <w:r w:rsidRPr="00322D15">
        <w:rPr>
          <w:b/>
          <w:bCs/>
          <w:highlight w:val="yellow"/>
        </w:rPr>
        <w:t>, con tipo de cambio flexible para dos países grandes</w:t>
      </w:r>
      <w:r w:rsidRPr="00322D15">
        <w:rPr>
          <w:highlight w:val="yellow"/>
        </w:rPr>
        <w:t xml:space="preserve"> </w:t>
      </w:r>
      <w:r w:rsidRPr="00322D15">
        <w:rPr>
          <w:sz w:val="19"/>
          <w:szCs w:val="19"/>
          <w:highlight w:val="yellow"/>
        </w:rPr>
        <w:t>(= efectos de la política fiscal expansiva que el FMI exige a los países con margen presupuestario)</w:t>
      </w:r>
      <w:r w:rsidRPr="00322D15">
        <w:rPr>
          <w:highlight w:val="yellow"/>
        </w:rPr>
        <w:t>:</w:t>
      </w:r>
    </w:p>
    <w:p w14:paraId="1C0401FE" w14:textId="77777777" w:rsidR="00322D15" w:rsidRPr="00322D15" w:rsidRDefault="00322D15" w:rsidP="00322D15">
      <w:pPr>
        <w:pStyle w:val="Nivel2SM"/>
        <w:rPr>
          <w:highlight w:val="yellow"/>
        </w:rPr>
      </w:pPr>
      <w:r w:rsidRPr="00322D15">
        <w:rPr>
          <w:highlight w:val="yellow"/>
        </w:rPr>
        <w:t xml:space="preserve">El aumento del gasto público provocará una elevación del nivel de renta y del tipo de interés en el país </w:t>
      </w:r>
      <w:r w:rsidRPr="00322D15">
        <w:rPr>
          <w:i/>
          <w:iCs/>
          <w:highlight w:val="yellow"/>
        </w:rPr>
        <w:t>A</w:t>
      </w:r>
      <w:r w:rsidRPr="00322D15">
        <w:rPr>
          <w:highlight w:val="yellow"/>
        </w:rPr>
        <w:t xml:space="preserve">, ya que la curva </w:t>
      </w:r>
      <w:r w:rsidRPr="00322D15">
        <w:rPr>
          <w:i/>
          <w:iCs/>
          <w:highlight w:val="yellow"/>
        </w:rPr>
        <w:t>IS</w:t>
      </w:r>
      <w:r w:rsidRPr="00322D15">
        <w:rPr>
          <w:highlight w:val="yellow"/>
        </w:rPr>
        <w:t xml:space="preserve"> se desplaza hacia la derecha hasta </w:t>
      </w:r>
      <w:r w:rsidRPr="00322D15">
        <w:rPr>
          <w:i/>
          <w:iCs/>
          <w:highlight w:val="yellow"/>
        </w:rPr>
        <w:t>IS</w:t>
      </w:r>
      <w:r w:rsidRPr="00322D15">
        <w:rPr>
          <w:i/>
          <w:iCs/>
          <w:highlight w:val="yellow"/>
          <w:vertAlign w:val="subscript"/>
        </w:rPr>
        <w:t>1</w:t>
      </w:r>
      <w:r w:rsidRPr="00322D15">
        <w:rPr>
          <w:highlight w:val="yellow"/>
        </w:rPr>
        <w:t>.</w:t>
      </w:r>
    </w:p>
    <w:p w14:paraId="60CD307C" w14:textId="77777777" w:rsidR="00322D15" w:rsidRPr="00322D15" w:rsidRDefault="00322D15" w:rsidP="00322D15">
      <w:pPr>
        <w:pStyle w:val="Nivel2SM"/>
        <w:keepNext/>
        <w:spacing w:after="0"/>
        <w:rPr>
          <w:highlight w:val="yellow"/>
        </w:rPr>
      </w:pPr>
      <w:r w:rsidRPr="00322D15">
        <w:rPr>
          <w:highlight w:val="yellow"/>
        </w:rPr>
        <w:t xml:space="preserve">Bajo perfecta movilidad de capital, el diferencial de intereses generado provocará una entrada de capitales en </w:t>
      </w:r>
      <w:r w:rsidRPr="00322D15">
        <w:rPr>
          <w:i/>
          <w:iCs/>
          <w:highlight w:val="yellow"/>
        </w:rPr>
        <w:t>A</w:t>
      </w:r>
      <w:r w:rsidRPr="00322D15">
        <w:rPr>
          <w:highlight w:val="yellow"/>
        </w:rPr>
        <w:t xml:space="preserve">. Ello implicará una fuerte oferta de bonos del país </w:t>
      </w:r>
      <w:r w:rsidRPr="00322D15">
        <w:rPr>
          <w:i/>
          <w:iCs/>
          <w:highlight w:val="yellow"/>
        </w:rPr>
        <w:t>B</w:t>
      </w:r>
      <w:r w:rsidRPr="00322D15">
        <w:rPr>
          <w:highlight w:val="yellow"/>
        </w:rPr>
        <w:t xml:space="preserve">, ahora menos rentables, cuyo precio deberá bajar aumentando el tipo de interés del resto del mundo, lo que se representa con un desplazamiento hacia arriba de la curva </w:t>
      </w:r>
      <w:r w:rsidRPr="00322D15">
        <w:rPr>
          <w:i/>
          <w:iCs/>
          <w:highlight w:val="yellow"/>
        </w:rPr>
        <w:t>BP</w:t>
      </w:r>
      <w:r w:rsidRPr="00322D15">
        <w:rPr>
          <w:highlight w:val="yellow"/>
        </w:rPr>
        <w:t>.</w:t>
      </w:r>
    </w:p>
    <w:p w14:paraId="3AC9DC44" w14:textId="77777777" w:rsidR="00322D15" w:rsidRPr="00322D15" w:rsidRDefault="00322D15" w:rsidP="00322D15">
      <w:pPr>
        <w:pStyle w:val="Nivel3SM"/>
        <w:rPr>
          <w:highlight w:val="yellow"/>
        </w:rPr>
      </w:pPr>
      <w:r w:rsidRPr="00322D15">
        <w:rPr>
          <w:highlight w:val="yellow"/>
        </w:rPr>
        <w:t xml:space="preserve">De nuevo, nótese que el aumento inicial del tipo de interés en el país </w:t>
      </w:r>
      <w:r w:rsidRPr="00322D15">
        <w:rPr>
          <w:i/>
          <w:iCs/>
          <w:highlight w:val="yellow"/>
        </w:rPr>
        <w:t>A</w:t>
      </w:r>
      <w:r w:rsidRPr="00322D15">
        <w:rPr>
          <w:highlight w:val="yellow"/>
        </w:rPr>
        <w:t xml:space="preserve"> provocado por la política fiscal expansiva es superior al aumento del tipo de interés mundial, dado que el tamaño similar de ambos países no permite al primero de ellos determinar, sino sólo afectar a las variables del segundo.</w:t>
      </w:r>
    </w:p>
    <w:p w14:paraId="6D13E0A9" w14:textId="77777777" w:rsidR="00322D15" w:rsidRPr="00322D15" w:rsidRDefault="00322D15" w:rsidP="00322D15">
      <w:pPr>
        <w:pStyle w:val="Nivel2SM"/>
        <w:rPr>
          <w:highlight w:val="yellow"/>
        </w:rPr>
      </w:pPr>
      <w:r w:rsidRPr="00322D15">
        <w:rPr>
          <w:highlight w:val="yellow"/>
        </w:rPr>
        <w:t xml:space="preserve">El tipo de cambio del país </w:t>
      </w:r>
      <w:r w:rsidRPr="00322D15">
        <w:rPr>
          <w:i/>
          <w:iCs/>
          <w:highlight w:val="yellow"/>
        </w:rPr>
        <w:t>A</w:t>
      </w:r>
      <w:r w:rsidRPr="00322D15">
        <w:rPr>
          <w:highlight w:val="yellow"/>
        </w:rPr>
        <w:t xml:space="preserve"> se apreciará hasta eliminar el exceso de demanda de moneda nacional, lo que disminuirá sus exportaciones netas (i.e. la curva </w:t>
      </w:r>
      <w:r w:rsidRPr="00322D15">
        <w:rPr>
          <w:i/>
          <w:iCs/>
          <w:highlight w:val="yellow"/>
        </w:rPr>
        <w:t>IS</w:t>
      </w:r>
      <w:r w:rsidRPr="00322D15">
        <w:rPr>
          <w:highlight w:val="yellow"/>
        </w:rPr>
        <w:t xml:space="preserve"> se desplazará hasta </w:t>
      </w:r>
      <w:r w:rsidRPr="00322D15">
        <w:rPr>
          <w:i/>
          <w:iCs/>
          <w:highlight w:val="yellow"/>
        </w:rPr>
        <w:t>IS</w:t>
      </w:r>
      <w:r w:rsidRPr="00322D15">
        <w:rPr>
          <w:i/>
          <w:iCs/>
          <w:highlight w:val="yellow"/>
          <w:vertAlign w:val="subscript"/>
        </w:rPr>
        <w:t>2</w:t>
      </w:r>
      <w:r w:rsidRPr="00322D15">
        <w:rPr>
          <w:highlight w:val="yellow"/>
        </w:rPr>
        <w:t>).</w:t>
      </w:r>
    </w:p>
    <w:p w14:paraId="2E9EA9EF" w14:textId="77777777" w:rsidR="00322D15" w:rsidRPr="00322D15" w:rsidRDefault="00322D15" w:rsidP="00322D15">
      <w:pPr>
        <w:pStyle w:val="Nivel2SM"/>
        <w:keepNext/>
        <w:spacing w:after="0"/>
        <w:rPr>
          <w:highlight w:val="yellow"/>
        </w:rPr>
      </w:pPr>
      <w:r w:rsidRPr="00322D15">
        <w:rPr>
          <w:highlight w:val="yellow"/>
        </w:rPr>
        <w:t xml:space="preserve">Paralelamente, en el país </w:t>
      </w:r>
      <w:r w:rsidRPr="00322D15">
        <w:rPr>
          <w:i/>
          <w:iCs/>
          <w:highlight w:val="yellow"/>
        </w:rPr>
        <w:t>B</w:t>
      </w:r>
      <w:r w:rsidRPr="00322D15">
        <w:rPr>
          <w:highlight w:val="yellow"/>
        </w:rPr>
        <w:t>, la política de su vecino habrá provocado dos efectos:</w:t>
      </w:r>
    </w:p>
    <w:p w14:paraId="17E9F717" w14:textId="77777777" w:rsidR="00322D15" w:rsidRPr="00322D15" w:rsidRDefault="00322D15">
      <w:pPr>
        <w:pStyle w:val="Prrafodelista"/>
        <w:numPr>
          <w:ilvl w:val="0"/>
          <w:numId w:val="28"/>
        </w:numPr>
        <w:spacing w:after="0"/>
        <w:ind w:left="1135" w:hanging="284"/>
        <w:rPr>
          <w:highlight w:val="yellow"/>
        </w:rPr>
      </w:pPr>
      <w:r w:rsidRPr="00322D15">
        <w:rPr>
          <w:i/>
          <w:iCs/>
          <w:highlight w:val="yellow"/>
        </w:rPr>
        <w:t>Efecto renta del país A</w:t>
      </w:r>
      <w:r w:rsidRPr="00322D15">
        <w:rPr>
          <w:highlight w:val="yellow"/>
        </w:rPr>
        <w:t xml:space="preserve">: El incremento de la renta del país </w:t>
      </w:r>
      <w:r w:rsidRPr="00322D15">
        <w:rPr>
          <w:i/>
          <w:iCs/>
          <w:highlight w:val="yellow"/>
        </w:rPr>
        <w:t>A</w:t>
      </w:r>
      <w:r w:rsidRPr="00322D15">
        <w:rPr>
          <w:highlight w:val="yellow"/>
        </w:rPr>
        <w:t xml:space="preserve"> habrá elevado sus importaciones (i.e. exportaciones del país </w:t>
      </w:r>
      <w:r w:rsidRPr="00322D15">
        <w:rPr>
          <w:i/>
          <w:iCs/>
          <w:highlight w:val="yellow"/>
        </w:rPr>
        <w:t>B</w:t>
      </w:r>
      <w:r w:rsidRPr="00322D15">
        <w:rPr>
          <w:highlight w:val="yellow"/>
        </w:rPr>
        <w:t xml:space="preserve">), desplazando la curva </w:t>
      </w:r>
      <w:r w:rsidRPr="00322D15">
        <w:rPr>
          <w:i/>
          <w:iCs/>
          <w:highlight w:val="yellow"/>
        </w:rPr>
        <w:t>IS</w:t>
      </w:r>
      <w:r w:rsidRPr="00322D15">
        <w:rPr>
          <w:highlight w:val="yellow"/>
        </w:rPr>
        <w:t xml:space="preserve"> hacia la derecha hasta </w:t>
      </w:r>
      <w:r w:rsidRPr="00322D15">
        <w:rPr>
          <w:i/>
          <w:iCs/>
          <w:highlight w:val="yellow"/>
        </w:rPr>
        <w:t>IS</w:t>
      </w:r>
      <w:r w:rsidRPr="00322D15">
        <w:rPr>
          <w:i/>
          <w:iCs/>
          <w:highlight w:val="yellow"/>
          <w:vertAlign w:val="subscript"/>
        </w:rPr>
        <w:t>1</w:t>
      </w:r>
      <w:r w:rsidRPr="00322D15">
        <w:rPr>
          <w:highlight w:val="yellow"/>
        </w:rPr>
        <w:t>.</w:t>
      </w:r>
    </w:p>
    <w:p w14:paraId="05B8E8DA" w14:textId="77777777" w:rsidR="00322D15" w:rsidRPr="00322D15" w:rsidRDefault="00322D15">
      <w:pPr>
        <w:pStyle w:val="Prrafodelista"/>
        <w:keepNext/>
        <w:numPr>
          <w:ilvl w:val="0"/>
          <w:numId w:val="28"/>
        </w:numPr>
        <w:spacing w:after="0"/>
        <w:ind w:left="1135" w:hanging="284"/>
        <w:rPr>
          <w:highlight w:val="yellow"/>
        </w:rPr>
      </w:pPr>
      <w:r w:rsidRPr="00322D15">
        <w:rPr>
          <w:i/>
          <w:iCs/>
          <w:highlight w:val="yellow"/>
        </w:rPr>
        <w:t>Efecto tipo de cambio</w:t>
      </w:r>
      <w:r w:rsidRPr="00322D15">
        <w:rPr>
          <w:highlight w:val="yellow"/>
        </w:rPr>
        <w:t xml:space="preserve">: El mayor tipo de interés inicial del país </w:t>
      </w:r>
      <w:r w:rsidRPr="00322D15">
        <w:rPr>
          <w:i/>
          <w:iCs/>
          <w:highlight w:val="yellow"/>
        </w:rPr>
        <w:t>A</w:t>
      </w:r>
      <w:r w:rsidRPr="00322D15">
        <w:rPr>
          <w:highlight w:val="yellow"/>
        </w:rPr>
        <w:t xml:space="preserve"> frente al internacional provocará una salida masiva de capitales en </w:t>
      </w:r>
      <w:r w:rsidRPr="00322D15">
        <w:rPr>
          <w:i/>
          <w:iCs/>
          <w:highlight w:val="yellow"/>
        </w:rPr>
        <w:t>B</w:t>
      </w:r>
      <w:r w:rsidRPr="00322D15">
        <w:rPr>
          <w:highlight w:val="yellow"/>
        </w:rPr>
        <w:t xml:space="preserve"> que depreciará su tipo de cambio, lo que aumentará sus exportaciones netas (i.e. curva </w:t>
      </w:r>
      <w:r w:rsidRPr="00322D15">
        <w:rPr>
          <w:i/>
          <w:iCs/>
          <w:highlight w:val="yellow"/>
        </w:rPr>
        <w:t>IS</w:t>
      </w:r>
      <w:r w:rsidRPr="00322D15">
        <w:rPr>
          <w:highlight w:val="yellow"/>
        </w:rPr>
        <w:t xml:space="preserve"> se desplazará a la derecha hasta </w:t>
      </w:r>
      <w:r w:rsidRPr="00322D15">
        <w:rPr>
          <w:i/>
          <w:iCs/>
          <w:highlight w:val="yellow"/>
        </w:rPr>
        <w:t>IS</w:t>
      </w:r>
      <w:r w:rsidRPr="00322D15">
        <w:rPr>
          <w:i/>
          <w:iCs/>
          <w:highlight w:val="yellow"/>
          <w:vertAlign w:val="subscript"/>
        </w:rPr>
        <w:t>2</w:t>
      </w:r>
      <w:r w:rsidRPr="00322D15">
        <w:rPr>
          <w:highlight w:val="yellow"/>
        </w:rPr>
        <w:t>).</w:t>
      </w:r>
    </w:p>
    <w:p w14:paraId="21C9AF37" w14:textId="77777777" w:rsidR="00322D15" w:rsidRPr="00322D15" w:rsidRDefault="00322D15" w:rsidP="00322D15">
      <w:pPr>
        <w:pStyle w:val="Nivel4"/>
        <w:ind w:left="1474"/>
        <w:rPr>
          <w:highlight w:val="yellow"/>
        </w:rPr>
      </w:pPr>
      <w:r w:rsidRPr="00322D15">
        <w:rPr>
          <w:highlight w:val="yellow"/>
        </w:rPr>
        <w:t xml:space="preserve">Ambos efectos, del mismo signo, determinarán una expansión inequívoca de la renta del país </w:t>
      </w:r>
      <w:r w:rsidRPr="00322D15">
        <w:rPr>
          <w:i/>
          <w:iCs/>
          <w:highlight w:val="yellow"/>
        </w:rPr>
        <w:t>B</w:t>
      </w:r>
      <w:r w:rsidRPr="00322D15">
        <w:rPr>
          <w:highlight w:val="yellow"/>
        </w:rPr>
        <w:t>.</w:t>
      </w:r>
    </w:p>
    <w:p w14:paraId="5153976A" w14:textId="77777777" w:rsidR="00322D15" w:rsidRPr="00322D15" w:rsidRDefault="00322D15" w:rsidP="00322D15">
      <w:pPr>
        <w:pStyle w:val="Nivel2SM"/>
        <w:rPr>
          <w:highlight w:val="yellow"/>
        </w:rPr>
      </w:pPr>
      <w:r w:rsidRPr="00322D15">
        <w:rPr>
          <w:highlight w:val="yellow"/>
        </w:rPr>
        <w:t xml:space="preserve">Es importante notar que el efecto de la vuelta sobre el país </w:t>
      </w:r>
      <w:r w:rsidRPr="00322D15">
        <w:rPr>
          <w:i/>
          <w:iCs/>
          <w:highlight w:val="yellow"/>
        </w:rPr>
        <w:t>A</w:t>
      </w:r>
      <w:r w:rsidRPr="00322D15">
        <w:rPr>
          <w:highlight w:val="yellow"/>
        </w:rPr>
        <w:t xml:space="preserve"> (una reducción de sus exportaciones por la reducción de las importaciones del país </w:t>
      </w:r>
      <w:r w:rsidRPr="00322D15">
        <w:rPr>
          <w:i/>
          <w:iCs/>
          <w:highlight w:val="yellow"/>
        </w:rPr>
        <w:t>B</w:t>
      </w:r>
      <w:r w:rsidRPr="00322D15">
        <w:rPr>
          <w:highlight w:val="yellow"/>
        </w:rPr>
        <w:t xml:space="preserve">) se verá exactamente contrarrestado por una depreciación del tipo de cambio de </w:t>
      </w:r>
      <w:r w:rsidRPr="00322D15">
        <w:rPr>
          <w:i/>
          <w:iCs/>
          <w:highlight w:val="yellow"/>
        </w:rPr>
        <w:t>A</w:t>
      </w:r>
      <w:r w:rsidRPr="00322D15">
        <w:rPr>
          <w:highlight w:val="yellow"/>
        </w:rPr>
        <w:t xml:space="preserve"> hasta garantizar que de nuevo se cumpla la condición </w:t>
      </w:r>
      <m:oMath>
        <m:r>
          <m:rPr>
            <m:nor/>
          </m:rPr>
          <w:rPr>
            <w:i/>
            <w:iCs/>
            <w:highlight w:val="yellow"/>
          </w:rPr>
          <m:t>i'</m:t>
        </m:r>
        <m:r>
          <w:rPr>
            <w:rFonts w:ascii="Cambria Math" w:hAnsi="Cambria Math"/>
            <w:highlight w:val="yellow"/>
          </w:rPr>
          <m:t>=</m:t>
        </m:r>
        <m:r>
          <m:rPr>
            <m:nor/>
          </m:rPr>
          <w:rPr>
            <w:i/>
            <w:iCs/>
            <w:highlight w:val="yellow"/>
          </w:rPr>
          <m:t>i*</m:t>
        </m:r>
      </m:oMath>
      <w:r w:rsidRPr="00322D15">
        <w:rPr>
          <w:rFonts w:eastAsiaTheme="minorEastAsia"/>
          <w:iCs/>
          <w:highlight w:val="yellow"/>
        </w:rPr>
        <w:t>, por lo que podemos ignorar dicho efecto.</w:t>
      </w:r>
    </w:p>
    <w:p w14:paraId="0EE48D76" w14:textId="77777777" w:rsidR="00322D15" w:rsidRPr="00322D15" w:rsidRDefault="00322D15" w:rsidP="00322D15">
      <w:pPr>
        <w:pStyle w:val="Nivel2SM"/>
        <w:rPr>
          <w:highlight w:val="yellow"/>
        </w:rPr>
      </w:pPr>
      <w:r w:rsidRPr="00322D15">
        <w:rPr>
          <w:rFonts w:eastAsiaTheme="minorEastAsia"/>
          <w:iCs/>
          <w:highlight w:val="yellow"/>
        </w:rPr>
        <w:t xml:space="preserve">Además, si la movilidad de capitales fuera más reducida, se produciría una minoración del efecto tipo de cambio (menor depreciación de la moneda de </w:t>
      </w:r>
      <w:r w:rsidRPr="00322D15">
        <w:rPr>
          <w:rFonts w:eastAsiaTheme="minorEastAsia"/>
          <w:i/>
          <w:highlight w:val="yellow"/>
        </w:rPr>
        <w:t>B</w:t>
      </w:r>
      <w:r w:rsidRPr="00322D15">
        <w:rPr>
          <w:rFonts w:eastAsiaTheme="minorEastAsia"/>
          <w:iCs/>
          <w:highlight w:val="yellow"/>
        </w:rPr>
        <w:t xml:space="preserve">), pero mayor efecto renta (mayor efectividad de la política fiscal en </w:t>
      </w:r>
      <w:r w:rsidRPr="00322D15">
        <w:rPr>
          <w:rFonts w:eastAsiaTheme="minorEastAsia"/>
          <w:i/>
          <w:highlight w:val="yellow"/>
        </w:rPr>
        <w:t>A</w:t>
      </w:r>
      <w:r w:rsidRPr="00322D15">
        <w:rPr>
          <w:rFonts w:eastAsiaTheme="minorEastAsia"/>
          <w:iCs/>
          <w:highlight w:val="yellow"/>
        </w:rPr>
        <w:t>), con lo que no cambiarían sustancialmente las conclusiones.</w:t>
      </w:r>
    </w:p>
    <w:p w14:paraId="71139412" w14:textId="77777777" w:rsidR="00322D15" w:rsidRPr="00322D15" w:rsidRDefault="00322D15" w:rsidP="00322D15">
      <w:pPr>
        <w:pStyle w:val="Nivel2SM"/>
        <w:keepNext/>
        <w:spacing w:after="0"/>
        <w:rPr>
          <w:highlight w:val="yellow"/>
        </w:rPr>
      </w:pPr>
      <w:r w:rsidRPr="00322D15">
        <w:rPr>
          <w:rFonts w:eastAsiaTheme="minorEastAsia"/>
          <w:iCs/>
          <w:highlight w:val="yellow"/>
        </w:rPr>
        <w:t xml:space="preserve">En conclusión, </w:t>
      </w:r>
      <w:r w:rsidRPr="00322D15">
        <w:rPr>
          <w:rFonts w:eastAsiaTheme="minorEastAsia"/>
          <w:b/>
          <w:bCs/>
          <w:iCs/>
          <w:highlight w:val="yellow"/>
        </w:rPr>
        <w:t xml:space="preserve">la política fiscal expansiva del país </w:t>
      </w:r>
      <w:r w:rsidRPr="00322D15">
        <w:rPr>
          <w:rFonts w:eastAsiaTheme="minorEastAsia"/>
          <w:b/>
          <w:bCs/>
          <w:i/>
          <w:highlight w:val="yellow"/>
        </w:rPr>
        <w:t>A</w:t>
      </w:r>
      <w:r w:rsidRPr="00322D15">
        <w:rPr>
          <w:rFonts w:eastAsiaTheme="minorEastAsia"/>
          <w:b/>
          <w:bCs/>
          <w:iCs/>
          <w:highlight w:val="yellow"/>
        </w:rPr>
        <w:t xml:space="preserve"> habrá provocado una expansión de la renta en el país </w:t>
      </w:r>
      <w:r w:rsidRPr="00322D15">
        <w:rPr>
          <w:rFonts w:eastAsiaTheme="minorEastAsia"/>
          <w:b/>
          <w:bCs/>
          <w:i/>
          <w:highlight w:val="yellow"/>
        </w:rPr>
        <w:t>A</w:t>
      </w:r>
      <w:r w:rsidRPr="00322D15">
        <w:rPr>
          <w:rFonts w:eastAsiaTheme="minorEastAsia"/>
          <w:b/>
          <w:bCs/>
          <w:iCs/>
          <w:highlight w:val="yellow"/>
        </w:rPr>
        <w:t xml:space="preserve"> y también en el país </w:t>
      </w:r>
      <w:r w:rsidRPr="00322D15">
        <w:rPr>
          <w:rFonts w:eastAsiaTheme="minorEastAsia"/>
          <w:b/>
          <w:bCs/>
          <w:i/>
          <w:highlight w:val="yellow"/>
        </w:rPr>
        <w:t>B</w:t>
      </w:r>
      <w:r w:rsidRPr="00322D15">
        <w:rPr>
          <w:highlight w:val="yellow"/>
        </w:rPr>
        <w:t xml:space="preserve"> (</w:t>
      </w:r>
      <w:r w:rsidRPr="00322D15">
        <w:rPr>
          <w:i/>
          <w:iCs/>
          <w:highlight w:val="yellow"/>
          <w:u w:val="single"/>
        </w:rPr>
        <w:t xml:space="preserve">efecto </w:t>
      </w:r>
      <w:proofErr w:type="spellStart"/>
      <w:r w:rsidRPr="00322D15">
        <w:rPr>
          <w:i/>
          <w:iCs/>
          <w:highlight w:val="yellow"/>
          <w:u w:val="single"/>
        </w:rPr>
        <w:t>locomotara</w:t>
      </w:r>
      <w:proofErr w:type="spellEnd"/>
      <w:r w:rsidRPr="00322D15">
        <w:rPr>
          <w:highlight w:val="yellow"/>
        </w:rPr>
        <w:t>)</w:t>
      </w:r>
      <w:r w:rsidRPr="00322D15">
        <w:rPr>
          <w:rFonts w:eastAsiaTheme="minorEastAsia"/>
          <w:iCs/>
          <w:highlight w:val="yellow"/>
        </w:rPr>
        <w:t>.</w:t>
      </w:r>
    </w:p>
    <w:p w14:paraId="17247D30" w14:textId="77777777" w:rsidR="00322D15" w:rsidRPr="00322D15" w:rsidRDefault="00322D15" w:rsidP="00322D15">
      <w:pPr>
        <w:pStyle w:val="Nivel3SM"/>
        <w:rPr>
          <w:highlight w:val="yellow"/>
        </w:rPr>
      </w:pPr>
      <w:r w:rsidRPr="00322D15">
        <w:rPr>
          <w:highlight w:val="yellow"/>
        </w:rPr>
        <w:t>Es decir, la política fiscal expansiva de las grandes potencias beneficiará a todos los países.</w:t>
      </w:r>
    </w:p>
    <w:p w14:paraId="6DE35DA5" w14:textId="77777777" w:rsidR="00322D15" w:rsidRPr="00322D15" w:rsidRDefault="00322D15" w:rsidP="00322D15">
      <w:pPr>
        <w:pStyle w:val="Nivel1SM"/>
        <w:rPr>
          <w:highlight w:val="yellow"/>
        </w:rPr>
      </w:pPr>
      <w:r w:rsidRPr="00322D15">
        <w:rPr>
          <w:i/>
          <w:iCs/>
          <w:highlight w:val="yellow"/>
          <w:u w:val="single"/>
        </w:rPr>
        <w:lastRenderedPageBreak/>
        <w:t>País A pequeño – País B grande</w:t>
      </w:r>
      <w:r w:rsidRPr="00322D15">
        <w:rPr>
          <w:highlight w:val="yellow"/>
        </w:rPr>
        <w:t xml:space="preserve">. Comparando los resultados con los obtenidos en el modelo </w:t>
      </w:r>
      <w:proofErr w:type="spellStart"/>
      <w:r w:rsidRPr="00322D15">
        <w:rPr>
          <w:smallCaps/>
          <w:highlight w:val="yellow"/>
        </w:rPr>
        <w:t>Mundell</w:t>
      </w:r>
      <w:proofErr w:type="spellEnd"/>
      <w:r w:rsidRPr="00322D15">
        <w:rPr>
          <w:highlight w:val="yellow"/>
        </w:rPr>
        <w:t>-</w:t>
      </w:r>
      <w:r w:rsidRPr="00322D15">
        <w:rPr>
          <w:smallCaps/>
          <w:highlight w:val="yellow"/>
        </w:rPr>
        <w:t>Fleming</w:t>
      </w:r>
      <w:r w:rsidRPr="00322D15">
        <w:rPr>
          <w:highlight w:val="yellow"/>
        </w:rPr>
        <w:t xml:space="preserve"> (país </w:t>
      </w:r>
      <w:r w:rsidRPr="00322D15">
        <w:rPr>
          <w:i/>
          <w:iCs/>
          <w:highlight w:val="yellow"/>
        </w:rPr>
        <w:t>A</w:t>
      </w:r>
      <w:r w:rsidRPr="00322D15">
        <w:rPr>
          <w:highlight w:val="yellow"/>
        </w:rPr>
        <w:t xml:space="preserve"> pequeño), se comprueba que la política fiscal con tipo de cambio flexible recupera parte de su efectividad, debido a la capacidad del país que le aplica para afectar al tipo de interés del resto del mundo.</w:t>
      </w:r>
    </w:p>
    <w:p w14:paraId="468C8085" w14:textId="77777777" w:rsidR="00322D15" w:rsidRPr="00322D15" w:rsidRDefault="00322D15" w:rsidP="00322D15">
      <w:pPr>
        <w:pStyle w:val="Nivel1SM"/>
        <w:keepNext/>
        <w:spacing w:after="0"/>
        <w:rPr>
          <w:highlight w:val="yellow"/>
        </w:rPr>
      </w:pPr>
      <w:r w:rsidRPr="00322D15">
        <w:rPr>
          <w:i/>
          <w:iCs/>
          <w:highlight w:val="yellow"/>
          <w:u w:val="single"/>
        </w:rPr>
        <w:t>País A grande – País B pequeño</w:t>
      </w:r>
      <w:r w:rsidRPr="00322D15">
        <w:rPr>
          <w:highlight w:val="yellow"/>
        </w:rPr>
        <w:t xml:space="preserve">. La efectividad de la política será tanto mayor para los dos países cuanto mayor sea </w:t>
      </w:r>
      <w:r w:rsidRPr="00322D15">
        <w:rPr>
          <w:i/>
          <w:iCs/>
          <w:highlight w:val="yellow"/>
        </w:rPr>
        <w:t>A</w:t>
      </w:r>
      <w:r w:rsidRPr="00322D15">
        <w:rPr>
          <w:highlight w:val="yellow"/>
        </w:rPr>
        <w:t xml:space="preserve"> respecto a </w:t>
      </w:r>
      <w:r w:rsidRPr="00322D15">
        <w:rPr>
          <w:i/>
          <w:iCs/>
          <w:highlight w:val="yellow"/>
        </w:rPr>
        <w:t>B</w:t>
      </w:r>
      <w:r w:rsidRPr="00322D15">
        <w:rPr>
          <w:highlight w:val="yellow"/>
        </w:rPr>
        <w:t>.</w:t>
      </w:r>
    </w:p>
    <w:p w14:paraId="172B58A4" w14:textId="77777777" w:rsidR="00322D15" w:rsidRPr="00322D15" w:rsidRDefault="00322D15" w:rsidP="00322D15">
      <w:pPr>
        <w:pStyle w:val="Nivel2SM"/>
        <w:rPr>
          <w:highlight w:val="yellow"/>
        </w:rPr>
      </w:pPr>
      <w:r w:rsidRPr="00322D15">
        <w:rPr>
          <w:highlight w:val="yellow"/>
        </w:rPr>
        <w:t xml:space="preserve">En último término, en un contexto de país </w:t>
      </w:r>
      <w:r w:rsidRPr="00322D15">
        <w:rPr>
          <w:i/>
          <w:iCs/>
          <w:highlight w:val="yellow"/>
        </w:rPr>
        <w:t>A</w:t>
      </w:r>
      <w:r w:rsidRPr="00322D15">
        <w:rPr>
          <w:highlight w:val="yellow"/>
        </w:rPr>
        <w:t xml:space="preserve"> grande – país </w:t>
      </w:r>
      <w:r w:rsidRPr="00322D15">
        <w:rPr>
          <w:i/>
          <w:iCs/>
          <w:highlight w:val="yellow"/>
        </w:rPr>
        <w:t>B</w:t>
      </w:r>
      <w:r w:rsidRPr="00322D15">
        <w:rPr>
          <w:highlight w:val="yellow"/>
        </w:rPr>
        <w:t xml:space="preserve"> pequeño, la efectividad de la medida sería igual a la de una economía cerrada en el país </w:t>
      </w:r>
      <w:r w:rsidRPr="00322D15">
        <w:rPr>
          <w:i/>
          <w:iCs/>
          <w:highlight w:val="yellow"/>
        </w:rPr>
        <w:t>A</w:t>
      </w:r>
      <w:r w:rsidRPr="00322D15">
        <w:rPr>
          <w:highlight w:val="yellow"/>
        </w:rPr>
        <w:t xml:space="preserve"> (máxima, punto 1 del gráfico), y máxima también en el país </w:t>
      </w:r>
      <w:r w:rsidRPr="00322D15">
        <w:rPr>
          <w:i/>
          <w:iCs/>
          <w:highlight w:val="yellow"/>
        </w:rPr>
        <w:t>B</w:t>
      </w:r>
      <w:r w:rsidRPr="00322D15">
        <w:rPr>
          <w:highlight w:val="yellow"/>
        </w:rPr>
        <w:t xml:space="preserve">, ya que el país </w:t>
      </w:r>
      <w:r w:rsidRPr="00322D15">
        <w:rPr>
          <w:i/>
          <w:iCs/>
          <w:highlight w:val="yellow"/>
        </w:rPr>
        <w:t>A</w:t>
      </w:r>
      <w:r w:rsidRPr="00322D15">
        <w:rPr>
          <w:highlight w:val="yellow"/>
        </w:rPr>
        <w:t xml:space="preserve"> sería quien determinase enteramente el tipo de interés internacional.</w:t>
      </w:r>
    </w:p>
    <w:p w14:paraId="74F45BC0" w14:textId="50BD5C7D" w:rsidR="00322D15" w:rsidRPr="00322D15" w:rsidRDefault="00322D15" w:rsidP="00322D15">
      <w:pPr>
        <w:pStyle w:val="Ttuloimagen"/>
        <w:rPr>
          <w:i/>
          <w:iCs/>
          <w:smallCaps w:val="0"/>
          <w:highlight w:val="yellow"/>
        </w:rPr>
      </w:pPr>
      <w:r w:rsidRPr="00322D15">
        <w:rPr>
          <w:highlight w:val="yellow"/>
        </w:rPr>
        <w:t xml:space="preserve">Imagen </w:t>
      </w:r>
      <w:r w:rsidRPr="00322D15">
        <w:rPr>
          <w:highlight w:val="yellow"/>
        </w:rPr>
        <w:fldChar w:fldCharType="begin"/>
      </w:r>
      <w:r w:rsidRPr="00322D15">
        <w:rPr>
          <w:highlight w:val="yellow"/>
        </w:rPr>
        <w:instrText xml:space="preserve"> SEQ Ilustración \* ARABIC </w:instrText>
      </w:r>
      <w:r w:rsidRPr="00322D15">
        <w:rPr>
          <w:highlight w:val="yellow"/>
        </w:rPr>
        <w:fldChar w:fldCharType="separate"/>
      </w:r>
      <w:r w:rsidR="003F54C7">
        <w:rPr>
          <w:highlight w:val="yellow"/>
        </w:rPr>
        <w:t>6</w:t>
      </w:r>
      <w:r w:rsidRPr="00322D15">
        <w:rPr>
          <w:highlight w:val="yellow"/>
        </w:rPr>
        <w:fldChar w:fldCharType="end"/>
      </w:r>
      <w:r w:rsidRPr="00322D15">
        <w:rPr>
          <w:smallCaps w:val="0"/>
          <w:highlight w:val="yellow"/>
        </w:rPr>
        <w:t xml:space="preserve">.– </w:t>
      </w:r>
      <w:r w:rsidRPr="00322D15">
        <w:rPr>
          <w:i/>
          <w:iCs/>
          <w:smallCaps w:val="0"/>
          <w:highlight w:val="yellow"/>
        </w:rPr>
        <w:t>Efectos de una expansión fiscal en el marco de Mundell-Fleming</w:t>
      </w:r>
    </w:p>
    <w:p w14:paraId="5D70BC39" w14:textId="77777777" w:rsidR="00322D15" w:rsidRPr="00322D15" w:rsidRDefault="00322D15" w:rsidP="00322D15">
      <w:pPr>
        <w:pStyle w:val="Imagen"/>
        <w:rPr>
          <w:highlight w:val="yellow"/>
        </w:rPr>
      </w:pPr>
      <w:r w:rsidRPr="00322D15">
        <w:rPr>
          <w:highlight w:val="yellow"/>
        </w:rPr>
        <w:drawing>
          <wp:inline distT="0" distB="0" distL="0" distR="0" wp14:anchorId="0E5B830C" wp14:editId="67BF2D16">
            <wp:extent cx="3375660" cy="1798320"/>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75660" cy="1798320"/>
                    </a:xfrm>
                    <a:prstGeom prst="rect">
                      <a:avLst/>
                    </a:prstGeom>
                    <a:noFill/>
                    <a:ln>
                      <a:noFill/>
                    </a:ln>
                  </pic:spPr>
                </pic:pic>
              </a:graphicData>
            </a:graphic>
          </wp:inline>
        </w:drawing>
      </w:r>
    </w:p>
    <w:p w14:paraId="48F1D111" w14:textId="77777777" w:rsidR="00322D15" w:rsidRDefault="00322D15" w:rsidP="00322D15">
      <w:pPr>
        <w:pStyle w:val="PiedeImagen"/>
        <w:rPr>
          <w:i w:val="0"/>
          <w:iCs/>
        </w:rPr>
      </w:pPr>
      <w:r w:rsidRPr="00322D15">
        <w:rPr>
          <w:highlight w:val="yellow"/>
        </w:rPr>
        <w:t>Fuente</w:t>
      </w:r>
      <w:r w:rsidRPr="00322D15">
        <w:rPr>
          <w:i w:val="0"/>
          <w:iCs/>
          <w:highlight w:val="yellow"/>
        </w:rPr>
        <w:t>: Sahuquillo</w:t>
      </w:r>
    </w:p>
    <w:p w14:paraId="7FEE4466" w14:textId="77777777" w:rsidR="00322D15" w:rsidRDefault="00322D15" w:rsidP="00322D15">
      <w:pPr>
        <w:pStyle w:val="Ttulo6"/>
      </w:pPr>
      <w:bookmarkStart w:id="121" w:name="_Toc122523397"/>
      <w:bookmarkStart w:id="122" w:name="_Toc174196009"/>
      <w:r>
        <w:t>Implicaciones</w:t>
      </w:r>
      <w:bookmarkEnd w:id="121"/>
      <w:bookmarkEnd w:id="122"/>
    </w:p>
    <w:p w14:paraId="72C30B57" w14:textId="77777777" w:rsidR="00322D15" w:rsidRDefault="00322D15" w:rsidP="00322D15">
      <w:pPr>
        <w:pStyle w:val="Ttulo7"/>
        <w:spacing w:before="0"/>
      </w:pPr>
      <w:bookmarkStart w:id="123" w:name="_Toc122523398"/>
      <w:r>
        <w:t>Resumen del efecto sobre la renta de políticas expansivas entre dos países grandes</w:t>
      </w:r>
      <w:bookmarkEnd w:id="123"/>
    </w:p>
    <w:p w14:paraId="3F970669" w14:textId="77777777" w:rsidR="00322D15" w:rsidRPr="002C2FAD" w:rsidRDefault="00322D15" w:rsidP="00322D15">
      <w:pPr>
        <w:jc w:val="center"/>
      </w:pPr>
      <w:r w:rsidRPr="0018015F">
        <w:rPr>
          <w:noProof/>
        </w:rPr>
        <w:drawing>
          <wp:inline distT="0" distB="0" distL="0" distR="0" wp14:anchorId="2C319B01" wp14:editId="0614526E">
            <wp:extent cx="3329940" cy="510540"/>
            <wp:effectExtent l="0" t="0" r="3810" b="381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29940" cy="510540"/>
                    </a:xfrm>
                    <a:prstGeom prst="rect">
                      <a:avLst/>
                    </a:prstGeom>
                    <a:noFill/>
                    <a:ln>
                      <a:noFill/>
                    </a:ln>
                  </pic:spPr>
                </pic:pic>
              </a:graphicData>
            </a:graphic>
          </wp:inline>
        </w:drawing>
      </w:r>
    </w:p>
    <w:p w14:paraId="1BA5A71E" w14:textId="182A2624" w:rsidR="00A270D2" w:rsidRDefault="00B04AB0" w:rsidP="00B04AB0">
      <w:pPr>
        <w:pStyle w:val="Ttulo3"/>
        <w:rPr>
          <w:lang w:val="en-US"/>
        </w:rPr>
      </w:pPr>
      <w:bookmarkStart w:id="124" w:name="_Toc174196010"/>
      <w:proofErr w:type="spellStart"/>
      <w:r>
        <w:rPr>
          <w:lang w:val="en-US"/>
        </w:rPr>
        <w:t>Valoración</w:t>
      </w:r>
      <w:bookmarkEnd w:id="124"/>
      <w:proofErr w:type="spellEnd"/>
    </w:p>
    <w:p w14:paraId="2405E6EE" w14:textId="33C9FE2B" w:rsidR="00B04AB0" w:rsidRDefault="00B04AB0" w:rsidP="00417A95">
      <w:pPr>
        <w:pStyle w:val="Nivel1SM"/>
        <w:spacing w:before="0"/>
      </w:pPr>
      <w:r w:rsidRPr="008B5FCB">
        <w:rPr>
          <w:i/>
          <w:iCs/>
        </w:rPr>
        <w:t>Mecanismo de transmisión</w:t>
      </w:r>
      <w:r w:rsidRPr="00B04AB0">
        <w:t xml:space="preserve">: </w:t>
      </w:r>
      <w:r w:rsidR="008B5FCB">
        <w:t>T</w:t>
      </w:r>
      <w:r w:rsidRPr="00B04AB0">
        <w:t>ipo d</w:t>
      </w:r>
      <w:r>
        <w:t>e cambio. Efectos en las exportaciones netas.</w:t>
      </w:r>
    </w:p>
    <w:p w14:paraId="38FB2807" w14:textId="343BDDA8" w:rsidR="00B04AB0" w:rsidRPr="00B04AB0" w:rsidRDefault="00B04AB0" w:rsidP="00B04AB0">
      <w:pPr>
        <w:pStyle w:val="Nivel1SM"/>
      </w:pPr>
      <w:r w:rsidRPr="008B5FCB">
        <w:rPr>
          <w:i/>
          <w:iCs/>
        </w:rPr>
        <w:t>Efectos</w:t>
      </w:r>
      <w:r>
        <w:t xml:space="preserve">: </w:t>
      </w:r>
      <w:r w:rsidR="008B5FCB">
        <w:t>P</w:t>
      </w:r>
      <w:r>
        <w:t>ositivo en la economía</w:t>
      </w:r>
      <w:r w:rsidR="008B5FCB">
        <w:t> </w:t>
      </w:r>
      <w:r w:rsidRPr="008B5FCB">
        <w:rPr>
          <w:i/>
          <w:iCs/>
        </w:rPr>
        <w:t>A</w:t>
      </w:r>
      <w:r>
        <w:t xml:space="preserve"> y no determinados en la economía</w:t>
      </w:r>
      <w:r w:rsidR="008B5FCB">
        <w:t> </w:t>
      </w:r>
      <w:r w:rsidRPr="008B5FCB">
        <w:rPr>
          <w:i/>
          <w:iCs/>
        </w:rPr>
        <w:t>B</w:t>
      </w:r>
      <w:r>
        <w:t>.</w:t>
      </w:r>
    </w:p>
    <w:p w14:paraId="12B965C1" w14:textId="3A28EFB0" w:rsidR="00A270D2" w:rsidRDefault="00A270D2" w:rsidP="00A270D2">
      <w:pPr>
        <w:pStyle w:val="Ttulo2"/>
        <w:rPr>
          <w:i/>
          <w:iCs/>
        </w:rPr>
      </w:pPr>
      <w:bookmarkStart w:id="125" w:name="_Toc174196011"/>
      <w:r>
        <w:t xml:space="preserve">Modelo de </w:t>
      </w:r>
      <w:proofErr w:type="spellStart"/>
      <w:r w:rsidRPr="00A270D2">
        <w:rPr>
          <w:smallCaps/>
        </w:rPr>
        <w:t>Corsett</w:t>
      </w:r>
      <w:r>
        <w:rPr>
          <w:smallCaps/>
        </w:rPr>
        <w:t>i</w:t>
      </w:r>
      <w:proofErr w:type="spellEnd"/>
      <w:r>
        <w:t xml:space="preserve"> y </w:t>
      </w:r>
      <w:proofErr w:type="spellStart"/>
      <w:r>
        <w:rPr>
          <w:smallCaps/>
        </w:rPr>
        <w:t>Pesenti</w:t>
      </w:r>
      <w:proofErr w:type="spellEnd"/>
      <w:r w:rsidRPr="00A270D2">
        <w:t xml:space="preserve"> (2005)</w:t>
      </w:r>
      <w:r>
        <w:t xml:space="preserve">: </w:t>
      </w:r>
      <w:r>
        <w:rPr>
          <w:i/>
          <w:iCs/>
        </w:rPr>
        <w:t>La Sencilla Geometría</w:t>
      </w:r>
      <w:bookmarkEnd w:id="125"/>
    </w:p>
    <w:p w14:paraId="0C5DE385" w14:textId="77777777" w:rsidR="00A270D2" w:rsidRDefault="00A270D2" w:rsidP="00A270D2">
      <w:pPr>
        <w:pStyle w:val="Notaalopositor"/>
        <w:spacing w:after="0"/>
        <w:jc w:val="left"/>
        <w:rPr>
          <w:lang w:val="en-US"/>
        </w:rPr>
      </w:pPr>
      <w:r w:rsidRPr="00A270D2">
        <w:rPr>
          <w:lang w:val="en-US"/>
        </w:rPr>
        <w:t>The Simple Geometry of Transmission and Stabilization in Closed and Open Economies</w:t>
      </w:r>
      <w:r>
        <w:rPr>
          <w:lang w:val="en-US"/>
        </w:rPr>
        <w:t>.</w:t>
      </w:r>
    </w:p>
    <w:p w14:paraId="4F7FFEEA" w14:textId="035546C4" w:rsidR="00A270D2" w:rsidRPr="00A270D2" w:rsidRDefault="00000000" w:rsidP="00A270D2">
      <w:pPr>
        <w:pStyle w:val="Notaalopositor"/>
        <w:rPr>
          <w:lang w:val="en-US"/>
        </w:rPr>
      </w:pPr>
      <w:hyperlink r:id="rId21" w:history="1">
        <w:r w:rsidR="00A270D2" w:rsidRPr="00B66B72">
          <w:rPr>
            <w:rStyle w:val="Hipervnculo"/>
            <w:lang w:val="en-US"/>
          </w:rPr>
          <w:t>https://www.nber.org/papers/w11341</w:t>
        </w:r>
      </w:hyperlink>
    </w:p>
    <w:p w14:paraId="0F5CD579" w14:textId="646289F4" w:rsidR="00A270D2" w:rsidRDefault="00A270D2" w:rsidP="00417A95">
      <w:pPr>
        <w:pStyle w:val="Ttulo3"/>
        <w:spacing w:before="0"/>
        <w:rPr>
          <w:lang w:val="en-US"/>
        </w:rPr>
      </w:pPr>
      <w:bookmarkStart w:id="126" w:name="_Toc174196012"/>
      <w:r>
        <w:rPr>
          <w:lang w:val="en-US"/>
        </w:rPr>
        <w:t>Idea</w:t>
      </w:r>
      <w:bookmarkEnd w:id="126"/>
    </w:p>
    <w:p w14:paraId="335342E3" w14:textId="64A2CCC0" w:rsidR="00A270D2" w:rsidRDefault="00B04AB0" w:rsidP="00417A95">
      <w:pPr>
        <w:pStyle w:val="Nivel1SM"/>
        <w:spacing w:before="0"/>
      </w:pPr>
      <w:r w:rsidRPr="00B04AB0">
        <w:rPr>
          <w:i/>
          <w:iCs/>
        </w:rPr>
        <w:t>New Open-</w:t>
      </w:r>
      <w:proofErr w:type="spellStart"/>
      <w:r w:rsidRPr="00B04AB0">
        <w:rPr>
          <w:i/>
          <w:iCs/>
        </w:rPr>
        <w:t>Economy</w:t>
      </w:r>
      <w:proofErr w:type="spellEnd"/>
      <w:r w:rsidRPr="00B04AB0">
        <w:rPr>
          <w:i/>
          <w:iCs/>
        </w:rPr>
        <w:t xml:space="preserve"> </w:t>
      </w:r>
      <w:proofErr w:type="spellStart"/>
      <w:r w:rsidRPr="00B04AB0">
        <w:rPr>
          <w:i/>
          <w:iCs/>
        </w:rPr>
        <w:t>Macroeconomics</w:t>
      </w:r>
      <w:proofErr w:type="spellEnd"/>
      <w:r w:rsidRPr="00B04AB0">
        <w:t xml:space="preserve"> (NOEM) Enfoque mayoritario en economía int</w:t>
      </w:r>
      <w:r>
        <w:t>ernacional iniciado a principio de los años</w:t>
      </w:r>
      <w:r w:rsidR="00417A95">
        <w:t> </w:t>
      </w:r>
      <w:r>
        <w:t xml:space="preserve">90. Se trata de modelos de ciclo real aumentados con rigideces. Por tanto, se trata de modelos </w:t>
      </w:r>
      <w:proofErr w:type="spellStart"/>
      <w:r>
        <w:t>neokeynesianos</w:t>
      </w:r>
      <w:proofErr w:type="spellEnd"/>
      <w:r>
        <w:t xml:space="preserve"> en economía abierta.</w:t>
      </w:r>
    </w:p>
    <w:p w14:paraId="0AB9BB50" w14:textId="38A6897B" w:rsidR="00B04AB0" w:rsidRDefault="00B04AB0" w:rsidP="00A270D2">
      <w:pPr>
        <w:pStyle w:val="Nivel1SM"/>
      </w:pPr>
      <w:r w:rsidRPr="00B04AB0">
        <w:t>Se han convertido en</w:t>
      </w:r>
      <w:r>
        <w:t xml:space="preserve"> el caballo de batalla de muchos organismos internacionales para el estudio de las economías abiertas (p.ej. modelos SIGMA de la </w:t>
      </w:r>
      <w:r w:rsidR="00354A35">
        <w:t>Reserva Federal</w:t>
      </w:r>
      <w:r>
        <w:t xml:space="preserve"> o </w:t>
      </w:r>
      <w:r>
        <w:rPr>
          <w:i/>
          <w:iCs/>
        </w:rPr>
        <w:t xml:space="preserve">Global </w:t>
      </w:r>
      <w:proofErr w:type="spellStart"/>
      <w:r>
        <w:rPr>
          <w:i/>
          <w:iCs/>
        </w:rPr>
        <w:t>Economy</w:t>
      </w:r>
      <w:proofErr w:type="spellEnd"/>
      <w:r>
        <w:rPr>
          <w:i/>
          <w:iCs/>
        </w:rPr>
        <w:t xml:space="preserve"> </w:t>
      </w:r>
      <w:proofErr w:type="spellStart"/>
      <w:r>
        <w:rPr>
          <w:i/>
          <w:iCs/>
        </w:rPr>
        <w:t>Model</w:t>
      </w:r>
      <w:proofErr w:type="spellEnd"/>
      <w:r>
        <w:t xml:space="preserve"> del FMI).</w:t>
      </w:r>
    </w:p>
    <w:p w14:paraId="1BA939FF" w14:textId="74E12C80" w:rsidR="00B04AB0" w:rsidRDefault="00B04AB0" w:rsidP="00A270D2">
      <w:pPr>
        <w:pStyle w:val="Nivel1SM"/>
      </w:pPr>
      <w:proofErr w:type="spellStart"/>
      <w:r>
        <w:rPr>
          <w:smallCaps/>
        </w:rPr>
        <w:t>Corsetti</w:t>
      </w:r>
      <w:proofErr w:type="spellEnd"/>
      <w:r>
        <w:t xml:space="preserve"> y </w:t>
      </w:r>
      <w:proofErr w:type="spellStart"/>
      <w:r>
        <w:rPr>
          <w:smallCaps/>
        </w:rPr>
        <w:t>Pesenti</w:t>
      </w:r>
      <w:proofErr w:type="spellEnd"/>
      <w:r>
        <w:t xml:space="preserve"> (2005) parten de un modelo eminentemente dinámico (DSGE) y lo simplifican hasta el punto de que admite una representación gráfica y una estática comparativa propias de modelos estáticos (de hecho los autores persiguen con esta simplificación que le modelo se popularice y se enseñe en universidades).</w:t>
      </w:r>
    </w:p>
    <w:p w14:paraId="7D750DB4" w14:textId="3DDE87AA" w:rsidR="00B04AB0" w:rsidRPr="00B04AB0" w:rsidRDefault="00B04AB0" w:rsidP="00A270D2">
      <w:pPr>
        <w:pStyle w:val="Nivel1SM"/>
      </w:pPr>
      <w:r>
        <w:t xml:space="preserve">Podemos hacer uso de este modelo para estudiar los efectos de la política monetaria y los canales de transmisión en una economía abierta y ver las diferencias frente al modelo </w:t>
      </w:r>
      <w:proofErr w:type="spellStart"/>
      <w:r w:rsidRPr="00B04AB0">
        <w:t>Mundel</w:t>
      </w:r>
      <w:r>
        <w:t>l</w:t>
      </w:r>
      <w:proofErr w:type="spellEnd"/>
      <w:r>
        <w:t>-Fleming.</w:t>
      </w:r>
    </w:p>
    <w:p w14:paraId="3F8E1C34" w14:textId="55856F93" w:rsidR="00B04AB0" w:rsidRPr="00B04AB0" w:rsidRDefault="00A270D2" w:rsidP="00B04AB0">
      <w:pPr>
        <w:pStyle w:val="Ttulo3"/>
        <w:rPr>
          <w:lang w:val="en-US"/>
        </w:rPr>
      </w:pPr>
      <w:bookmarkStart w:id="127" w:name="_Toc174196013"/>
      <w:proofErr w:type="spellStart"/>
      <w:r>
        <w:rPr>
          <w:lang w:val="en-US"/>
        </w:rPr>
        <w:lastRenderedPageBreak/>
        <w:t>Modelo</w:t>
      </w:r>
      <w:bookmarkEnd w:id="127"/>
      <w:proofErr w:type="spellEnd"/>
    </w:p>
    <w:p w14:paraId="03CFE084" w14:textId="20B89E8D" w:rsidR="00A270D2" w:rsidRDefault="00A270D2" w:rsidP="00417A95">
      <w:pPr>
        <w:pStyle w:val="Ttulo6"/>
        <w:spacing w:before="0"/>
        <w:rPr>
          <w:lang w:val="en-US"/>
        </w:rPr>
      </w:pPr>
      <w:bookmarkStart w:id="128" w:name="_Toc174196014"/>
      <w:proofErr w:type="spellStart"/>
      <w:r>
        <w:rPr>
          <w:lang w:val="en-US"/>
        </w:rPr>
        <w:t>Supuestos</w:t>
      </w:r>
      <w:bookmarkEnd w:id="128"/>
      <w:proofErr w:type="spellEnd"/>
    </w:p>
    <w:p w14:paraId="65A739CC" w14:textId="4D14958F" w:rsidR="00A270D2" w:rsidRDefault="00B04AB0" w:rsidP="00417A95">
      <w:pPr>
        <w:pStyle w:val="Nivel1SM"/>
        <w:spacing w:before="0"/>
      </w:pPr>
      <w:r w:rsidRPr="00B04AB0">
        <w:t xml:space="preserve">Existen dos países, </w:t>
      </w:r>
      <w:r w:rsidRPr="00B04AB0">
        <w:rPr>
          <w:i/>
          <w:iCs/>
        </w:rPr>
        <w:t>A</w:t>
      </w:r>
      <w:r w:rsidRPr="00B04AB0">
        <w:t xml:space="preserve"> y</w:t>
      </w:r>
      <w:r>
        <w:t xml:space="preserve"> </w:t>
      </w:r>
      <w:r>
        <w:rPr>
          <w:i/>
          <w:iCs/>
        </w:rPr>
        <w:t>B</w:t>
      </w:r>
      <w:r>
        <w:t>, se trabaja con agentes representativos que maximizan su utilidad que depende de ocio y consumo.</w:t>
      </w:r>
    </w:p>
    <w:p w14:paraId="747B4D9E" w14:textId="442E17F7" w:rsidR="00B04AB0" w:rsidRDefault="00B04AB0" w:rsidP="00A270D2">
      <w:pPr>
        <w:pStyle w:val="Nivel1SM"/>
      </w:pPr>
      <w:r>
        <w:t>No existe ni inversión ni gasto público, con lo que el output será igual al consumo.</w:t>
      </w:r>
    </w:p>
    <w:p w14:paraId="375A454F" w14:textId="6DAD97C2" w:rsidR="00B04AB0" w:rsidRDefault="00B04AB0" w:rsidP="00A270D2">
      <w:pPr>
        <w:pStyle w:val="Nivel1SM"/>
      </w:pPr>
      <w:r>
        <w:t>Existe una autoridad monetaria benevolente que persigue conseguir la maximización de su utilidad para el agente representativo.</w:t>
      </w:r>
    </w:p>
    <w:p w14:paraId="37A3F120" w14:textId="235574E5" w:rsidR="00B04AB0" w:rsidRPr="00B04AB0" w:rsidRDefault="00B04AB0" w:rsidP="00A270D2">
      <w:pPr>
        <w:pStyle w:val="Nivel1SM"/>
      </w:pPr>
      <w:r>
        <w:t>Se trabaja en un plano consumo-trabajo. De hecho se puede realizar un análisis de bienestar y trabajar con curvas de indiferencia que crecerían hacia arriba a la izquierda (mayor consumo y menos trabajo).</w:t>
      </w:r>
    </w:p>
    <w:p w14:paraId="696C6847" w14:textId="1B79E4CA" w:rsidR="00A270D2" w:rsidRDefault="00A270D2" w:rsidP="00A270D2">
      <w:pPr>
        <w:pStyle w:val="Ttulo6"/>
        <w:rPr>
          <w:lang w:val="en-US"/>
        </w:rPr>
      </w:pPr>
      <w:bookmarkStart w:id="129" w:name="_Toc174196015"/>
      <w:r>
        <w:rPr>
          <w:lang w:val="en-US"/>
        </w:rPr>
        <w:t>Desarrollo</w:t>
      </w:r>
      <w:bookmarkEnd w:id="129"/>
    </w:p>
    <w:p w14:paraId="2E4ACF2F" w14:textId="13947021" w:rsidR="00A270D2" w:rsidRDefault="00B04AB0" w:rsidP="00417A95">
      <w:pPr>
        <w:pStyle w:val="Nivel1SM"/>
        <w:keepNext/>
        <w:spacing w:before="0" w:after="0"/>
      </w:pPr>
      <w:r w:rsidRPr="00B04AB0">
        <w:t>Ecuaciones básicas: se trabaja co</w:t>
      </w:r>
      <w:r>
        <w:t>n 3</w:t>
      </w:r>
      <w:r w:rsidR="00417A95">
        <w:t> </w:t>
      </w:r>
      <w:r>
        <w:t>ecuaciones que se pueden representar mediante 3</w:t>
      </w:r>
      <w:r w:rsidR="00C96CF1">
        <w:t> </w:t>
      </w:r>
      <w:r>
        <w:t>curvas en el espacio consumo/empleo.</w:t>
      </w:r>
    </w:p>
    <w:p w14:paraId="6C366B25" w14:textId="41413268" w:rsidR="00B04AB0" w:rsidRDefault="00B04AB0">
      <w:pPr>
        <w:pStyle w:val="Prrafodelista"/>
        <w:numPr>
          <w:ilvl w:val="0"/>
          <w:numId w:val="17"/>
        </w:numPr>
        <w:spacing w:after="100"/>
        <w:ind w:left="568" w:hanging="284"/>
      </w:pPr>
      <w:r w:rsidRPr="00B04AB0">
        <w:rPr>
          <w:i/>
          <w:iCs/>
          <w:u w:val="single"/>
        </w:rPr>
        <w:t>Curva d</w:t>
      </w:r>
      <w:r w:rsidR="004E3526">
        <w:rPr>
          <w:i/>
          <w:iCs/>
          <w:u w:val="single"/>
        </w:rPr>
        <w:t>e</w:t>
      </w:r>
      <w:r w:rsidRPr="00B04AB0">
        <w:rPr>
          <w:i/>
          <w:iCs/>
          <w:u w:val="single"/>
        </w:rPr>
        <w:t xml:space="preserve"> demanda agregada</w:t>
      </w:r>
      <w:r>
        <w:t xml:space="preserve"> (AD)</w:t>
      </w:r>
      <w:r w:rsidR="002A5EF2">
        <w:t>:</w:t>
      </w:r>
      <w:r>
        <w:t xml:space="preserve"> En función del índice de precios (que incluye también los precios de los bienes importados y el tono de la política monetaria (la variable </w:t>
      </w:r>
      <m:oMath>
        <m:r>
          <m:rPr>
            <m:nor/>
          </m:rPr>
          <w:rPr>
            <w:i/>
            <w:iCs/>
          </w:rPr>
          <m:t>μ</m:t>
        </m:r>
      </m:oMath>
      <w:r>
        <w:rPr>
          <w:rFonts w:eastAsiaTheme="minorEastAsia"/>
          <w:iCs/>
        </w:rPr>
        <w:t xml:space="preserve"> representa el objetivo de política monetaria en términos de consumo) de tal manera que un tono más expansivo se traslada a mayor consumo.</w:t>
      </w:r>
    </w:p>
    <w:p w14:paraId="7E477647" w14:textId="5666360A" w:rsidR="00B04AB0" w:rsidRDefault="00B04AB0">
      <w:pPr>
        <w:pStyle w:val="Prrafodelista"/>
        <w:numPr>
          <w:ilvl w:val="0"/>
          <w:numId w:val="17"/>
        </w:numPr>
        <w:spacing w:after="100"/>
        <w:ind w:left="568" w:hanging="284"/>
      </w:pPr>
      <w:r w:rsidRPr="00B04AB0">
        <w:rPr>
          <w:i/>
          <w:iCs/>
          <w:u w:val="single"/>
        </w:rPr>
        <w:t>Curva de oferta agregada</w:t>
      </w:r>
      <w:r>
        <w:t xml:space="preserve"> (AS)</w:t>
      </w:r>
      <w:r w:rsidR="002A5EF2">
        <w:t>:</w:t>
      </w:r>
      <w:r>
        <w:t xml:space="preserve"> El output se produce con una tecnología de producción lineal en el empleo, donde </w:t>
      </w:r>
      <m:oMath>
        <m:r>
          <m:rPr>
            <m:nor/>
          </m:rPr>
          <w:rPr>
            <w:i/>
            <w:iCs/>
          </w:rPr>
          <m:t>z</m:t>
        </m:r>
      </m:oMath>
      <w:r>
        <w:rPr>
          <w:rFonts w:eastAsiaTheme="minorEastAsia"/>
          <w:iCs/>
        </w:rPr>
        <w:t xml:space="preserve"> es una medida de la productividad y </w:t>
      </w:r>
      <m:oMath>
        <m:r>
          <m:rPr>
            <m:nor/>
          </m:rPr>
          <w:rPr>
            <w:i/>
          </w:rPr>
          <m:t>τ</m:t>
        </m:r>
      </m:oMath>
      <w:r>
        <w:rPr>
          <w:rFonts w:eastAsiaTheme="minorEastAsia"/>
          <w:iCs/>
        </w:rPr>
        <w:t xml:space="preserve"> es una mediad de valoración de la producción doméstica o cómo la producción doméstica se traslada a consumo</w:t>
      </w:r>
      <w:r w:rsidR="0078419D">
        <w:rPr>
          <w:rFonts w:eastAsiaTheme="minorEastAsia"/>
          <w:iCs/>
        </w:rPr>
        <w:t xml:space="preserve">. Con economía abierta será menor que en economía cerrada y dependerá de la RRI, cuanto mayor sea la RRI, mayor </w:t>
      </w:r>
      <m:oMath>
        <m:r>
          <m:rPr>
            <m:nor/>
          </m:rPr>
          <w:rPr>
            <w:i/>
          </w:rPr>
          <m:t>τ</m:t>
        </m:r>
      </m:oMath>
      <w:r w:rsidR="0078419D">
        <w:rPr>
          <w:rFonts w:eastAsiaTheme="minorEastAsia"/>
        </w:rPr>
        <w:t>. A su vez, la RRI depende del tipo de cambio nominal. A su vez, el tipo de cambio nominal depende del tono de la política monetaria. Una política monetaria expansiva deprecia el tipo de cambio y empeora la RRI,</w:t>
      </w:r>
      <m:oMath>
        <m:r>
          <w:rPr>
            <w:rFonts w:ascii="Cambria Math" w:eastAsiaTheme="minorEastAsia" w:hAnsi="Cambria Math"/>
          </w:rPr>
          <m:t xml:space="preserve"> </m:t>
        </m:r>
        <m:r>
          <m:rPr>
            <m:nor/>
          </m:rPr>
          <w:rPr>
            <w:i/>
          </w:rPr>
          <m:t>E</m:t>
        </m:r>
        <m:r>
          <w:rPr>
            <w:rFonts w:ascii="Cambria Math" w:eastAsiaTheme="minorEastAsia" w:hAnsi="Cambria Math"/>
          </w:rPr>
          <m:t>=</m:t>
        </m:r>
        <m:f>
          <m:fPr>
            <m:type m:val="lin"/>
            <m:ctrlPr>
              <w:rPr>
                <w:rFonts w:ascii="Cambria Math" w:eastAsiaTheme="minorEastAsia" w:hAnsi="Cambria Math"/>
                <w:i/>
              </w:rPr>
            </m:ctrlPr>
          </m:fPr>
          <m:num>
            <m:r>
              <m:rPr>
                <m:nor/>
              </m:rPr>
              <w:rPr>
                <w:i/>
                <w:iCs/>
              </w:rPr>
              <m:t>μ</m:t>
            </m:r>
          </m:num>
          <m:den>
            <m:r>
              <m:rPr>
                <m:nor/>
              </m:rPr>
              <w:rPr>
                <w:i/>
                <w:iCs/>
              </w:rPr>
              <m:t>μ*</m:t>
            </m:r>
          </m:den>
        </m:f>
      </m:oMath>
      <w:r w:rsidR="0078419D">
        <w:rPr>
          <w:rFonts w:eastAsiaTheme="minorEastAsia"/>
        </w:rPr>
        <w:t>.</w:t>
      </w:r>
    </w:p>
    <w:p w14:paraId="5C7A0917" w14:textId="3CCB9516" w:rsidR="00B04AB0" w:rsidRDefault="00B04AB0">
      <w:pPr>
        <w:pStyle w:val="Prrafodelista"/>
        <w:numPr>
          <w:ilvl w:val="0"/>
          <w:numId w:val="17"/>
        </w:numPr>
        <w:spacing w:after="100"/>
        <w:ind w:left="568" w:hanging="284"/>
      </w:pPr>
      <w:r w:rsidRPr="00B04AB0">
        <w:rPr>
          <w:i/>
          <w:iCs/>
          <w:u w:val="single"/>
        </w:rPr>
        <w:t xml:space="preserve">Curva natural </w:t>
      </w:r>
      <w:proofErr w:type="spellStart"/>
      <w:r w:rsidRPr="00B04AB0">
        <w:rPr>
          <w:i/>
          <w:iCs/>
          <w:u w:val="single"/>
        </w:rPr>
        <w:t>rate</w:t>
      </w:r>
      <w:proofErr w:type="spellEnd"/>
      <w:r>
        <w:t xml:space="preserve"> (NR)</w:t>
      </w:r>
      <w:r w:rsidR="002A5EF2">
        <w:t>:</w:t>
      </w:r>
      <w:r w:rsidR="0078419D">
        <w:t xml:space="preserve"> E</w:t>
      </w:r>
      <w:r w:rsidR="002A5EF2">
        <w:t>l</w:t>
      </w:r>
      <w:r w:rsidR="0078419D">
        <w:t xml:space="preserve"> nivel de empleo potencial, imperante con flexibilidad de precios (depende de las preferencias y de la </w:t>
      </w:r>
      <w:proofErr w:type="spellStart"/>
      <w:r w:rsidR="0078419D">
        <w:t>desutilidad</w:t>
      </w:r>
      <w:proofErr w:type="spellEnd"/>
      <w:r w:rsidR="0078419D">
        <w:t xml:space="preserve"> del trabajo). E</w:t>
      </w:r>
      <w:r w:rsidR="002A5EF2">
        <w:t>l</w:t>
      </w:r>
      <w:r w:rsidR="0078419D">
        <w:t xml:space="preserve"> equilibrio del modelo con rigideces se da por la confluencia de AD</w:t>
      </w:r>
      <w:r w:rsidR="002A5EF2">
        <w:t xml:space="preserve"> </w:t>
      </w:r>
      <w:r w:rsidR="0078419D">
        <w:t>y AS, marcando NR el nivel de empleo que se daría en caso de precios flexibles y, por tanto, el que se buscaría recuperar ante perturbaciones.</w:t>
      </w:r>
    </w:p>
    <w:p w14:paraId="4C1E9611" w14:textId="2FAAD6DA" w:rsidR="003A1D46" w:rsidRDefault="003A1D46" w:rsidP="003A1D46">
      <w:pPr>
        <w:pStyle w:val="Prrafodelista"/>
        <w:spacing w:after="100"/>
        <w:ind w:left="568"/>
      </w:pPr>
      <w:r w:rsidRPr="003A1D46">
        <w:rPr>
          <w:noProof/>
        </w:rPr>
        <w:drawing>
          <wp:inline distT="0" distB="0" distL="0" distR="0" wp14:anchorId="468963DE" wp14:editId="3B61A93F">
            <wp:extent cx="1447385" cy="1080000"/>
            <wp:effectExtent l="0" t="0" r="635" b="6350"/>
            <wp:docPr id="26" name="Imagen 26"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Diagrama&#10;&#10;Descripción generada automáticamente con confianza media"/>
                    <pic:cNvPicPr/>
                  </pic:nvPicPr>
                  <pic:blipFill>
                    <a:blip r:embed="rId22"/>
                    <a:stretch>
                      <a:fillRect/>
                    </a:stretch>
                  </pic:blipFill>
                  <pic:spPr>
                    <a:xfrm>
                      <a:off x="0" y="0"/>
                      <a:ext cx="1447385" cy="1080000"/>
                    </a:xfrm>
                    <a:prstGeom prst="rect">
                      <a:avLst/>
                    </a:prstGeom>
                  </pic:spPr>
                </pic:pic>
              </a:graphicData>
            </a:graphic>
          </wp:inline>
        </w:drawing>
      </w:r>
      <w:r w:rsidRPr="003A1D46">
        <w:rPr>
          <w:noProof/>
        </w:rPr>
        <w:t xml:space="preserve"> </w:t>
      </w:r>
      <w:r>
        <w:rPr>
          <w:noProof/>
        </w:rPr>
        <w:drawing>
          <wp:inline distT="0" distB="0" distL="0" distR="0" wp14:anchorId="1618E4A3" wp14:editId="58A3F552">
            <wp:extent cx="1622610" cy="1080000"/>
            <wp:effectExtent l="0" t="0" r="0" b="635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622610" cy="1080000"/>
                    </a:xfrm>
                    <a:prstGeom prst="rect">
                      <a:avLst/>
                    </a:prstGeom>
                  </pic:spPr>
                </pic:pic>
              </a:graphicData>
            </a:graphic>
          </wp:inline>
        </w:drawing>
      </w:r>
      <w:r w:rsidRPr="003A1D46">
        <w:rPr>
          <w:noProof/>
        </w:rPr>
        <w:t xml:space="preserve"> </w:t>
      </w:r>
      <w:r>
        <w:rPr>
          <w:noProof/>
        </w:rPr>
        <w:drawing>
          <wp:inline distT="0" distB="0" distL="0" distR="0" wp14:anchorId="0F2082EF" wp14:editId="5EA3BF66">
            <wp:extent cx="1618824" cy="1080000"/>
            <wp:effectExtent l="0" t="0" r="635" b="6350"/>
            <wp:docPr id="28" name="Imagen 2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Diagrama&#10;&#10;Descripción generada automáticamente"/>
                    <pic:cNvPicPr/>
                  </pic:nvPicPr>
                  <pic:blipFill>
                    <a:blip r:embed="rId24"/>
                    <a:stretch>
                      <a:fillRect/>
                    </a:stretch>
                  </pic:blipFill>
                  <pic:spPr>
                    <a:xfrm>
                      <a:off x="0" y="0"/>
                      <a:ext cx="1618824" cy="1080000"/>
                    </a:xfrm>
                    <a:prstGeom prst="rect">
                      <a:avLst/>
                    </a:prstGeom>
                  </pic:spPr>
                </pic:pic>
              </a:graphicData>
            </a:graphic>
          </wp:inline>
        </w:drawing>
      </w:r>
      <w:r w:rsidRPr="003A1D46">
        <w:rPr>
          <w:noProof/>
        </w:rPr>
        <w:t xml:space="preserve"> </w:t>
      </w:r>
      <w:r>
        <w:rPr>
          <w:noProof/>
        </w:rPr>
        <w:drawing>
          <wp:inline distT="0" distB="0" distL="0" distR="0" wp14:anchorId="63E5EFDC" wp14:editId="3EBD0FB2">
            <wp:extent cx="1548273" cy="1080000"/>
            <wp:effectExtent l="0" t="0" r="0" b="6350"/>
            <wp:docPr id="29" name="Imagen 2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Diagrama&#10;&#10;Descripción generada automáticamente"/>
                    <pic:cNvPicPr/>
                  </pic:nvPicPr>
                  <pic:blipFill>
                    <a:blip r:embed="rId25"/>
                    <a:stretch>
                      <a:fillRect/>
                    </a:stretch>
                  </pic:blipFill>
                  <pic:spPr>
                    <a:xfrm>
                      <a:off x="0" y="0"/>
                      <a:ext cx="1548273" cy="1080000"/>
                    </a:xfrm>
                    <a:prstGeom prst="rect">
                      <a:avLst/>
                    </a:prstGeom>
                  </pic:spPr>
                </pic:pic>
              </a:graphicData>
            </a:graphic>
          </wp:inline>
        </w:drawing>
      </w:r>
      <w:r w:rsidRPr="003A1D46">
        <w:rPr>
          <w:noProof/>
        </w:rPr>
        <w:t xml:space="preserve"> </w:t>
      </w:r>
      <w:r>
        <w:rPr>
          <w:noProof/>
        </w:rPr>
        <w:drawing>
          <wp:inline distT="0" distB="0" distL="0" distR="0" wp14:anchorId="3C9A07D3" wp14:editId="137D32A3">
            <wp:extent cx="1537752" cy="1080000"/>
            <wp:effectExtent l="0" t="0" r="5715" b="6350"/>
            <wp:docPr id="30" name="Imagen 30" descr="Gráfico, Diagrama,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Gráfico, Diagrama, Gráfico de líneas&#10;&#10;Descripción generada automáticamente"/>
                    <pic:cNvPicPr/>
                  </pic:nvPicPr>
                  <pic:blipFill>
                    <a:blip r:embed="rId26"/>
                    <a:stretch>
                      <a:fillRect/>
                    </a:stretch>
                  </pic:blipFill>
                  <pic:spPr>
                    <a:xfrm>
                      <a:off x="0" y="0"/>
                      <a:ext cx="1537752" cy="1080000"/>
                    </a:xfrm>
                    <a:prstGeom prst="rect">
                      <a:avLst/>
                    </a:prstGeom>
                  </pic:spPr>
                </pic:pic>
              </a:graphicData>
            </a:graphic>
          </wp:inline>
        </w:drawing>
      </w:r>
      <w:r w:rsidRPr="003A1D46">
        <w:rPr>
          <w:noProof/>
        </w:rPr>
        <w:t xml:space="preserve"> </w:t>
      </w:r>
      <w:r>
        <w:rPr>
          <w:noProof/>
        </w:rPr>
        <w:drawing>
          <wp:inline distT="0" distB="0" distL="0" distR="0" wp14:anchorId="55C2EBFB" wp14:editId="12F431E1">
            <wp:extent cx="1568099" cy="1080000"/>
            <wp:effectExtent l="0" t="0" r="0" b="6350"/>
            <wp:docPr id="31" name="Imagen 31"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descr="Gráfico, Diagrama&#10;&#10;Descripción generada automáticamente"/>
                    <pic:cNvPicPr/>
                  </pic:nvPicPr>
                  <pic:blipFill>
                    <a:blip r:embed="rId27"/>
                    <a:stretch>
                      <a:fillRect/>
                    </a:stretch>
                  </pic:blipFill>
                  <pic:spPr>
                    <a:xfrm>
                      <a:off x="0" y="0"/>
                      <a:ext cx="1568099" cy="1080000"/>
                    </a:xfrm>
                    <a:prstGeom prst="rect">
                      <a:avLst/>
                    </a:prstGeom>
                  </pic:spPr>
                </pic:pic>
              </a:graphicData>
            </a:graphic>
          </wp:inline>
        </w:drawing>
      </w:r>
      <w:r w:rsidRPr="003A1D46">
        <w:rPr>
          <w:noProof/>
        </w:rPr>
        <w:t xml:space="preserve"> </w:t>
      </w:r>
      <w:r>
        <w:rPr>
          <w:noProof/>
        </w:rPr>
        <w:lastRenderedPageBreak/>
        <w:drawing>
          <wp:inline distT="0" distB="0" distL="0" distR="0" wp14:anchorId="6E31EEED" wp14:editId="1F8BBF89">
            <wp:extent cx="1550348" cy="1080000"/>
            <wp:effectExtent l="0" t="0" r="0" b="6350"/>
            <wp:docPr id="32" name="Imagen 32"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Gráfico, Diagrama&#10;&#10;Descripción generada automáticamente"/>
                    <pic:cNvPicPr/>
                  </pic:nvPicPr>
                  <pic:blipFill>
                    <a:blip r:embed="rId28"/>
                    <a:stretch>
                      <a:fillRect/>
                    </a:stretch>
                  </pic:blipFill>
                  <pic:spPr>
                    <a:xfrm>
                      <a:off x="0" y="0"/>
                      <a:ext cx="1550348" cy="1080000"/>
                    </a:xfrm>
                    <a:prstGeom prst="rect">
                      <a:avLst/>
                    </a:prstGeom>
                  </pic:spPr>
                </pic:pic>
              </a:graphicData>
            </a:graphic>
          </wp:inline>
        </w:drawing>
      </w:r>
      <w:r w:rsidRPr="003A1D46">
        <w:rPr>
          <w:noProof/>
        </w:rPr>
        <w:t xml:space="preserve"> </w:t>
      </w:r>
      <w:r>
        <w:rPr>
          <w:noProof/>
        </w:rPr>
        <w:drawing>
          <wp:inline distT="0" distB="0" distL="0" distR="0" wp14:anchorId="7060B70C" wp14:editId="5A1EC777">
            <wp:extent cx="1578323" cy="1080000"/>
            <wp:effectExtent l="0" t="0" r="3175" b="6350"/>
            <wp:docPr id="34" name="Imagen 34" descr="Gráfico, Diagrama,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Gráfico, Diagrama, Gráfico de líneas&#10;&#10;Descripción generada automáticamente"/>
                    <pic:cNvPicPr/>
                  </pic:nvPicPr>
                  <pic:blipFill>
                    <a:blip r:embed="rId29"/>
                    <a:stretch>
                      <a:fillRect/>
                    </a:stretch>
                  </pic:blipFill>
                  <pic:spPr>
                    <a:xfrm>
                      <a:off x="0" y="0"/>
                      <a:ext cx="1578323" cy="1080000"/>
                    </a:xfrm>
                    <a:prstGeom prst="rect">
                      <a:avLst/>
                    </a:prstGeom>
                  </pic:spPr>
                </pic:pic>
              </a:graphicData>
            </a:graphic>
          </wp:inline>
        </w:drawing>
      </w:r>
      <w:r w:rsidRPr="003A1D46">
        <w:rPr>
          <w:noProof/>
        </w:rPr>
        <w:t xml:space="preserve"> </w:t>
      </w:r>
      <w:r>
        <w:rPr>
          <w:noProof/>
        </w:rPr>
        <w:drawing>
          <wp:inline distT="0" distB="0" distL="0" distR="0" wp14:anchorId="4154D378" wp14:editId="0F5699B3">
            <wp:extent cx="1545744" cy="1080000"/>
            <wp:effectExtent l="0" t="0" r="0" b="6350"/>
            <wp:docPr id="35" name="Imagen 35"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Gráfico&#10;&#10;Descripción generada automáticamente"/>
                    <pic:cNvPicPr/>
                  </pic:nvPicPr>
                  <pic:blipFill>
                    <a:blip r:embed="rId30"/>
                    <a:stretch>
                      <a:fillRect/>
                    </a:stretch>
                  </pic:blipFill>
                  <pic:spPr>
                    <a:xfrm>
                      <a:off x="0" y="0"/>
                      <a:ext cx="1545744" cy="1080000"/>
                    </a:xfrm>
                    <a:prstGeom prst="rect">
                      <a:avLst/>
                    </a:prstGeom>
                  </pic:spPr>
                </pic:pic>
              </a:graphicData>
            </a:graphic>
          </wp:inline>
        </w:drawing>
      </w:r>
      <w:r w:rsidRPr="003A1D46">
        <w:rPr>
          <w:noProof/>
        </w:rPr>
        <w:t xml:space="preserve"> </w:t>
      </w:r>
      <w:r>
        <w:rPr>
          <w:noProof/>
        </w:rPr>
        <w:drawing>
          <wp:inline distT="0" distB="0" distL="0" distR="0" wp14:anchorId="7F475D14" wp14:editId="40AABEB1">
            <wp:extent cx="1459279" cy="1080000"/>
            <wp:effectExtent l="0" t="0" r="7620" b="6350"/>
            <wp:docPr id="36" name="Imagen 36"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descr="Gráfico&#10;&#10;Descripción generada automáticamente"/>
                    <pic:cNvPicPr/>
                  </pic:nvPicPr>
                  <pic:blipFill>
                    <a:blip r:embed="rId31"/>
                    <a:stretch>
                      <a:fillRect/>
                    </a:stretch>
                  </pic:blipFill>
                  <pic:spPr>
                    <a:xfrm>
                      <a:off x="0" y="0"/>
                      <a:ext cx="1459279" cy="1080000"/>
                    </a:xfrm>
                    <a:prstGeom prst="rect">
                      <a:avLst/>
                    </a:prstGeom>
                  </pic:spPr>
                </pic:pic>
              </a:graphicData>
            </a:graphic>
          </wp:inline>
        </w:drawing>
      </w:r>
      <w:r w:rsidRPr="003A1D46">
        <w:rPr>
          <w:noProof/>
        </w:rPr>
        <w:t xml:space="preserve"> </w:t>
      </w:r>
      <w:r>
        <w:rPr>
          <w:noProof/>
        </w:rPr>
        <w:drawing>
          <wp:inline distT="0" distB="0" distL="0" distR="0" wp14:anchorId="5D09AA0E" wp14:editId="06A7AEA2">
            <wp:extent cx="1505720" cy="1080000"/>
            <wp:effectExtent l="0" t="0" r="0" b="6350"/>
            <wp:docPr id="38" name="Imagen 3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8" descr="Diagrama&#10;&#10;Descripción generada automáticamente"/>
                    <pic:cNvPicPr/>
                  </pic:nvPicPr>
                  <pic:blipFill>
                    <a:blip r:embed="rId32"/>
                    <a:stretch>
                      <a:fillRect/>
                    </a:stretch>
                  </pic:blipFill>
                  <pic:spPr>
                    <a:xfrm>
                      <a:off x="0" y="0"/>
                      <a:ext cx="1505720" cy="1080000"/>
                    </a:xfrm>
                    <a:prstGeom prst="rect">
                      <a:avLst/>
                    </a:prstGeom>
                  </pic:spPr>
                </pic:pic>
              </a:graphicData>
            </a:graphic>
          </wp:inline>
        </w:drawing>
      </w:r>
    </w:p>
    <w:p w14:paraId="380B1B5C" w14:textId="784877CC" w:rsidR="0078419D" w:rsidRDefault="0078419D" w:rsidP="0078419D">
      <w:pPr>
        <w:pStyle w:val="Nivel1SM"/>
      </w:pPr>
      <w:r>
        <w:t>La fijación de precios por parte de los productores se puede hacer en moneda local o en moneda extranjera.</w:t>
      </w:r>
    </w:p>
    <w:p w14:paraId="778164BF" w14:textId="238B2876" w:rsidR="0078419D" w:rsidRDefault="0078419D" w:rsidP="0078419D">
      <w:pPr>
        <w:pStyle w:val="Nivel1SM"/>
      </w:pPr>
      <w:r>
        <w:t>La fijación de precios en una u otra moneda tiene una importancia crucial cuando estudiamos como se transmiten las políticas económicas. Hay dos opciones:</w:t>
      </w:r>
    </w:p>
    <w:p w14:paraId="2C9C03BF" w14:textId="77777777" w:rsidR="0078419D" w:rsidRPr="00B04AB0" w:rsidRDefault="0078419D" w:rsidP="0078419D">
      <w:pPr>
        <w:pStyle w:val="Nivel1SM"/>
      </w:pPr>
    </w:p>
    <w:p w14:paraId="1B01757C" w14:textId="37E67A0E" w:rsidR="00A270D2" w:rsidRDefault="0078419D" w:rsidP="00A270D2">
      <w:pPr>
        <w:pStyle w:val="Ttulo6"/>
        <w:rPr>
          <w:lang w:val="en-US"/>
        </w:rPr>
      </w:pPr>
      <w:bookmarkStart w:id="130" w:name="_Toc174196016"/>
      <w:proofErr w:type="spellStart"/>
      <w:r>
        <w:rPr>
          <w:lang w:val="en-US"/>
        </w:rPr>
        <w:t>Implicaciones</w:t>
      </w:r>
      <w:bookmarkEnd w:id="130"/>
      <w:proofErr w:type="spellEnd"/>
    </w:p>
    <w:p w14:paraId="7C5A8AE7" w14:textId="77777777" w:rsidR="00A270D2" w:rsidRPr="00A270D2" w:rsidRDefault="00A270D2" w:rsidP="00A270D2">
      <w:pPr>
        <w:pStyle w:val="Nivel1SM"/>
        <w:rPr>
          <w:lang w:val="en-US"/>
        </w:rPr>
      </w:pPr>
    </w:p>
    <w:p w14:paraId="5AC36A64" w14:textId="5D0C6D67" w:rsidR="00A270D2" w:rsidRDefault="00A270D2" w:rsidP="00A270D2">
      <w:pPr>
        <w:pStyle w:val="Ttulo3"/>
        <w:rPr>
          <w:lang w:val="en-US"/>
        </w:rPr>
      </w:pPr>
      <w:bookmarkStart w:id="131" w:name="_Toc174196017"/>
      <w:proofErr w:type="spellStart"/>
      <w:r>
        <w:rPr>
          <w:lang w:val="en-US"/>
        </w:rPr>
        <w:t>Evidencia</w:t>
      </w:r>
      <w:proofErr w:type="spellEnd"/>
      <w:r>
        <w:rPr>
          <w:lang w:val="en-US"/>
        </w:rPr>
        <w:t xml:space="preserve"> </w:t>
      </w:r>
      <w:proofErr w:type="spellStart"/>
      <w:r>
        <w:rPr>
          <w:lang w:val="en-US"/>
        </w:rPr>
        <w:t>empírica</w:t>
      </w:r>
      <w:bookmarkEnd w:id="131"/>
      <w:proofErr w:type="spellEnd"/>
    </w:p>
    <w:p w14:paraId="5D605CD9" w14:textId="77777777" w:rsidR="00A270D2" w:rsidRPr="00A270D2" w:rsidRDefault="00A270D2" w:rsidP="00A270D2">
      <w:pPr>
        <w:pStyle w:val="Nivel1SM"/>
        <w:rPr>
          <w:lang w:val="en-US"/>
        </w:rPr>
      </w:pPr>
    </w:p>
    <w:p w14:paraId="7248E11F" w14:textId="28A0F47A" w:rsidR="00A270D2" w:rsidRPr="00A270D2" w:rsidRDefault="00A270D2" w:rsidP="00A270D2">
      <w:pPr>
        <w:pStyle w:val="Ttulo3"/>
        <w:rPr>
          <w:lang w:val="en-US"/>
        </w:rPr>
      </w:pPr>
      <w:bookmarkStart w:id="132" w:name="_Toc174196018"/>
      <w:proofErr w:type="spellStart"/>
      <w:r>
        <w:rPr>
          <w:lang w:val="en-US"/>
        </w:rPr>
        <w:t>Valoración</w:t>
      </w:r>
      <w:bookmarkEnd w:id="132"/>
      <w:proofErr w:type="spellEnd"/>
    </w:p>
    <w:p w14:paraId="71A6635E" w14:textId="77777777" w:rsidR="00A270D2" w:rsidRPr="00A270D2" w:rsidRDefault="00A270D2" w:rsidP="00A270D2">
      <w:pPr>
        <w:pStyle w:val="Ttulo2"/>
      </w:pPr>
      <w:bookmarkStart w:id="133" w:name="_Toc174196019"/>
      <w:r w:rsidRPr="00A270D2">
        <w:t xml:space="preserve">Ciclo financiero global: </w:t>
      </w:r>
      <w:r w:rsidRPr="00A270D2">
        <w:rPr>
          <w:smallCaps/>
        </w:rPr>
        <w:t>H</w:t>
      </w:r>
      <w:r>
        <w:rPr>
          <w:smallCaps/>
        </w:rPr>
        <w:t>é</w:t>
      </w:r>
      <w:r w:rsidRPr="00A270D2">
        <w:rPr>
          <w:smallCaps/>
        </w:rPr>
        <w:t>lène R</w:t>
      </w:r>
      <w:r>
        <w:rPr>
          <w:smallCaps/>
        </w:rPr>
        <w:t>ey</w:t>
      </w:r>
      <w:bookmarkEnd w:id="133"/>
    </w:p>
    <w:p w14:paraId="4CB504ED" w14:textId="1211F805" w:rsidR="00A270D2" w:rsidRDefault="00A270D2" w:rsidP="00A270D2">
      <w:pPr>
        <w:pStyle w:val="Ttulo3"/>
      </w:pPr>
      <w:bookmarkStart w:id="134" w:name="_Toc174196020"/>
      <w:r>
        <w:t>Idea</w:t>
      </w:r>
      <w:bookmarkEnd w:id="134"/>
    </w:p>
    <w:p w14:paraId="5664A225" w14:textId="04028D4C" w:rsidR="00A270D2" w:rsidRPr="00A270D2" w:rsidRDefault="00000000" w:rsidP="00A270D2">
      <w:pPr>
        <w:pStyle w:val="Cajadeanotaciones"/>
      </w:pPr>
      <w:hyperlink r:id="rId33" w:anchor="toc3" w:history="1">
        <w:r w:rsidR="00A270D2" w:rsidRPr="00A270D2">
          <w:rPr>
            <w:rStyle w:val="Hipervnculo"/>
            <w:sz w:val="19"/>
            <w:szCs w:val="19"/>
          </w:rPr>
          <w:t>https://www.ecb.europa.eu/pub/economic-bulletin/articles/2018/html/ecb.ebart201806_01.en.html#toc3</w:t>
        </w:r>
      </w:hyperlink>
    </w:p>
    <w:p w14:paraId="5E44A75A" w14:textId="47BFAEE7" w:rsidR="00A270D2" w:rsidRPr="00A270D2" w:rsidRDefault="00A270D2" w:rsidP="00417A95">
      <w:pPr>
        <w:pStyle w:val="Nivel1SM"/>
        <w:spacing w:before="0"/>
      </w:pPr>
      <w:r w:rsidRPr="00A270D2">
        <w:rPr>
          <w:smallCaps/>
        </w:rPr>
        <w:t>Hélène Rey</w:t>
      </w:r>
      <w:r w:rsidRPr="00A270D2">
        <w:t xml:space="preserve"> ha documentado los</w:t>
      </w:r>
      <w:r>
        <w:t xml:space="preserve"> efectos del desbordamiento de la política monetaria de la </w:t>
      </w:r>
      <w:r w:rsidR="006668FD">
        <w:t>Reserva Federal</w:t>
      </w:r>
      <w:r>
        <w:t xml:space="preserve"> mediante el canal de transmisión del tipo de interés.</w:t>
      </w:r>
    </w:p>
    <w:p w14:paraId="71842BF8" w14:textId="60BC2B83" w:rsidR="00A270D2" w:rsidRDefault="00A270D2" w:rsidP="00A270D2">
      <w:pPr>
        <w:pStyle w:val="Ttulo3"/>
      </w:pPr>
      <w:bookmarkStart w:id="135" w:name="_Toc174196021"/>
      <w:r>
        <w:t>Desarrollo</w:t>
      </w:r>
      <w:bookmarkEnd w:id="135"/>
    </w:p>
    <w:p w14:paraId="2DDE19AE" w14:textId="1EFFCFB6" w:rsidR="00A270D2" w:rsidRDefault="00A270D2" w:rsidP="00417A95">
      <w:pPr>
        <w:pStyle w:val="Nivel1SM"/>
        <w:spacing w:before="0"/>
      </w:pPr>
      <w:r>
        <w:rPr>
          <w:smallCaps/>
        </w:rPr>
        <w:t>Rey</w:t>
      </w:r>
      <w:r>
        <w:t xml:space="preserve"> parte de la constatación de que los precios de los activos con riesgo acciones o bonos de alta rentabilidad suelen fluctuar al mismo ritmo que la disponibilidad de liquidez mundial.</w:t>
      </w:r>
    </w:p>
    <w:p w14:paraId="56D02EEA" w14:textId="01A82420" w:rsidR="00A270D2" w:rsidRDefault="00A270D2" w:rsidP="00A270D2">
      <w:pPr>
        <w:pStyle w:val="Nivel1SM"/>
      </w:pPr>
      <w:r>
        <w:t xml:space="preserve">La liquidez mundial viene determinada en gran medida por la política monetaria de la </w:t>
      </w:r>
      <w:r w:rsidR="00354A35">
        <w:t>Reserva Federal</w:t>
      </w:r>
      <w:r>
        <w:t xml:space="preserve"> que permite la disponibilidad para el mundo de dólares, modela de reserva más demandada.</w:t>
      </w:r>
    </w:p>
    <w:p w14:paraId="1905686F" w14:textId="1C1B4391" w:rsidR="00A270D2" w:rsidRDefault="00A270D2" w:rsidP="00A270D2">
      <w:pPr>
        <w:pStyle w:val="Nivel1SM"/>
      </w:pPr>
      <w:r>
        <w:t xml:space="preserve">Pues bien, cuando la </w:t>
      </w:r>
      <w:r w:rsidR="00354A35">
        <w:t>Reserva Federal</w:t>
      </w:r>
      <w:r>
        <w:t xml:space="preserve"> baja tipos, hace más barato pedir prestado en dólares. Esto aumenta los precios de los activos globales y por tanto, aumenta el calor del colateral contra los cuales los préstamos pueden asegurares.</w:t>
      </w:r>
    </w:p>
    <w:p w14:paraId="3DBB9EF0" w14:textId="5AB560B5" w:rsidR="00A270D2" w:rsidRPr="00A270D2" w:rsidRDefault="00A270D2" w:rsidP="00A270D2">
      <w:pPr>
        <w:pStyle w:val="Nivel1SM"/>
      </w:pPr>
      <w:r>
        <w:t>Es decir, las condiciones financieras globales se relajan (</w:t>
      </w:r>
      <w:r>
        <w:rPr>
          <w:smallCaps/>
        </w:rPr>
        <w:t>Rey</w:t>
      </w:r>
      <w:r>
        <w:t xml:space="preserve"> habla de ciclo financiero).</w:t>
      </w:r>
    </w:p>
    <w:p w14:paraId="4F7A5E08" w14:textId="7D3FB480" w:rsidR="00314790" w:rsidRPr="00A270D2" w:rsidRDefault="00A270D2" w:rsidP="00A270D2">
      <w:pPr>
        <w:pStyle w:val="Ttulo3"/>
      </w:pPr>
      <w:bookmarkStart w:id="136" w:name="_Toc174196022"/>
      <w:r>
        <w:t>Conclusión</w:t>
      </w:r>
      <w:bookmarkEnd w:id="136"/>
    </w:p>
    <w:p w14:paraId="2B69FE1C" w14:textId="3179FD71" w:rsidR="00314790" w:rsidRDefault="00A270D2" w:rsidP="00417A95">
      <w:pPr>
        <w:pStyle w:val="Nivel1SM"/>
        <w:spacing w:before="0"/>
      </w:pPr>
      <w:r>
        <w:t xml:space="preserve">La política monetaria de la </w:t>
      </w:r>
      <w:r w:rsidR="00354A35">
        <w:t>Reserva Federal</w:t>
      </w:r>
      <w:r>
        <w:t xml:space="preserve"> influencia las condiciones crediticias en otros países mediante el canal del tipo de interés (precio) de ciertos activos financieros.</w:t>
      </w:r>
    </w:p>
    <w:p w14:paraId="3955E62A" w14:textId="6D0D5A90" w:rsidR="00886D9F" w:rsidRDefault="00886D9F" w:rsidP="00383911">
      <w:pPr>
        <w:pStyle w:val="Ttulo1"/>
      </w:pPr>
      <w:bookmarkStart w:id="137" w:name="_Toc174196023"/>
      <w:r>
        <w:lastRenderedPageBreak/>
        <w:t>LA EFICACIA DE LA POLÍTICA MONETARIA</w:t>
      </w:r>
      <w:r w:rsidR="002426A5">
        <w:t>:</w:t>
      </w:r>
      <w:r w:rsidR="002426A5">
        <w:br/>
      </w:r>
      <w:r w:rsidR="002426A5">
        <w:rPr>
          <w:caps w:val="0"/>
        </w:rPr>
        <w:t>EVIDENCIA EMPÍRICA: FRIEDMAN-SCHWARTZ, FED DE SAINT LOUIS, SIMS</w:t>
      </w:r>
      <w:bookmarkEnd w:id="137"/>
    </w:p>
    <w:p w14:paraId="2B67E1AA" w14:textId="77777777" w:rsidR="00581BD2" w:rsidRDefault="00581BD2" w:rsidP="002426A5">
      <w:pPr>
        <w:pStyle w:val="Nivel1SM"/>
        <w:keepNext/>
        <w:spacing w:before="0" w:after="0"/>
      </w:pPr>
      <w:r>
        <w:t xml:space="preserve">El análisis empírico de los efectos de las innovaciones monetarias en la producción permite comprobar la veracidad de las predicciones de los modelos del Ciclo Real sobre la neutralidad del dinero. </w:t>
      </w:r>
      <w:r w:rsidRPr="002B7610">
        <w:rPr>
          <w:i/>
          <w:iCs/>
          <w:u w:val="single"/>
        </w:rPr>
        <w:t>Los trabajos</w:t>
      </w:r>
      <w:r>
        <w:rPr>
          <w:i/>
          <w:iCs/>
          <w:u w:val="single"/>
        </w:rPr>
        <w:t xml:space="preserve"> empíricos</w:t>
      </w:r>
      <w:r w:rsidRPr="002B7610">
        <w:rPr>
          <w:i/>
          <w:iCs/>
          <w:u w:val="single"/>
        </w:rPr>
        <w:t xml:space="preserve"> en este campo han sido numerosos y apuntan a la existencia de efectos reales como consecuencia de las perturbaciones monetarias, en contra de las predicciones de la Teoría del Ciclo Real</w:t>
      </w:r>
      <w:r>
        <w:t>. Es conveniente repasar los resultados más importantes de esta literatura:</w:t>
      </w:r>
    </w:p>
    <w:p w14:paraId="4B4903EF" w14:textId="77777777" w:rsidR="00581BD2" w:rsidRDefault="00581BD2" w:rsidP="00581BD2">
      <w:pPr>
        <w:pStyle w:val="Nivel2SM"/>
        <w:keepNext/>
        <w:spacing w:after="0"/>
      </w:pPr>
      <w:r>
        <w:rPr>
          <w:i/>
          <w:iCs/>
        </w:rPr>
        <w:t>La Ecuación de San Luis</w:t>
      </w:r>
      <w:r>
        <w:t xml:space="preserve"> (</w:t>
      </w:r>
      <w:r>
        <w:rPr>
          <w:smallCaps/>
        </w:rPr>
        <w:t>Andersen</w:t>
      </w:r>
      <w:r>
        <w:t xml:space="preserve"> y </w:t>
      </w:r>
      <w:proofErr w:type="spellStart"/>
      <w:r>
        <w:rPr>
          <w:smallCaps/>
        </w:rPr>
        <w:t>Jordan</w:t>
      </w:r>
      <w:proofErr w:type="spellEnd"/>
      <w:r>
        <w:t>, 1968):</w:t>
      </w:r>
    </w:p>
    <w:p w14:paraId="4B28C51C" w14:textId="77777777" w:rsidR="00581BD2" w:rsidRDefault="00581BD2" w:rsidP="00581BD2">
      <w:pPr>
        <w:pStyle w:val="Nivel3SM"/>
      </w:pPr>
      <w:r>
        <w:t xml:space="preserve">Se regresa la variación del PIB real respecto a los cambios en el stock de dinero (considerado con varios retardos) y a una tendencia lineal. Los resultados (sumando los coeficientes referidos a los distintos retardos) reflejan un impacto significativo de las variaciones del stock monetario (M2) en la tasa de crecimiento del PIB de 0,25 </w:t>
      </w:r>
      <w:r w:rsidRPr="002B7610">
        <w:rPr>
          <w:sz w:val="19"/>
          <w:szCs w:val="19"/>
        </w:rPr>
        <w:t>(i.e. un aumento del 0,25 % en el producto por cada aumento del 1 % en la cantidad de dinero)</w:t>
      </w:r>
      <w:r>
        <w:t>.</w:t>
      </w:r>
    </w:p>
    <w:p w14:paraId="761EA27A" w14:textId="77777777" w:rsidR="00581BD2" w:rsidRDefault="00581BD2" w:rsidP="00581BD2">
      <w:pPr>
        <w:pStyle w:val="Nivel3SM"/>
        <w:keepNext/>
      </w:pPr>
      <w:r>
        <w:t>Este análisis adolece de 2 problemas principales:</w:t>
      </w:r>
    </w:p>
    <w:p w14:paraId="104C2453" w14:textId="77777777" w:rsidR="00581BD2" w:rsidRDefault="00581BD2" w:rsidP="00581BD2">
      <w:pPr>
        <w:pStyle w:val="Nivel4"/>
        <w:ind w:left="1474"/>
      </w:pPr>
      <w:r>
        <w:t>En primer lugar, la correlación puede no significar causalidad. Las medidas agregadas de la cantidad de dinero pueden verse afectadas por el comportamiento de los agentes productores y consumidores a través de cambios en la demanda de dinero, que a su vez se originan en un mayor crecimiento.</w:t>
      </w:r>
    </w:p>
    <w:p w14:paraId="541A3D52" w14:textId="77777777" w:rsidR="00581BD2" w:rsidRPr="006149D9" w:rsidRDefault="00581BD2" w:rsidP="00581BD2">
      <w:pPr>
        <w:pStyle w:val="Nivel4"/>
        <w:ind w:left="1474"/>
        <w:rPr>
          <w:spacing w:val="-4"/>
        </w:rPr>
      </w:pPr>
      <w:r w:rsidRPr="006149D9">
        <w:rPr>
          <w:spacing w:val="-4"/>
        </w:rPr>
        <w:t>La segunda crítica es más conceptual y está relacionada con el uso de la política monetaria como elemento estabilizador del ciclo Si la política monetaria tiene efectos reales y su función estabilizadora es eficaz, puede que los cambios en la oferta monetaria no estén asociados a variaciones significativas en el crecimiento de la producción.</w:t>
      </w:r>
    </w:p>
    <w:p w14:paraId="0DAF6356" w14:textId="77777777" w:rsidR="00581BD2" w:rsidRDefault="00581BD2" w:rsidP="00581BD2">
      <w:pPr>
        <w:pStyle w:val="Nivel2SM"/>
        <w:keepNext/>
        <w:spacing w:after="0"/>
      </w:pPr>
      <w:r w:rsidRPr="00840C83">
        <w:rPr>
          <w:i/>
          <w:iCs/>
        </w:rPr>
        <w:t>Análisis histórico</w:t>
      </w:r>
      <w:r>
        <w:t>:</w:t>
      </w:r>
    </w:p>
    <w:p w14:paraId="1C8286FA" w14:textId="77777777" w:rsidR="00581BD2" w:rsidRPr="006149D9" w:rsidRDefault="00581BD2" w:rsidP="00581BD2">
      <w:pPr>
        <w:pStyle w:val="Nivel3SM"/>
        <w:rPr>
          <w:spacing w:val="-2"/>
        </w:rPr>
      </w:pPr>
      <w:r w:rsidRPr="006149D9">
        <w:rPr>
          <w:smallCaps/>
          <w:spacing w:val="-2"/>
        </w:rPr>
        <w:t>Friedman</w:t>
      </w:r>
      <w:r w:rsidRPr="006149D9">
        <w:rPr>
          <w:spacing w:val="-2"/>
        </w:rPr>
        <w:t xml:space="preserve"> y </w:t>
      </w:r>
      <w:r w:rsidRPr="006149D9">
        <w:rPr>
          <w:smallCaps/>
          <w:spacing w:val="-2"/>
        </w:rPr>
        <w:t>Schwartz</w:t>
      </w:r>
      <w:r w:rsidRPr="006149D9">
        <w:rPr>
          <w:spacing w:val="-2"/>
        </w:rPr>
        <w:t xml:space="preserve"> (1963) analizan los determinantes de los movimientos en el stock monetario desde finales de la guerra civil (1867) hasta 1960. Los autores demuestran que la mayoría de los movimientos monetarios fueron debidos a desarrollos en el sector monetario y fueron seguidos de efectos reales (movimientos de la producción) en la misma dirección.</w:t>
      </w:r>
    </w:p>
    <w:p w14:paraId="5680E927" w14:textId="77777777" w:rsidR="00581BD2" w:rsidRDefault="00581BD2" w:rsidP="00581BD2">
      <w:pPr>
        <w:pStyle w:val="Nivel3SM"/>
      </w:pPr>
      <w:r>
        <w:t xml:space="preserve">En la misma línea, </w:t>
      </w:r>
      <w:r>
        <w:rPr>
          <w:smallCaps/>
        </w:rPr>
        <w:t>Romer</w:t>
      </w:r>
      <w:r>
        <w:t xml:space="preserve"> y </w:t>
      </w:r>
      <w:r>
        <w:rPr>
          <w:smallCaps/>
        </w:rPr>
        <w:t>Romer</w:t>
      </w:r>
      <w:r>
        <w:t xml:space="preserve"> (1989) encuentran evidencia sobre la existencia de causalidad entre las innovaciones monetarias y variaciones en la producción. Para ello identifican en el período de posguerra seis episodios de movimientos en los tipos de interés que no fueron motivados por desarrollos de la economía real sino por deseos de reducir la inflación (p.ej. tras la llegada de </w:t>
      </w:r>
      <w:r>
        <w:rPr>
          <w:smallCaps/>
        </w:rPr>
        <w:t>Paul Volcker</w:t>
      </w:r>
      <w:r>
        <w:t xml:space="preserve"> a la Reserva Federal en 1979). Pese a posibles desacuerdos sobre la definición se los episodios seleccionados como innovaciones monetarias independientes, estos experimentos son generalmente aceptados como evidencia empírica desfavorable a la neutralidad del dinero.</w:t>
      </w:r>
    </w:p>
    <w:p w14:paraId="2A7D702F" w14:textId="77777777" w:rsidR="00581BD2" w:rsidRPr="00840C83" w:rsidRDefault="00581BD2" w:rsidP="00581BD2">
      <w:pPr>
        <w:pStyle w:val="Nivel3SM"/>
      </w:pPr>
      <w:r>
        <w:t>Sin embargo, estos experimentos aislados no permiten obtener estimaciones cuantitativas precisas sobre el impacto de la política monetaria, por lo que se desarrollan modelos más sofisticados.</w:t>
      </w:r>
    </w:p>
    <w:p w14:paraId="29458DF2" w14:textId="77777777" w:rsidR="00581BD2" w:rsidRDefault="00581BD2" w:rsidP="00581BD2">
      <w:pPr>
        <w:pStyle w:val="Nivel2SM"/>
        <w:keepNext/>
        <w:spacing w:after="0"/>
      </w:pPr>
      <w:r w:rsidRPr="00840C83">
        <w:rPr>
          <w:i/>
          <w:iCs/>
        </w:rPr>
        <w:t>Modelos VAR estructurales</w:t>
      </w:r>
      <w:r w:rsidRPr="002B7610">
        <w:t>:</w:t>
      </w:r>
    </w:p>
    <w:p w14:paraId="6C6352B4" w14:textId="77777777" w:rsidR="00581BD2" w:rsidRDefault="00581BD2" w:rsidP="00581BD2">
      <w:pPr>
        <w:pStyle w:val="Nivel3SM"/>
        <w:keepNext/>
      </w:pPr>
      <w:r>
        <w:t xml:space="preserve">Los trabajos de </w:t>
      </w:r>
      <w:r>
        <w:rPr>
          <w:smallCaps/>
        </w:rPr>
        <w:t>Sims</w:t>
      </w:r>
      <w:r>
        <w:t xml:space="preserve"> (1992) o </w:t>
      </w:r>
      <w:proofErr w:type="spellStart"/>
      <w:r>
        <w:rPr>
          <w:smallCaps/>
        </w:rPr>
        <w:t>Christiano</w:t>
      </w:r>
      <w:proofErr w:type="spellEnd"/>
      <w:r>
        <w:t xml:space="preserve">, </w:t>
      </w:r>
      <w:proofErr w:type="spellStart"/>
      <w:r>
        <w:rPr>
          <w:smallCaps/>
        </w:rPr>
        <w:t>Eichenbaum</w:t>
      </w:r>
      <w:proofErr w:type="spellEnd"/>
      <w:r>
        <w:t xml:space="preserve"> y </w:t>
      </w:r>
      <w:r>
        <w:rPr>
          <w:smallCaps/>
        </w:rPr>
        <w:t>Evans</w:t>
      </w:r>
      <w:r>
        <w:t xml:space="preserve"> (1996) permiten situar el análisis del impacto de la política monetaria en un contexto multivariante.</w:t>
      </w:r>
    </w:p>
    <w:p w14:paraId="3968C2C5" w14:textId="77777777" w:rsidR="00581BD2" w:rsidRPr="006149D9" w:rsidRDefault="00581BD2" w:rsidP="00581BD2">
      <w:pPr>
        <w:pStyle w:val="Nivel4"/>
        <w:ind w:left="1474"/>
        <w:rPr>
          <w:spacing w:val="-4"/>
        </w:rPr>
      </w:pPr>
      <w:r w:rsidRPr="006149D9">
        <w:rPr>
          <w:spacing w:val="-4"/>
        </w:rPr>
        <w:t xml:space="preserve">Respecto a los primeros análisis, estos autores cambian la instrumentación de las medidas de política monetaria y pasan a identificarlas con cambios en los tipos de interés y además introducen cierta estructura teórica en los </w:t>
      </w:r>
      <w:proofErr w:type="spellStart"/>
      <w:r w:rsidRPr="006149D9">
        <w:rPr>
          <w:spacing w:val="-4"/>
        </w:rPr>
        <w:t>comovimientos</w:t>
      </w:r>
      <w:proofErr w:type="spellEnd"/>
      <w:r w:rsidRPr="006149D9">
        <w:rPr>
          <w:spacing w:val="-4"/>
        </w:rPr>
        <w:t xml:space="preserve"> de las variables.</w:t>
      </w:r>
    </w:p>
    <w:p w14:paraId="0304D151" w14:textId="77777777" w:rsidR="00581BD2" w:rsidRDefault="00581BD2" w:rsidP="00581BD2">
      <w:pPr>
        <w:pStyle w:val="Nivel4"/>
        <w:ind w:left="1474"/>
      </w:pPr>
      <w:r>
        <w:t>Estos modelos no superan, sin embargo, la crítica sobre el origen de las fluctuaciones monetarias, pues los movimientos en los tipos de interés podrían estar respondiendo a información que posee la autoridad monetaria sobre la evolución futura de la economía, como ocurrió con la bajada de tipos que se produjo en 2007.</w:t>
      </w:r>
    </w:p>
    <w:p w14:paraId="6ADECA6B" w14:textId="77777777" w:rsidR="00581BD2" w:rsidRDefault="00581BD2" w:rsidP="00581BD2">
      <w:pPr>
        <w:pStyle w:val="Nivel2SM"/>
        <w:keepNext/>
        <w:spacing w:after="0"/>
      </w:pPr>
      <w:r>
        <w:rPr>
          <w:i/>
          <w:iCs/>
        </w:rPr>
        <w:lastRenderedPageBreak/>
        <w:t>Análisis más recientes</w:t>
      </w:r>
      <w:r>
        <w:t>:</w:t>
      </w:r>
    </w:p>
    <w:p w14:paraId="00085B58" w14:textId="77777777" w:rsidR="00581BD2" w:rsidRPr="006149D9" w:rsidRDefault="00581BD2" w:rsidP="00581BD2">
      <w:pPr>
        <w:pStyle w:val="Nivel3SM"/>
        <w:rPr>
          <w:spacing w:val="-2"/>
        </w:rPr>
      </w:pPr>
      <w:r w:rsidRPr="006149D9">
        <w:rPr>
          <w:smallCaps/>
          <w:spacing w:val="-2"/>
        </w:rPr>
        <w:t>Romer</w:t>
      </w:r>
      <w:r w:rsidRPr="006149D9">
        <w:rPr>
          <w:spacing w:val="-2"/>
        </w:rPr>
        <w:t xml:space="preserve"> y </w:t>
      </w:r>
      <w:r w:rsidRPr="006149D9">
        <w:rPr>
          <w:smallCaps/>
          <w:spacing w:val="-2"/>
        </w:rPr>
        <w:t>Romer</w:t>
      </w:r>
      <w:r w:rsidRPr="006149D9">
        <w:rPr>
          <w:spacing w:val="-2"/>
        </w:rPr>
        <w:t xml:space="preserve"> (2004) intentan un maridaje de ambos métodos prestando especial atención a las fuentes de los cambios en la política monetaria y a la vez sacando partido de la potencia estadística e inferencial de los modelos VAR. Su análisis estima impactos mayores y más inmediatos de las medidas de política monetaria sobre la producción y los precios.</w:t>
      </w:r>
    </w:p>
    <w:p w14:paraId="1B61EA2E" w14:textId="634C9C11" w:rsidR="00342648" w:rsidRDefault="00342648" w:rsidP="00B9022F">
      <w:pPr>
        <w:pStyle w:val="Introduccinyconclusin"/>
      </w:pPr>
      <w:bookmarkStart w:id="138" w:name="_Toc55381924"/>
      <w:bookmarkStart w:id="139" w:name="_Toc55382059"/>
      <w:bookmarkStart w:id="140" w:name="_Toc55382094"/>
      <w:bookmarkStart w:id="141" w:name="_Toc55382522"/>
      <w:bookmarkStart w:id="142" w:name="_Toc55381925"/>
      <w:bookmarkStart w:id="143" w:name="_Toc55382060"/>
      <w:bookmarkStart w:id="144" w:name="_Toc55382095"/>
      <w:bookmarkStart w:id="145" w:name="_Toc55382523"/>
      <w:bookmarkEnd w:id="138"/>
      <w:bookmarkEnd w:id="139"/>
      <w:bookmarkEnd w:id="140"/>
      <w:bookmarkEnd w:id="141"/>
      <w:r>
        <w:t>CONCLUSIÓN</w:t>
      </w:r>
      <w:bookmarkEnd w:id="142"/>
      <w:bookmarkEnd w:id="143"/>
      <w:bookmarkEnd w:id="144"/>
      <w:bookmarkEnd w:id="145"/>
    </w:p>
    <w:p w14:paraId="4C4E8B69" w14:textId="77777777" w:rsidR="00C132F6" w:rsidRPr="00AC65FF" w:rsidRDefault="00C132F6" w:rsidP="00417A95">
      <w:pPr>
        <w:pStyle w:val="Nivel1"/>
        <w:keepNext/>
        <w:spacing w:before="0" w:after="0"/>
        <w:rPr>
          <w:spacing w:val="-4"/>
        </w:rPr>
      </w:pPr>
      <w:bookmarkStart w:id="146" w:name="_Hlk72945698"/>
      <w:r w:rsidRPr="00AC65FF">
        <w:rPr>
          <w:b/>
          <w:bCs/>
          <w:i/>
          <w:iCs/>
          <w:spacing w:val="-4"/>
        </w:rPr>
        <w:t>Recapitulación (Ideas clave)</w:t>
      </w:r>
      <w:r w:rsidRPr="00AC65FF">
        <w:rPr>
          <w:spacing w:val="-4"/>
        </w:rPr>
        <w:t>:</w:t>
      </w:r>
    </w:p>
    <w:p w14:paraId="7C470C70" w14:textId="072ABEB4" w:rsidR="00C132F6" w:rsidRDefault="00495B66" w:rsidP="00C132F6">
      <w:pPr>
        <w:pStyle w:val="Nivel2"/>
      </w:pPr>
      <w:r>
        <w:t>En est</w:t>
      </w:r>
      <w:r w:rsidR="00933354">
        <w:t>a</w:t>
      </w:r>
      <w:r>
        <w:t xml:space="preserve"> </w:t>
      </w:r>
      <w:r w:rsidR="00933354">
        <w:t>exposición</w:t>
      </w:r>
      <w:r>
        <w:t xml:space="preserve"> se han planteado los principales mecanismos a través de los cuales la política monetaria es capaz de afectar a las variables tanto nominales como reales de la economía. Como se ha puesto de manifiesto, la década posterior a la crisis financiera de 2007-2008 ha visto como un amplio abanico de nuevas medidas de política monetaria no convencional se ha puesto en práctica por parte de los bancos centrales. Aún es pronto para saber cuáles de estas medidas pararán a formar parte de la “caja de herramientas” habitual de los banqueros centrales.</w:t>
      </w:r>
    </w:p>
    <w:p w14:paraId="4CB527F6" w14:textId="5567A7F4" w:rsidR="00C132F6" w:rsidRDefault="00495B66" w:rsidP="00C132F6">
      <w:pPr>
        <w:pStyle w:val="Nivel2"/>
      </w:pPr>
      <w:r>
        <w:t>Para concluir este tema es importante destacar que la principal preocupación por parte de muchos bancos centrales actualmente es cómo diseñar la llamada “estrategia de salida”, es decir, como ir progresivamente deshaciendo las medidas de política monetaria no convencional una vez las condiciones económicas apunten a una recuperación económica. Este es un tema de gran relevancia tanto para la investigación económica como para la conducción práctica de la política monetaria.</w:t>
      </w:r>
    </w:p>
    <w:p w14:paraId="5CCAEB32" w14:textId="77777777" w:rsidR="00C132F6" w:rsidRDefault="00C132F6" w:rsidP="00C132F6">
      <w:pPr>
        <w:pStyle w:val="Nivel2"/>
      </w:pPr>
    </w:p>
    <w:p w14:paraId="6FADCD67" w14:textId="77777777" w:rsidR="00C132F6" w:rsidRPr="00AC65FF" w:rsidRDefault="00C132F6" w:rsidP="001C7EE2">
      <w:pPr>
        <w:pStyle w:val="Nivel1"/>
        <w:keepNext/>
        <w:spacing w:after="0"/>
        <w:rPr>
          <w:spacing w:val="-4"/>
        </w:rPr>
      </w:pPr>
      <w:r w:rsidRPr="00AC65FF">
        <w:rPr>
          <w:b/>
          <w:bCs/>
          <w:i/>
          <w:iCs/>
          <w:spacing w:val="-4"/>
        </w:rPr>
        <w:t>Relevancia</w:t>
      </w:r>
      <w:r w:rsidRPr="00AC65FF">
        <w:rPr>
          <w:spacing w:val="-4"/>
        </w:rPr>
        <w:t>:</w:t>
      </w:r>
    </w:p>
    <w:p w14:paraId="79ADEC5D" w14:textId="77777777" w:rsidR="00C132F6" w:rsidRDefault="00C132F6" w:rsidP="00C132F6">
      <w:pPr>
        <w:pStyle w:val="Nivel2"/>
      </w:pPr>
    </w:p>
    <w:p w14:paraId="2051A70B" w14:textId="77777777" w:rsidR="00C132F6" w:rsidRPr="00AC65FF" w:rsidRDefault="00C132F6" w:rsidP="001C7EE2">
      <w:pPr>
        <w:pStyle w:val="Nivel1"/>
        <w:keepNext/>
        <w:spacing w:after="0"/>
        <w:rPr>
          <w:spacing w:val="-4"/>
        </w:rPr>
      </w:pPr>
      <w:r w:rsidRPr="00AC65FF">
        <w:rPr>
          <w:b/>
          <w:bCs/>
          <w:i/>
          <w:iCs/>
          <w:spacing w:val="-4"/>
        </w:rPr>
        <w:t>Extensiones y relación con otras partes del temario</w:t>
      </w:r>
      <w:r w:rsidRPr="00AC65FF">
        <w:rPr>
          <w:spacing w:val="-4"/>
        </w:rPr>
        <w:t>:</w:t>
      </w:r>
    </w:p>
    <w:p w14:paraId="77822330" w14:textId="77777777" w:rsidR="00C132F6" w:rsidRDefault="00C132F6" w:rsidP="00C132F6">
      <w:pPr>
        <w:pStyle w:val="Nivel2"/>
      </w:pPr>
    </w:p>
    <w:p w14:paraId="568CF29B" w14:textId="77777777" w:rsidR="00C132F6" w:rsidRPr="00AC65FF" w:rsidRDefault="00C132F6" w:rsidP="001C7EE2">
      <w:pPr>
        <w:pStyle w:val="Nivel1"/>
        <w:keepNext/>
        <w:spacing w:after="0"/>
        <w:rPr>
          <w:spacing w:val="-4"/>
        </w:rPr>
      </w:pPr>
      <w:r w:rsidRPr="00AC65FF">
        <w:rPr>
          <w:b/>
          <w:bCs/>
          <w:i/>
          <w:iCs/>
          <w:spacing w:val="-4"/>
        </w:rPr>
        <w:t>Opinión</w:t>
      </w:r>
      <w:r w:rsidRPr="00AC65FF">
        <w:rPr>
          <w:spacing w:val="-4"/>
        </w:rPr>
        <w:t>:</w:t>
      </w:r>
    </w:p>
    <w:p w14:paraId="7843FC0C" w14:textId="1785A304" w:rsidR="00C132F6" w:rsidRDefault="00753656" w:rsidP="006C2369">
      <w:pPr>
        <w:pStyle w:val="Nivel2"/>
        <w:keepNext/>
        <w:spacing w:after="0"/>
      </w:pPr>
      <w:r>
        <w:t xml:space="preserve">Walsh </w:t>
      </w:r>
      <w:proofErr w:type="spellStart"/>
      <w:r>
        <w:t>pag</w:t>
      </w:r>
      <w:proofErr w:type="spellEnd"/>
      <w:r>
        <w:t xml:space="preserve"> 40:</w:t>
      </w:r>
    </w:p>
    <w:p w14:paraId="7CCB81D4" w14:textId="116FCEF4" w:rsidR="00753656" w:rsidRDefault="00753656" w:rsidP="006C2369">
      <w:pPr>
        <w:pStyle w:val="Nivel3"/>
        <w:rPr>
          <w:lang w:val="en-US"/>
        </w:rPr>
      </w:pPr>
      <w:r w:rsidRPr="00753656">
        <w:rPr>
          <w:lang w:val="en-US"/>
        </w:rPr>
        <w:t>The consensus from the e</w:t>
      </w:r>
      <w:r>
        <w:rPr>
          <w:lang w:val="en-US"/>
        </w:rPr>
        <w:t>mpirical literature on the long-run relationship between money, prices, and output is clear. Money growth and inflation essentially display a correlation of 1; the correlation between money growth or inflation and real output growth is probably close to 0, although it may be slightly positive at low inflation rates and negative at high rates.</w:t>
      </w:r>
    </w:p>
    <w:p w14:paraId="094AB0DD" w14:textId="5AE5E343" w:rsidR="00753656" w:rsidRDefault="00753656" w:rsidP="006C2369">
      <w:pPr>
        <w:pStyle w:val="Nivel3"/>
        <w:rPr>
          <w:lang w:val="en-US"/>
        </w:rPr>
      </w:pPr>
      <w:r>
        <w:rPr>
          <w:lang w:val="en-US"/>
        </w:rPr>
        <w:t xml:space="preserve">The consensus from the empirical literature on the short-run effects of money is that exogenous monetary policy shocks produce hump-shaped movements in real economic activity. The peak effects occur after a lag of several quarters (as much as two or three years in some of the estimates) and then die out. The exact </w:t>
      </w:r>
      <w:proofErr w:type="gramStart"/>
      <w:r>
        <w:rPr>
          <w:lang w:val="en-US"/>
        </w:rPr>
        <w:t>manner in which</w:t>
      </w:r>
      <w:proofErr w:type="gramEnd"/>
      <w:r>
        <w:rPr>
          <w:lang w:val="en-US"/>
        </w:rPr>
        <w:t xml:space="preserve"> policy is measured makes a difference, and using an incorrect measure of monetary policy can significantly affect the empirical estimates obtained.</w:t>
      </w:r>
    </w:p>
    <w:p w14:paraId="404C5EA0" w14:textId="12578D32" w:rsidR="00753656" w:rsidRDefault="00753656" w:rsidP="006C2369">
      <w:pPr>
        <w:pStyle w:val="Nivel3"/>
        <w:rPr>
          <w:lang w:val="en-US"/>
        </w:rPr>
      </w:pPr>
      <w:r>
        <w:rPr>
          <w:lang w:val="en-US"/>
        </w:rPr>
        <w:t>There is less consensus, however, on the role played by the systematic feedback responses of monetary policy. Structural econometric models have the potential to fill this gap, and they are widely used in policymaking settings. Disagreements over the “true” structure and the potential dependence of estimated relationships on the policy regime have, however, posed problems for the structural modeling approach. A major theme of the next 11 chapters is that the endogenous response of monetary policy to economic developments can have important implications for the empirical relationships observed among macroeconomic variables.</w:t>
      </w:r>
    </w:p>
    <w:p w14:paraId="7E748C4B" w14:textId="169C406D" w:rsidR="00753656" w:rsidRPr="00753656" w:rsidRDefault="00753656" w:rsidP="006C2369">
      <w:pPr>
        <w:pStyle w:val="Nivel3"/>
        <w:rPr>
          <w:lang w:val="en-US"/>
        </w:rPr>
      </w:pPr>
      <w:r>
        <w:rPr>
          <w:lang w:val="en-US"/>
        </w:rPr>
        <w:lastRenderedPageBreak/>
        <w:t xml:space="preserve">Finally, balance sheet policies that many central banks implemented during and after the 2008-2009 financial crisis appear to have been effective in lowering long-term interest rates. There is more uncertainty about the exact channels through which these policies affect the general level of economic activity. In addition, the conclusions of </w:t>
      </w:r>
      <w:r w:rsidRPr="00E013C1">
        <w:rPr>
          <w:smallCaps/>
          <w:lang w:val="en-US"/>
        </w:rPr>
        <w:t>Bernanke</w:t>
      </w:r>
      <w:r>
        <w:rPr>
          <w:lang w:val="en-US"/>
        </w:rPr>
        <w:t xml:space="preserve">, </w:t>
      </w:r>
      <w:r w:rsidRPr="001C7EE2">
        <w:rPr>
          <w:smallCaps/>
          <w:lang w:val="en-US"/>
        </w:rPr>
        <w:t>Reinhart</w:t>
      </w:r>
      <w:r>
        <w:rPr>
          <w:lang w:val="en-US"/>
        </w:rPr>
        <w:t xml:space="preserve"> and </w:t>
      </w:r>
      <w:r w:rsidRPr="001C7EE2">
        <w:rPr>
          <w:smallCaps/>
          <w:lang w:val="en-US"/>
        </w:rPr>
        <w:t>Sack</w:t>
      </w:r>
      <w:r>
        <w:rPr>
          <w:lang w:val="en-US"/>
        </w:rPr>
        <w:t xml:space="preserve"> (2004) appear to have been supported by more recent work: large-scale balance sheet policies are required to have even modest effects on the real economy.</w:t>
      </w:r>
    </w:p>
    <w:p w14:paraId="63294D19" w14:textId="77777777" w:rsidR="00C132F6" w:rsidRDefault="00C132F6" w:rsidP="001C7EE2">
      <w:pPr>
        <w:pStyle w:val="Nivel1"/>
        <w:keepNext/>
        <w:spacing w:after="0"/>
        <w:rPr>
          <w:spacing w:val="-4"/>
        </w:rPr>
      </w:pPr>
      <w:r w:rsidRPr="00AC65FF">
        <w:rPr>
          <w:b/>
          <w:bCs/>
          <w:i/>
          <w:iCs/>
          <w:spacing w:val="-4"/>
        </w:rPr>
        <w:t>Idea final (Salida o cierre)</w:t>
      </w:r>
      <w:r w:rsidRPr="00AC65FF">
        <w:rPr>
          <w:spacing w:val="-4"/>
        </w:rPr>
        <w:t>:</w:t>
      </w:r>
    </w:p>
    <w:p w14:paraId="427F91EC" w14:textId="77777777" w:rsidR="00C132F6" w:rsidRDefault="00C132F6" w:rsidP="00C132F6">
      <w:pPr>
        <w:pStyle w:val="Nivel2"/>
      </w:pPr>
    </w:p>
    <w:bookmarkEnd w:id="146"/>
    <w:p w14:paraId="0EBCE0B6" w14:textId="5FC242E0" w:rsidR="00DB3260" w:rsidRDefault="00DB3260">
      <w:pPr>
        <w:spacing w:after="160"/>
        <w:jc w:val="left"/>
      </w:pPr>
      <w:r>
        <w:br w:type="page"/>
      </w:r>
    </w:p>
    <w:p w14:paraId="232A5735" w14:textId="77777777" w:rsidR="00342648" w:rsidRDefault="00342648" w:rsidP="00342648">
      <w:pPr>
        <w:pStyle w:val="Ttulo4"/>
      </w:pPr>
      <w:r>
        <w:lastRenderedPageBreak/>
        <w:t>Bibliografía</w:t>
      </w:r>
    </w:p>
    <w:p w14:paraId="37CC9CC5" w14:textId="4D766F42" w:rsidR="00C132F6" w:rsidRPr="004B080A" w:rsidRDefault="00C132F6" w:rsidP="00C132F6">
      <w:pPr>
        <w:pStyle w:val="Bibliografa"/>
        <w:ind w:left="0" w:firstLine="0"/>
      </w:pPr>
      <w:r>
        <w:t xml:space="preserve">Nuño </w:t>
      </w:r>
      <w:proofErr w:type="spellStart"/>
      <w:r>
        <w:t>Barrau</w:t>
      </w:r>
      <w:proofErr w:type="spellEnd"/>
      <w:r>
        <w:t xml:space="preserve">, G. </w:t>
      </w:r>
      <w:r w:rsidRPr="004B080A">
        <w:t>(2017)</w:t>
      </w:r>
      <w:r>
        <w:t>.</w:t>
      </w:r>
      <w:r w:rsidRPr="004B080A">
        <w:t xml:space="preserve"> </w:t>
      </w:r>
      <w:r w:rsidRPr="00C132F6">
        <w:rPr>
          <w:i/>
          <w:iCs/>
        </w:rPr>
        <w:t>Tema 3.A.</w:t>
      </w:r>
      <w:r>
        <w:rPr>
          <w:i/>
          <w:iCs/>
        </w:rPr>
        <w:t>3</w:t>
      </w:r>
      <w:r w:rsidRPr="00C132F6">
        <w:rPr>
          <w:i/>
          <w:iCs/>
        </w:rPr>
        <w:t xml:space="preserve">6: </w:t>
      </w:r>
      <w:r>
        <w:rPr>
          <w:i/>
          <w:iCs/>
        </w:rPr>
        <w:t>La política monetaria (II): los mecanismos de transmisión de la política monetaria. Los efectos de la política monetaria</w:t>
      </w:r>
      <w:r w:rsidRPr="00C132F6">
        <w:rPr>
          <w:i/>
          <w:iCs/>
        </w:rPr>
        <w:t>.</w:t>
      </w:r>
      <w:r w:rsidR="00D60AF5">
        <w:rPr>
          <w:i/>
          <w:iCs/>
        </w:rPr>
        <w:t xml:space="preserve"> </w:t>
      </w:r>
      <w:r>
        <w:t>ICEX-CECO (Coordinado por Carlos Herrero García).</w:t>
      </w:r>
    </w:p>
    <w:p w14:paraId="3691F6A4" w14:textId="2B880AF8" w:rsidR="00F10DCD" w:rsidRDefault="00F10DCD" w:rsidP="00EB707E">
      <w:pPr>
        <w:ind w:left="567" w:hanging="283"/>
      </w:pPr>
      <w:r w:rsidRPr="002A00DE">
        <w:rPr>
          <w:highlight w:val="green"/>
        </w:rPr>
        <w:t>Galí (Capítulo 3)</w:t>
      </w:r>
      <w:r>
        <w:t xml:space="preserve"> o Walsh (Capítulo 8)</w:t>
      </w:r>
    </w:p>
    <w:p w14:paraId="1D19A244" w14:textId="493C5F21" w:rsidR="003D03C9" w:rsidRDefault="003D03C9" w:rsidP="00EB707E">
      <w:pPr>
        <w:ind w:left="567" w:hanging="283"/>
        <w:rPr>
          <w:lang w:val="en-GB"/>
        </w:rPr>
      </w:pPr>
      <w:r w:rsidRPr="003D03C9">
        <w:rPr>
          <w:lang w:val="en-GB"/>
        </w:rPr>
        <w:t xml:space="preserve">Mishkin, F. S., Matthews, K. &amp; </w:t>
      </w:r>
      <w:proofErr w:type="spellStart"/>
      <w:r w:rsidRPr="003D03C9">
        <w:rPr>
          <w:lang w:val="en-GB"/>
        </w:rPr>
        <w:t>Giuliodori</w:t>
      </w:r>
      <w:proofErr w:type="spellEnd"/>
      <w:r w:rsidRPr="003D03C9">
        <w:rPr>
          <w:lang w:val="en-GB"/>
        </w:rPr>
        <w:t xml:space="preserve">, M. (2013). </w:t>
      </w:r>
      <w:r w:rsidRPr="003D03C9">
        <w:rPr>
          <w:i/>
          <w:iCs/>
          <w:lang w:val="en-GB"/>
        </w:rPr>
        <w:t>The economics of money, banking and financial markets</w:t>
      </w:r>
      <w:r w:rsidRPr="003D03C9">
        <w:rPr>
          <w:lang w:val="en-GB"/>
        </w:rPr>
        <w:t xml:space="preserve"> (European ed). </w:t>
      </w:r>
      <w:r w:rsidRPr="00BB3300">
        <w:rPr>
          <w:lang w:val="en-GB"/>
        </w:rPr>
        <w:t>Pearson.</w:t>
      </w:r>
      <w:r w:rsidR="006F3D91" w:rsidRPr="00BB3300">
        <w:rPr>
          <w:lang w:val="en-GB"/>
        </w:rPr>
        <w:t xml:space="preserve"> Chapter 23</w:t>
      </w:r>
    </w:p>
    <w:p w14:paraId="235AA0F0" w14:textId="6C3E7CBE" w:rsidR="00886959" w:rsidRPr="00886959" w:rsidRDefault="00886959" w:rsidP="00EB707E">
      <w:pPr>
        <w:ind w:left="567" w:hanging="283"/>
      </w:pPr>
      <w:r w:rsidRPr="00886959">
        <w:t>Tema Juan Luis Cordero T</w:t>
      </w:r>
      <w:r>
        <w:t>arifa.</w:t>
      </w:r>
    </w:p>
    <w:p w14:paraId="21FCFA3F" w14:textId="3830F2DF" w:rsidR="006C1AA4" w:rsidRPr="0018636E" w:rsidRDefault="00000000" w:rsidP="00EB707E">
      <w:pPr>
        <w:ind w:left="567" w:hanging="283"/>
      </w:pPr>
      <w:hyperlink r:id="rId34" w:history="1">
        <w:r w:rsidR="006C1AA4" w:rsidRPr="0018636E">
          <w:rPr>
            <w:rStyle w:val="Hipervnculo"/>
          </w:rPr>
          <w:t>https://www.ecb.europa.eu/mopo/intro/transmission/html/index.en.html</w:t>
        </w:r>
      </w:hyperlink>
    </w:p>
    <w:p w14:paraId="4B204798" w14:textId="647E9324" w:rsidR="00342648" w:rsidRDefault="00342648" w:rsidP="00342648">
      <w:pPr>
        <w:pStyle w:val="Ttulo4"/>
      </w:pPr>
      <w:r w:rsidRPr="00342648">
        <w:t>Anexos</w:t>
      </w:r>
    </w:p>
    <w:p w14:paraId="66DFB8A6" w14:textId="7A4C871F" w:rsidR="00F479B2" w:rsidRPr="00F479B2" w:rsidRDefault="00F479B2" w:rsidP="00F479B2">
      <w:pPr>
        <w:pStyle w:val="Ttulo5"/>
        <w:rPr>
          <w:i w:val="0"/>
          <w:iCs w:val="0"/>
          <w:u w:val="none"/>
        </w:rPr>
      </w:pPr>
      <w:r w:rsidRPr="0002549F">
        <w:t>Anexo</w:t>
      </w:r>
      <w:r w:rsidR="00417A95">
        <w:t> </w:t>
      </w:r>
      <w:r>
        <w:t>1</w:t>
      </w:r>
      <w:r>
        <w:rPr>
          <w:i w:val="0"/>
          <w:iCs w:val="0"/>
          <w:u w:val="none"/>
        </w:rPr>
        <w:t>: Organización de los mecanismos de transmisión monetaria</w:t>
      </w:r>
    </w:p>
    <w:p w14:paraId="4D704AAC" w14:textId="67ED9607" w:rsidR="00F479B2" w:rsidRPr="00F479B2" w:rsidRDefault="00F479B2" w:rsidP="00F71E02">
      <w:pPr>
        <w:tabs>
          <w:tab w:val="left" w:pos="1276"/>
        </w:tabs>
      </w:pPr>
      <w:r>
        <w:rPr>
          <w:noProof/>
        </w:rPr>
        <w:drawing>
          <wp:inline distT="0" distB="0" distL="0" distR="0" wp14:anchorId="20A179D0" wp14:editId="50438326">
            <wp:extent cx="6130637" cy="3200400"/>
            <wp:effectExtent l="0" t="0" r="4191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7AB0051F" w14:textId="4E5EF00C" w:rsidR="00F479B2" w:rsidRPr="00670327" w:rsidRDefault="00342648" w:rsidP="00F479B2">
      <w:pPr>
        <w:pStyle w:val="Ttulo5"/>
        <w:rPr>
          <w:i w:val="0"/>
          <w:iCs w:val="0"/>
          <w:u w:val="none"/>
        </w:rPr>
      </w:pPr>
      <w:r w:rsidRPr="0002549F">
        <w:lastRenderedPageBreak/>
        <w:t>Anexo</w:t>
      </w:r>
      <w:r w:rsidR="00417A95">
        <w:t> </w:t>
      </w:r>
      <w:r w:rsidR="00F479B2">
        <w:t>2</w:t>
      </w:r>
      <w:r w:rsidR="00D564BC">
        <w:rPr>
          <w:i w:val="0"/>
          <w:iCs w:val="0"/>
          <w:u w:val="none"/>
        </w:rPr>
        <w:t xml:space="preserve">: </w:t>
      </w:r>
      <w:r w:rsidR="003D03C9">
        <w:rPr>
          <w:i w:val="0"/>
          <w:iCs w:val="0"/>
          <w:u w:val="none"/>
        </w:rPr>
        <w:t>Conexión entre política monetaria y Producto Interior Bruto: Mecanismos de transmisión monetaria</w:t>
      </w:r>
    </w:p>
    <w:p w14:paraId="218AECA9" w14:textId="409F9717" w:rsidR="003C31F8" w:rsidRPr="003C31F8" w:rsidRDefault="003C31F8" w:rsidP="003C31F8">
      <w:pPr>
        <w:jc w:val="center"/>
      </w:pPr>
      <w:r>
        <w:rPr>
          <w:noProof/>
        </w:rPr>
        <w:drawing>
          <wp:inline distT="0" distB="0" distL="0" distR="0" wp14:anchorId="45742B04" wp14:editId="2E9B3462">
            <wp:extent cx="4913290" cy="3761925"/>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919078" cy="3766357"/>
                    </a:xfrm>
                    <a:prstGeom prst="rect">
                      <a:avLst/>
                    </a:prstGeom>
                  </pic:spPr>
                </pic:pic>
              </a:graphicData>
            </a:graphic>
          </wp:inline>
        </w:drawing>
      </w:r>
    </w:p>
    <w:p w14:paraId="0BCBA010" w14:textId="61785C97" w:rsidR="0015013E" w:rsidRPr="00670327" w:rsidRDefault="003D03C9" w:rsidP="00670327">
      <w:pPr>
        <w:pStyle w:val="PiedeImagen"/>
        <w:rPr>
          <w:i w:val="0"/>
          <w:iCs/>
        </w:rPr>
      </w:pPr>
      <w:r w:rsidRPr="00670327">
        <w:rPr>
          <w:i w:val="0"/>
          <w:iCs/>
        </w:rPr>
        <w:drawing>
          <wp:inline distT="0" distB="0" distL="0" distR="0" wp14:anchorId="51D66F77" wp14:editId="6402D17C">
            <wp:extent cx="5388593" cy="4222796"/>
            <wp:effectExtent l="0" t="0" r="3175"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388593" cy="4222796"/>
                    </a:xfrm>
                    <a:prstGeom prst="rect">
                      <a:avLst/>
                    </a:prstGeom>
                  </pic:spPr>
                </pic:pic>
              </a:graphicData>
            </a:graphic>
          </wp:inline>
        </w:drawing>
      </w:r>
    </w:p>
    <w:p w14:paraId="6185081C" w14:textId="2BC3EA5E" w:rsidR="003D03C9" w:rsidRPr="00670327" w:rsidRDefault="003D03C9" w:rsidP="00670327">
      <w:pPr>
        <w:pStyle w:val="PiedeImagen"/>
        <w:rPr>
          <w:i w:val="0"/>
          <w:iCs/>
        </w:rPr>
      </w:pPr>
      <w:r w:rsidRPr="00670327">
        <w:rPr>
          <w:lang w:val="en-GB"/>
        </w:rPr>
        <w:t>Fuente</w:t>
      </w:r>
      <w:r w:rsidRPr="00670327">
        <w:rPr>
          <w:i w:val="0"/>
          <w:iCs/>
          <w:lang w:val="en-GB"/>
        </w:rPr>
        <w:t xml:space="preserve">: </w:t>
      </w:r>
      <w:r w:rsidR="00B70D33" w:rsidRPr="00B70D33">
        <w:rPr>
          <w:i w:val="0"/>
          <w:iCs/>
          <w:lang w:val="en-GB"/>
        </w:rPr>
        <w:t>Mishkin, F. S. (202</w:t>
      </w:r>
      <w:r w:rsidR="00C75295">
        <w:rPr>
          <w:i w:val="0"/>
          <w:iCs/>
          <w:lang w:val="en-GB"/>
        </w:rPr>
        <w:t>1</w:t>
      </w:r>
      <w:r w:rsidR="00B70D33" w:rsidRPr="00B70D33">
        <w:rPr>
          <w:i w:val="0"/>
          <w:iCs/>
          <w:lang w:val="en-GB"/>
        </w:rPr>
        <w:t xml:space="preserve">). </w:t>
      </w:r>
      <w:r w:rsidR="00B70D33" w:rsidRPr="00B70D33">
        <w:rPr>
          <w:lang w:val="en-GB"/>
        </w:rPr>
        <w:t>The economics of money, banking, and financial markets</w:t>
      </w:r>
      <w:r w:rsidR="00B70D33" w:rsidRPr="00B70D33">
        <w:rPr>
          <w:i w:val="0"/>
          <w:iCs/>
          <w:lang w:val="en-GB"/>
        </w:rPr>
        <w:t xml:space="preserve"> (Thirteenth edition, global edition). Pearson.</w:t>
      </w:r>
    </w:p>
    <w:p w14:paraId="4A1A026F" w14:textId="4D7740AC" w:rsidR="00874A22" w:rsidRDefault="00874A22" w:rsidP="008C039C">
      <w:pPr>
        <w:pStyle w:val="Ttulo5"/>
      </w:pPr>
      <w:r>
        <w:lastRenderedPageBreak/>
        <w:t>Anexo</w:t>
      </w:r>
      <w:r w:rsidR="00417A95">
        <w:t> </w:t>
      </w:r>
      <w:r>
        <w:t>3</w:t>
      </w:r>
      <w:r>
        <w:rPr>
          <w:i w:val="0"/>
          <w:iCs w:val="0"/>
          <w:u w:val="none"/>
        </w:rPr>
        <w:t>: Mecanismos de transmisión de la política monetaria</w:t>
      </w:r>
    </w:p>
    <w:p w14:paraId="34C91E6C" w14:textId="1579FA22" w:rsidR="00874A22" w:rsidRPr="00874A22" w:rsidRDefault="00874A22" w:rsidP="00886959">
      <w:pPr>
        <w:jc w:val="center"/>
      </w:pPr>
      <w:r>
        <w:rPr>
          <w:noProof/>
        </w:rPr>
        <w:drawing>
          <wp:inline distT="0" distB="0" distL="0" distR="0" wp14:anchorId="037D9D4F" wp14:editId="7E29D5ED">
            <wp:extent cx="5114925" cy="645860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115463" cy="6459281"/>
                    </a:xfrm>
                    <a:prstGeom prst="rect">
                      <a:avLst/>
                    </a:prstGeom>
                  </pic:spPr>
                </pic:pic>
              </a:graphicData>
            </a:graphic>
          </wp:inline>
        </w:drawing>
      </w:r>
    </w:p>
    <w:p w14:paraId="15DFE8DA" w14:textId="77777777" w:rsidR="0018456D" w:rsidRDefault="0018456D" w:rsidP="00502A72">
      <w:pPr>
        <w:rPr>
          <w:rFonts w:ascii="Calibri" w:hAnsi="Calibri" w:cs="Calibri"/>
          <w:color w:val="000000"/>
          <w:shd w:val="clear" w:color="auto" w:fill="FFFFFF"/>
        </w:rPr>
      </w:pPr>
    </w:p>
    <w:p w14:paraId="569E5752" w14:textId="77777777" w:rsidR="0018456D" w:rsidRDefault="0018456D" w:rsidP="00502A72">
      <w:pPr>
        <w:rPr>
          <w:rFonts w:ascii="Calibri" w:hAnsi="Calibri" w:cs="Calibri"/>
          <w:color w:val="000000"/>
          <w:shd w:val="clear" w:color="auto" w:fill="FFFFFF"/>
        </w:rPr>
      </w:pPr>
      <w:r>
        <w:rPr>
          <w:noProof/>
        </w:rPr>
        <w:drawing>
          <wp:inline distT="0" distB="0" distL="0" distR="0" wp14:anchorId="4A09083A" wp14:editId="578D693E">
            <wp:extent cx="1314450" cy="2381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14450" cy="238125"/>
                    </a:xfrm>
                    <a:prstGeom prst="rect">
                      <a:avLst/>
                    </a:prstGeom>
                  </pic:spPr>
                </pic:pic>
              </a:graphicData>
            </a:graphic>
          </wp:inline>
        </w:drawing>
      </w:r>
    </w:p>
    <w:p w14:paraId="3E42472F" w14:textId="064D17FF" w:rsidR="0018456D" w:rsidRDefault="0018456D" w:rsidP="00502A72">
      <w:pPr>
        <w:rPr>
          <w:rFonts w:ascii="Calibri" w:hAnsi="Calibri" w:cs="Calibri"/>
          <w:color w:val="000000"/>
          <w:shd w:val="clear" w:color="auto" w:fill="FFFFFF"/>
        </w:rPr>
      </w:pPr>
      <w:r>
        <w:rPr>
          <w:noProof/>
        </w:rPr>
        <w:drawing>
          <wp:inline distT="0" distB="0" distL="0" distR="0" wp14:anchorId="6E118777" wp14:editId="3186E1C8">
            <wp:extent cx="1419225" cy="2095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419225" cy="209550"/>
                    </a:xfrm>
                    <a:prstGeom prst="rect">
                      <a:avLst/>
                    </a:prstGeom>
                  </pic:spPr>
                </pic:pic>
              </a:graphicData>
            </a:graphic>
          </wp:inline>
        </w:drawing>
      </w:r>
    </w:p>
    <w:p w14:paraId="2AF02D7E" w14:textId="77777777" w:rsidR="0018456D" w:rsidRDefault="0018456D" w:rsidP="00502A72">
      <w:pPr>
        <w:rPr>
          <w:rFonts w:ascii="Calibri" w:hAnsi="Calibri" w:cs="Calibri"/>
          <w:color w:val="000000"/>
          <w:shd w:val="clear" w:color="auto" w:fill="FFFFFF"/>
        </w:rPr>
      </w:pPr>
      <w:r>
        <w:rPr>
          <w:noProof/>
        </w:rPr>
        <w:drawing>
          <wp:inline distT="0" distB="0" distL="0" distR="0" wp14:anchorId="5E549B72" wp14:editId="6EDC4B70">
            <wp:extent cx="1638300" cy="228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638300" cy="228600"/>
                    </a:xfrm>
                    <a:prstGeom prst="rect">
                      <a:avLst/>
                    </a:prstGeom>
                  </pic:spPr>
                </pic:pic>
              </a:graphicData>
            </a:graphic>
          </wp:inline>
        </w:drawing>
      </w:r>
    </w:p>
    <w:p w14:paraId="49CEC07E" w14:textId="312D1E4D" w:rsidR="0018456D" w:rsidRDefault="0018456D" w:rsidP="00502A72">
      <w:pPr>
        <w:rPr>
          <w:rFonts w:ascii="Calibri" w:hAnsi="Calibri" w:cs="Calibri"/>
          <w:color w:val="000000"/>
          <w:shd w:val="clear" w:color="auto" w:fill="FFFFFF"/>
        </w:rPr>
      </w:pPr>
      <w:r>
        <w:rPr>
          <w:noProof/>
        </w:rPr>
        <w:drawing>
          <wp:inline distT="0" distB="0" distL="0" distR="0" wp14:anchorId="794A0A12" wp14:editId="287156C4">
            <wp:extent cx="2428875" cy="228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428875" cy="228600"/>
                    </a:xfrm>
                    <a:prstGeom prst="rect">
                      <a:avLst/>
                    </a:prstGeom>
                  </pic:spPr>
                </pic:pic>
              </a:graphicData>
            </a:graphic>
          </wp:inline>
        </w:drawing>
      </w:r>
    </w:p>
    <w:p w14:paraId="609E4EBA" w14:textId="6542AC09" w:rsidR="0018456D" w:rsidRDefault="0018456D" w:rsidP="00502A72">
      <w:pPr>
        <w:rPr>
          <w:rFonts w:ascii="Calibri" w:hAnsi="Calibri" w:cs="Calibri"/>
          <w:color w:val="000000"/>
          <w:shd w:val="clear" w:color="auto" w:fill="FFFFFF"/>
        </w:rPr>
      </w:pPr>
      <w:r>
        <w:rPr>
          <w:noProof/>
        </w:rPr>
        <w:drawing>
          <wp:inline distT="0" distB="0" distL="0" distR="0" wp14:anchorId="487D4716" wp14:editId="091CF854">
            <wp:extent cx="4029075" cy="1714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029075" cy="171450"/>
                    </a:xfrm>
                    <a:prstGeom prst="rect">
                      <a:avLst/>
                    </a:prstGeom>
                  </pic:spPr>
                </pic:pic>
              </a:graphicData>
            </a:graphic>
          </wp:inline>
        </w:drawing>
      </w:r>
    </w:p>
    <w:p w14:paraId="56AD7440" w14:textId="5C2C2333" w:rsidR="0018456D" w:rsidRDefault="0018456D" w:rsidP="00502A72">
      <w:pPr>
        <w:rPr>
          <w:rFonts w:ascii="Calibri" w:hAnsi="Calibri" w:cs="Calibri"/>
          <w:color w:val="000000"/>
          <w:shd w:val="clear" w:color="auto" w:fill="FFFFFF"/>
        </w:rPr>
      </w:pPr>
      <w:r>
        <w:rPr>
          <w:noProof/>
        </w:rPr>
        <w:drawing>
          <wp:inline distT="0" distB="0" distL="0" distR="0" wp14:anchorId="244F34D8" wp14:editId="0DAB09BB">
            <wp:extent cx="3352800" cy="3619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352800" cy="361950"/>
                    </a:xfrm>
                    <a:prstGeom prst="rect">
                      <a:avLst/>
                    </a:prstGeom>
                  </pic:spPr>
                </pic:pic>
              </a:graphicData>
            </a:graphic>
          </wp:inline>
        </w:drawing>
      </w:r>
    </w:p>
    <w:p w14:paraId="7219A27F" w14:textId="1388BBC9" w:rsidR="0018456D" w:rsidRDefault="0018456D" w:rsidP="00502A72">
      <w:r>
        <w:rPr>
          <w:noProof/>
        </w:rPr>
        <w:drawing>
          <wp:inline distT="0" distB="0" distL="0" distR="0" wp14:anchorId="6B5397CE" wp14:editId="00F397BA">
            <wp:extent cx="2990850" cy="4095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990850" cy="409575"/>
                    </a:xfrm>
                    <a:prstGeom prst="rect">
                      <a:avLst/>
                    </a:prstGeom>
                  </pic:spPr>
                </pic:pic>
              </a:graphicData>
            </a:graphic>
          </wp:inline>
        </w:drawing>
      </w:r>
    </w:p>
    <w:p w14:paraId="7F98BD12" w14:textId="0BE5CAB1" w:rsidR="0018456D" w:rsidRDefault="0018456D" w:rsidP="00502A72">
      <w:r>
        <w:rPr>
          <w:noProof/>
        </w:rPr>
        <w:lastRenderedPageBreak/>
        <w:drawing>
          <wp:inline distT="0" distB="0" distL="0" distR="0" wp14:anchorId="237314ED" wp14:editId="10F698CC">
            <wp:extent cx="4057650" cy="3905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057650" cy="390525"/>
                    </a:xfrm>
                    <a:prstGeom prst="rect">
                      <a:avLst/>
                    </a:prstGeom>
                  </pic:spPr>
                </pic:pic>
              </a:graphicData>
            </a:graphic>
          </wp:inline>
        </w:drawing>
      </w:r>
    </w:p>
    <w:p w14:paraId="099DB089" w14:textId="59E6B175" w:rsidR="0018456D" w:rsidRDefault="0018456D">
      <w:pPr>
        <w:pStyle w:val="Prrafodelista"/>
        <w:numPr>
          <w:ilvl w:val="0"/>
          <w:numId w:val="7"/>
        </w:numPr>
      </w:pPr>
      <w:r>
        <w:t>Pi sube, no baja (se podría hasta quitar</w:t>
      </w:r>
      <w:r w:rsidR="00583471">
        <w:t xml:space="preserve"> esa parte – ver en inglés</w:t>
      </w:r>
      <w:r>
        <w:t>)</w:t>
      </w:r>
    </w:p>
    <w:p w14:paraId="422F709E" w14:textId="7D97CC68" w:rsidR="0018456D" w:rsidRDefault="0018456D" w:rsidP="00502A72">
      <w:r>
        <w:rPr>
          <w:noProof/>
        </w:rPr>
        <w:drawing>
          <wp:inline distT="0" distB="0" distL="0" distR="0" wp14:anchorId="5FF4C6B0" wp14:editId="4C7727DA">
            <wp:extent cx="3438525" cy="6572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438525" cy="657225"/>
                    </a:xfrm>
                    <a:prstGeom prst="rect">
                      <a:avLst/>
                    </a:prstGeom>
                  </pic:spPr>
                </pic:pic>
              </a:graphicData>
            </a:graphic>
          </wp:inline>
        </w:drawing>
      </w:r>
    </w:p>
    <w:p w14:paraId="43899CB4" w14:textId="114D8706" w:rsidR="00C34A65" w:rsidRDefault="00C34A65" w:rsidP="00502A72"/>
    <w:p w14:paraId="6641BEA7" w14:textId="68C2AEE9" w:rsidR="00C34A65" w:rsidRDefault="00C34A65" w:rsidP="00502A72">
      <w:r>
        <w:rPr>
          <w:noProof/>
        </w:rPr>
        <w:drawing>
          <wp:inline distT="0" distB="0" distL="0" distR="0" wp14:anchorId="2F79B428" wp14:editId="6B0129C9">
            <wp:extent cx="3200400" cy="37814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200400" cy="3781425"/>
                    </a:xfrm>
                    <a:prstGeom prst="rect">
                      <a:avLst/>
                    </a:prstGeom>
                  </pic:spPr>
                </pic:pic>
              </a:graphicData>
            </a:graphic>
          </wp:inline>
        </w:drawing>
      </w:r>
    </w:p>
    <w:p w14:paraId="0FBD0188" w14:textId="46F97BA7" w:rsidR="00C34A65" w:rsidRPr="003D03C9" w:rsidRDefault="00C34A65" w:rsidP="00502A72">
      <w:r>
        <w:t>Romer</w:t>
      </w:r>
    </w:p>
    <w:p w14:paraId="216FEA98" w14:textId="75A10298" w:rsidR="004E3526" w:rsidRPr="00886959" w:rsidRDefault="004E3526" w:rsidP="004E3526">
      <w:pPr>
        <w:pStyle w:val="Ttulo5"/>
        <w:rPr>
          <w:i w:val="0"/>
          <w:iCs w:val="0"/>
          <w:u w:val="none"/>
        </w:rPr>
      </w:pPr>
      <w:r>
        <w:t>Anexo </w:t>
      </w:r>
      <w:r w:rsidR="00886959">
        <w:t>4</w:t>
      </w:r>
      <w:r w:rsidRPr="00886959">
        <w:rPr>
          <w:i w:val="0"/>
          <w:iCs w:val="0"/>
          <w:u w:val="none"/>
        </w:rPr>
        <w:t>: Los mecanismos de transmisión de la política monetaria no convencional</w:t>
      </w:r>
    </w:p>
    <w:p w14:paraId="31A22C05" w14:textId="77777777" w:rsidR="004E3526" w:rsidRPr="004E3526" w:rsidRDefault="004E3526" w:rsidP="004E3526">
      <w:pPr>
        <w:keepNext/>
        <w:spacing w:after="60"/>
        <w:rPr>
          <w:b/>
          <w:bCs/>
          <w:color w:val="5F2987"/>
          <w:u w:val="single"/>
        </w:rPr>
      </w:pPr>
      <w:r w:rsidRPr="004E3526">
        <w:rPr>
          <w:b/>
          <w:bCs/>
          <w:color w:val="5F2987"/>
          <w:u w:val="single"/>
        </w:rPr>
        <w:t>El problema del nivel cero del tipo de interés (</w:t>
      </w:r>
      <w:r w:rsidRPr="004E3526">
        <w:rPr>
          <w:b/>
          <w:bCs/>
          <w:i/>
          <w:iCs/>
          <w:color w:val="5F2987"/>
          <w:u w:val="single"/>
        </w:rPr>
        <w:t xml:space="preserve">Zero </w:t>
      </w:r>
      <w:proofErr w:type="spellStart"/>
      <w:r w:rsidRPr="004E3526">
        <w:rPr>
          <w:b/>
          <w:bCs/>
          <w:i/>
          <w:iCs/>
          <w:color w:val="5F2987"/>
          <w:u w:val="single"/>
        </w:rPr>
        <w:t>Lower</w:t>
      </w:r>
      <w:proofErr w:type="spellEnd"/>
      <w:r w:rsidRPr="004E3526">
        <w:rPr>
          <w:b/>
          <w:bCs/>
          <w:i/>
          <w:iCs/>
          <w:color w:val="5F2987"/>
          <w:u w:val="single"/>
        </w:rPr>
        <w:t xml:space="preserve"> </w:t>
      </w:r>
      <w:proofErr w:type="spellStart"/>
      <w:r w:rsidRPr="004E3526">
        <w:rPr>
          <w:b/>
          <w:bCs/>
          <w:i/>
          <w:iCs/>
          <w:color w:val="5F2987"/>
          <w:u w:val="single"/>
        </w:rPr>
        <w:t>Bound</w:t>
      </w:r>
      <w:proofErr w:type="spellEnd"/>
      <w:r w:rsidRPr="004E3526">
        <w:rPr>
          <w:b/>
          <w:bCs/>
          <w:i/>
          <w:iCs/>
          <w:color w:val="5F2987"/>
          <w:u w:val="single"/>
        </w:rPr>
        <w:t xml:space="preserve"> - ZLB</w:t>
      </w:r>
      <w:r w:rsidRPr="004E3526">
        <w:rPr>
          <w:b/>
          <w:bCs/>
          <w:color w:val="5F2987"/>
          <w:u w:val="single"/>
        </w:rPr>
        <w:t>)</w:t>
      </w:r>
    </w:p>
    <w:p w14:paraId="357F7E0E" w14:textId="77777777" w:rsidR="004E3526" w:rsidRDefault="004E3526" w:rsidP="004E3526">
      <w:r>
        <w:t>Como se ha comentado previamente, la política monetaria convencional consiste en la manipulación por parte del banco central del tipo de interés a corto plazo en el mercado interbancario con el objetivo de influenciar el nivel de precios y las variables reales. Los principales mecanismos de transmisión discutidos en la sección anterior, garantizaban que dicho control, aunque imperfecto y aun no completamente comprendido a nivel teórico, operara de una manera correcta en las décadas de los 1980s, 1990s y comienzo de los 2000s, en lo que habitualmente se conoce como la “Gran Moderación”, al ser un período caracterizado por baja volatilidad en las principales variables macroeconómicas y niveles moderados de inflación.</w:t>
      </w:r>
    </w:p>
    <w:p w14:paraId="7713A870" w14:textId="77777777" w:rsidR="004E3526" w:rsidRDefault="004E3526" w:rsidP="004E3526">
      <w:r>
        <w:t xml:space="preserve">No obstante, a consecuencia de los problemas que la economía japonesa ha atravesado a finales de la década de 1990, se comenzó a discutir cuales eran los límites de la política monetaria convencional asociados con el problema del nivel cero del tipo de interés (o ZLB por sus siglas en inglés). El problema es el siguiente: si los hogares pueden ahorrar en forma de billetes, con un retorno nominal igual a cero, no estarán dispuestos a depositar en el banco sus ahorros si el tipo de interés nominal de sus depósitos es inferior a cero. Por lo tanto, el tipo de interés a corto plazo –que determina el </w:t>
      </w:r>
      <w:r>
        <w:lastRenderedPageBreak/>
        <w:t>banco central– no puede ser negativo. Esto marca un límite respecto a cuan expansiva puede ser la política monetaria. Nótese que, sin embargo, no existe límite respecto a cuan contractiva puede ser ya que el tipo nominal puede elevarse en principio lo que sea necesario.</w:t>
      </w:r>
    </w:p>
    <w:p w14:paraId="4831CA39" w14:textId="77777777" w:rsidR="004E3526" w:rsidRDefault="004E3526" w:rsidP="004E3526">
      <w:r>
        <w:t xml:space="preserve">Si retornamos de nuevo a la ecuación IS dinámica del modelo </w:t>
      </w:r>
      <w:proofErr w:type="spellStart"/>
      <w:r>
        <w:t>neokeynesiano</w:t>
      </w:r>
      <w:proofErr w:type="spellEnd"/>
      <w:r>
        <w:t>:</w:t>
      </w:r>
    </w:p>
    <w:p w14:paraId="3927B829" w14:textId="77777777" w:rsidR="004E3526" w:rsidRDefault="004E3526" w:rsidP="004E3526">
      <w:r>
        <w:t>…</w:t>
      </w:r>
    </w:p>
    <w:p w14:paraId="43D0D35D" w14:textId="77777777" w:rsidR="004E3526" w:rsidRDefault="004E3526" w:rsidP="004E3526">
      <w:r>
        <w:t>La existencia del ZLB abre la puerta a la posibilidad de que la economía quede atrapada en una trampa deflacionista en tanto el tipo natural sea negativo, en la que expectativas de inflación negativa generan tipos reales positivos y por lo tanto un output gap e inflación presentes también negativos.</w:t>
      </w:r>
    </w:p>
    <w:p w14:paraId="3D4961CA" w14:textId="77777777" w:rsidR="004E3526" w:rsidRDefault="004E3526" w:rsidP="004E3526">
      <w:r>
        <w:t>Este es el problema al que las principales economías desarrolladas, especialmente la europea, se han enfrentado desde la crisis financiera de 2007. Desde entonces los tipos de interés nominales de los bancos centrales se han mantenido cercanos a cero y los niveles de inflación han sido inferiores al objetivo, junto a unas expectativas de inflación futura “desancladas” a la baja, es decir, sistemáticamente inferiores al objetivo.</w:t>
      </w:r>
    </w:p>
    <w:p w14:paraId="43395567" w14:textId="77777777" w:rsidR="004E3526" w:rsidRPr="00FE4875" w:rsidRDefault="004E3526" w:rsidP="004E3526">
      <w:r>
        <w:t xml:space="preserve">Para intentar contrarrestar este problema, los bancos centrales han puesto en práctica una batería de medidas de política monetaria no convencional. El objetivo de </w:t>
      </w:r>
      <w:proofErr w:type="gramStart"/>
      <w:r>
        <w:t>las mismas</w:t>
      </w:r>
      <w:proofErr w:type="gramEnd"/>
      <w:r>
        <w:t xml:space="preserve"> es conseguir estimular la economía una vez el tipo de interés de referencia alcanza el ZLB. A continuación discutimos las dos medidas más relevantes: los compromisos de política monetaria (</w:t>
      </w:r>
      <w:r>
        <w:rPr>
          <w:i/>
          <w:iCs/>
        </w:rPr>
        <w:t xml:space="preserve">forward </w:t>
      </w:r>
      <w:proofErr w:type="spellStart"/>
      <w:r>
        <w:rPr>
          <w:i/>
          <w:iCs/>
        </w:rPr>
        <w:t>guidance</w:t>
      </w:r>
      <w:proofErr w:type="spellEnd"/>
      <w:r>
        <w:t>) y las compras de activos (</w:t>
      </w:r>
      <w:proofErr w:type="spellStart"/>
      <w:r>
        <w:rPr>
          <w:i/>
          <w:iCs/>
        </w:rPr>
        <w:t>quantitative</w:t>
      </w:r>
      <w:proofErr w:type="spellEnd"/>
      <w:r>
        <w:rPr>
          <w:i/>
          <w:iCs/>
        </w:rPr>
        <w:t xml:space="preserve"> </w:t>
      </w:r>
      <w:proofErr w:type="spellStart"/>
      <w:r>
        <w:rPr>
          <w:i/>
          <w:iCs/>
        </w:rPr>
        <w:t>easing</w:t>
      </w:r>
      <w:proofErr w:type="spellEnd"/>
      <w:r>
        <w:t>).</w:t>
      </w:r>
    </w:p>
    <w:p w14:paraId="098E3427" w14:textId="77777777" w:rsidR="004E3526" w:rsidRPr="004E3526" w:rsidRDefault="004E3526" w:rsidP="004E3526">
      <w:pPr>
        <w:keepNext/>
        <w:spacing w:before="120" w:after="60"/>
        <w:rPr>
          <w:b/>
          <w:bCs/>
          <w:color w:val="5F2987"/>
          <w:u w:val="single"/>
        </w:rPr>
      </w:pPr>
      <w:r w:rsidRPr="004E3526">
        <w:rPr>
          <w:b/>
          <w:bCs/>
          <w:color w:val="5F2987"/>
          <w:u w:val="single"/>
        </w:rPr>
        <w:t>Los compromisos sobre la política monetaria futura (</w:t>
      </w:r>
      <w:r w:rsidRPr="004E3526">
        <w:rPr>
          <w:b/>
          <w:bCs/>
          <w:i/>
          <w:iCs/>
          <w:color w:val="5F2987"/>
          <w:u w:val="single"/>
        </w:rPr>
        <w:t xml:space="preserve">Forward </w:t>
      </w:r>
      <w:proofErr w:type="spellStart"/>
      <w:r w:rsidRPr="004E3526">
        <w:rPr>
          <w:b/>
          <w:bCs/>
          <w:i/>
          <w:iCs/>
          <w:color w:val="5F2987"/>
          <w:u w:val="single"/>
        </w:rPr>
        <w:t>Guidance</w:t>
      </w:r>
      <w:proofErr w:type="spellEnd"/>
      <w:r w:rsidRPr="004E3526">
        <w:rPr>
          <w:b/>
          <w:bCs/>
          <w:color w:val="5F2987"/>
          <w:u w:val="single"/>
        </w:rPr>
        <w:t>)</w:t>
      </w:r>
    </w:p>
    <w:p w14:paraId="2F736694" w14:textId="77777777" w:rsidR="004E3526" w:rsidRDefault="004E3526" w:rsidP="004E3526">
      <w:pPr>
        <w:keepNext/>
        <w:spacing w:after="0"/>
        <w:rPr>
          <w:rFonts w:eastAsiaTheme="minorEastAsia"/>
        </w:rPr>
      </w:pPr>
      <w:r>
        <w:t xml:space="preserve">Si retornamos a la discusión del ZLB, se observa como la clave para conseguir un tipo de interés real negativo cuando el tipo nominal es cero es generar expectativas de positivas de inflación futuras. Una manera de conseguirlo es mediante los compromisos sobre la política monetaria futura o </w:t>
      </w:r>
      <w:r>
        <w:rPr>
          <w:i/>
          <w:iCs/>
        </w:rPr>
        <w:t xml:space="preserve">forward </w:t>
      </w:r>
      <w:proofErr w:type="spellStart"/>
      <w:r>
        <w:rPr>
          <w:i/>
          <w:iCs/>
        </w:rPr>
        <w:t>guidance</w:t>
      </w:r>
      <w:proofErr w:type="spellEnd"/>
      <w:r>
        <w:t xml:space="preserve">. Imaginemos que el tipo de interés natural </w:t>
      </w:r>
      <m:oMath>
        <m:sSubSup>
          <m:sSubSupPr>
            <m:ctrlPr>
              <w:rPr>
                <w:rFonts w:ascii="Cambria Math" w:hAnsi="Cambria Math"/>
                <w:i/>
              </w:rPr>
            </m:ctrlPr>
          </m:sSubSupPr>
          <m:e>
            <m:r>
              <m:rPr>
                <m:nor/>
              </m:rPr>
              <w:rPr>
                <w:i/>
              </w:rPr>
              <m:t>r</m:t>
            </m:r>
          </m:e>
          <m:sub>
            <m:r>
              <m:rPr>
                <m:nor/>
              </m:rPr>
              <w:rPr>
                <w:i/>
              </w:rPr>
              <m:t>t</m:t>
            </m:r>
          </m:sub>
          <m:sup>
            <m:r>
              <m:rPr>
                <m:nor/>
              </m:rPr>
              <w:rPr>
                <w:i/>
              </w:rPr>
              <m:t>n</m:t>
            </m:r>
          </m:sup>
        </m:sSubSup>
      </m:oMath>
      <w:r>
        <w:rPr>
          <w:rFonts w:eastAsiaTheme="minorEastAsia"/>
        </w:rPr>
        <w:t xml:space="preserve"> pasa a ser positivo en un tiempo futuro </w:t>
      </w:r>
      <m:oMath>
        <m:r>
          <m:rPr>
            <m:nor/>
          </m:rPr>
          <w:rPr>
            <w:i/>
          </w:rPr>
          <m:t>T</m:t>
        </m:r>
        <m:r>
          <w:rPr>
            <w:rFonts w:ascii="Cambria Math"/>
          </w:rPr>
          <m:t>&gt;</m:t>
        </m:r>
        <m:r>
          <m:rPr>
            <m:nor/>
          </m:rPr>
          <w:rPr>
            <w:i/>
          </w:rPr>
          <m:t>t</m:t>
        </m:r>
      </m:oMath>
      <w:r>
        <w:rPr>
          <w:rFonts w:eastAsiaTheme="minorEastAsia"/>
        </w:rPr>
        <w:t xml:space="preserve">. Si el banco central se compromete a mantener una política fiscal expansiva en ese momento, es decir, si se compromete a retrasar la subida del tipo de interés nominal una vez la economía “salga” del ZLB en </w:t>
      </w:r>
      <m:oMath>
        <m:r>
          <m:rPr>
            <m:nor/>
          </m:rPr>
          <w:rPr>
            <w:i/>
          </w:rPr>
          <m:t>T</m:t>
        </m:r>
      </m:oMath>
      <w:r>
        <w:rPr>
          <w:rFonts w:eastAsiaTheme="minorEastAsia"/>
        </w:rPr>
        <w:t xml:space="preserve"> hasta </w:t>
      </w:r>
      <m:oMath>
        <m:r>
          <m:rPr>
            <m:nor/>
          </m:rPr>
          <w:rPr>
            <w:i/>
          </w:rPr>
          <m:t>T</m:t>
        </m:r>
        <m:r>
          <w:rPr>
            <w:rFonts w:ascii="Cambria Math"/>
          </w:rPr>
          <m:t>+</m:t>
        </m:r>
        <m:r>
          <m:rPr>
            <m:nor/>
          </m:rPr>
          <w:rPr>
            <w:i/>
          </w:rPr>
          <m:t>1</m:t>
        </m:r>
      </m:oMath>
      <w:r>
        <w:rPr>
          <w:rFonts w:eastAsiaTheme="minorEastAsia"/>
        </w:rPr>
        <w:t xml:space="preserve">, esto generará inflación en </w:t>
      </w:r>
      <m:oMath>
        <m:r>
          <m:rPr>
            <m:nor/>
          </m:rPr>
          <w:rPr>
            <w:i/>
          </w:rPr>
          <m:t>T</m:t>
        </m:r>
      </m:oMath>
      <w:r>
        <w:rPr>
          <w:rFonts w:eastAsiaTheme="minorEastAsia"/>
        </w:rPr>
        <w:t xml:space="preserve"> ya que la ecuación IS dinámica resulta en</w:t>
      </w:r>
      <w:r>
        <w:rPr>
          <w:rStyle w:val="Refdenotaalpie"/>
          <w:rFonts w:eastAsiaTheme="minorEastAsia"/>
        </w:rPr>
        <w:footnoteReference w:id="26"/>
      </w:r>
      <w:r>
        <w:rPr>
          <w:rFonts w:eastAsiaTheme="minorEastAsia"/>
        </w:rPr>
        <w:t>:</w:t>
      </w:r>
    </w:p>
    <w:p w14:paraId="79330E42" w14:textId="77777777" w:rsidR="004E3526" w:rsidRPr="00753656" w:rsidRDefault="00000000" w:rsidP="004E3526">
      <w:pPr>
        <w:rPr>
          <w:rFonts w:eastAsiaTheme="minorEastAsia"/>
          <w:lang w:val="fr-FR"/>
        </w:rPr>
      </w:pPr>
      <m:oMathPara>
        <m:oMath>
          <m:sSub>
            <m:sSubPr>
              <m:ctrlPr>
                <w:rPr>
                  <w:rFonts w:ascii="Cambria Math" w:hAnsi="Cambria Math"/>
                  <w:i/>
                </w:rPr>
              </m:ctrlPr>
            </m:sSubPr>
            <m:e>
              <m:r>
                <m:rPr>
                  <m:nor/>
                </m:rPr>
                <w:rPr>
                  <w:i/>
                  <w:lang w:val="fr-FR"/>
                </w:rPr>
                <m:t>x</m:t>
              </m:r>
            </m:e>
            <m:sub>
              <m:r>
                <m:rPr>
                  <m:nor/>
                </m:rPr>
                <w:rPr>
                  <w:i/>
                  <w:lang w:val="fr-FR"/>
                </w:rPr>
                <m:t>T</m:t>
              </m:r>
            </m:sub>
          </m:sSub>
          <m:r>
            <w:rPr>
              <w:rFonts w:ascii="Cambria Math"/>
              <w:lang w:val="fr-FR"/>
            </w:rPr>
            <m:t>=</m:t>
          </m:r>
          <m:f>
            <m:fPr>
              <m:ctrlPr>
                <w:rPr>
                  <w:rFonts w:ascii="Cambria Math" w:hAnsi="Cambria Math"/>
                  <w:i/>
                </w:rPr>
              </m:ctrlPr>
            </m:fPr>
            <m:num>
              <m:r>
                <m:rPr>
                  <m:nor/>
                </m:rPr>
                <w:rPr>
                  <w:i/>
                  <w:lang w:val="fr-FR"/>
                </w:rPr>
                <m:t>1</m:t>
              </m:r>
            </m:num>
            <m:den>
              <m:r>
                <m:rPr>
                  <m:nor/>
                </m:rPr>
                <w:rPr>
                  <w:i/>
                  <w:iCs/>
                </w:rPr>
                <m:t>σ</m:t>
              </m:r>
            </m:den>
          </m:f>
          <m:r>
            <w:rPr>
              <w:rFonts w:ascii="Cambria Math" w:hAnsi="Cambria Math"/>
              <w:lang w:val="fr-FR"/>
            </w:rPr>
            <m:t>∙</m:t>
          </m:r>
          <m:sSubSup>
            <m:sSubSupPr>
              <m:ctrlPr>
                <w:rPr>
                  <w:rFonts w:ascii="Cambria Math" w:hAnsi="Cambria Math"/>
                  <w:i/>
                </w:rPr>
              </m:ctrlPr>
            </m:sSubSupPr>
            <m:e>
              <m:r>
                <m:rPr>
                  <m:nor/>
                </m:rPr>
                <w:rPr>
                  <w:i/>
                  <w:lang w:val="fr-FR"/>
                </w:rPr>
                <m:t>r</m:t>
              </m:r>
            </m:e>
            <m:sub>
              <m:r>
                <m:rPr>
                  <m:nor/>
                </m:rPr>
                <w:rPr>
                  <w:i/>
                  <w:lang w:val="fr-FR"/>
                </w:rPr>
                <m:t>T</m:t>
              </m:r>
            </m:sub>
            <m:sup>
              <m:r>
                <m:rPr>
                  <m:nor/>
                </m:rPr>
                <w:rPr>
                  <w:i/>
                  <w:lang w:val="fr-FR"/>
                </w:rPr>
                <m:t>n</m:t>
              </m:r>
            </m:sup>
          </m:sSubSup>
          <m:r>
            <w:rPr>
              <w:rFonts w:ascii="Cambria Math" w:hAnsi="Cambria Math"/>
              <w:lang w:val="fr-FR"/>
            </w:rPr>
            <m:t>&gt;</m:t>
          </m:r>
          <m:r>
            <m:rPr>
              <m:nor/>
            </m:rPr>
            <w:rPr>
              <w:i/>
              <w:lang w:val="fr-FR"/>
            </w:rPr>
            <m:t>0</m:t>
          </m:r>
        </m:oMath>
      </m:oMathPara>
    </w:p>
    <w:p w14:paraId="36B6F9A8" w14:textId="77777777" w:rsidR="004E3526" w:rsidRPr="00753656" w:rsidRDefault="004E3526" w:rsidP="004E3526">
      <w:pPr>
        <w:keepNext/>
        <w:spacing w:after="0"/>
        <w:rPr>
          <w:rFonts w:eastAsiaTheme="minorEastAsia"/>
          <w:lang w:val="fr-FR"/>
        </w:rPr>
      </w:pPr>
      <w:r w:rsidRPr="00753656">
        <w:rPr>
          <w:rFonts w:eastAsiaTheme="minorEastAsia"/>
          <w:lang w:val="fr-FR"/>
        </w:rPr>
        <w:t xml:space="preserve">y la </w:t>
      </w:r>
      <w:proofErr w:type="spellStart"/>
      <w:r w:rsidRPr="00753656">
        <w:rPr>
          <w:rFonts w:eastAsiaTheme="minorEastAsia"/>
          <w:lang w:val="fr-FR"/>
        </w:rPr>
        <w:t>Curva</w:t>
      </w:r>
      <w:proofErr w:type="spellEnd"/>
      <w:r w:rsidRPr="00753656">
        <w:rPr>
          <w:rFonts w:eastAsiaTheme="minorEastAsia"/>
          <w:lang w:val="fr-FR"/>
        </w:rPr>
        <w:t xml:space="preserve"> de Phillips en:</w:t>
      </w:r>
    </w:p>
    <w:p w14:paraId="2494694A" w14:textId="77777777" w:rsidR="004E3526" w:rsidRPr="002A15B0" w:rsidRDefault="00000000" w:rsidP="004E3526">
      <w:pPr>
        <w:rPr>
          <w:rFonts w:eastAsiaTheme="minorEastAsia"/>
        </w:rPr>
      </w:pPr>
      <m:oMathPara>
        <m:oMath>
          <m:sSub>
            <m:sSubPr>
              <m:ctrlPr>
                <w:rPr>
                  <w:rFonts w:ascii="Cambria Math" w:hAnsi="Cambria Math"/>
                  <w:i/>
                </w:rPr>
              </m:ctrlPr>
            </m:sSubPr>
            <m:e>
              <m:r>
                <m:rPr>
                  <m:nor/>
                </m:rPr>
                <w:rPr>
                  <w:i/>
                  <w:iCs/>
                </w:rPr>
                <m:t>π</m:t>
              </m:r>
            </m:e>
            <m:sub>
              <m:r>
                <m:rPr>
                  <m:nor/>
                </m:rPr>
                <w:rPr>
                  <w:i/>
                </w:rPr>
                <m:t>T</m:t>
              </m:r>
            </m:sub>
          </m:sSub>
          <m:r>
            <w:rPr>
              <w:rFonts w:ascii="Cambria Math"/>
            </w:rPr>
            <m:t>=</m:t>
          </m:r>
          <m:r>
            <m:rPr>
              <m:nor/>
            </m:rPr>
            <w:rPr>
              <w:i/>
              <w:iCs/>
            </w:rPr>
            <m:t>ε</m:t>
          </m:r>
          <m:r>
            <w:rPr>
              <w:rFonts w:ascii="Cambria Math" w:hAnsi="Cambria Math"/>
            </w:rPr>
            <m:t>∙</m:t>
          </m:r>
          <m:sSub>
            <m:sSubPr>
              <m:ctrlPr>
                <w:rPr>
                  <w:rFonts w:ascii="Cambria Math" w:hAnsi="Cambria Math"/>
                  <w:i/>
                </w:rPr>
              </m:ctrlPr>
            </m:sSubPr>
            <m:e>
              <m:r>
                <m:rPr>
                  <m:nor/>
                </m:rPr>
                <w:rPr>
                  <w:i/>
                </w:rPr>
                <m:t>x</m:t>
              </m:r>
            </m:e>
            <m:sub>
              <m:r>
                <m:rPr>
                  <m:nor/>
                </m:rPr>
                <w:rPr>
                  <w:i/>
                </w:rPr>
                <m:t>T</m:t>
              </m:r>
            </m:sub>
          </m:sSub>
          <m:r>
            <w:rPr>
              <w:rFonts w:ascii="Cambria Math" w:hAnsi="Cambria Math"/>
            </w:rPr>
            <m:t>&gt;</m:t>
          </m:r>
          <m:r>
            <m:rPr>
              <m:nor/>
            </m:rPr>
            <w:rPr>
              <w:i/>
            </w:rPr>
            <m:t>0</m:t>
          </m:r>
        </m:oMath>
      </m:oMathPara>
    </w:p>
    <w:p w14:paraId="6C980BC1" w14:textId="77777777" w:rsidR="004E3526" w:rsidRDefault="004E3526" w:rsidP="004E3526">
      <w:pPr>
        <w:rPr>
          <w:rFonts w:eastAsiaTheme="minorEastAsia"/>
        </w:rPr>
      </w:pPr>
      <w:r w:rsidRPr="00FE4875">
        <w:rPr>
          <w:rFonts w:eastAsiaTheme="minorEastAsia"/>
        </w:rPr>
        <w:t>Con expectativas racionales, los a</w:t>
      </w:r>
      <w:r>
        <w:rPr>
          <w:rFonts w:eastAsiaTheme="minorEastAsia"/>
        </w:rPr>
        <w:t xml:space="preserve">gentes irán descontando dicha inflación futura hacia el presente, con lo que conseguirán un nivel de expectativas de inflación positivo en el presente (tiempo </w:t>
      </w:r>
      <m:oMath>
        <m:r>
          <m:rPr>
            <m:nor/>
          </m:rPr>
          <w:rPr>
            <w:i/>
          </w:rPr>
          <m:t>t</m:t>
        </m:r>
      </m:oMath>
      <w:r>
        <w:rPr>
          <w:rFonts w:eastAsiaTheme="minorEastAsia"/>
        </w:rPr>
        <w:t xml:space="preserve">). Desde </w:t>
      </w:r>
      <w:r w:rsidRPr="00FE4875">
        <w:rPr>
          <w:rFonts w:eastAsiaTheme="minorEastAsia"/>
        </w:rPr>
        <w:t xml:space="preserve">el punto de vista práctico, el </w:t>
      </w:r>
      <w:r>
        <w:rPr>
          <w:rFonts w:eastAsiaTheme="minorEastAsia"/>
        </w:rPr>
        <w:t>b</w:t>
      </w:r>
      <w:r w:rsidRPr="00FE4875">
        <w:rPr>
          <w:rFonts w:eastAsiaTheme="minorEastAsia"/>
        </w:rPr>
        <w:t xml:space="preserve">anco </w:t>
      </w:r>
      <w:r>
        <w:rPr>
          <w:rFonts w:eastAsiaTheme="minorEastAsia"/>
        </w:rPr>
        <w:t>c</w:t>
      </w:r>
      <w:r w:rsidRPr="00FE4875">
        <w:rPr>
          <w:rFonts w:eastAsiaTheme="minorEastAsia"/>
        </w:rPr>
        <w:t xml:space="preserve">entral debe anunciar al entrar en el </w:t>
      </w:r>
      <w:r>
        <w:rPr>
          <w:rFonts w:eastAsiaTheme="minorEastAsia"/>
        </w:rPr>
        <w:t>ZLB</w:t>
      </w:r>
      <w:r w:rsidRPr="00FE4875">
        <w:rPr>
          <w:rFonts w:eastAsiaTheme="minorEastAsia"/>
        </w:rPr>
        <w:t>, que estará dispuesto a tolerar niveles de inflación positivos una vez que la economía haya salido del episodio</w:t>
      </w:r>
      <w:r>
        <w:rPr>
          <w:rFonts w:eastAsiaTheme="minorEastAsia"/>
        </w:rPr>
        <w:t xml:space="preserve"> de ZLB</w:t>
      </w:r>
      <w:r w:rsidRPr="00FE4875">
        <w:rPr>
          <w:rFonts w:eastAsiaTheme="minorEastAsia"/>
        </w:rPr>
        <w:t>. si el Banco Central tiene una reputación de cumplir sus promesas, los agentes privados deberían creerle. Incorporar dichas expectativas de inflación en sus decisiones de consumo e inversión. Esto es lo que se conoce habitualmente como</w:t>
      </w:r>
      <w:r>
        <w:rPr>
          <w:rFonts w:eastAsiaTheme="minorEastAsia"/>
        </w:rPr>
        <w:t xml:space="preserve"> </w:t>
      </w:r>
      <w:proofErr w:type="spellStart"/>
      <w:r>
        <w:rPr>
          <w:rFonts w:eastAsiaTheme="minorEastAsia"/>
          <w:i/>
          <w:iCs/>
        </w:rPr>
        <w:t>low</w:t>
      </w:r>
      <w:proofErr w:type="spellEnd"/>
      <w:r>
        <w:rPr>
          <w:rFonts w:eastAsiaTheme="minorEastAsia"/>
          <w:i/>
          <w:iCs/>
        </w:rPr>
        <w:t xml:space="preserve"> </w:t>
      </w:r>
      <w:proofErr w:type="spellStart"/>
      <w:r>
        <w:rPr>
          <w:rFonts w:eastAsiaTheme="minorEastAsia"/>
          <w:i/>
          <w:iCs/>
        </w:rPr>
        <w:t>for</w:t>
      </w:r>
      <w:proofErr w:type="spellEnd"/>
      <w:r>
        <w:rPr>
          <w:rFonts w:eastAsiaTheme="minorEastAsia"/>
          <w:i/>
          <w:iCs/>
        </w:rPr>
        <w:t xml:space="preserve"> </w:t>
      </w:r>
      <w:proofErr w:type="spellStart"/>
      <w:r>
        <w:rPr>
          <w:rFonts w:eastAsiaTheme="minorEastAsia"/>
          <w:i/>
          <w:iCs/>
        </w:rPr>
        <w:t>longer</w:t>
      </w:r>
      <w:proofErr w:type="spellEnd"/>
      <w:r>
        <w:rPr>
          <w:rFonts w:eastAsiaTheme="minorEastAsia"/>
        </w:rPr>
        <w:t xml:space="preserve">, </w:t>
      </w:r>
      <w:r w:rsidRPr="00FE4875">
        <w:rPr>
          <w:rFonts w:eastAsiaTheme="minorEastAsia"/>
        </w:rPr>
        <w:t>Es decir, mantener el tipo de interés bajo durante un tiempo mayor de lo que el ZLB hace necesario. Existiría, por lo tanto, un canal de transmisión de la política monetaria basado en las expectativas.</w:t>
      </w:r>
    </w:p>
    <w:p w14:paraId="2007DD15" w14:textId="77777777" w:rsidR="004E3526" w:rsidRDefault="004E3526" w:rsidP="004E3526">
      <w:pPr>
        <w:rPr>
          <w:rFonts w:eastAsiaTheme="minorEastAsia"/>
        </w:rPr>
      </w:pPr>
      <w:r w:rsidRPr="00FE4875">
        <w:rPr>
          <w:rFonts w:eastAsiaTheme="minorEastAsia"/>
        </w:rPr>
        <w:t xml:space="preserve">La </w:t>
      </w:r>
      <w:r>
        <w:rPr>
          <w:rFonts w:eastAsiaTheme="minorEastAsia"/>
        </w:rPr>
        <w:t>siguiente imagen</w:t>
      </w:r>
      <w:r w:rsidRPr="00FE4875">
        <w:rPr>
          <w:rFonts w:eastAsiaTheme="minorEastAsia"/>
        </w:rPr>
        <w:t xml:space="preserve"> ilustra este mecanismo de manera gráfica.</w:t>
      </w:r>
      <w:r>
        <w:rPr>
          <w:rFonts w:eastAsiaTheme="minorEastAsia"/>
        </w:rPr>
        <w:t xml:space="preserve"> </w:t>
      </w:r>
      <w:r w:rsidRPr="00FE4875">
        <w:rPr>
          <w:rFonts w:eastAsiaTheme="minorEastAsia"/>
        </w:rPr>
        <w:t>En ella se ve como el tipo de interés natural se mantiene por debajo de cero durante un intervalo</w:t>
      </w:r>
      <w:r>
        <w:rPr>
          <w:rFonts w:eastAsiaTheme="minorEastAsia"/>
        </w:rPr>
        <w:t xml:space="preserve"> </w:t>
      </w:r>
      <m:oMath>
        <m:d>
          <m:dPr>
            <m:begChr m:val="["/>
            <m:endChr m:val="]"/>
            <m:ctrlPr>
              <w:rPr>
                <w:rFonts w:ascii="Cambria Math" w:eastAsiaTheme="minorEastAsia" w:hAnsi="Cambria Math"/>
                <w:i/>
              </w:rPr>
            </m:ctrlPr>
          </m:dPr>
          <m:e>
            <m:r>
              <m:rPr>
                <m:nor/>
              </m:rPr>
              <w:rPr>
                <w:i/>
              </w:rPr>
              <m:t>t,</m:t>
            </m:r>
            <m:r>
              <m:rPr>
                <m:nor/>
              </m:rPr>
              <w:rPr>
                <w:rFonts w:ascii="Cambria Math"/>
                <w:i/>
              </w:rPr>
              <m:t xml:space="preserve"> </m:t>
            </m:r>
            <m:r>
              <m:rPr>
                <m:nor/>
              </m:rPr>
              <w:rPr>
                <w:i/>
              </w:rPr>
              <m:t>T</m:t>
            </m:r>
          </m:e>
        </m:d>
      </m:oMath>
      <w:r w:rsidRPr="00FE4875">
        <w:rPr>
          <w:rFonts w:eastAsiaTheme="minorEastAsia"/>
        </w:rPr>
        <w:t xml:space="preserve">. el tipo de interés nominal, que </w:t>
      </w:r>
      <w:r w:rsidRPr="00FE4875">
        <w:rPr>
          <w:rFonts w:eastAsiaTheme="minorEastAsia"/>
        </w:rPr>
        <w:lastRenderedPageBreak/>
        <w:t>inicialmente replicaban natural, no puede caer por debajo de cero. No obstante, una vez el tipo de interés natural pasa a ser positivo, de nuevo el tipo nominal la réplica inmediatamente, sino que durante el período</w:t>
      </w:r>
      <w:r>
        <w:rPr>
          <w:rFonts w:eastAsiaTheme="minorEastAsia"/>
        </w:rPr>
        <w:t xml:space="preserve"> </w:t>
      </w:r>
      <m:oMath>
        <m:d>
          <m:dPr>
            <m:begChr m:val="["/>
            <m:endChr m:val="]"/>
            <m:ctrlPr>
              <w:rPr>
                <w:rFonts w:ascii="Cambria Math" w:eastAsiaTheme="minorEastAsia" w:hAnsi="Cambria Math"/>
                <w:i/>
              </w:rPr>
            </m:ctrlPr>
          </m:dPr>
          <m:e>
            <m:r>
              <m:rPr>
                <m:nor/>
              </m:rPr>
              <w:rPr>
                <w:i/>
              </w:rPr>
              <m:t>T,</m:t>
            </m:r>
            <m:r>
              <m:rPr>
                <m:nor/>
              </m:rPr>
              <w:rPr>
                <w:rFonts w:ascii="Cambria Math"/>
                <w:i/>
              </w:rPr>
              <m:t xml:space="preserve"> </m:t>
            </m:r>
            <m:r>
              <m:rPr>
                <m:nor/>
              </m:rPr>
              <w:rPr>
                <w:i/>
              </w:rPr>
              <m:t>T</m:t>
            </m:r>
            <m:r>
              <w:rPr>
                <w:rFonts w:ascii="Cambria Math"/>
              </w:rPr>
              <m:t>+</m:t>
            </m:r>
            <m:r>
              <m:rPr>
                <m:nor/>
              </m:rPr>
              <w:rPr>
                <w:i/>
              </w:rPr>
              <m:t>1</m:t>
            </m:r>
          </m:e>
        </m:d>
      </m:oMath>
      <w:r w:rsidRPr="00FE4875">
        <w:rPr>
          <w:rFonts w:eastAsiaTheme="minorEastAsia"/>
        </w:rPr>
        <w:t xml:space="preserve"> se mantiene en cero.</w:t>
      </w:r>
      <w:r>
        <w:rPr>
          <w:rFonts w:eastAsiaTheme="minorEastAsia"/>
        </w:rPr>
        <w:t xml:space="preserve"> E</w:t>
      </w:r>
      <w:r w:rsidRPr="00FE4875">
        <w:rPr>
          <w:rFonts w:eastAsiaTheme="minorEastAsia"/>
        </w:rPr>
        <w:t xml:space="preserve">sto debería bastar para evitar la entrada </w:t>
      </w:r>
      <w:r>
        <w:rPr>
          <w:rFonts w:eastAsiaTheme="minorEastAsia"/>
        </w:rPr>
        <w:t>en</w:t>
      </w:r>
      <w:r w:rsidRPr="00FE4875">
        <w:rPr>
          <w:rFonts w:eastAsiaTheme="minorEastAsia"/>
        </w:rPr>
        <w:t xml:space="preserve"> deflación en </w:t>
      </w:r>
      <w:r>
        <w:rPr>
          <w:rFonts w:eastAsiaTheme="minorEastAsia"/>
        </w:rPr>
        <w:t xml:space="preserve">el presente </w:t>
      </w:r>
      <w:r w:rsidRPr="00FE4875">
        <w:rPr>
          <w:rFonts w:eastAsiaTheme="minorEastAsia"/>
        </w:rPr>
        <w:t>por el mecanismo descrito anteriormente</w:t>
      </w:r>
      <w:r>
        <w:rPr>
          <w:rFonts w:eastAsiaTheme="minorEastAsia"/>
        </w:rPr>
        <w:t>.</w:t>
      </w:r>
    </w:p>
    <w:p w14:paraId="68B92CBE" w14:textId="77777777" w:rsidR="004E3526" w:rsidRDefault="004E3526" w:rsidP="004E3526">
      <w:pPr>
        <w:rPr>
          <w:rFonts w:eastAsiaTheme="minorEastAsia"/>
        </w:rPr>
      </w:pPr>
      <w:r>
        <w:rPr>
          <w:rFonts w:eastAsiaTheme="minorEastAsia"/>
        </w:rPr>
        <w:t xml:space="preserve">Es importante </w:t>
      </w:r>
      <w:r w:rsidRPr="00FE4875">
        <w:rPr>
          <w:rFonts w:eastAsiaTheme="minorEastAsia"/>
        </w:rPr>
        <w:t xml:space="preserve">destacar que los bancos centrales han conseguido en las pasadas décadas una reputación </w:t>
      </w:r>
      <w:proofErr w:type="spellStart"/>
      <w:r w:rsidRPr="00FE4875">
        <w:rPr>
          <w:rFonts w:eastAsiaTheme="minorEastAsia"/>
        </w:rPr>
        <w:t>ant</w:t>
      </w:r>
      <w:r>
        <w:rPr>
          <w:rFonts w:eastAsiaTheme="minorEastAsia"/>
        </w:rPr>
        <w:t>i-</w:t>
      </w:r>
      <w:r w:rsidRPr="00FE4875">
        <w:rPr>
          <w:rFonts w:eastAsiaTheme="minorEastAsia"/>
        </w:rPr>
        <w:t>inflacionista</w:t>
      </w:r>
      <w:proofErr w:type="spellEnd"/>
      <w:r w:rsidRPr="00FE4875">
        <w:rPr>
          <w:rFonts w:eastAsiaTheme="minorEastAsia"/>
        </w:rPr>
        <w:t xml:space="preserve"> importante, mientras que en el caso de </w:t>
      </w:r>
      <w:proofErr w:type="spellStart"/>
      <w:r>
        <w:rPr>
          <w:rFonts w:eastAsiaTheme="minorEastAsia"/>
          <w:i/>
          <w:iCs/>
        </w:rPr>
        <w:t>low</w:t>
      </w:r>
      <w:proofErr w:type="spellEnd"/>
      <w:r>
        <w:rPr>
          <w:rFonts w:eastAsiaTheme="minorEastAsia"/>
          <w:i/>
          <w:iCs/>
        </w:rPr>
        <w:t xml:space="preserve"> </w:t>
      </w:r>
      <w:proofErr w:type="spellStart"/>
      <w:r>
        <w:rPr>
          <w:rFonts w:eastAsiaTheme="minorEastAsia"/>
          <w:i/>
          <w:iCs/>
        </w:rPr>
        <w:t>for</w:t>
      </w:r>
      <w:proofErr w:type="spellEnd"/>
      <w:r>
        <w:rPr>
          <w:rFonts w:eastAsiaTheme="minorEastAsia"/>
          <w:i/>
          <w:iCs/>
        </w:rPr>
        <w:t xml:space="preserve"> </w:t>
      </w:r>
      <w:proofErr w:type="spellStart"/>
      <w:r>
        <w:rPr>
          <w:rFonts w:eastAsiaTheme="minorEastAsia"/>
          <w:i/>
          <w:iCs/>
        </w:rPr>
        <w:t>longer</w:t>
      </w:r>
      <w:proofErr w:type="spellEnd"/>
      <w:r w:rsidRPr="00FE4875">
        <w:rPr>
          <w:rFonts w:eastAsiaTheme="minorEastAsia"/>
        </w:rPr>
        <w:t xml:space="preserve"> necesitaban una reputación inflacionista. Es lo que se conoce como </w:t>
      </w:r>
      <w:r>
        <w:rPr>
          <w:rFonts w:eastAsiaTheme="minorEastAsia"/>
        </w:rPr>
        <w:t>“</w:t>
      </w:r>
      <w:r w:rsidRPr="00FE4875">
        <w:rPr>
          <w:rFonts w:eastAsiaTheme="minorEastAsia"/>
        </w:rPr>
        <w:t>comprometerse a ser irresponsable</w:t>
      </w:r>
      <w:r>
        <w:rPr>
          <w:rFonts w:eastAsiaTheme="minorEastAsia"/>
        </w:rPr>
        <w:t>”</w:t>
      </w:r>
      <w:r w:rsidRPr="00FE4875">
        <w:rPr>
          <w:rFonts w:eastAsiaTheme="minorEastAsia"/>
        </w:rPr>
        <w:t xml:space="preserve">. En cualquier caso, los principales bancos centrales han mantenido políticas más o menos explícitas de </w:t>
      </w:r>
      <w:r w:rsidRPr="00FE4875">
        <w:rPr>
          <w:rFonts w:eastAsiaTheme="minorEastAsia"/>
          <w:i/>
          <w:iCs/>
        </w:rPr>
        <w:t>forward</w:t>
      </w:r>
      <w:r>
        <w:rPr>
          <w:rFonts w:eastAsiaTheme="minorEastAsia"/>
          <w:i/>
          <w:iCs/>
        </w:rPr>
        <w:t xml:space="preserve"> </w:t>
      </w:r>
      <w:proofErr w:type="spellStart"/>
      <w:r>
        <w:rPr>
          <w:rFonts w:eastAsiaTheme="minorEastAsia"/>
          <w:i/>
          <w:iCs/>
        </w:rPr>
        <w:t>guidance</w:t>
      </w:r>
      <w:proofErr w:type="spellEnd"/>
      <w:r w:rsidRPr="00FE4875">
        <w:rPr>
          <w:rFonts w:eastAsiaTheme="minorEastAsia"/>
        </w:rPr>
        <w:t>, con el objetivo de estimular al alza las expectativas de inflación.</w:t>
      </w:r>
    </w:p>
    <w:p w14:paraId="22F6651E" w14:textId="77777777" w:rsidR="004E3526" w:rsidRPr="00FE4875" w:rsidRDefault="004E3526" w:rsidP="004E3526">
      <w:pPr>
        <w:rPr>
          <w:rFonts w:eastAsiaTheme="minorEastAsia"/>
        </w:rPr>
      </w:pPr>
      <w:r w:rsidRPr="00FE4875">
        <w:rPr>
          <w:rFonts w:eastAsiaTheme="minorEastAsia"/>
        </w:rPr>
        <w:t xml:space="preserve">existe diversa evidencia empírica que afirma que los efectos de esta medida no son tan potentes como apunta el análisis básico </w:t>
      </w:r>
      <w:r>
        <w:rPr>
          <w:rFonts w:eastAsiaTheme="minorEastAsia"/>
        </w:rPr>
        <w:t>derivado</w:t>
      </w:r>
      <w:r w:rsidRPr="00FE4875">
        <w:rPr>
          <w:rFonts w:eastAsiaTheme="minorEastAsia"/>
        </w:rPr>
        <w:t xml:space="preserve"> del modelo </w:t>
      </w:r>
      <w:proofErr w:type="spellStart"/>
      <w:r w:rsidRPr="00FE4875">
        <w:rPr>
          <w:rFonts w:eastAsiaTheme="minorEastAsia"/>
        </w:rPr>
        <w:t>neokeynesiano</w:t>
      </w:r>
      <w:proofErr w:type="spellEnd"/>
      <w:r w:rsidRPr="00FE4875">
        <w:rPr>
          <w:rFonts w:eastAsiaTheme="minorEastAsia"/>
        </w:rPr>
        <w:t xml:space="preserve">. Esto puede ser debido al hecho de que la sustitución </w:t>
      </w:r>
      <w:proofErr w:type="spellStart"/>
      <w:r w:rsidRPr="00FE4875">
        <w:rPr>
          <w:rFonts w:eastAsiaTheme="minorEastAsia"/>
        </w:rPr>
        <w:t>intertemporal</w:t>
      </w:r>
      <w:proofErr w:type="spellEnd"/>
      <w:r w:rsidRPr="00FE4875">
        <w:rPr>
          <w:rFonts w:eastAsiaTheme="minorEastAsia"/>
        </w:rPr>
        <w:t xml:space="preserve"> capturada por la ecuación es dinámica, no sea tan potente como predice el modelo </w:t>
      </w:r>
      <w:proofErr w:type="spellStart"/>
      <w:r w:rsidRPr="00FE4875">
        <w:rPr>
          <w:rFonts w:eastAsiaTheme="minorEastAsia"/>
        </w:rPr>
        <w:t>neokeynesiano</w:t>
      </w:r>
      <w:proofErr w:type="spellEnd"/>
      <w:r w:rsidRPr="00FE4875">
        <w:rPr>
          <w:rFonts w:eastAsiaTheme="minorEastAsia"/>
        </w:rPr>
        <w:t>. En cualquier caso, este es un campo de investigación muy activo en la actualidad.</w:t>
      </w:r>
    </w:p>
    <w:p w14:paraId="6191FF8C" w14:textId="77777777" w:rsidR="004E3526" w:rsidRPr="004E3526" w:rsidRDefault="004E3526" w:rsidP="004E3526">
      <w:pPr>
        <w:keepNext/>
        <w:spacing w:before="120" w:after="60"/>
        <w:rPr>
          <w:b/>
          <w:bCs/>
          <w:color w:val="5F2987"/>
          <w:u w:val="single"/>
        </w:rPr>
      </w:pPr>
      <w:r w:rsidRPr="004E3526">
        <w:rPr>
          <w:b/>
          <w:bCs/>
          <w:color w:val="5F2987"/>
          <w:u w:val="single"/>
        </w:rPr>
        <w:t>La compra de activos por parte del Banco Central (</w:t>
      </w:r>
      <w:proofErr w:type="spellStart"/>
      <w:r w:rsidRPr="004E3526">
        <w:rPr>
          <w:b/>
          <w:bCs/>
          <w:color w:val="5F2987"/>
          <w:u w:val="single"/>
        </w:rPr>
        <w:t>Quantitative</w:t>
      </w:r>
      <w:proofErr w:type="spellEnd"/>
      <w:r w:rsidRPr="004E3526">
        <w:rPr>
          <w:b/>
          <w:bCs/>
          <w:color w:val="5F2987"/>
          <w:u w:val="single"/>
        </w:rPr>
        <w:t xml:space="preserve"> </w:t>
      </w:r>
      <w:proofErr w:type="spellStart"/>
      <w:r w:rsidRPr="004E3526">
        <w:rPr>
          <w:b/>
          <w:bCs/>
          <w:color w:val="5F2987"/>
          <w:u w:val="single"/>
        </w:rPr>
        <w:t>Easing</w:t>
      </w:r>
      <w:proofErr w:type="spellEnd"/>
      <w:r w:rsidRPr="004E3526">
        <w:rPr>
          <w:b/>
          <w:bCs/>
          <w:color w:val="5F2987"/>
          <w:u w:val="single"/>
        </w:rPr>
        <w:t>)</w:t>
      </w:r>
    </w:p>
    <w:p w14:paraId="39057AEC" w14:textId="27ECF5B7" w:rsidR="004E3526" w:rsidRDefault="00000000" w:rsidP="004E3526">
      <w:hyperlink r:id="rId53" w:history="1">
        <w:r w:rsidR="004E3526" w:rsidRPr="008366B8">
          <w:rPr>
            <w:rStyle w:val="Hipervnculo"/>
          </w:rPr>
          <w:t>https://www.khanacademy.org/economics-finance-domain/core-finance/money-and-banking/federal-reserve/v/quantitative-easing?modal=1</w:t>
        </w:r>
      </w:hyperlink>
    </w:p>
    <w:p w14:paraId="22497A24" w14:textId="04519167" w:rsidR="004E3526" w:rsidRDefault="00000000" w:rsidP="004E3526">
      <w:hyperlink r:id="rId54" w:history="1">
        <w:r w:rsidR="004E3526" w:rsidRPr="008366B8">
          <w:rPr>
            <w:rStyle w:val="Hipervnculo"/>
          </w:rPr>
          <w:t>https://www.khanacademy.org/economics-finance-domain/core-finance/money-and-banking/federal-reserve/v/more-on-quantitative-easing-and-credit-easing</w:t>
        </w:r>
      </w:hyperlink>
      <w:r w:rsidR="004E3526">
        <w:t xml:space="preserve"> </w:t>
      </w:r>
    </w:p>
    <w:p w14:paraId="77DF78B6" w14:textId="6A8BACE2" w:rsidR="004E3526" w:rsidRPr="006C1AA4" w:rsidRDefault="00000000" w:rsidP="004E3526">
      <w:hyperlink r:id="rId55" w:history="1">
        <w:r w:rsidR="004E3526" w:rsidRPr="008366B8">
          <w:rPr>
            <w:rStyle w:val="Hipervnculo"/>
          </w:rPr>
          <w:t>https://www.khanacademy.org/economics-finance-domain/core-finance/money-and-banking/federal-reserve/v/us-and-japanese-quantitative-easing</w:t>
        </w:r>
      </w:hyperlink>
      <w:r w:rsidR="004E3526">
        <w:t xml:space="preserve"> </w:t>
      </w:r>
    </w:p>
    <w:p w14:paraId="5326E2D0" w14:textId="77777777" w:rsidR="004E3526" w:rsidRDefault="004E3526" w:rsidP="004E3526">
      <w:r>
        <w:rPr>
          <w:noProof/>
        </w:rPr>
        <w:drawing>
          <wp:inline distT="0" distB="0" distL="0" distR="0" wp14:anchorId="232D5692" wp14:editId="1D5ED943">
            <wp:extent cx="6120765" cy="2416175"/>
            <wp:effectExtent l="0" t="0" r="0" b="3175"/>
            <wp:docPr id="6" name="Picture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a&#10;&#10;Descripción generada automáticamente"/>
                    <pic:cNvPicPr/>
                  </pic:nvPicPr>
                  <pic:blipFill>
                    <a:blip r:embed="rId56"/>
                    <a:stretch>
                      <a:fillRect/>
                    </a:stretch>
                  </pic:blipFill>
                  <pic:spPr>
                    <a:xfrm>
                      <a:off x="0" y="0"/>
                      <a:ext cx="6120765" cy="2416175"/>
                    </a:xfrm>
                    <a:prstGeom prst="rect">
                      <a:avLst/>
                    </a:prstGeom>
                  </pic:spPr>
                </pic:pic>
              </a:graphicData>
            </a:graphic>
          </wp:inline>
        </w:drawing>
      </w:r>
    </w:p>
    <w:p w14:paraId="15D839C7" w14:textId="049A6EFC" w:rsidR="004E3526" w:rsidRPr="00606E13" w:rsidRDefault="00000000" w:rsidP="004E3526">
      <w:hyperlink r:id="rId57" w:history="1">
        <w:r w:rsidR="004E3526" w:rsidRPr="008366B8">
          <w:rPr>
            <w:rStyle w:val="Hipervnculo"/>
          </w:rPr>
          <w:t>https://voxeu.org/article/helicopter-money-time-now</w:t>
        </w:r>
      </w:hyperlink>
      <w:r w:rsidR="004E3526">
        <w:t xml:space="preserve"> </w:t>
      </w:r>
    </w:p>
    <w:p w14:paraId="52D05E09" w14:textId="77777777" w:rsidR="004E3526" w:rsidRPr="00886D9F" w:rsidRDefault="004E3526">
      <w:pPr>
        <w:spacing w:after="160"/>
        <w:jc w:val="left"/>
        <w:rPr>
          <w:rFonts w:asciiTheme="minorHAnsi" w:hAnsiTheme="minorHAnsi"/>
        </w:rPr>
      </w:pPr>
    </w:p>
    <w:p w14:paraId="6443F6D2" w14:textId="7ABF49B1" w:rsidR="00AF4A86" w:rsidRPr="00886959" w:rsidRDefault="00AF4A86" w:rsidP="00AF4A86">
      <w:pPr>
        <w:pStyle w:val="Ttulo5"/>
        <w:rPr>
          <w:i w:val="0"/>
          <w:iCs w:val="0"/>
          <w:u w:val="none"/>
        </w:rPr>
      </w:pPr>
      <w:r>
        <w:t>Anexo </w:t>
      </w:r>
      <w:r w:rsidR="00886959">
        <w:t>5</w:t>
      </w:r>
      <w:r w:rsidRPr="00886959">
        <w:rPr>
          <w:i w:val="0"/>
          <w:iCs w:val="0"/>
          <w:u w:val="none"/>
        </w:rPr>
        <w:t>: Los mecanismos de transmisión de la política monetaria convencional</w:t>
      </w:r>
    </w:p>
    <w:p w14:paraId="1E60C3E9" w14:textId="77777777" w:rsidR="00AF4A86" w:rsidRPr="00AF4A86" w:rsidRDefault="00AF4A86" w:rsidP="00AF4A86">
      <w:pPr>
        <w:keepNext/>
        <w:spacing w:before="120" w:after="60"/>
        <w:rPr>
          <w:b/>
          <w:bCs/>
          <w:color w:val="5F2987"/>
          <w:u w:val="single"/>
        </w:rPr>
      </w:pPr>
      <w:r w:rsidRPr="00AF4A86">
        <w:rPr>
          <w:b/>
          <w:bCs/>
          <w:color w:val="5F2987"/>
          <w:u w:val="single"/>
        </w:rPr>
        <w:t xml:space="preserve">Las rigideces de precios: modelo </w:t>
      </w:r>
      <w:proofErr w:type="spellStart"/>
      <w:r w:rsidRPr="00AF4A86">
        <w:rPr>
          <w:b/>
          <w:bCs/>
          <w:color w:val="5F2987"/>
          <w:u w:val="single"/>
        </w:rPr>
        <w:t>neokeynesiano</w:t>
      </w:r>
      <w:proofErr w:type="spellEnd"/>
      <w:r w:rsidRPr="00AF4A86">
        <w:rPr>
          <w:b/>
          <w:bCs/>
          <w:color w:val="5F2987"/>
          <w:u w:val="single"/>
          <w:vertAlign w:val="superscript"/>
        </w:rPr>
        <w:footnoteReference w:id="27"/>
      </w:r>
    </w:p>
    <w:p w14:paraId="01489186" w14:textId="77777777" w:rsidR="00AF4A86" w:rsidRDefault="00AF4A86" w:rsidP="00AF4A86">
      <w:r>
        <w:t>El primer mecanismo que queremos enfatizar para la transmisión de la política monetaria convencional son las rigideces en precios</w:t>
      </w:r>
      <w:r>
        <w:rPr>
          <w:rStyle w:val="Refdenotaalpie"/>
        </w:rPr>
        <w:footnoteReference w:id="28"/>
      </w:r>
      <w:r>
        <w:t xml:space="preserve">. Con ello nos referimos a la posibilidad de que las empresas no puedan actualizar los precios de sus productos de manera inmediata ante cambios en las condiciones macroeconómicas. Como se verá más adelante, estas rigideces nominales son </w:t>
      </w:r>
      <w:r>
        <w:lastRenderedPageBreak/>
        <w:t>suficientes para ocasionar que cambios en el tipo de interés nominal –determinado por el banco central– generen efectos en línea con los resultados empíricos discutidos en la sección anterior.</w:t>
      </w:r>
    </w:p>
    <w:p w14:paraId="580366EB" w14:textId="77777777" w:rsidR="00AF4A86" w:rsidRPr="00C132F6" w:rsidRDefault="00AF4A86" w:rsidP="00AF4A86">
      <w:r>
        <w:t xml:space="preserve">El modelo más utilizado para abordar las rigideces en precios es el modelo </w:t>
      </w:r>
      <w:proofErr w:type="spellStart"/>
      <w:r>
        <w:t>neokeynesiano</w:t>
      </w:r>
      <w:proofErr w:type="spellEnd"/>
      <w:r>
        <w:t xml:space="preserve"> con precios </w:t>
      </w:r>
      <w:r w:rsidRPr="00C132F6">
        <w:rPr>
          <w:i/>
          <w:iCs/>
        </w:rPr>
        <w:t>“</w:t>
      </w:r>
      <w:r>
        <w:rPr>
          <w:i/>
          <w:iCs/>
        </w:rPr>
        <w:t xml:space="preserve">à la </w:t>
      </w:r>
      <w:r>
        <w:rPr>
          <w:i/>
          <w:iCs/>
          <w:smallCaps/>
        </w:rPr>
        <w:t>Calvo</w:t>
      </w:r>
      <w:r w:rsidRPr="00C132F6">
        <w:rPr>
          <w:i/>
          <w:iCs/>
        </w:rPr>
        <w:t>”</w:t>
      </w:r>
      <w:r>
        <w:t xml:space="preserve">. El modelo </w:t>
      </w:r>
      <w:proofErr w:type="spellStart"/>
      <w:r>
        <w:t>neokeynesiano</w:t>
      </w:r>
      <w:proofErr w:type="spellEnd"/>
      <w:r>
        <w:t xml:space="preserve"> incorpora el enfoque de modelización de los modelos del ciclo real, asumiendo expectativas racionales y derivando las relaciones agregadas a partir de las decisiones </w:t>
      </w:r>
      <w:proofErr w:type="spellStart"/>
      <w:r>
        <w:t>microfundamentadas</w:t>
      </w:r>
      <w:proofErr w:type="spellEnd"/>
      <w:r>
        <w:t xml:space="preserve"> de los agentes. Sin embargo, difiere de los modelos del ciclo real y de la Nueva Macroeconomía Clásica en la introducción de competencia monopolística y rigideces de precios. Las rigideces de precios se introducen habitualmente mediante el modelo de Calvo. El punto de partida del modelo de Calvo es que en cada período una fracción</w:t>
      </w:r>
      <m:oMath>
        <m:r>
          <w:rPr>
            <w:rFonts w:ascii="Cambria Math" w:hAnsi="Cambria Math"/>
          </w:rPr>
          <m:t xml:space="preserve"> </m:t>
        </m:r>
        <m:r>
          <m:rPr>
            <m:nor/>
          </m:rPr>
          <w:rPr>
            <w:i/>
            <w:iCs/>
          </w:rPr>
          <m:t>θ</m:t>
        </m:r>
        <m:r>
          <w:rPr>
            <w:rFonts w:ascii="Cambria Math" w:hAnsi="Cambria Math"/>
          </w:rPr>
          <m:t>∈</m:t>
        </m:r>
        <m:d>
          <m:dPr>
            <m:ctrlPr>
              <w:rPr>
                <w:rFonts w:ascii="Cambria Math" w:hAnsi="Cambria Math"/>
                <w:i/>
              </w:rPr>
            </m:ctrlPr>
          </m:dPr>
          <m:e>
            <m:r>
              <m:rPr>
                <m:nor/>
              </m:rPr>
              <w:rPr>
                <w:i/>
                <w:iCs/>
              </w:rPr>
              <m:t>0,1</m:t>
            </m:r>
          </m:e>
        </m:d>
      </m:oMath>
      <w:r>
        <w:t xml:space="preserve"> </w:t>
      </w:r>
      <w:r>
        <w:rPr>
          <w:rFonts w:eastAsiaTheme="minorEastAsia"/>
        </w:rPr>
        <w:t xml:space="preserve">de los precios permanece con precio fijo y sólo una fracción </w:t>
      </w:r>
      <m:oMath>
        <m:r>
          <m:rPr>
            <m:nor/>
          </m:rPr>
          <w:rPr>
            <w:i/>
            <w:iCs/>
          </w:rPr>
          <m:t>1</m:t>
        </m:r>
        <m:r>
          <w:rPr>
            <w:rFonts w:ascii="Cambria Math" w:hAnsi="Cambria Math"/>
          </w:rPr>
          <m:t>-</m:t>
        </m:r>
        <m:r>
          <m:rPr>
            <m:nor/>
          </m:rPr>
          <w:rPr>
            <w:i/>
            <w:iCs/>
          </w:rPr>
          <m:t>θ</m:t>
        </m:r>
      </m:oMath>
      <w:r>
        <w:rPr>
          <w:rFonts w:eastAsiaTheme="minorEastAsia"/>
          <w:iCs/>
        </w:rPr>
        <w:t xml:space="preserve"> de las empresas pueden ajustar los precios. Vamos a describir primero los distintos elementos del modelo para luego analizar sus implicaciones.</w:t>
      </w:r>
    </w:p>
    <w:p w14:paraId="159029C7" w14:textId="77777777" w:rsidR="00AF4A86" w:rsidRPr="00AF4A86" w:rsidRDefault="00AF4A86" w:rsidP="00AF4A86">
      <w:pPr>
        <w:keepNext/>
        <w:spacing w:before="80" w:after="40"/>
        <w:ind w:left="567"/>
        <w:rPr>
          <w:i/>
          <w:iCs/>
          <w:spacing w:val="-4"/>
          <w:u w:val="dash"/>
        </w:rPr>
      </w:pPr>
      <w:r w:rsidRPr="00AF4A86">
        <w:rPr>
          <w:i/>
          <w:iCs/>
          <w:color w:val="5F2987"/>
          <w:spacing w:val="-4"/>
          <w:u w:val="dash"/>
        </w:rPr>
        <w:t>Hogares</w:t>
      </w:r>
    </w:p>
    <w:p w14:paraId="569F8584" w14:textId="77777777" w:rsidR="00AF4A86" w:rsidRDefault="00AF4A86" w:rsidP="00AF4A86">
      <w:pPr>
        <w:rPr>
          <w:rFonts w:eastAsiaTheme="minorEastAsia"/>
        </w:rPr>
      </w:pPr>
      <w:r>
        <w:t xml:space="preserve">El modelo supone la existencia de un hogar representativo. Este hogar recibe un salario </w:t>
      </w:r>
      <m:oMath>
        <m:sSub>
          <m:sSubPr>
            <m:ctrlPr>
              <w:rPr>
                <w:rFonts w:ascii="Cambria Math" w:hAnsi="Cambria Math"/>
                <w:i/>
              </w:rPr>
            </m:ctrlPr>
          </m:sSubPr>
          <m:e>
            <m:r>
              <m:rPr>
                <m:nor/>
              </m:rPr>
              <w:rPr>
                <w:i/>
              </w:rPr>
              <m:t>W</m:t>
            </m:r>
          </m:e>
          <m:sub>
            <m:r>
              <m:rPr>
                <m:nor/>
              </m:rPr>
              <w:rPr>
                <w:i/>
              </w:rPr>
              <m:t>t</m:t>
            </m:r>
          </m:sub>
        </m:sSub>
      </m:oMath>
      <w:r>
        <w:rPr>
          <w:rFonts w:eastAsiaTheme="minorEastAsia"/>
        </w:rPr>
        <w:t xml:space="preserve"> por su trabajo, unos intereses por sus bonos </w:t>
      </w:r>
      <m:oMath>
        <m:sSub>
          <m:sSubPr>
            <m:ctrlPr>
              <w:rPr>
                <w:rFonts w:ascii="Cambria Math" w:hAnsi="Cambria Math"/>
                <w:i/>
              </w:rPr>
            </m:ctrlPr>
          </m:sSubPr>
          <m:e>
            <m:r>
              <m:rPr>
                <m:nor/>
              </m:rPr>
              <w:rPr>
                <w:i/>
              </w:rPr>
              <m:t>B</m:t>
            </m:r>
          </m:e>
          <m:sub>
            <m:r>
              <m:rPr>
                <m:nor/>
              </m:rPr>
              <w:rPr>
                <w:i/>
              </w:rPr>
              <m:t>t</m:t>
            </m:r>
          </m:sub>
        </m:sSub>
      </m:oMath>
      <w:r>
        <w:rPr>
          <w:rFonts w:eastAsiaTheme="minorEastAsia"/>
        </w:rPr>
        <w:t xml:space="preserve"> y unos beneficios por su propiedad de las empresas que conforman la economía. Así mismo, el hogar debe escoger su consumo de bienes </w:t>
      </w:r>
      <m:oMath>
        <m:sSub>
          <m:sSubPr>
            <m:ctrlPr>
              <w:rPr>
                <w:rFonts w:ascii="Cambria Math" w:hAnsi="Cambria Math"/>
                <w:i/>
              </w:rPr>
            </m:ctrlPr>
          </m:sSubPr>
          <m:e>
            <m:r>
              <m:rPr>
                <m:nor/>
              </m:rPr>
              <w:rPr>
                <w:i/>
              </w:rPr>
              <m:t>C</m:t>
            </m:r>
          </m:e>
          <m:sub>
            <m:r>
              <m:rPr>
                <m:nor/>
              </m:rPr>
              <w:rPr>
                <w:i/>
              </w:rPr>
              <m:t>t</m:t>
            </m:r>
          </m:sub>
        </m:sSub>
      </m:oMath>
      <w:r>
        <w:rPr>
          <w:rFonts w:eastAsiaTheme="minorEastAsia"/>
        </w:rPr>
        <w:t xml:space="preserve"> y la cantidad de horas de trabajo </w:t>
      </w:r>
      <m:oMath>
        <m:sSub>
          <m:sSubPr>
            <m:ctrlPr>
              <w:rPr>
                <w:rFonts w:ascii="Cambria Math" w:hAnsi="Cambria Math"/>
                <w:i/>
              </w:rPr>
            </m:ctrlPr>
          </m:sSubPr>
          <m:e>
            <m:r>
              <m:rPr>
                <m:nor/>
              </m:rPr>
              <w:rPr>
                <w:i/>
              </w:rPr>
              <m:t>N</m:t>
            </m:r>
          </m:e>
          <m:sub>
            <m:r>
              <m:rPr>
                <m:nor/>
              </m:rPr>
              <w:rPr>
                <w:i/>
              </w:rPr>
              <m:t>t</m:t>
            </m:r>
          </m:sub>
        </m:sSub>
      </m:oMath>
      <w:r>
        <w:rPr>
          <w:rFonts w:eastAsiaTheme="minorEastAsia"/>
        </w:rPr>
        <w:t xml:space="preserve"> para maximizar su utilidad descontada (</w:t>
      </w:r>
      <m:oMath>
        <m:sSub>
          <m:sSubPr>
            <m:ctrlPr>
              <w:rPr>
                <w:rFonts w:ascii="Cambria Math" w:hAnsi="Cambria Math"/>
                <w:i/>
                <w:highlight w:val="yellow"/>
              </w:rPr>
            </m:ctrlPr>
          </m:sSubPr>
          <m:e>
            <m:r>
              <m:rPr>
                <m:nor/>
              </m:rPr>
              <w:rPr>
                <w:i/>
                <w:highlight w:val="yellow"/>
              </w:rPr>
              <m:t>E</m:t>
            </m:r>
          </m:e>
          <m:sub>
            <m:r>
              <m:rPr>
                <m:nor/>
              </m:rPr>
              <w:rPr>
                <w:i/>
                <w:highlight w:val="yellow"/>
              </w:rPr>
              <m:t>0</m:t>
            </m:r>
          </m:sub>
        </m:sSub>
        <m:nary>
          <m:naryPr>
            <m:chr m:val="∑"/>
            <m:limLoc m:val="undOvr"/>
            <m:ctrlPr>
              <w:rPr>
                <w:rFonts w:ascii="Cambria Math" w:hAnsi="Cambria Math"/>
                <w:i/>
                <w:iCs/>
                <w:highlight w:val="yellow"/>
                <w:lang w:val="fr-FR"/>
              </w:rPr>
            </m:ctrlPr>
          </m:naryPr>
          <m:sub>
            <m:r>
              <m:rPr>
                <m:nor/>
              </m:rPr>
              <w:rPr>
                <w:i/>
                <w:iCs/>
                <w:highlight w:val="yellow"/>
              </w:rPr>
              <m:t>t</m:t>
            </m:r>
            <m:r>
              <w:rPr>
                <w:rFonts w:ascii="Cambria Math" w:hAnsi="Cambria Math"/>
                <w:highlight w:val="yellow"/>
              </w:rPr>
              <m:t>=</m:t>
            </m:r>
            <m:r>
              <m:rPr>
                <m:nor/>
              </m:rPr>
              <w:rPr>
                <w:i/>
                <w:iCs/>
                <w:highlight w:val="yellow"/>
              </w:rPr>
              <m:t>0</m:t>
            </m:r>
          </m:sub>
          <m:sup>
            <m:r>
              <w:rPr>
                <w:rFonts w:ascii="Cambria Math" w:hAnsi="Cambria Math"/>
                <w:highlight w:val="yellow"/>
              </w:rPr>
              <m:t>∞</m:t>
            </m:r>
          </m:sup>
          <m:e>
            <m:sSup>
              <m:sSupPr>
                <m:ctrlPr>
                  <w:rPr>
                    <w:rFonts w:ascii="Cambria Math" w:hAnsi="Cambria Math"/>
                    <w:i/>
                    <w:iCs/>
                    <w:highlight w:val="yellow"/>
                    <w:lang w:val="fr-FR"/>
                  </w:rPr>
                </m:ctrlPr>
              </m:sSupPr>
              <m:e>
                <m:r>
                  <m:rPr>
                    <m:nor/>
                  </m:rPr>
                  <w:rPr>
                    <w:i/>
                    <w:iCs/>
                    <w:highlight w:val="yellow"/>
                  </w:rPr>
                  <m:t>β</m:t>
                </m:r>
              </m:e>
              <m:sup>
                <m:r>
                  <m:rPr>
                    <m:nor/>
                  </m:rPr>
                  <w:rPr>
                    <w:i/>
                    <w:iCs/>
                    <w:highlight w:val="yellow"/>
                  </w:rPr>
                  <m:t>t</m:t>
                </m:r>
              </m:sup>
            </m:sSup>
            <m:r>
              <w:rPr>
                <w:rFonts w:ascii="Cambria Math" w:hAnsi="Cambria Math"/>
                <w:highlight w:val="yellow"/>
              </w:rPr>
              <m:t>∙</m:t>
            </m:r>
            <m:r>
              <m:rPr>
                <m:nor/>
              </m:rPr>
              <w:rPr>
                <w:i/>
                <w:iCs/>
                <w:highlight w:val="yellow"/>
              </w:rPr>
              <m:t>U</m:t>
            </m:r>
            <m:d>
              <m:dPr>
                <m:ctrlPr>
                  <w:rPr>
                    <w:rFonts w:ascii="Cambria Math" w:hAnsi="Cambria Math"/>
                    <w:i/>
                    <w:iCs/>
                    <w:highlight w:val="yellow"/>
                  </w:rPr>
                </m:ctrlPr>
              </m:dPr>
              <m:e>
                <m:sSub>
                  <m:sSubPr>
                    <m:ctrlPr>
                      <w:rPr>
                        <w:rFonts w:ascii="Cambria Math" w:hAnsi="Cambria Math"/>
                        <w:i/>
                        <w:highlight w:val="yellow"/>
                      </w:rPr>
                    </m:ctrlPr>
                  </m:sSubPr>
                  <m:e>
                    <m:r>
                      <m:rPr>
                        <m:nor/>
                      </m:rPr>
                      <w:rPr>
                        <w:i/>
                        <w:highlight w:val="yellow"/>
                      </w:rPr>
                      <m:t>C</m:t>
                    </m:r>
                  </m:e>
                  <m:sub>
                    <m:r>
                      <m:rPr>
                        <m:nor/>
                      </m:rPr>
                      <w:rPr>
                        <w:i/>
                        <w:highlight w:val="yellow"/>
                      </w:rPr>
                      <m:t>t</m:t>
                    </m:r>
                  </m:sub>
                </m:sSub>
                <m:r>
                  <w:rPr>
                    <w:rFonts w:ascii="Cambria Math" w:hAnsi="Cambria Math"/>
                    <w:highlight w:val="yellow"/>
                  </w:rPr>
                  <m:t>,</m:t>
                </m:r>
                <m:sSub>
                  <m:sSubPr>
                    <m:ctrlPr>
                      <w:rPr>
                        <w:rFonts w:ascii="Cambria Math" w:hAnsi="Cambria Math"/>
                        <w:i/>
                        <w:highlight w:val="yellow"/>
                      </w:rPr>
                    </m:ctrlPr>
                  </m:sSubPr>
                  <m:e>
                    <m:r>
                      <m:rPr>
                        <m:nor/>
                      </m:rPr>
                      <w:rPr>
                        <w:i/>
                        <w:highlight w:val="yellow"/>
                      </w:rPr>
                      <m:t>N</m:t>
                    </m:r>
                  </m:e>
                  <m:sub>
                    <m:r>
                      <m:rPr>
                        <m:nor/>
                      </m:rPr>
                      <w:rPr>
                        <w:i/>
                        <w:highlight w:val="yellow"/>
                      </w:rPr>
                      <m:t>t</m:t>
                    </m:r>
                  </m:sub>
                </m:sSub>
              </m:e>
            </m:d>
          </m:e>
        </m:nary>
      </m:oMath>
      <w:r>
        <w:rPr>
          <w:rFonts w:eastAsiaTheme="minorEastAsia"/>
        </w:rPr>
        <w:t>):</w:t>
      </w:r>
    </w:p>
    <w:p w14:paraId="40D20B12" w14:textId="77777777" w:rsidR="00AF4A86" w:rsidRPr="002A29AC" w:rsidRDefault="00000000" w:rsidP="00AF4A86">
      <w:pPr>
        <w:keepNext/>
        <w:rPr>
          <w:rFonts w:eastAsiaTheme="minorEastAsia"/>
          <w:i/>
          <w:lang w:val="fr-FR"/>
        </w:rPr>
      </w:pPr>
      <m:oMathPara>
        <m:oMath>
          <m:m>
            <m:mPr>
              <m:mcs>
                <m:mc>
                  <m:mcPr>
                    <m:count m:val="1"/>
                    <m:mcJc m:val="center"/>
                  </m:mcPr>
                </m:mc>
              </m:mcs>
              <m:ctrlPr>
                <w:rPr>
                  <w:rFonts w:ascii="Cambria Math" w:eastAsiaTheme="minorEastAsia" w:hAnsi="Cambria Math"/>
                  <w:i/>
                  <w:highlight w:val="yellow"/>
                </w:rPr>
              </m:ctrlPr>
            </m:mPr>
            <m:mr>
              <m:e>
                <m:func>
                  <m:funcPr>
                    <m:ctrlPr>
                      <w:rPr>
                        <w:rFonts w:ascii="Cambria Math" w:eastAsiaTheme="minorEastAsia" w:hAnsi="Cambria Math"/>
                        <w:i/>
                        <w:highlight w:val="yellow"/>
                      </w:rPr>
                    </m:ctrlPr>
                  </m:funcPr>
                  <m:fName>
                    <m:limLow>
                      <m:limLowPr>
                        <m:ctrlPr>
                          <w:rPr>
                            <w:rFonts w:ascii="Cambria Math" w:eastAsiaTheme="minorEastAsia" w:hAnsi="Cambria Math"/>
                            <w:i/>
                            <w:highlight w:val="yellow"/>
                          </w:rPr>
                        </m:ctrlPr>
                      </m:limLowPr>
                      <m:e>
                        <m:r>
                          <m:rPr>
                            <m:nor/>
                          </m:rPr>
                          <w:rPr>
                            <w:i/>
                            <w:iCs/>
                            <w:highlight w:val="yellow"/>
                            <w:lang w:val="fr-FR"/>
                          </w:rPr>
                          <m:t>max</m:t>
                        </m:r>
                      </m:e>
                      <m:lim>
                        <m:d>
                          <m:dPr>
                            <m:begChr m:val="{"/>
                            <m:endChr m:val="}"/>
                            <m:ctrlPr>
                              <w:rPr>
                                <w:rFonts w:ascii="Cambria Math" w:hAnsi="Cambria Math"/>
                                <w:i/>
                                <w:highlight w:val="yellow"/>
                              </w:rPr>
                            </m:ctrlPr>
                          </m:dPr>
                          <m:e>
                            <m:sSub>
                              <m:sSubPr>
                                <m:ctrlPr>
                                  <w:rPr>
                                    <w:rFonts w:ascii="Cambria Math" w:hAnsi="Cambria Math"/>
                                    <w:i/>
                                    <w:highlight w:val="yellow"/>
                                  </w:rPr>
                                </m:ctrlPr>
                              </m:sSubPr>
                              <m:e>
                                <m:r>
                                  <m:rPr>
                                    <m:nor/>
                                  </m:rPr>
                                  <w:rPr>
                                    <w:i/>
                                    <w:highlight w:val="yellow"/>
                                    <w:lang w:val="fr-FR"/>
                                  </w:rPr>
                                  <m:t>C</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N</m:t>
                                </m:r>
                              </m:e>
                              <m:sub>
                                <m:r>
                                  <m:rPr>
                                    <m:nor/>
                                  </m:rPr>
                                  <w:rPr>
                                    <w:i/>
                                    <w:highlight w:val="yellow"/>
                                    <w:lang w:val="fr-FR"/>
                                  </w:rPr>
                                  <m:t>t</m:t>
                                </m:r>
                              </m:sub>
                            </m:sSub>
                          </m:e>
                        </m:d>
                      </m:lim>
                    </m:limLow>
                    <m:r>
                      <w:rPr>
                        <w:rFonts w:ascii="Cambria Math" w:eastAsiaTheme="minorEastAsia" w:hAnsi="Cambria Math"/>
                        <w:highlight w:val="yellow"/>
                        <w:lang w:val="fr-FR"/>
                      </w:rPr>
                      <m:t xml:space="preserve">                                  </m:t>
                    </m:r>
                  </m:fName>
                  <m:e>
                    <m:sSub>
                      <m:sSubPr>
                        <m:ctrlPr>
                          <w:rPr>
                            <w:rFonts w:ascii="Cambria Math" w:hAnsi="Cambria Math"/>
                            <w:i/>
                            <w:highlight w:val="yellow"/>
                          </w:rPr>
                        </m:ctrlPr>
                      </m:sSubPr>
                      <m:e>
                        <m:r>
                          <m:rPr>
                            <m:nor/>
                          </m:rPr>
                          <w:rPr>
                            <w:i/>
                            <w:highlight w:val="yellow"/>
                            <w:lang w:val="fr-FR"/>
                          </w:rPr>
                          <m:t>E</m:t>
                        </m:r>
                      </m:e>
                      <m:sub>
                        <m:r>
                          <m:rPr>
                            <m:nor/>
                          </m:rPr>
                          <w:rPr>
                            <w:i/>
                            <w:highlight w:val="yellow"/>
                            <w:lang w:val="fr-FR"/>
                          </w:rPr>
                          <m:t>0</m:t>
                        </m:r>
                      </m:sub>
                    </m:sSub>
                    <m:nary>
                      <m:naryPr>
                        <m:chr m:val="∑"/>
                        <m:limLoc m:val="undOvr"/>
                        <m:ctrlPr>
                          <w:rPr>
                            <w:rFonts w:ascii="Cambria Math" w:hAnsi="Cambria Math"/>
                            <w:i/>
                            <w:iCs/>
                            <w:highlight w:val="yellow"/>
                            <w:lang w:val="fr-FR"/>
                          </w:rPr>
                        </m:ctrlPr>
                      </m:naryPr>
                      <m:sub>
                        <m:r>
                          <m:rPr>
                            <m:nor/>
                          </m:rPr>
                          <w:rPr>
                            <w:i/>
                            <w:iCs/>
                            <w:highlight w:val="yellow"/>
                            <w:lang w:val="fr-FR"/>
                          </w:rPr>
                          <m:t>t</m:t>
                        </m:r>
                        <m:r>
                          <w:rPr>
                            <w:rFonts w:ascii="Cambria Math" w:hAnsi="Cambria Math"/>
                            <w:highlight w:val="yellow"/>
                            <w:lang w:val="fr-FR"/>
                          </w:rPr>
                          <m:t>=</m:t>
                        </m:r>
                        <m:r>
                          <m:rPr>
                            <m:nor/>
                          </m:rPr>
                          <w:rPr>
                            <w:i/>
                            <w:iCs/>
                            <w:highlight w:val="yellow"/>
                            <w:lang w:val="fr-FR"/>
                          </w:rPr>
                          <m:t>0</m:t>
                        </m:r>
                      </m:sub>
                      <m:sup>
                        <m:r>
                          <w:rPr>
                            <w:rFonts w:ascii="Cambria Math" w:hAnsi="Cambria Math"/>
                            <w:highlight w:val="yellow"/>
                            <w:lang w:val="fr-FR"/>
                          </w:rPr>
                          <m:t>∞</m:t>
                        </m:r>
                      </m:sup>
                      <m:e>
                        <m:sSup>
                          <m:sSupPr>
                            <m:ctrlPr>
                              <w:rPr>
                                <w:rFonts w:ascii="Cambria Math" w:hAnsi="Cambria Math"/>
                                <w:i/>
                                <w:iCs/>
                                <w:highlight w:val="yellow"/>
                                <w:lang w:val="fr-FR"/>
                              </w:rPr>
                            </m:ctrlPr>
                          </m:sSupPr>
                          <m:e>
                            <m:r>
                              <m:rPr>
                                <m:nor/>
                              </m:rPr>
                              <w:rPr>
                                <w:i/>
                                <w:iCs/>
                                <w:highlight w:val="yellow"/>
                              </w:rPr>
                              <m:t>β</m:t>
                            </m:r>
                          </m:e>
                          <m:sup>
                            <m:r>
                              <m:rPr>
                                <m:nor/>
                              </m:rPr>
                              <w:rPr>
                                <w:i/>
                                <w:iCs/>
                                <w:highlight w:val="yellow"/>
                                <w:lang w:val="fr-FR"/>
                              </w:rPr>
                              <m:t>t</m:t>
                            </m:r>
                          </m:sup>
                        </m:sSup>
                        <m:r>
                          <w:rPr>
                            <w:rFonts w:ascii="Cambria Math" w:hAnsi="Cambria Math"/>
                            <w:highlight w:val="yellow"/>
                            <w:lang w:val="fr-FR"/>
                          </w:rPr>
                          <m:t>∙</m:t>
                        </m:r>
                        <m:r>
                          <m:rPr>
                            <m:nor/>
                          </m:rPr>
                          <w:rPr>
                            <w:i/>
                            <w:iCs/>
                            <w:highlight w:val="yellow"/>
                            <w:lang w:val="fr-FR"/>
                          </w:rPr>
                          <m:t>U</m:t>
                        </m:r>
                        <m:d>
                          <m:dPr>
                            <m:ctrlPr>
                              <w:rPr>
                                <w:rFonts w:ascii="Cambria Math" w:hAnsi="Cambria Math"/>
                                <w:i/>
                                <w:iCs/>
                                <w:highlight w:val="yellow"/>
                              </w:rPr>
                            </m:ctrlPr>
                          </m:dPr>
                          <m:e>
                            <m:sSub>
                              <m:sSubPr>
                                <m:ctrlPr>
                                  <w:rPr>
                                    <w:rFonts w:ascii="Cambria Math" w:hAnsi="Cambria Math"/>
                                    <w:i/>
                                    <w:highlight w:val="yellow"/>
                                  </w:rPr>
                                </m:ctrlPr>
                              </m:sSubPr>
                              <m:e>
                                <m:r>
                                  <m:rPr>
                                    <m:nor/>
                                  </m:rPr>
                                  <w:rPr>
                                    <w:i/>
                                    <w:highlight w:val="yellow"/>
                                    <w:lang w:val="fr-FR"/>
                                  </w:rPr>
                                  <m:t>C</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N</m:t>
                                </m:r>
                              </m:e>
                              <m:sub>
                                <m:r>
                                  <m:rPr>
                                    <m:nor/>
                                  </m:rPr>
                                  <w:rPr>
                                    <w:i/>
                                    <w:highlight w:val="yellow"/>
                                    <w:lang w:val="fr-FR"/>
                                  </w:rPr>
                                  <m:t>t</m:t>
                                </m:r>
                              </m:sub>
                            </m:sSub>
                          </m:e>
                        </m:d>
                      </m:e>
                    </m:nary>
                  </m:e>
                </m:func>
                <m:r>
                  <w:rPr>
                    <w:rFonts w:ascii="Cambria Math" w:eastAsiaTheme="minorEastAsia" w:hAnsi="Cambria Math"/>
                    <w:highlight w:val="yellow"/>
                    <w:lang w:val="fr-FR"/>
                  </w:rPr>
                  <m:t xml:space="preserve">                                      </m:t>
                </m:r>
              </m:e>
            </m:mr>
            <m:mr>
              <m:e>
                <m:m>
                  <m:mPr>
                    <m:mcs>
                      <m:mc>
                        <m:mcPr>
                          <m:count m:val="2"/>
                          <m:mcJc m:val="center"/>
                        </m:mcPr>
                      </m:mc>
                    </m:mcs>
                    <m:ctrlPr>
                      <w:rPr>
                        <w:rFonts w:ascii="Cambria Math" w:eastAsiaTheme="minorEastAsia" w:hAnsi="Cambria Math"/>
                        <w:i/>
                        <w:highlight w:val="yellow"/>
                      </w:rPr>
                    </m:ctrlPr>
                  </m:mPr>
                  <m:mr>
                    <m:e>
                      <m:r>
                        <m:rPr>
                          <m:nor/>
                        </m:rPr>
                        <w:rPr>
                          <w:i/>
                          <w:highlight w:val="yellow"/>
                          <w:lang w:val="fr-FR"/>
                        </w:rPr>
                        <m:t>s.a</m:t>
                      </m:r>
                    </m:e>
                    <m:e>
                      <m:d>
                        <m:dPr>
                          <m:begChr m:val="{"/>
                          <m:endChr m:val=""/>
                          <m:ctrlPr>
                            <w:rPr>
                              <w:rFonts w:ascii="Cambria Math" w:hAnsi="Cambria Math"/>
                              <w:i/>
                              <w:highlight w:val="yellow"/>
                            </w:rPr>
                          </m:ctrlPr>
                        </m:dPr>
                        <m:e>
                          <m:nary>
                            <m:naryPr>
                              <m:limLoc m:val="subSup"/>
                              <m:ctrlPr>
                                <w:rPr>
                                  <w:rFonts w:ascii="Cambria Math" w:hAnsi="Cambria Math"/>
                                  <w:i/>
                                  <w:highlight w:val="yellow"/>
                                </w:rPr>
                              </m:ctrlPr>
                            </m:naryPr>
                            <m:sub>
                              <m:r>
                                <m:rPr>
                                  <m:nor/>
                                </m:rPr>
                                <w:rPr>
                                  <w:i/>
                                  <w:highlight w:val="yellow"/>
                                  <w:lang w:val="fr-FR"/>
                                </w:rPr>
                                <m:t>0</m:t>
                              </m:r>
                            </m:sub>
                            <m:sup>
                              <m:r>
                                <m:rPr>
                                  <m:nor/>
                                </m:rPr>
                                <w:rPr>
                                  <w:i/>
                                  <w:highlight w:val="yellow"/>
                                  <w:lang w:val="fr-FR"/>
                                </w:rPr>
                                <m:t>1</m:t>
                              </m:r>
                            </m:sup>
                            <m:e>
                              <m:sSub>
                                <m:sSubPr>
                                  <m:ctrlPr>
                                    <w:rPr>
                                      <w:rFonts w:ascii="Cambria Math" w:hAnsi="Cambria Math"/>
                                      <w:i/>
                                      <w:highlight w:val="yellow"/>
                                    </w:rPr>
                                  </m:ctrlPr>
                                </m:sSubPr>
                                <m:e>
                                  <m:r>
                                    <m:rPr>
                                      <m:nor/>
                                    </m:rPr>
                                    <w:rPr>
                                      <w:i/>
                                      <w:highlight w:val="yellow"/>
                                      <w:lang w:val="fr-FR"/>
                                    </w:rPr>
                                    <m:t>P</m:t>
                                  </m:r>
                                </m:e>
                                <m:sub>
                                  <m:r>
                                    <m:rPr>
                                      <m:nor/>
                                    </m:rPr>
                                    <w:rPr>
                                      <w:i/>
                                      <w:highlight w:val="yellow"/>
                                      <w:lang w:val="fr-FR"/>
                                    </w:rPr>
                                    <m:t>t</m:t>
                                  </m:r>
                                </m:sub>
                              </m:sSub>
                              <m:d>
                                <m:dPr>
                                  <m:ctrlPr>
                                    <w:rPr>
                                      <w:rFonts w:ascii="Cambria Math" w:hAnsi="Cambria Math"/>
                                      <w:i/>
                                      <w:highlight w:val="yellow"/>
                                    </w:rPr>
                                  </m:ctrlPr>
                                </m:dPr>
                                <m:e>
                                  <m:r>
                                    <m:rPr>
                                      <m:nor/>
                                    </m:rPr>
                                    <w:rPr>
                                      <w:i/>
                                      <w:highlight w:val="yellow"/>
                                      <w:lang w:val="fr-FR"/>
                                    </w:rPr>
                                    <m:t>i</m:t>
                                  </m:r>
                                </m:e>
                              </m:d>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C</m:t>
                                  </m:r>
                                </m:e>
                                <m:sub>
                                  <m:r>
                                    <m:rPr>
                                      <m:nor/>
                                    </m:rPr>
                                    <w:rPr>
                                      <w:i/>
                                      <w:highlight w:val="yellow"/>
                                      <w:lang w:val="fr-FR"/>
                                    </w:rPr>
                                    <m:t>t</m:t>
                                  </m:r>
                                </m:sub>
                              </m:sSub>
                              <m:d>
                                <m:dPr>
                                  <m:ctrlPr>
                                    <w:rPr>
                                      <w:rFonts w:ascii="Cambria Math" w:hAnsi="Cambria Math"/>
                                      <w:i/>
                                      <w:highlight w:val="yellow"/>
                                    </w:rPr>
                                  </m:ctrlPr>
                                </m:dPr>
                                <m:e>
                                  <m:r>
                                    <m:rPr>
                                      <m:nor/>
                                    </m:rPr>
                                    <w:rPr>
                                      <w:i/>
                                      <w:highlight w:val="yellow"/>
                                      <w:lang w:val="fr-FR"/>
                                    </w:rPr>
                                    <m:t>i</m:t>
                                  </m:r>
                                </m:e>
                              </m:d>
                              <m:r>
                                <m:rPr>
                                  <m:nor/>
                                </m:rPr>
                                <w:rPr>
                                  <w:i/>
                                  <w:highlight w:val="yellow"/>
                                  <w:lang w:val="fr-FR"/>
                                </w:rPr>
                                <m:t xml:space="preserve"> di</m:t>
                              </m:r>
                            </m:e>
                          </m:nary>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Q</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B</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B</m:t>
                              </m:r>
                            </m:e>
                            <m:sub>
                              <m:r>
                                <m:rPr>
                                  <m:nor/>
                                </m:rPr>
                                <w:rPr>
                                  <w:i/>
                                  <w:highlight w:val="yellow"/>
                                  <w:lang w:val="fr-FR"/>
                                </w:rPr>
                                <m:t>t</m:t>
                              </m:r>
                              <m:r>
                                <w:rPr>
                                  <w:rFonts w:ascii="Cambria Math" w:hAnsi="Cambria Math"/>
                                  <w:highlight w:val="yellow"/>
                                  <w:lang w:val="fr-FR"/>
                                </w:rPr>
                                <m:t>-</m:t>
                              </m:r>
                              <m:r>
                                <m:rPr>
                                  <m:nor/>
                                </m:rPr>
                                <w:rPr>
                                  <w:i/>
                                  <w:highlight w:val="yellow"/>
                                  <w:lang w:val="fr-FR"/>
                                </w:rPr>
                                <m:t>1</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W</m:t>
                              </m:r>
                            </m:e>
                            <m:sub>
                              <m:r>
                                <m:rPr>
                                  <m:nor/>
                                </m:rPr>
                                <w:rPr>
                                  <w:i/>
                                  <w:highlight w:val="yellow"/>
                                  <w:lang w:val="fr-FR"/>
                                </w:rPr>
                                <m:t>t</m:t>
                              </m:r>
                            </m:sub>
                          </m:sSub>
                          <m:sSub>
                            <m:sSubPr>
                              <m:ctrlPr>
                                <w:rPr>
                                  <w:rFonts w:ascii="Cambria Math" w:hAnsi="Cambria Math"/>
                                  <w:i/>
                                  <w:highlight w:val="yellow"/>
                                </w:rPr>
                              </m:ctrlPr>
                            </m:sSubPr>
                            <m:e>
                              <m:r>
                                <w:rPr>
                                  <w:rFonts w:ascii="Cambria Math" w:hAnsi="Cambria Math"/>
                                  <w:highlight w:val="yellow"/>
                                  <w:lang w:val="fr-FR"/>
                                </w:rPr>
                                <m:t>∙</m:t>
                              </m:r>
                              <m:r>
                                <m:rPr>
                                  <m:nor/>
                                </m:rPr>
                                <w:rPr>
                                  <w:i/>
                                  <w:highlight w:val="yellow"/>
                                  <w:lang w:val="fr-FR"/>
                                </w:rPr>
                                <m:t>N</m:t>
                              </m:r>
                            </m:e>
                            <m:sub>
                              <m:r>
                                <m:rPr>
                                  <m:nor/>
                                </m:rPr>
                                <w:rPr>
                                  <w:i/>
                                  <w:highlight w:val="yellow"/>
                                  <w:lang w:val="fr-FR"/>
                                </w:rPr>
                                <m:t>t</m:t>
                              </m:r>
                            </m:sub>
                          </m:sSub>
                          <m:r>
                            <w:rPr>
                              <w:rFonts w:ascii="Cambria Math" w:hAnsi="Cambria Math"/>
                              <w:highlight w:val="yellow"/>
                              <w:lang w:val="fr-FR"/>
                            </w:rPr>
                            <m:t>+</m:t>
                          </m:r>
                          <m:sSub>
                            <m:sSubPr>
                              <m:ctrlPr>
                                <w:rPr>
                                  <w:rFonts w:ascii="Cambria Math" w:hAnsi="Cambria Math"/>
                                  <w:i/>
                                  <w:highlight w:val="yellow"/>
                                </w:rPr>
                              </m:ctrlPr>
                            </m:sSubPr>
                            <m:e>
                              <m:r>
                                <m:rPr>
                                  <m:nor/>
                                </m:rPr>
                                <w:rPr>
                                  <w:i/>
                                  <w:highlight w:val="yellow"/>
                                  <w:lang w:val="fr-FR"/>
                                </w:rPr>
                                <m:t>T</m:t>
                              </m:r>
                            </m:e>
                            <m:sub>
                              <m:r>
                                <m:rPr>
                                  <m:nor/>
                                </m:rPr>
                                <w:rPr>
                                  <w:i/>
                                  <w:highlight w:val="yellow"/>
                                  <w:lang w:val="fr-FR"/>
                                </w:rPr>
                                <m:t>t</m:t>
                              </m:r>
                            </m:sub>
                          </m:sSub>
                        </m:e>
                      </m:d>
                    </m:e>
                  </m:mr>
                </m:m>
              </m:e>
            </m:mr>
          </m:m>
        </m:oMath>
      </m:oMathPara>
    </w:p>
    <w:p w14:paraId="54FF7D84" w14:textId="77777777" w:rsidR="00AF4A86" w:rsidRDefault="00AF4A86" w:rsidP="00AF4A86">
      <w:pPr>
        <w:rPr>
          <w:rFonts w:eastAsiaTheme="minorEastAsia"/>
        </w:rPr>
      </w:pPr>
      <w:r w:rsidRPr="00495B66">
        <w:rPr>
          <w:rFonts w:eastAsiaTheme="minorEastAsia"/>
        </w:rPr>
        <w:t xml:space="preserve">El problema del hogar </w:t>
      </w:r>
      <w:r>
        <w:rPr>
          <w:rFonts w:eastAsiaTheme="minorEastAsia"/>
        </w:rPr>
        <w:t xml:space="preserve">incluye dos etapas. Primero debe decidir cómo repartir un nivel de consumo fijo entre los diversos bienes en función de su precio. Luego debe seleccionar su consumo y oferta de trabajo </w:t>
      </w:r>
      <w:proofErr w:type="spellStart"/>
      <w:r>
        <w:rPr>
          <w:rFonts w:eastAsiaTheme="minorEastAsia"/>
        </w:rPr>
        <w:t>intertemporal</w:t>
      </w:r>
      <w:proofErr w:type="spellEnd"/>
      <w:r>
        <w:rPr>
          <w:rFonts w:eastAsiaTheme="minorEastAsia"/>
        </w:rPr>
        <w:t>.</w:t>
      </w:r>
    </w:p>
    <w:p w14:paraId="687F11D5" w14:textId="77777777" w:rsidR="00AF4A86" w:rsidRDefault="00AF4A86" w:rsidP="00AF4A86">
      <w:pPr>
        <w:rPr>
          <w:rFonts w:eastAsiaTheme="minorEastAsia"/>
        </w:rPr>
      </w:pPr>
      <w:r>
        <w:rPr>
          <w:rFonts w:eastAsiaTheme="minorEastAsia"/>
        </w:rPr>
        <w:t>La solución de la primera etapa se reduce a un problema de maximización estático …</w:t>
      </w:r>
    </w:p>
    <w:p w14:paraId="6DDC1342" w14:textId="77777777" w:rsidR="00AF4A86" w:rsidRDefault="00AF4A86" w:rsidP="00AF4A86">
      <w:pPr>
        <w:rPr>
          <w:rFonts w:eastAsiaTheme="minorEastAsia"/>
        </w:rPr>
      </w:pPr>
      <w:r>
        <w:rPr>
          <w:rFonts w:eastAsiaTheme="minorEastAsia"/>
        </w:rPr>
        <w:t>La segunda etapa consiste en resolver el problema dinámico. Este puede resolverse de nuevo mediante el método de multiplicadores de Lagrange con las condiciones de primero orden:</w:t>
      </w:r>
    </w:p>
    <w:p w14:paraId="2EDBC6FC" w14:textId="77777777" w:rsidR="00AF4A86" w:rsidRDefault="00AF4A86" w:rsidP="00AF4A86">
      <w:pPr>
        <w:rPr>
          <w:rFonts w:eastAsiaTheme="minorEastAsia"/>
        </w:rPr>
      </w:pPr>
      <w:r>
        <w:rPr>
          <w:rFonts w:eastAsiaTheme="minorEastAsia"/>
        </w:rPr>
        <w:t>…</w:t>
      </w:r>
    </w:p>
    <w:p w14:paraId="406D7CB3" w14:textId="77777777" w:rsidR="00AF4A86" w:rsidRPr="00495B66" w:rsidRDefault="00AF4A86" w:rsidP="00AF4A86">
      <w:pPr>
        <w:rPr>
          <w:rFonts w:eastAsiaTheme="minorEastAsia"/>
        </w:rPr>
      </w:pPr>
    </w:p>
    <w:p w14:paraId="4355BFFC" w14:textId="77777777" w:rsidR="00AF4A86" w:rsidRPr="00AF4A86" w:rsidRDefault="00AF4A86" w:rsidP="00AF4A86">
      <w:pPr>
        <w:keepNext/>
        <w:spacing w:before="80" w:after="40"/>
        <w:ind w:left="567"/>
        <w:rPr>
          <w:i/>
          <w:iCs/>
          <w:color w:val="5F2987"/>
          <w:spacing w:val="-4"/>
          <w:u w:val="dash"/>
        </w:rPr>
      </w:pPr>
      <w:r w:rsidRPr="00AF4A86">
        <w:rPr>
          <w:i/>
          <w:iCs/>
          <w:color w:val="5F2987"/>
          <w:spacing w:val="-4"/>
          <w:u w:val="dash"/>
        </w:rPr>
        <w:t>Empresas</w:t>
      </w:r>
    </w:p>
    <w:p w14:paraId="4BB30209" w14:textId="77777777" w:rsidR="00AF4A86" w:rsidRPr="00AF4A86" w:rsidRDefault="00AF4A86" w:rsidP="00AF4A86">
      <w:pPr>
        <w:keepNext/>
        <w:spacing w:before="80" w:after="40"/>
        <w:ind w:left="567"/>
        <w:rPr>
          <w:i/>
          <w:iCs/>
          <w:color w:val="5F2987"/>
          <w:spacing w:val="-4"/>
          <w:u w:val="dash"/>
        </w:rPr>
      </w:pPr>
      <w:r w:rsidRPr="00AF4A86">
        <w:rPr>
          <w:i/>
          <w:iCs/>
          <w:color w:val="5F2987"/>
          <w:spacing w:val="-4"/>
          <w:u w:val="dash"/>
        </w:rPr>
        <w:t>Equilibrio (</w:t>
      </w:r>
      <w:proofErr w:type="spellStart"/>
      <w:r w:rsidRPr="00AF4A86">
        <w:rPr>
          <w:i/>
          <w:iCs/>
          <w:color w:val="5F2987"/>
          <w:spacing w:val="-4"/>
          <w:u w:val="dash"/>
        </w:rPr>
        <w:t>Aggregate</w:t>
      </w:r>
      <w:proofErr w:type="spellEnd"/>
      <w:r w:rsidRPr="00AF4A86">
        <w:rPr>
          <w:i/>
          <w:iCs/>
          <w:color w:val="5F2987"/>
          <w:spacing w:val="-4"/>
          <w:u w:val="dash"/>
        </w:rPr>
        <w:t xml:space="preserve"> Price Dynamics)</w:t>
      </w:r>
    </w:p>
    <w:p w14:paraId="2D61E4CB" w14:textId="77777777" w:rsidR="00AF4A86" w:rsidRDefault="00AF4A86" w:rsidP="00AF4A86">
      <w:r>
        <w:rPr>
          <w:noProof/>
        </w:rPr>
        <w:drawing>
          <wp:inline distT="0" distB="0" distL="0" distR="0" wp14:anchorId="3B3B87A4" wp14:editId="75CF6A2E">
            <wp:extent cx="3279820" cy="2045677"/>
            <wp:effectExtent l="0" t="0" r="0" b="0"/>
            <wp:docPr id="1" name="Picture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nterfaz de usuario gráfica&#10;&#10;Descripción generada automáticamente con confianza media"/>
                    <pic:cNvPicPr/>
                  </pic:nvPicPr>
                  <pic:blipFill>
                    <a:blip r:embed="rId58"/>
                    <a:stretch>
                      <a:fillRect/>
                    </a:stretch>
                  </pic:blipFill>
                  <pic:spPr>
                    <a:xfrm>
                      <a:off x="0" y="0"/>
                      <a:ext cx="3301162" cy="2058988"/>
                    </a:xfrm>
                    <a:prstGeom prst="rect">
                      <a:avLst/>
                    </a:prstGeom>
                  </pic:spPr>
                </pic:pic>
              </a:graphicData>
            </a:graphic>
          </wp:inline>
        </w:drawing>
      </w:r>
    </w:p>
    <w:p w14:paraId="1F930B34" w14:textId="77777777" w:rsidR="00AF4A86" w:rsidRPr="00C94258" w:rsidRDefault="00AF4A86" w:rsidP="00AF4A86">
      <w:r>
        <w:rPr>
          <w:smallCaps/>
        </w:rPr>
        <w:t>Nakamura</w:t>
      </w:r>
      <w:r>
        <w:t xml:space="preserve"> y </w:t>
      </w:r>
      <w:proofErr w:type="spellStart"/>
      <w:r>
        <w:rPr>
          <w:smallCaps/>
        </w:rPr>
        <w:t>Steinsson</w:t>
      </w:r>
      <w:proofErr w:type="spellEnd"/>
      <w:r>
        <w:t xml:space="preserve"> (2008)</w:t>
      </w:r>
    </w:p>
    <w:p w14:paraId="672179FE" w14:textId="77777777" w:rsidR="00AF4A86" w:rsidRPr="00AF4A86" w:rsidRDefault="00AF4A86" w:rsidP="00AF4A86">
      <w:pPr>
        <w:keepNext/>
        <w:spacing w:before="120" w:after="60"/>
        <w:rPr>
          <w:b/>
          <w:bCs/>
          <w:color w:val="5F2987"/>
          <w:u w:val="single"/>
        </w:rPr>
      </w:pPr>
      <w:r w:rsidRPr="00AF4A86">
        <w:rPr>
          <w:b/>
          <w:bCs/>
          <w:color w:val="5F2987"/>
          <w:u w:val="single"/>
        </w:rPr>
        <w:lastRenderedPageBreak/>
        <w:t xml:space="preserve">Extensiones del modelo </w:t>
      </w:r>
      <w:proofErr w:type="spellStart"/>
      <w:r w:rsidRPr="00AF4A86">
        <w:rPr>
          <w:b/>
          <w:bCs/>
          <w:color w:val="5F2987"/>
          <w:u w:val="single"/>
        </w:rPr>
        <w:t>neokeynesiano</w:t>
      </w:r>
      <w:proofErr w:type="spellEnd"/>
      <w:r w:rsidRPr="00AF4A86">
        <w:rPr>
          <w:b/>
          <w:bCs/>
          <w:color w:val="5F2987"/>
          <w:u w:val="single"/>
        </w:rPr>
        <w:t>: rigideces en salarios y fricciones financieras</w:t>
      </w:r>
    </w:p>
    <w:p w14:paraId="0A51F6A5" w14:textId="77777777" w:rsidR="00AF4A86" w:rsidRPr="00AF4A86" w:rsidRDefault="00AF4A86" w:rsidP="00AF4A86">
      <w:pPr>
        <w:keepNext/>
        <w:spacing w:before="120" w:after="60"/>
        <w:rPr>
          <w:b/>
          <w:bCs/>
          <w:color w:val="5F2987"/>
          <w:u w:val="single"/>
        </w:rPr>
      </w:pPr>
      <w:r w:rsidRPr="00AF4A86">
        <w:rPr>
          <w:b/>
          <w:bCs/>
          <w:color w:val="5F2987"/>
          <w:u w:val="single"/>
        </w:rPr>
        <w:t>El canal redistributivo de la política monetaria</w:t>
      </w:r>
    </w:p>
    <w:p w14:paraId="056FC49A" w14:textId="77777777" w:rsidR="00AF4A86" w:rsidRPr="00AF4A86" w:rsidRDefault="00AF4A86" w:rsidP="00AF4A86">
      <w:pPr>
        <w:keepNext/>
        <w:spacing w:before="120" w:after="60"/>
        <w:rPr>
          <w:b/>
          <w:bCs/>
          <w:color w:val="5F2987"/>
          <w:u w:val="single"/>
        </w:rPr>
      </w:pPr>
      <w:r w:rsidRPr="00AF4A86">
        <w:rPr>
          <w:b/>
          <w:bCs/>
          <w:color w:val="5F2987"/>
          <w:u w:val="single"/>
        </w:rPr>
        <w:t>El papel de la política fiscal en la transmisión de la política monetaria</w:t>
      </w:r>
    </w:p>
    <w:p w14:paraId="2BD60550" w14:textId="77777777" w:rsidR="00AF4A86" w:rsidRDefault="00AF4A86" w:rsidP="00AF4A86">
      <w:pPr>
        <w:jc w:val="center"/>
      </w:pPr>
      <w:r>
        <w:rPr>
          <w:noProof/>
        </w:rPr>
        <w:drawing>
          <wp:inline distT="0" distB="0" distL="0" distR="0" wp14:anchorId="31294B1E" wp14:editId="183380AA">
            <wp:extent cx="4374001" cy="3650673"/>
            <wp:effectExtent l="0" t="0" r="7620" b="6985"/>
            <wp:docPr id="4" name="Picture 4" descr="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Escala de tiempo&#10;&#10;Descripción generada automáticamente"/>
                    <pic:cNvPicPr/>
                  </pic:nvPicPr>
                  <pic:blipFill>
                    <a:blip r:embed="rId59"/>
                    <a:stretch>
                      <a:fillRect/>
                    </a:stretch>
                  </pic:blipFill>
                  <pic:spPr>
                    <a:xfrm>
                      <a:off x="0" y="0"/>
                      <a:ext cx="4383813" cy="3658863"/>
                    </a:xfrm>
                    <a:prstGeom prst="rect">
                      <a:avLst/>
                    </a:prstGeom>
                  </pic:spPr>
                </pic:pic>
              </a:graphicData>
            </a:graphic>
          </wp:inline>
        </w:drawing>
      </w:r>
    </w:p>
    <w:p w14:paraId="4C969ED6" w14:textId="2C5B12AA" w:rsidR="00AF4A86" w:rsidRDefault="00000000" w:rsidP="00AF4A86">
      <w:pPr>
        <w:ind w:left="567" w:hanging="283"/>
      </w:pPr>
      <w:hyperlink r:id="rId60" w:history="1">
        <w:r w:rsidR="00AF4A86" w:rsidRPr="008366B8">
          <w:rPr>
            <w:rStyle w:val="Hipervnculo"/>
          </w:rPr>
          <w:t>https://www.ecb.europa.eu/ecb/tasks/monpol/html/index.es.html</w:t>
        </w:r>
      </w:hyperlink>
    </w:p>
    <w:p w14:paraId="309E1294" w14:textId="2341A9E1" w:rsidR="00AF4A86" w:rsidRDefault="00000000" w:rsidP="00886959">
      <w:pPr>
        <w:ind w:left="567" w:hanging="283"/>
      </w:pPr>
      <w:hyperlink r:id="rId61" w:history="1">
        <w:r w:rsidR="00AF4A86" w:rsidRPr="008366B8">
          <w:rPr>
            <w:rStyle w:val="Hipervnculo"/>
          </w:rPr>
          <w:t>https://www.ecb.europa.eu/mopo/intro/transmission/html/index.en.html</w:t>
        </w:r>
      </w:hyperlink>
    </w:p>
    <w:sectPr w:rsidR="00AF4A86" w:rsidSect="006D4ABB">
      <w:headerReference w:type="even" r:id="rId62"/>
      <w:headerReference w:type="default" r:id="rId63"/>
      <w:footerReference w:type="even" r:id="rId64"/>
      <w:footerReference w:type="default" r:id="rId65"/>
      <w:headerReference w:type="first" r:id="rId66"/>
      <w:footerReference w:type="first" r:id="rId67"/>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E4A1D3" w14:textId="77777777" w:rsidR="009E0407" w:rsidRDefault="009E0407" w:rsidP="00B77C0F">
      <w:r>
        <w:separator/>
      </w:r>
    </w:p>
  </w:endnote>
  <w:endnote w:type="continuationSeparator" w:id="0">
    <w:p w14:paraId="6E5F3319" w14:textId="77777777" w:rsidR="009E0407" w:rsidRDefault="009E0407"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F571B" w:rsidRPr="006D4ABB" w14:paraId="2D2DC0F0" w14:textId="77777777" w:rsidTr="002320EB">
      <w:trPr>
        <w:trHeight w:val="138"/>
        <w:jc w:val="center"/>
      </w:trPr>
      <w:tc>
        <w:tcPr>
          <w:tcW w:w="1134" w:type="dxa"/>
          <w:vAlign w:val="center"/>
        </w:tcPr>
        <w:p w14:paraId="462D8D3A" w14:textId="77777777" w:rsidR="00FF571B" w:rsidRPr="006D4ABB" w:rsidRDefault="00FF571B" w:rsidP="00C44422">
          <w:pPr>
            <w:pStyle w:val="Encabezado"/>
            <w:tabs>
              <w:tab w:val="clear" w:pos="4252"/>
              <w:tab w:val="clear" w:pos="8504"/>
              <w:tab w:val="right" w:pos="924"/>
              <w:tab w:val="center" w:pos="1310"/>
            </w:tabs>
            <w:spacing w:after="0"/>
            <w:contextualSpacing/>
            <w:rPr>
              <w:i/>
              <w:iCs/>
              <w:color w:val="5F2987"/>
              <w:sz w:val="18"/>
              <w:szCs w:val="18"/>
            </w:rPr>
          </w:pPr>
          <w:r w:rsidRPr="006D4ABB">
            <w:rPr>
              <w:b/>
              <w:bCs/>
              <w:i/>
              <w:iCs/>
              <w:color w:val="5F2987"/>
              <w:spacing w:val="-6"/>
              <w:sz w:val="18"/>
              <w:szCs w:val="18"/>
            </w:rPr>
            <w:fldChar w:fldCharType="begin"/>
          </w:r>
          <w:r w:rsidRPr="006D4ABB">
            <w:rPr>
              <w:b/>
              <w:bCs/>
              <w:i/>
              <w:iCs/>
              <w:color w:val="5F2987"/>
              <w:spacing w:val="-6"/>
              <w:sz w:val="18"/>
              <w:szCs w:val="18"/>
            </w:rPr>
            <w:instrText>PAGE  \* Arabic  \* MERGEFORMAT</w:instrText>
          </w:r>
          <w:r w:rsidRPr="006D4ABB">
            <w:rPr>
              <w:b/>
              <w:bCs/>
              <w:i/>
              <w:iCs/>
              <w:color w:val="5F2987"/>
              <w:spacing w:val="-6"/>
              <w:sz w:val="18"/>
              <w:szCs w:val="18"/>
            </w:rPr>
            <w:fldChar w:fldCharType="separate"/>
          </w:r>
          <w:r w:rsidRPr="006D4ABB">
            <w:rPr>
              <w:b/>
              <w:bCs/>
              <w:i/>
              <w:iCs/>
              <w:color w:val="5F2987"/>
              <w:spacing w:val="-6"/>
              <w:sz w:val="18"/>
              <w:szCs w:val="18"/>
            </w:rPr>
            <w:t>8</w:t>
          </w:r>
          <w:r w:rsidRPr="006D4ABB">
            <w:rPr>
              <w:b/>
              <w:bCs/>
              <w:i/>
              <w:iCs/>
              <w:color w:val="5F2987"/>
              <w:spacing w:val="-6"/>
              <w:sz w:val="18"/>
              <w:szCs w:val="18"/>
            </w:rPr>
            <w:fldChar w:fldCharType="end"/>
          </w:r>
          <w:r w:rsidRPr="006D4ABB">
            <w:rPr>
              <w:b/>
              <w:bCs/>
              <w:i/>
              <w:iCs/>
              <w:color w:val="5F2987"/>
              <w:spacing w:val="-6"/>
              <w:sz w:val="18"/>
              <w:szCs w:val="18"/>
            </w:rPr>
            <w:t>/</w:t>
          </w:r>
          <w:r w:rsidRPr="006D4ABB">
            <w:rPr>
              <w:b/>
              <w:bCs/>
              <w:i/>
              <w:iCs/>
              <w:color w:val="5F2987"/>
              <w:spacing w:val="-6"/>
              <w:sz w:val="18"/>
              <w:szCs w:val="18"/>
            </w:rPr>
            <w:fldChar w:fldCharType="begin"/>
          </w:r>
          <w:r w:rsidRPr="006D4ABB">
            <w:rPr>
              <w:b/>
              <w:bCs/>
              <w:i/>
              <w:iCs/>
              <w:color w:val="5F2987"/>
              <w:spacing w:val="-6"/>
              <w:sz w:val="18"/>
              <w:szCs w:val="18"/>
            </w:rPr>
            <w:instrText>NUMPAGES  \* Arabic  \* MERGEFORMAT</w:instrText>
          </w:r>
          <w:r w:rsidRPr="006D4ABB">
            <w:rPr>
              <w:b/>
              <w:bCs/>
              <w:i/>
              <w:iCs/>
              <w:color w:val="5F2987"/>
              <w:spacing w:val="-6"/>
              <w:sz w:val="18"/>
              <w:szCs w:val="18"/>
            </w:rPr>
            <w:fldChar w:fldCharType="separate"/>
          </w:r>
          <w:r w:rsidRPr="006D4ABB">
            <w:rPr>
              <w:b/>
              <w:bCs/>
              <w:i/>
              <w:iCs/>
              <w:color w:val="5F2987"/>
              <w:spacing w:val="-6"/>
              <w:sz w:val="18"/>
              <w:szCs w:val="18"/>
            </w:rPr>
            <w:t>11</w:t>
          </w:r>
          <w:r w:rsidRPr="006D4ABB">
            <w:rPr>
              <w:b/>
              <w:bCs/>
              <w:i/>
              <w:iCs/>
              <w:color w:val="5F2987"/>
              <w:spacing w:val="-6"/>
              <w:sz w:val="18"/>
              <w:szCs w:val="18"/>
            </w:rPr>
            <w:fldChar w:fldCharType="end"/>
          </w:r>
        </w:p>
      </w:tc>
      <w:tc>
        <w:tcPr>
          <w:tcW w:w="7088" w:type="dxa"/>
          <w:vAlign w:val="center"/>
        </w:tcPr>
        <w:p w14:paraId="5C8FBAEB" w14:textId="77777777" w:rsidR="00FF571B" w:rsidRPr="006D4ABB" w:rsidRDefault="00FF571B" w:rsidP="00C44422">
          <w:pPr>
            <w:pStyle w:val="Encabezado"/>
            <w:spacing w:after="0"/>
            <w:ind w:right="-110"/>
            <w:contextualSpacing/>
            <w:jc w:val="center"/>
            <w:rPr>
              <w:i/>
              <w:iCs/>
              <w:color w:val="5F2987"/>
              <w:sz w:val="18"/>
              <w:szCs w:val="18"/>
            </w:rPr>
          </w:pPr>
        </w:p>
      </w:tc>
      <w:tc>
        <w:tcPr>
          <w:tcW w:w="2551" w:type="dxa"/>
          <w:vAlign w:val="center"/>
        </w:tcPr>
        <w:p w14:paraId="1102A2D7" w14:textId="77777777" w:rsidR="00FF571B" w:rsidRPr="006D4ABB" w:rsidRDefault="00FF571B" w:rsidP="00C44422">
          <w:pPr>
            <w:pStyle w:val="Encabezado"/>
            <w:spacing w:after="0"/>
            <w:contextualSpacing/>
            <w:jc w:val="right"/>
            <w:rPr>
              <w:b/>
              <w:bCs/>
              <w:i/>
              <w:iCs/>
              <w:color w:val="5F2987"/>
              <w:spacing w:val="-6"/>
              <w:sz w:val="18"/>
              <w:szCs w:val="18"/>
            </w:rPr>
          </w:pPr>
        </w:p>
      </w:tc>
    </w:tr>
  </w:tbl>
  <w:p w14:paraId="1DB2AE48" w14:textId="77777777" w:rsidR="00044055" w:rsidRPr="00FF571B" w:rsidRDefault="00044055" w:rsidP="00FF571B">
    <w:pPr>
      <w:pStyle w:val="Piedepgina"/>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F571B" w:rsidRPr="006D4ABB" w14:paraId="285E7C66" w14:textId="77777777" w:rsidTr="002320EB">
      <w:trPr>
        <w:trHeight w:val="138"/>
        <w:jc w:val="center"/>
      </w:trPr>
      <w:tc>
        <w:tcPr>
          <w:tcW w:w="1134" w:type="dxa"/>
          <w:vAlign w:val="center"/>
        </w:tcPr>
        <w:p w14:paraId="475D6777" w14:textId="77777777" w:rsidR="00FF571B" w:rsidRPr="006D4ABB" w:rsidRDefault="00FF571B" w:rsidP="00C4442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655717BF" w14:textId="77777777" w:rsidR="00FF571B" w:rsidRPr="006D4ABB" w:rsidRDefault="00FF571B" w:rsidP="00C44422">
          <w:pPr>
            <w:pStyle w:val="Encabezado"/>
            <w:spacing w:after="0"/>
            <w:ind w:right="-110"/>
            <w:contextualSpacing/>
            <w:jc w:val="center"/>
            <w:rPr>
              <w:i/>
              <w:iCs/>
              <w:color w:val="5F2987"/>
              <w:sz w:val="18"/>
              <w:szCs w:val="18"/>
            </w:rPr>
          </w:pPr>
        </w:p>
      </w:tc>
      <w:tc>
        <w:tcPr>
          <w:tcW w:w="2551" w:type="dxa"/>
          <w:vAlign w:val="center"/>
        </w:tcPr>
        <w:p w14:paraId="5936DA38" w14:textId="77777777" w:rsidR="00FF571B" w:rsidRPr="006D4ABB" w:rsidRDefault="00FF571B" w:rsidP="00C44422">
          <w:pPr>
            <w:pStyle w:val="Encabezado"/>
            <w:spacing w:after="0"/>
            <w:contextualSpacing/>
            <w:jc w:val="right"/>
            <w:rPr>
              <w:b/>
              <w:bCs/>
              <w:i/>
              <w:iCs/>
              <w:color w:val="5F2987"/>
              <w:spacing w:val="-6"/>
              <w:sz w:val="18"/>
              <w:szCs w:val="18"/>
            </w:rPr>
          </w:pPr>
          <w:r w:rsidRPr="006D4ABB">
            <w:rPr>
              <w:b/>
              <w:bCs/>
              <w:i/>
              <w:iCs/>
              <w:color w:val="5F2987"/>
              <w:spacing w:val="-6"/>
              <w:sz w:val="18"/>
              <w:szCs w:val="18"/>
            </w:rPr>
            <w:fldChar w:fldCharType="begin"/>
          </w:r>
          <w:r w:rsidRPr="006D4ABB">
            <w:rPr>
              <w:b/>
              <w:bCs/>
              <w:i/>
              <w:iCs/>
              <w:color w:val="5F2987"/>
              <w:spacing w:val="-6"/>
              <w:sz w:val="18"/>
              <w:szCs w:val="18"/>
            </w:rPr>
            <w:instrText>PAGE  \* Arabic  \* MERGEFORMAT</w:instrText>
          </w:r>
          <w:r w:rsidRPr="006D4ABB">
            <w:rPr>
              <w:b/>
              <w:bCs/>
              <w:i/>
              <w:iCs/>
              <w:color w:val="5F2987"/>
              <w:spacing w:val="-6"/>
              <w:sz w:val="18"/>
              <w:szCs w:val="18"/>
            </w:rPr>
            <w:fldChar w:fldCharType="separate"/>
          </w:r>
          <w:r w:rsidRPr="006D4ABB">
            <w:rPr>
              <w:b/>
              <w:bCs/>
              <w:i/>
              <w:iCs/>
              <w:color w:val="5F2987"/>
              <w:spacing w:val="-6"/>
              <w:sz w:val="18"/>
              <w:szCs w:val="18"/>
            </w:rPr>
            <w:t>1</w:t>
          </w:r>
          <w:r w:rsidRPr="006D4ABB">
            <w:rPr>
              <w:b/>
              <w:bCs/>
              <w:i/>
              <w:iCs/>
              <w:color w:val="5F2987"/>
              <w:spacing w:val="-6"/>
              <w:sz w:val="18"/>
              <w:szCs w:val="18"/>
            </w:rPr>
            <w:fldChar w:fldCharType="end"/>
          </w:r>
          <w:r w:rsidRPr="006D4ABB">
            <w:rPr>
              <w:b/>
              <w:bCs/>
              <w:i/>
              <w:iCs/>
              <w:color w:val="5F2987"/>
              <w:spacing w:val="-6"/>
              <w:sz w:val="18"/>
              <w:szCs w:val="18"/>
            </w:rPr>
            <w:t>/</w:t>
          </w:r>
          <w:r w:rsidRPr="006D4ABB">
            <w:rPr>
              <w:b/>
              <w:bCs/>
              <w:i/>
              <w:iCs/>
              <w:color w:val="5F2987"/>
              <w:spacing w:val="-6"/>
              <w:sz w:val="18"/>
              <w:szCs w:val="18"/>
            </w:rPr>
            <w:fldChar w:fldCharType="begin"/>
          </w:r>
          <w:r w:rsidRPr="006D4ABB">
            <w:rPr>
              <w:b/>
              <w:bCs/>
              <w:i/>
              <w:iCs/>
              <w:color w:val="5F2987"/>
              <w:spacing w:val="-6"/>
              <w:sz w:val="18"/>
              <w:szCs w:val="18"/>
            </w:rPr>
            <w:instrText>NUMPAGES  \* Arabic  \* MERGEFORMAT</w:instrText>
          </w:r>
          <w:r w:rsidRPr="006D4ABB">
            <w:rPr>
              <w:b/>
              <w:bCs/>
              <w:i/>
              <w:iCs/>
              <w:color w:val="5F2987"/>
              <w:spacing w:val="-6"/>
              <w:sz w:val="18"/>
              <w:szCs w:val="18"/>
            </w:rPr>
            <w:fldChar w:fldCharType="separate"/>
          </w:r>
          <w:r w:rsidRPr="006D4ABB">
            <w:rPr>
              <w:b/>
              <w:bCs/>
              <w:i/>
              <w:iCs/>
              <w:color w:val="5F2987"/>
              <w:spacing w:val="-6"/>
              <w:sz w:val="18"/>
              <w:szCs w:val="18"/>
            </w:rPr>
            <w:t>2</w:t>
          </w:r>
          <w:r w:rsidRPr="006D4ABB">
            <w:rPr>
              <w:b/>
              <w:bCs/>
              <w:i/>
              <w:iCs/>
              <w:color w:val="5F2987"/>
              <w:spacing w:val="-6"/>
              <w:sz w:val="18"/>
              <w:szCs w:val="18"/>
            </w:rPr>
            <w:fldChar w:fldCharType="end"/>
          </w:r>
        </w:p>
      </w:tc>
    </w:tr>
  </w:tbl>
  <w:p w14:paraId="00EA3243" w14:textId="03C212F1" w:rsidR="00C81078" w:rsidRPr="00FF571B" w:rsidRDefault="00C81078" w:rsidP="00FF571B">
    <w:pPr>
      <w:pStyle w:val="Piedepgina"/>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FF571B" w:rsidRPr="006D4ABB" w14:paraId="7B09E89B" w14:textId="77777777" w:rsidTr="002320EB">
      <w:trPr>
        <w:trHeight w:val="138"/>
        <w:jc w:val="center"/>
      </w:trPr>
      <w:tc>
        <w:tcPr>
          <w:tcW w:w="1134" w:type="dxa"/>
          <w:vAlign w:val="center"/>
        </w:tcPr>
        <w:p w14:paraId="592F09DE" w14:textId="77777777" w:rsidR="00FF571B" w:rsidRPr="006D4ABB" w:rsidRDefault="00FF571B" w:rsidP="00C4442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C9A668E" w14:textId="77777777" w:rsidR="00FF571B" w:rsidRPr="006D4ABB" w:rsidRDefault="00FF571B" w:rsidP="00C44422">
          <w:pPr>
            <w:pStyle w:val="Encabezado"/>
            <w:spacing w:after="0"/>
            <w:ind w:right="-110"/>
            <w:contextualSpacing/>
            <w:jc w:val="center"/>
            <w:rPr>
              <w:i/>
              <w:iCs/>
              <w:color w:val="5F2987"/>
              <w:sz w:val="18"/>
              <w:szCs w:val="18"/>
            </w:rPr>
          </w:pPr>
        </w:p>
      </w:tc>
      <w:tc>
        <w:tcPr>
          <w:tcW w:w="2551" w:type="dxa"/>
          <w:vAlign w:val="center"/>
        </w:tcPr>
        <w:p w14:paraId="4A5D5EC8" w14:textId="77777777" w:rsidR="00FF571B" w:rsidRPr="006D4ABB" w:rsidRDefault="00FF571B" w:rsidP="00C44422">
          <w:pPr>
            <w:pStyle w:val="Encabezado"/>
            <w:spacing w:after="0"/>
            <w:contextualSpacing/>
            <w:jc w:val="right"/>
            <w:rPr>
              <w:b/>
              <w:bCs/>
              <w:i/>
              <w:iCs/>
              <w:color w:val="5F2987"/>
              <w:spacing w:val="-6"/>
              <w:sz w:val="18"/>
              <w:szCs w:val="18"/>
            </w:rPr>
          </w:pPr>
          <w:r w:rsidRPr="006D4ABB">
            <w:rPr>
              <w:b/>
              <w:bCs/>
              <w:i/>
              <w:iCs/>
              <w:color w:val="5F2987"/>
              <w:spacing w:val="-6"/>
              <w:sz w:val="18"/>
              <w:szCs w:val="18"/>
            </w:rPr>
            <w:fldChar w:fldCharType="begin"/>
          </w:r>
          <w:r w:rsidRPr="006D4ABB">
            <w:rPr>
              <w:b/>
              <w:bCs/>
              <w:i/>
              <w:iCs/>
              <w:color w:val="5F2987"/>
              <w:spacing w:val="-6"/>
              <w:sz w:val="18"/>
              <w:szCs w:val="18"/>
            </w:rPr>
            <w:instrText>PAGE  \* Arabic  \* MERGEFORMAT</w:instrText>
          </w:r>
          <w:r w:rsidRPr="006D4ABB">
            <w:rPr>
              <w:b/>
              <w:bCs/>
              <w:i/>
              <w:iCs/>
              <w:color w:val="5F2987"/>
              <w:spacing w:val="-6"/>
              <w:sz w:val="18"/>
              <w:szCs w:val="18"/>
            </w:rPr>
            <w:fldChar w:fldCharType="separate"/>
          </w:r>
          <w:r w:rsidRPr="006D4ABB">
            <w:rPr>
              <w:b/>
              <w:bCs/>
              <w:i/>
              <w:iCs/>
              <w:color w:val="5F2987"/>
              <w:spacing w:val="-6"/>
              <w:sz w:val="18"/>
              <w:szCs w:val="18"/>
            </w:rPr>
            <w:t>1</w:t>
          </w:r>
          <w:r w:rsidRPr="006D4ABB">
            <w:rPr>
              <w:b/>
              <w:bCs/>
              <w:i/>
              <w:iCs/>
              <w:color w:val="5F2987"/>
              <w:spacing w:val="-6"/>
              <w:sz w:val="18"/>
              <w:szCs w:val="18"/>
            </w:rPr>
            <w:fldChar w:fldCharType="end"/>
          </w:r>
          <w:r w:rsidRPr="006D4ABB">
            <w:rPr>
              <w:b/>
              <w:bCs/>
              <w:i/>
              <w:iCs/>
              <w:color w:val="5F2987"/>
              <w:spacing w:val="-6"/>
              <w:sz w:val="18"/>
              <w:szCs w:val="18"/>
            </w:rPr>
            <w:t>/</w:t>
          </w:r>
          <w:r w:rsidRPr="006D4ABB">
            <w:rPr>
              <w:b/>
              <w:bCs/>
              <w:i/>
              <w:iCs/>
              <w:color w:val="5F2987"/>
              <w:spacing w:val="-6"/>
              <w:sz w:val="18"/>
              <w:szCs w:val="18"/>
            </w:rPr>
            <w:fldChar w:fldCharType="begin"/>
          </w:r>
          <w:r w:rsidRPr="006D4ABB">
            <w:rPr>
              <w:b/>
              <w:bCs/>
              <w:i/>
              <w:iCs/>
              <w:color w:val="5F2987"/>
              <w:spacing w:val="-6"/>
              <w:sz w:val="18"/>
              <w:szCs w:val="18"/>
            </w:rPr>
            <w:instrText>NUMPAGES  \* Arabic  \* MERGEFORMAT</w:instrText>
          </w:r>
          <w:r w:rsidRPr="006D4ABB">
            <w:rPr>
              <w:b/>
              <w:bCs/>
              <w:i/>
              <w:iCs/>
              <w:color w:val="5F2987"/>
              <w:spacing w:val="-6"/>
              <w:sz w:val="18"/>
              <w:szCs w:val="18"/>
            </w:rPr>
            <w:fldChar w:fldCharType="separate"/>
          </w:r>
          <w:r w:rsidRPr="006D4ABB">
            <w:rPr>
              <w:b/>
              <w:bCs/>
              <w:i/>
              <w:iCs/>
              <w:color w:val="5F2987"/>
              <w:spacing w:val="-6"/>
              <w:sz w:val="18"/>
              <w:szCs w:val="18"/>
            </w:rPr>
            <w:t>2</w:t>
          </w:r>
          <w:r w:rsidRPr="006D4ABB">
            <w:rPr>
              <w:b/>
              <w:bCs/>
              <w:i/>
              <w:iCs/>
              <w:color w:val="5F2987"/>
              <w:spacing w:val="-6"/>
              <w:sz w:val="18"/>
              <w:szCs w:val="18"/>
            </w:rPr>
            <w:fldChar w:fldCharType="end"/>
          </w:r>
        </w:p>
      </w:tc>
    </w:tr>
  </w:tbl>
  <w:p w14:paraId="2FD5EF6C" w14:textId="77777777" w:rsidR="00044055" w:rsidRPr="00FF571B" w:rsidRDefault="00044055" w:rsidP="00FF571B">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9A570A" w14:textId="77777777" w:rsidR="009E0407" w:rsidRPr="003E57C9" w:rsidRDefault="009E0407" w:rsidP="00E17AEA">
      <w:pPr>
        <w:spacing w:after="0" w:line="240" w:lineRule="auto"/>
        <w:rPr>
          <w:sz w:val="16"/>
          <w:szCs w:val="16"/>
        </w:rPr>
      </w:pPr>
      <w:r w:rsidRPr="003E57C9">
        <w:rPr>
          <w:sz w:val="16"/>
          <w:szCs w:val="16"/>
        </w:rPr>
        <w:separator/>
      </w:r>
    </w:p>
  </w:footnote>
  <w:footnote w:type="continuationSeparator" w:id="0">
    <w:p w14:paraId="382DE988" w14:textId="77777777" w:rsidR="009E0407" w:rsidRPr="003E57C9" w:rsidRDefault="009E0407" w:rsidP="003E57C9">
      <w:pPr>
        <w:spacing w:after="0" w:line="240" w:lineRule="auto"/>
        <w:rPr>
          <w:sz w:val="16"/>
          <w:szCs w:val="16"/>
        </w:rPr>
      </w:pPr>
      <w:r w:rsidRPr="003E57C9">
        <w:rPr>
          <w:sz w:val="16"/>
          <w:szCs w:val="16"/>
        </w:rPr>
        <w:continuationSeparator/>
      </w:r>
    </w:p>
  </w:footnote>
  <w:footnote w:type="continuationNotice" w:id="1">
    <w:p w14:paraId="3E96B011" w14:textId="77777777" w:rsidR="009E0407" w:rsidRDefault="009E0407" w:rsidP="002A15B0">
      <w:pPr>
        <w:spacing w:after="0" w:line="192" w:lineRule="auto"/>
        <w:jc w:val="right"/>
      </w:pPr>
      <w:r w:rsidRPr="003C5587">
        <w:rPr>
          <w:rFonts w:ascii="Cambria Math" w:hAnsi="Cambria Math" w:cs="Cambria Math"/>
          <w:color w:val="202122"/>
          <w:sz w:val="16"/>
          <w:szCs w:val="16"/>
          <w:shd w:val="clear" w:color="auto" w:fill="FFFFFF"/>
        </w:rPr>
        <w:t>↪</w:t>
      </w:r>
    </w:p>
  </w:footnote>
  <w:footnote w:id="2">
    <w:p w14:paraId="307BB3BC" w14:textId="77777777" w:rsidR="009E7B25" w:rsidRDefault="009E7B25" w:rsidP="009E7B25">
      <w:pPr>
        <w:pStyle w:val="Textonotapie"/>
      </w:pPr>
      <w:r>
        <w:rPr>
          <w:rStyle w:val="Refdenotaalpie"/>
        </w:rPr>
        <w:footnoteRef/>
      </w:r>
      <w:r>
        <w:t xml:space="preserve"> </w:t>
      </w:r>
      <w:hyperlink r:id="rId1" w:anchor="!tabs-grafico" w:history="1">
        <w:r w:rsidRPr="003561D8">
          <w:rPr>
            <w:rStyle w:val="Hipervnculo"/>
          </w:rPr>
          <w:t>https://www.ine.es/jaxiT3/Datos.htm?t=50934#!tabs-grafico</w:t>
        </w:r>
      </w:hyperlink>
    </w:p>
  </w:footnote>
  <w:footnote w:id="3">
    <w:p w14:paraId="1C7DA63B" w14:textId="4067F075" w:rsidR="001E7E82" w:rsidRDefault="001E7E82" w:rsidP="001E7E82">
      <w:pPr>
        <w:pStyle w:val="Textonotapie"/>
        <w:keepNext/>
        <w:spacing w:after="0"/>
      </w:pPr>
      <w:r>
        <w:rPr>
          <w:rStyle w:val="Refdenotaalpie"/>
        </w:rPr>
        <w:footnoteRef/>
      </w:r>
      <w:r>
        <w:t xml:space="preserve"> Los bancos centrales son los responsables de la política monetaria en la práctica totalidad de las economías desarrolladas. Estas instituciones reciben mandatos normalmente referidos al mantenimiento de un objetivo de inflación.</w:t>
      </w:r>
    </w:p>
    <w:p w14:paraId="1B5EE965" w14:textId="2AB56BA1" w:rsidR="001E7E82" w:rsidRPr="002764C1" w:rsidRDefault="001E7E82">
      <w:pPr>
        <w:pStyle w:val="Textonotapie"/>
        <w:numPr>
          <w:ilvl w:val="0"/>
          <w:numId w:val="11"/>
        </w:numPr>
        <w:spacing w:after="0"/>
        <w:ind w:left="283" w:hanging="113"/>
        <w:rPr>
          <w:spacing w:val="-5"/>
        </w:rPr>
      </w:pPr>
      <w:r w:rsidRPr="002764C1">
        <w:rPr>
          <w:spacing w:val="-5"/>
        </w:rPr>
        <w:t>Por ejemplo, en el caso de la Eurozona, el Banco Central Europeo (BCE) tiene un mandato de mantener la inflación cercana al 2 % a medio plazo.</w:t>
      </w:r>
    </w:p>
    <w:p w14:paraId="411C2974" w14:textId="0FD66E89" w:rsidR="001E7E82" w:rsidRDefault="001E7E82">
      <w:pPr>
        <w:pStyle w:val="Textonotapie"/>
        <w:numPr>
          <w:ilvl w:val="0"/>
          <w:numId w:val="11"/>
        </w:numPr>
        <w:ind w:left="283" w:hanging="113"/>
      </w:pPr>
      <w:r>
        <w:t xml:space="preserve">En otros casos, como el de la Reserva Federal de </w:t>
      </w:r>
      <w:r w:rsidR="00417A95">
        <w:t>Estados Unidos</w:t>
      </w:r>
      <w:r>
        <w:t>, el objetivo de inflación viene acompañado por un objetivo adicional de pleno empleo, en lo que se conoce como un “mandato dual”.</w:t>
      </w:r>
    </w:p>
  </w:footnote>
  <w:footnote w:id="4">
    <w:p w14:paraId="2988D0C1" w14:textId="77777777" w:rsidR="001E7E82" w:rsidRDefault="001E7E82" w:rsidP="001E7E82">
      <w:pPr>
        <w:pStyle w:val="Textonotapie"/>
        <w:keepNext/>
        <w:spacing w:after="0"/>
      </w:pPr>
      <w:r>
        <w:rPr>
          <w:rStyle w:val="Refdenotaalpie"/>
        </w:rPr>
        <w:footnoteRef/>
      </w:r>
      <w:r>
        <w:t xml:space="preserve"> </w:t>
      </w:r>
      <w:r w:rsidRPr="00E17AEA">
        <w:t>La conducc</w:t>
      </w:r>
      <w:r>
        <w:t>ión de la política monetaria en la actualidad se realiza, principalmente, mediante la determinación de los tipos de interés a corto plazo por parte del banco central. Para ello, los bancos centrales utilizan dos tipos de instrumentos:</w:t>
      </w:r>
    </w:p>
    <w:p w14:paraId="00BD48C5" w14:textId="77777777" w:rsidR="001E7E82" w:rsidRDefault="001E7E82">
      <w:pPr>
        <w:pStyle w:val="Textonotapie"/>
        <w:numPr>
          <w:ilvl w:val="0"/>
          <w:numId w:val="9"/>
        </w:numPr>
        <w:spacing w:after="0"/>
        <w:ind w:left="284" w:hanging="57"/>
      </w:pPr>
      <w:r>
        <w:t xml:space="preserve">Por un lado, mediante las llamadas </w:t>
      </w:r>
      <w:r>
        <w:rPr>
          <w:i/>
          <w:iCs/>
        </w:rPr>
        <w:t>“operaciones de mercado abierto”</w:t>
      </w:r>
      <w:r>
        <w:t>, el banco central subasta liquidez a corto plazo a los bancos, garantizada por un colateral consistente habitualmente en bonos del Tesoro. Esto le permite manipular el tipo de interés estimando cuál será la demanda de dichas subastas y ajustando la oferta para conseguir el tipo de interés deseado.</w:t>
      </w:r>
    </w:p>
    <w:p w14:paraId="789D5A12" w14:textId="77777777" w:rsidR="001E7E82" w:rsidRPr="001E7E82" w:rsidRDefault="001E7E82">
      <w:pPr>
        <w:pStyle w:val="Textonotapie"/>
        <w:keepNext/>
        <w:numPr>
          <w:ilvl w:val="0"/>
          <w:numId w:val="9"/>
        </w:numPr>
        <w:spacing w:after="0"/>
        <w:ind w:left="284" w:hanging="57"/>
        <w:rPr>
          <w:spacing w:val="-2"/>
        </w:rPr>
      </w:pPr>
      <w:r w:rsidRPr="001E7E82">
        <w:rPr>
          <w:spacing w:val="-2"/>
        </w:rPr>
        <w:t>Por otro lado, mediante las facilidades de depósito o de crédito de fondos de un día a otro (</w:t>
      </w:r>
      <w:r w:rsidRPr="001E7E82">
        <w:rPr>
          <w:i/>
          <w:iCs/>
          <w:spacing w:val="-2"/>
        </w:rPr>
        <w:t>overnight</w:t>
      </w:r>
      <w:r w:rsidRPr="001E7E82">
        <w:rPr>
          <w:spacing w:val="-2"/>
        </w:rPr>
        <w:t>), ofrecidas a los bancos a unos tipos de interés fijos, se consigue que el tipo de mercado se encuentre siempre dentro del corredor marcado por dichos tipos.</w:t>
      </w:r>
    </w:p>
    <w:p w14:paraId="1B5CECBF" w14:textId="620EA59C" w:rsidR="001E7E82" w:rsidRDefault="001E7E82">
      <w:pPr>
        <w:pStyle w:val="Textonotapie"/>
        <w:numPr>
          <w:ilvl w:val="1"/>
          <w:numId w:val="10"/>
        </w:numPr>
        <w:spacing w:after="0"/>
        <w:ind w:left="567" w:hanging="113"/>
      </w:pPr>
      <w:r>
        <w:t xml:space="preserve">Ambos tipos de operaciones, conocidos en su conjunto como </w:t>
      </w:r>
      <w:r>
        <w:rPr>
          <w:i/>
          <w:iCs/>
        </w:rPr>
        <w:t>“política monetaria convencional”</w:t>
      </w:r>
      <w:r>
        <w:t>, permiten al banco central determinar el tipo de interés a corto plazo en el mercado interbancario.</w:t>
      </w:r>
    </w:p>
    <w:p w14:paraId="66F434F3" w14:textId="3677244F" w:rsidR="001E7E82" w:rsidRPr="002764C1" w:rsidRDefault="001E7E82">
      <w:pPr>
        <w:pStyle w:val="Textonotapie"/>
        <w:numPr>
          <w:ilvl w:val="1"/>
          <w:numId w:val="10"/>
        </w:numPr>
        <w:ind w:left="567" w:hanging="113"/>
        <w:rPr>
          <w:spacing w:val="-5"/>
        </w:rPr>
      </w:pPr>
      <w:r w:rsidRPr="002764C1">
        <w:rPr>
          <w:spacing w:val="-5"/>
        </w:rPr>
        <w:t>Estos son, en el caso de la Eurozona, el ESTR, que es el tipo interbancario a un día, y el EURIBOR, típicamente negociado a 1, 3, 6 o 12</w:t>
      </w:r>
      <w:r w:rsidR="00417A95" w:rsidRPr="002764C1">
        <w:rPr>
          <w:spacing w:val="-5"/>
        </w:rPr>
        <w:t> </w:t>
      </w:r>
      <w:r w:rsidRPr="002764C1">
        <w:rPr>
          <w:spacing w:val="-5"/>
        </w:rPr>
        <w:t>meses.</w:t>
      </w:r>
    </w:p>
  </w:footnote>
  <w:footnote w:id="5">
    <w:p w14:paraId="13FEF8B4" w14:textId="77777777" w:rsidR="00FD6DD1" w:rsidRDefault="00FD6DD1" w:rsidP="00FD6DD1">
      <w:pPr>
        <w:pStyle w:val="Textonotapie"/>
        <w:keepNext/>
        <w:spacing w:after="0"/>
      </w:pPr>
      <w:r>
        <w:rPr>
          <w:rStyle w:val="Refdenotaalpie"/>
        </w:rPr>
        <w:footnoteRef/>
      </w:r>
      <w:r>
        <w:t xml:space="preserve"> </w:t>
      </w:r>
      <w:r w:rsidRPr="00ED3AE8">
        <w:t>El modelo del ciclo real surge a través del modelo de crecimiento neoclásico</w:t>
      </w:r>
      <w:r>
        <w:t>:</w:t>
      </w:r>
    </w:p>
    <w:p w14:paraId="3797D161" w14:textId="77777777" w:rsidR="00FD6DD1" w:rsidRDefault="00FD6DD1">
      <w:pPr>
        <w:pStyle w:val="Textonotapie"/>
        <w:numPr>
          <w:ilvl w:val="0"/>
          <w:numId w:val="34"/>
        </w:numPr>
        <w:spacing w:after="0"/>
        <w:ind w:left="284" w:hanging="57"/>
      </w:pPr>
      <w:r>
        <w:t xml:space="preserve">En primer lugar, </w:t>
      </w:r>
      <w:r>
        <w:rPr>
          <w:smallCaps/>
        </w:rPr>
        <w:t>Solow</w:t>
      </w:r>
      <w:r>
        <w:t xml:space="preserve"> (1956) y </w:t>
      </w:r>
      <w:proofErr w:type="spellStart"/>
      <w:r>
        <w:rPr>
          <w:smallCaps/>
        </w:rPr>
        <w:t>Swan</w:t>
      </w:r>
      <w:proofErr w:type="spellEnd"/>
      <w:r>
        <w:t xml:space="preserve"> (1956) parten de un modelo con unos ingredientes muy sencillos.</w:t>
      </w:r>
    </w:p>
    <w:p w14:paraId="564854B9" w14:textId="77777777" w:rsidR="00FD6DD1" w:rsidRDefault="00FD6DD1">
      <w:pPr>
        <w:pStyle w:val="Textonotapie"/>
        <w:numPr>
          <w:ilvl w:val="0"/>
          <w:numId w:val="34"/>
        </w:numPr>
        <w:spacing w:after="0"/>
        <w:ind w:left="284" w:hanging="57"/>
      </w:pPr>
      <w:r>
        <w:rPr>
          <w:smallCaps/>
        </w:rPr>
        <w:t>Cass</w:t>
      </w:r>
      <w:r>
        <w:t xml:space="preserve"> (1965) y </w:t>
      </w:r>
      <w:proofErr w:type="spellStart"/>
      <w:r>
        <w:rPr>
          <w:smallCaps/>
        </w:rPr>
        <w:t>Koopmans</w:t>
      </w:r>
      <w:proofErr w:type="spellEnd"/>
      <w:r>
        <w:t xml:space="preserve"> (1965) aplican el enfoque de optimización </w:t>
      </w:r>
      <w:proofErr w:type="spellStart"/>
      <w:r>
        <w:t>intertemporal</w:t>
      </w:r>
      <w:proofErr w:type="spellEnd"/>
      <w:r>
        <w:t xml:space="preserve"> propuesto por </w:t>
      </w:r>
      <w:r>
        <w:rPr>
          <w:smallCaps/>
        </w:rPr>
        <w:t>Ramsey</w:t>
      </w:r>
      <w:r>
        <w:t xml:space="preserve"> (1928), </w:t>
      </w:r>
      <w:proofErr w:type="spellStart"/>
      <w:r>
        <w:t>endogeneizando</w:t>
      </w:r>
      <w:proofErr w:type="spellEnd"/>
      <w:r>
        <w:t xml:space="preserve"> la decisión de consumo-ahorro de los agentes.</w:t>
      </w:r>
    </w:p>
    <w:p w14:paraId="2FE718EC" w14:textId="77777777" w:rsidR="00FD6DD1" w:rsidRDefault="00FD6DD1">
      <w:pPr>
        <w:pStyle w:val="Textonotapie"/>
        <w:numPr>
          <w:ilvl w:val="0"/>
          <w:numId w:val="34"/>
        </w:numPr>
        <w:spacing w:after="0"/>
        <w:ind w:left="284" w:hanging="57"/>
      </w:pPr>
      <w:r>
        <w:rPr>
          <w:smallCaps/>
        </w:rPr>
        <w:t>Kydland</w:t>
      </w:r>
      <w:r>
        <w:t xml:space="preserve"> y </w:t>
      </w:r>
      <w:r>
        <w:rPr>
          <w:smallCaps/>
        </w:rPr>
        <w:t>Prescott</w:t>
      </w:r>
      <w:r>
        <w:t xml:space="preserve"> (1982) desarrollan el modelo de ciclo real, añadiendo el trabajo en la función de utilidad de los hogares e introduciendo una fuente de shocks en la economía (ellos introducen shocks en productividad, pero autores posteriores incluirán otro tipo de shocks reales que afectan a las decisiones de ahorro, consumo y oferta de trabajo). Como resultado la acumulación de capital propaga los efectos del shock original a lo largo del tiempo de formas que pueden imitar algunas características de los ciclos económicos existentes en la realidad.</w:t>
      </w:r>
    </w:p>
    <w:p w14:paraId="4FB3D5CC" w14:textId="77777777" w:rsidR="00FD6DD1" w:rsidRDefault="00FD6DD1">
      <w:pPr>
        <w:pStyle w:val="Textonotapie"/>
        <w:numPr>
          <w:ilvl w:val="0"/>
          <w:numId w:val="34"/>
        </w:numPr>
        <w:ind w:left="284" w:hanging="57"/>
      </w:pPr>
      <w:r>
        <w:t>Todos los modelos anteriores suponen una economía no monetaria, y a pesar de que los bienes son intercambiados y se producen transacciones, no existe ningún medio de cambio –esto es, no hay “dinero”– que facilite estas transacciones. Para emplear este marco para analizar cuestiones monetarias, debemos especificar funciones del dinero para que los agentes quieran tener cantidades positivas. Una demanda positiva de dinero es necesaria si, en equilibrio, el dinero tiene un valor positivo.</w:t>
      </w:r>
    </w:p>
  </w:footnote>
  <w:footnote w:id="6">
    <w:p w14:paraId="6F5C0C41" w14:textId="31CA84D8" w:rsidR="001871D4" w:rsidRDefault="001871D4" w:rsidP="000B0ECA">
      <w:pPr>
        <w:pStyle w:val="Textonotapie"/>
        <w:keepNext/>
        <w:spacing w:after="0"/>
        <w:rPr>
          <w:rFonts w:eastAsiaTheme="minorEastAsia"/>
          <w:iCs/>
        </w:rPr>
      </w:pPr>
      <w:r>
        <w:rPr>
          <w:rStyle w:val="Refdenotaalpie"/>
        </w:rPr>
        <w:footnoteRef/>
      </w:r>
      <w:r>
        <w:t xml:space="preserve"> Si partimos de la identidad contable del gasto </w:t>
      </w:r>
      <m:oMath>
        <m:r>
          <m:rPr>
            <m:nor/>
          </m:rPr>
          <w:rPr>
            <w:i/>
            <w:iCs/>
          </w:rPr>
          <m:t>M</m:t>
        </m:r>
        <m:r>
          <w:rPr>
            <w:rFonts w:ascii="Cambria Math" w:hAnsi="Cambria Math"/>
          </w:rPr>
          <m:t>×</m:t>
        </m:r>
        <m:r>
          <m:rPr>
            <m:nor/>
          </m:rPr>
          <w:rPr>
            <w:i/>
            <w:iCs/>
          </w:rPr>
          <m:t>V</m:t>
        </m:r>
        <m:r>
          <w:rPr>
            <w:rFonts w:ascii="Cambria Math" w:eastAsiaTheme="minorEastAsia" w:hAnsi="Cambria Math"/>
          </w:rPr>
          <m:t>≡</m:t>
        </m:r>
        <m:r>
          <m:rPr>
            <m:nor/>
          </m:rPr>
          <w:rPr>
            <w:i/>
            <w:iCs/>
          </w:rPr>
          <m:t>P</m:t>
        </m:r>
        <m:r>
          <w:rPr>
            <w:rFonts w:ascii="Cambria Math" w:hAnsi="Cambria Math"/>
          </w:rPr>
          <m:t>×</m:t>
        </m:r>
        <m:r>
          <m:rPr>
            <m:nor/>
          </m:rPr>
          <w:rPr>
            <w:i/>
            <w:iCs/>
          </w:rPr>
          <m:t>T</m:t>
        </m:r>
      </m:oMath>
      <w:r>
        <w:rPr>
          <w:rFonts w:eastAsiaTheme="minorEastAsia"/>
          <w:iCs/>
        </w:rPr>
        <w:t>, tomamos logari</w:t>
      </w:r>
      <w:r w:rsidR="000B0ECA">
        <w:rPr>
          <w:rFonts w:eastAsiaTheme="minorEastAsia"/>
          <w:iCs/>
        </w:rPr>
        <w:t>tmos y derivamos con respecto del tiempo, obtenemos:</w:t>
      </w:r>
    </w:p>
    <w:p w14:paraId="41572CFB" w14:textId="64D0EA25" w:rsidR="000B0ECA" w:rsidRPr="000B0ECA" w:rsidRDefault="00000000">
      <w:pPr>
        <w:pStyle w:val="Textonotapie"/>
        <w:rPr>
          <w:lang w:val="fr-FR"/>
        </w:rPr>
      </w:pPr>
      <m:oMathPara>
        <m:oMath>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rPr>
                        <m:t>γ</m:t>
                      </m:r>
                    </m:e>
                    <m:sub>
                      <m:r>
                        <m:rPr>
                          <m:nor/>
                        </m:rPr>
                        <w:rPr>
                          <w:i/>
                          <w:iCs/>
                          <w:lang w:val="fr-FR"/>
                        </w:rPr>
                        <m:t>M</m:t>
                      </m:r>
                    </m:sub>
                  </m:sSub>
                </m:e>
              </m:groupChr>
            </m:e>
            <m:lim>
              <m:r>
                <w:rPr>
                  <w:rFonts w:ascii="Cambria Math" w:hAnsi="Cambria Math"/>
                  <w:lang w:val="fr-FR"/>
                </w:rPr>
                <m:t>≡</m:t>
              </m:r>
              <m:r>
                <m:rPr>
                  <m:nor/>
                </m:rPr>
                <w:rPr>
                  <w:i/>
                </w:rPr>
                <m:t>ϑ</m:t>
              </m:r>
            </m:lim>
          </m:limLow>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rPr>
                        <m:t>γ</m:t>
                      </m:r>
                    </m:e>
                    <m:sub>
                      <m:r>
                        <m:rPr>
                          <m:nor/>
                        </m:rPr>
                        <w:rPr>
                          <w:i/>
                          <w:iCs/>
                          <w:lang w:val="fr-FR"/>
                        </w:rPr>
                        <m:t>V</m:t>
                      </m:r>
                    </m:sub>
                  </m:sSub>
                </m:e>
              </m:groupChr>
            </m:e>
            <m:lim>
              <m:r>
                <w:rPr>
                  <w:rFonts w:ascii="Cambria Math" w:hAnsi="Cambria Math"/>
                  <w:lang w:val="fr-FR"/>
                </w:rPr>
                <m:t>=</m:t>
              </m:r>
              <m:r>
                <m:rPr>
                  <m:nor/>
                </m:rPr>
                <w:rPr>
                  <w:i/>
                  <w:lang w:val="fr-FR"/>
                </w:rPr>
                <m:t>0</m:t>
              </m:r>
            </m:lim>
          </m:limLow>
          <m:r>
            <w:rPr>
              <w:rFonts w:ascii="Cambria Math" w:eastAsiaTheme="minorEastAsia"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rPr>
                        <m:t>γ</m:t>
                      </m:r>
                    </m:e>
                    <m:sub>
                      <m:r>
                        <m:rPr>
                          <m:nor/>
                        </m:rPr>
                        <w:rPr>
                          <w:i/>
                          <w:iCs/>
                          <w:lang w:val="fr-FR"/>
                        </w:rPr>
                        <m:t>P</m:t>
                      </m:r>
                    </m:sub>
                  </m:sSub>
                </m:e>
              </m:groupChr>
            </m:e>
            <m:lim>
              <m:r>
                <w:rPr>
                  <w:rFonts w:ascii="Cambria Math" w:hAnsi="Cambria Math"/>
                  <w:lang w:val="fr-FR"/>
                </w:rPr>
                <m:t>≡</m:t>
              </m:r>
              <m:r>
                <m:rPr>
                  <m:nor/>
                </m:rPr>
                <w:rPr>
                  <w:i/>
                  <w:iCs/>
                </w:rPr>
                <m:t>π</m:t>
              </m:r>
            </m:lim>
          </m:limLow>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rPr>
                        <m:t>γ</m:t>
                      </m:r>
                    </m:e>
                    <m:sub>
                      <m:r>
                        <m:rPr>
                          <m:nor/>
                        </m:rPr>
                        <w:rPr>
                          <w:i/>
                          <w:iCs/>
                          <w:lang w:val="fr-FR"/>
                        </w:rPr>
                        <m:t>T</m:t>
                      </m:r>
                    </m:sub>
                  </m:sSub>
                </m:e>
              </m:groupChr>
            </m:e>
            <m:lim>
              <m:r>
                <w:rPr>
                  <w:rFonts w:ascii="Cambria Math" w:hAnsi="Cambria Math"/>
                  <w:lang w:val="fr-FR"/>
                </w:rPr>
                <m:t>=</m:t>
              </m:r>
              <m:r>
                <m:rPr>
                  <m:nor/>
                </m:rPr>
                <w:rPr>
                  <w:i/>
                  <w:lang w:val="fr-FR"/>
                </w:rPr>
                <m:t>0</m:t>
              </m:r>
            </m:lim>
          </m:limLow>
        </m:oMath>
      </m:oMathPara>
    </w:p>
  </w:footnote>
  <w:footnote w:id="7">
    <w:p w14:paraId="5D9AD70C" w14:textId="77777777" w:rsidR="007156E8" w:rsidRDefault="007156E8" w:rsidP="007156E8">
      <w:pPr>
        <w:pStyle w:val="Textonotapie"/>
      </w:pPr>
      <w:r w:rsidRPr="00C34649">
        <w:rPr>
          <w:rStyle w:val="Refdenotaalpie"/>
          <w:bCs/>
          <w:szCs w:val="14"/>
        </w:rPr>
        <w:footnoteRef/>
      </w:r>
      <w:r w:rsidRPr="00C34649">
        <w:rPr>
          <w:bCs/>
        </w:rPr>
        <w:t xml:space="preserve"> </w:t>
      </w:r>
      <w:r w:rsidRPr="008D25A4">
        <w:rPr>
          <w:spacing w:val="-2"/>
        </w:rPr>
        <w:t xml:space="preserve">La regla de política monetaria de </w:t>
      </w:r>
      <w:r w:rsidRPr="008D25A4">
        <w:rPr>
          <w:smallCaps/>
          <w:spacing w:val="-2"/>
        </w:rPr>
        <w:t>Friedman</w:t>
      </w:r>
      <w:r w:rsidRPr="008D25A4">
        <w:rPr>
          <w:spacing w:val="-2"/>
        </w:rPr>
        <w:t xml:space="preserve"> es que la tasa de crecimiento de la masa monetaria sea constante. Nótese que esta regla es coherente con su otra regla, la de una inflación igual al tipo de interés real cambiado de signo, ya que el tipo de interés real suele ser constante.</w:t>
      </w:r>
    </w:p>
  </w:footnote>
  <w:footnote w:id="8">
    <w:p w14:paraId="07FFEE74" w14:textId="301FCDA3" w:rsidR="00EC1C94" w:rsidRPr="004C3DF4" w:rsidRDefault="00EC1C94" w:rsidP="00EC1C94">
      <w:pPr>
        <w:pStyle w:val="Textonotapie"/>
      </w:pPr>
      <w:r>
        <w:rPr>
          <w:rStyle w:val="Refdenotaalpie"/>
        </w:rPr>
        <w:footnoteRef/>
      </w:r>
      <w:r>
        <w:t xml:space="preserve"> En el modelo original, se trata de un Modelo de Generaciones Solapadas con viejos y jóvenes. Los jóvenes se modelizan como agentes consumidores-productores (i.e. Robinson Crusoe) </w:t>
      </w:r>
      <w:r w:rsidRPr="001F147A">
        <w:rPr>
          <w:color w:val="767171" w:themeColor="background2" w:themeShade="80"/>
          <w:sz w:val="14"/>
          <w:szCs w:val="18"/>
        </w:rPr>
        <w:t>[ver tema 3.A.</w:t>
      </w:r>
      <w:r w:rsidR="00D60AF5">
        <w:rPr>
          <w:color w:val="767171" w:themeColor="background2" w:themeShade="80"/>
          <w:sz w:val="14"/>
          <w:szCs w:val="18"/>
        </w:rPr>
        <w:t>29</w:t>
      </w:r>
      <w:r w:rsidRPr="001F147A">
        <w:rPr>
          <w:color w:val="767171" w:themeColor="background2" w:themeShade="80"/>
          <w:sz w:val="14"/>
          <w:szCs w:val="18"/>
        </w:rPr>
        <w:t>]</w:t>
      </w:r>
      <w:r>
        <w:t xml:space="preserve">. En nuestro caso, veremos un modelo simplificado siguiendo a </w:t>
      </w:r>
      <w:r>
        <w:rPr>
          <w:smallCaps/>
        </w:rPr>
        <w:t xml:space="preserve">De </w:t>
      </w:r>
      <w:proofErr w:type="spellStart"/>
      <w:r>
        <w:rPr>
          <w:smallCaps/>
        </w:rPr>
        <w:t>Vroey</w:t>
      </w:r>
      <w:proofErr w:type="spellEnd"/>
      <w:r>
        <w:t xml:space="preserve"> (2016), que a su vez sigue a </w:t>
      </w:r>
      <w:proofErr w:type="spellStart"/>
      <w:r>
        <w:rPr>
          <w:smallCaps/>
        </w:rPr>
        <w:t>Attfield</w:t>
      </w:r>
      <w:proofErr w:type="spellEnd"/>
      <w:r>
        <w:t xml:space="preserve">, </w:t>
      </w:r>
      <w:proofErr w:type="spellStart"/>
      <w:r>
        <w:rPr>
          <w:smallCaps/>
        </w:rPr>
        <w:t>Demery</w:t>
      </w:r>
      <w:proofErr w:type="spellEnd"/>
      <w:r>
        <w:t xml:space="preserve"> y </w:t>
      </w:r>
      <w:proofErr w:type="spellStart"/>
      <w:r>
        <w:rPr>
          <w:smallCaps/>
        </w:rPr>
        <w:t>Duck</w:t>
      </w:r>
      <w:proofErr w:type="spellEnd"/>
      <w:r>
        <w:t xml:space="preserve"> (1991).</w:t>
      </w:r>
    </w:p>
  </w:footnote>
  <w:footnote w:id="9">
    <w:p w14:paraId="741B9CBF" w14:textId="33572E11" w:rsidR="00560FB4" w:rsidRDefault="00560FB4">
      <w:pPr>
        <w:pStyle w:val="Textonotapie"/>
      </w:pPr>
      <w:r>
        <w:rPr>
          <w:rStyle w:val="Refdenotaalpie"/>
        </w:rPr>
        <w:footnoteRef/>
      </w:r>
      <w:r>
        <w:t xml:space="preserve"> </w:t>
      </w:r>
      <w:r w:rsidRPr="004C3DF4">
        <w:t xml:space="preserve">Esta modelización fue introducida por </w:t>
      </w:r>
      <w:r w:rsidRPr="00560FB4">
        <w:rPr>
          <w:smallCaps/>
        </w:rPr>
        <w:t>Phelps</w:t>
      </w:r>
      <w:r w:rsidRPr="004C3DF4">
        <w:t xml:space="preserve"> (1970)</w:t>
      </w:r>
      <w:r>
        <w:t>.</w:t>
      </w:r>
    </w:p>
  </w:footnote>
  <w:footnote w:id="10">
    <w:p w14:paraId="622170A5" w14:textId="77777777" w:rsidR="00EC1C94" w:rsidRPr="009728CD" w:rsidRDefault="00EC1C94" w:rsidP="00EC1C94">
      <w:pPr>
        <w:pStyle w:val="Textonotapie"/>
      </w:pPr>
      <w:r>
        <w:rPr>
          <w:rStyle w:val="Refdenotaalpie"/>
        </w:rPr>
        <w:footnoteRef/>
      </w:r>
      <w:r w:rsidRPr="009728CD">
        <w:t xml:space="preserve"> En el modelo original, el shock nominal aparece porq</w:t>
      </w:r>
      <w:r>
        <w:t>u</w:t>
      </w:r>
      <w:r w:rsidRPr="009728CD">
        <w:t xml:space="preserve">e los miembros de la generación de viejos reciben una transferencia </w:t>
      </w:r>
      <w:r>
        <w:t xml:space="preserve">monetaria </w:t>
      </w:r>
      <w:r w:rsidRPr="009728CD">
        <w:t>variable al principio del período.</w:t>
      </w:r>
    </w:p>
  </w:footnote>
  <w:footnote w:id="11">
    <w:p w14:paraId="7CB5076D" w14:textId="77777777" w:rsidR="00E224B5" w:rsidRDefault="00E224B5" w:rsidP="00E224B5">
      <w:pPr>
        <w:pStyle w:val="Textonotapie"/>
      </w:pPr>
      <w:r>
        <w:rPr>
          <w:rStyle w:val="Refdenotaalpie"/>
        </w:rPr>
        <w:footnoteRef/>
      </w:r>
      <w:r>
        <w:t xml:space="preserve"> Los shocks monetarios no anticipados son la causa de las fluctuaciones. La condición para su aparición es que la producción y el intercambio tengan lugar en mercados separados físicamente.</w:t>
      </w:r>
    </w:p>
  </w:footnote>
  <w:footnote w:id="12">
    <w:p w14:paraId="6F801C9D" w14:textId="77777777" w:rsidR="00500681" w:rsidRDefault="00500681" w:rsidP="00500681">
      <w:pPr>
        <w:pStyle w:val="Textonotapie"/>
      </w:pPr>
      <w:r>
        <w:rPr>
          <w:rStyle w:val="Refdenotaalpie"/>
        </w:rPr>
        <w:footnoteRef/>
      </w:r>
      <w:r>
        <w:t xml:space="preserve"> Para un desarrollo más completo de este modelo véase </w:t>
      </w:r>
      <w:proofErr w:type="spellStart"/>
      <w:r>
        <w:rPr>
          <w:smallCaps/>
        </w:rPr>
        <w:t>Heijdra</w:t>
      </w:r>
      <w:proofErr w:type="spellEnd"/>
      <w:r>
        <w:t xml:space="preserve"> (2017), cap. 5, pág. 157.</w:t>
      </w:r>
    </w:p>
    <w:p w14:paraId="20D6B018" w14:textId="77777777" w:rsidR="00500681" w:rsidRPr="000A3EC2" w:rsidRDefault="00500681" w:rsidP="00500681">
      <w:pPr>
        <w:pStyle w:val="Textonotapie"/>
        <w:rPr>
          <w:spacing w:val="-2"/>
          <w:lang w:val="en-US"/>
        </w:rPr>
      </w:pPr>
      <w:r w:rsidRPr="000A3EC2">
        <w:rPr>
          <w:spacing w:val="-2"/>
          <w:lang w:val="en-US"/>
        </w:rPr>
        <w:t xml:space="preserve">En palabras de </w:t>
      </w:r>
      <w:r w:rsidRPr="000A3EC2">
        <w:rPr>
          <w:smallCaps/>
          <w:spacing w:val="-2"/>
          <w:lang w:val="en-US"/>
        </w:rPr>
        <w:t>Sargent</w:t>
      </w:r>
      <w:r w:rsidRPr="000A3EC2">
        <w:rPr>
          <w:spacing w:val="-2"/>
          <w:lang w:val="en-US"/>
        </w:rPr>
        <w:t xml:space="preserve"> y </w:t>
      </w:r>
      <w:r w:rsidRPr="000A3EC2">
        <w:rPr>
          <w:smallCaps/>
          <w:spacing w:val="-2"/>
          <w:lang w:val="en-US"/>
        </w:rPr>
        <w:t>Wallace</w:t>
      </w:r>
      <w:r w:rsidRPr="000A3EC2">
        <w:rPr>
          <w:spacing w:val="-2"/>
          <w:lang w:val="en-US"/>
        </w:rPr>
        <w:t xml:space="preserve">: </w:t>
      </w:r>
      <w:r w:rsidRPr="000A3EC2">
        <w:rPr>
          <w:i/>
          <w:iCs/>
          <w:spacing w:val="-2"/>
          <w:lang w:val="en-US"/>
        </w:rPr>
        <w:t>“In this system, there is no sense in which the authority has the option to conduct countercyclical policy. To exploit the Phillips curve, it must somehow trick the public. By virtue of the assumption that expectations are rational, there is no feedback rule that the authority can employ and expect to be able systematically to fool the public. This means that the authority cannot exploit the Phillips curve even for one period.”</w:t>
      </w:r>
    </w:p>
  </w:footnote>
  <w:footnote w:id="13">
    <w:p w14:paraId="4B6CF334" w14:textId="78485255" w:rsidR="00144B9D" w:rsidRPr="00144B9D" w:rsidRDefault="00144B9D">
      <w:pPr>
        <w:pStyle w:val="Textonotapie"/>
      </w:pPr>
      <w:r>
        <w:rPr>
          <w:rStyle w:val="Refdenotaalpie"/>
        </w:rPr>
        <w:footnoteRef/>
      </w:r>
      <w:r>
        <w:t xml:space="preserve"> Cuidado con no confundir a </w:t>
      </w:r>
      <w:r w:rsidR="003E57C9">
        <w:rPr>
          <w:smallCaps/>
        </w:rPr>
        <w:t>Stanley Fis</w:t>
      </w:r>
      <w:r w:rsidR="003E57C9" w:rsidRPr="00B953CD">
        <w:rPr>
          <w:smallCaps/>
          <w:u w:val="single"/>
        </w:rPr>
        <w:t>c</w:t>
      </w:r>
      <w:r w:rsidR="003E57C9">
        <w:rPr>
          <w:smallCaps/>
        </w:rPr>
        <w:t xml:space="preserve">her </w:t>
      </w:r>
      <w:r>
        <w:t>con</w:t>
      </w:r>
      <w:r w:rsidR="003E57C9" w:rsidRPr="003E57C9">
        <w:rPr>
          <w:smallCaps/>
        </w:rPr>
        <w:t xml:space="preserve"> </w:t>
      </w:r>
      <w:r w:rsidR="003E57C9">
        <w:rPr>
          <w:smallCaps/>
        </w:rPr>
        <w:t>Irving Fisher</w:t>
      </w:r>
      <w:r>
        <w:t>.</w:t>
      </w:r>
    </w:p>
  </w:footnote>
  <w:footnote w:id="14">
    <w:p w14:paraId="3121109B" w14:textId="661E9499" w:rsidR="00473D11" w:rsidRDefault="00473D11" w:rsidP="00473D11">
      <w:pPr>
        <w:pStyle w:val="Textonotapie"/>
      </w:pPr>
      <w:r>
        <w:rPr>
          <w:rStyle w:val="Refdenotaalpie"/>
        </w:rPr>
        <w:footnoteRef/>
      </w:r>
      <w:r>
        <w:t xml:space="preserve"> La causalidad de Granger es un concepto utilizado en el análisis estadístico para evaluar si una variable </w:t>
      </w:r>
      <w:r w:rsidRPr="00473D11">
        <w:rPr>
          <w:i/>
          <w:iCs/>
        </w:rPr>
        <w:t>X</w:t>
      </w:r>
      <w:r>
        <w:t xml:space="preserve"> es útil para predecir otra variable </w:t>
      </w:r>
      <w:r w:rsidRPr="00473D11">
        <w:rPr>
          <w:i/>
          <w:iCs/>
        </w:rPr>
        <w:t>Y</w:t>
      </w:r>
      <w:r>
        <w:t xml:space="preserve">. Fue desarrollada por el economista británico </w:t>
      </w:r>
      <w:r w:rsidRPr="00473D11">
        <w:rPr>
          <w:smallCaps/>
        </w:rPr>
        <w:t>Clive Granger</w:t>
      </w:r>
      <w:r>
        <w:t xml:space="preserve"> en la década de 1960.</w:t>
      </w:r>
    </w:p>
    <w:p w14:paraId="3CB4E572" w14:textId="0845145C" w:rsidR="00473D11" w:rsidRDefault="00473D11" w:rsidP="00473D11">
      <w:pPr>
        <w:pStyle w:val="Textonotapie"/>
      </w:pPr>
      <w:r>
        <w:t>La idea principal detrás de la causalidad de Granger es que si una variable </w:t>
      </w:r>
      <w:r w:rsidRPr="00473D11">
        <w:rPr>
          <w:i/>
          <w:iCs/>
        </w:rPr>
        <w:t>X</w:t>
      </w:r>
      <w:r>
        <w:t xml:space="preserve"> es útil para predecir otra variable </w:t>
      </w:r>
      <w:r w:rsidRPr="00473D11">
        <w:rPr>
          <w:i/>
          <w:iCs/>
        </w:rPr>
        <w:t>Y</w:t>
      </w:r>
      <w:r>
        <w:t xml:space="preserve">, entonces se puede decir que </w:t>
      </w:r>
      <w:r w:rsidRPr="00473D11">
        <w:rPr>
          <w:i/>
          <w:iCs/>
        </w:rPr>
        <w:t>X</w:t>
      </w:r>
      <w:r>
        <w:t xml:space="preserve"> "causa" </w:t>
      </w:r>
      <w:r w:rsidRPr="00473D11">
        <w:rPr>
          <w:i/>
          <w:iCs/>
        </w:rPr>
        <w:t>Y</w:t>
      </w:r>
      <w:r>
        <w:t xml:space="preserve"> en cierta medida. Sin embargo, la causalidad de Granger no implica necesariamente una relación de causa y efecto en el sentido tradicional, sino simplemente que la variable </w:t>
      </w:r>
      <w:r w:rsidRPr="00473D11">
        <w:rPr>
          <w:i/>
          <w:iCs/>
        </w:rPr>
        <w:t>X</w:t>
      </w:r>
      <w:r>
        <w:t xml:space="preserve"> es útil para predecir la variable </w:t>
      </w:r>
      <w:r w:rsidRPr="00473D11">
        <w:rPr>
          <w:i/>
          <w:iCs/>
        </w:rPr>
        <w:t>Y</w:t>
      </w:r>
      <w:r>
        <w:t>.</w:t>
      </w:r>
    </w:p>
    <w:p w14:paraId="762D8A71" w14:textId="07C4DAB7" w:rsidR="00473D11" w:rsidRDefault="00473D11" w:rsidP="00473D11">
      <w:pPr>
        <w:pStyle w:val="Textonotapie"/>
      </w:pPr>
      <w:r>
        <w:t>El enfoque de Granger implica un análisis de regresión en el que se model</w:t>
      </w:r>
      <w:r w:rsidR="00875F48">
        <w:t>iz</w:t>
      </w:r>
      <w:r>
        <w:t xml:space="preserve">a </w:t>
      </w:r>
      <w:r w:rsidRPr="00473D11">
        <w:rPr>
          <w:i/>
          <w:iCs/>
        </w:rPr>
        <w:t>Y</w:t>
      </w:r>
      <w:r>
        <w:t xml:space="preserve"> como una función de sus valores pasados y de los valores pasados de </w:t>
      </w:r>
      <w:r w:rsidRPr="00473D11">
        <w:rPr>
          <w:i/>
          <w:iCs/>
        </w:rPr>
        <w:t>X</w:t>
      </w:r>
      <w:r>
        <w:t xml:space="preserve">. Luego, se compara la calidad de la predicción de </w:t>
      </w:r>
      <w:r w:rsidRPr="00473D11">
        <w:rPr>
          <w:i/>
          <w:iCs/>
        </w:rPr>
        <w:t>Y</w:t>
      </w:r>
      <w:r>
        <w:t xml:space="preserve"> usando solo sus valores pasados, frente a la calidad de la predicción de Y usando tanto sus valores pasados como los valores pasados de </w:t>
      </w:r>
      <w:r w:rsidRPr="00473D11">
        <w:rPr>
          <w:i/>
          <w:iCs/>
        </w:rPr>
        <w:t>X</w:t>
      </w:r>
      <w:r>
        <w:t xml:space="preserve">. Si la adición de los valores pasados de </w:t>
      </w:r>
      <w:r w:rsidRPr="00473D11">
        <w:rPr>
          <w:i/>
          <w:iCs/>
        </w:rPr>
        <w:t>X</w:t>
      </w:r>
      <w:r>
        <w:t xml:space="preserve"> mejora significativamente la calidad de la predicción de </w:t>
      </w:r>
      <w:r w:rsidRPr="00473D11">
        <w:rPr>
          <w:i/>
          <w:iCs/>
        </w:rPr>
        <w:t>Y</w:t>
      </w:r>
      <w:r>
        <w:t xml:space="preserve">, entonces se dice que </w:t>
      </w:r>
      <w:r w:rsidRPr="00473D11">
        <w:rPr>
          <w:i/>
          <w:iCs/>
        </w:rPr>
        <w:t>X</w:t>
      </w:r>
      <w:r>
        <w:t xml:space="preserve"> tiene una causalidad de Granger sobre </w:t>
      </w:r>
      <w:r w:rsidRPr="00473D11">
        <w:rPr>
          <w:i/>
          <w:iCs/>
        </w:rPr>
        <w:t>Y</w:t>
      </w:r>
      <w:r>
        <w:t>.</w:t>
      </w:r>
    </w:p>
    <w:p w14:paraId="5131FCCE" w14:textId="4C24FFDF" w:rsidR="00473D11" w:rsidRDefault="00473D11" w:rsidP="00473D11">
      <w:pPr>
        <w:pStyle w:val="Textonotapie"/>
      </w:pPr>
      <w:r>
        <w:t>La causalidad de Granger se utiliza en muchas áreas, incluyendo la economía, la finanzas, la biología, la física y las ciencias sociales, para evaluar las relaciones entre variables y hacer predicciones.</w:t>
      </w:r>
    </w:p>
  </w:footnote>
  <w:footnote w:id="15">
    <w:p w14:paraId="12F93567" w14:textId="77777777" w:rsidR="009B5DBC" w:rsidRDefault="009B5DBC" w:rsidP="009B5DBC">
      <w:pPr>
        <w:pStyle w:val="Textonotapie"/>
      </w:pPr>
      <w:r>
        <w:rPr>
          <w:rStyle w:val="Refdenotaalpie"/>
        </w:rPr>
        <w:footnoteRef/>
      </w:r>
      <w:r>
        <w:t xml:space="preserve"> </w:t>
      </w:r>
      <w:r w:rsidRPr="009B31B6">
        <w:t>El objetivo</w:t>
      </w:r>
      <w:r>
        <w:t xml:space="preserve"> de la obra de </w:t>
      </w:r>
      <w:r>
        <w:rPr>
          <w:smallCaps/>
        </w:rPr>
        <w:t>Fischer</w:t>
      </w:r>
      <w:r>
        <w:t xml:space="preserve"> y </w:t>
      </w:r>
      <w:r>
        <w:rPr>
          <w:smallCaps/>
        </w:rPr>
        <w:t>Taylor</w:t>
      </w:r>
      <w:r>
        <w:t xml:space="preserve"> es replicar a la proposición de la inefectividad de la política monetaria de </w:t>
      </w:r>
      <w:r>
        <w:rPr>
          <w:smallCaps/>
        </w:rPr>
        <w:t>Sargent</w:t>
      </w:r>
      <w:r>
        <w:t xml:space="preserve"> y </w:t>
      </w:r>
      <w:r>
        <w:rPr>
          <w:smallCaps/>
        </w:rPr>
        <w:t>Wallace</w:t>
      </w:r>
      <w:r>
        <w:t>, que implicaba que con HER, la curva de Phillips es vertical tanto en el corto plazo como en el largo plazo. Los modelos de salarios escalonados tenían como objetivo demostrar que la HER y la no neutralidad de la política monetaria eran compatibles. En este sentido, estos economistas enfatizaron que es el supuesto de flexibilidad de precios y salarios (y no el de HER) el factor principal que lleva a la conclusión de inefectividad.</w:t>
      </w:r>
    </w:p>
    <w:p w14:paraId="7D826FF4" w14:textId="77777777" w:rsidR="009B5DBC" w:rsidRDefault="009B5DBC">
      <w:pPr>
        <w:pStyle w:val="Textonotapie"/>
        <w:keepNext/>
        <w:numPr>
          <w:ilvl w:val="0"/>
          <w:numId w:val="36"/>
        </w:numPr>
        <w:spacing w:after="0"/>
        <w:ind w:left="283" w:hanging="113"/>
      </w:pPr>
      <w:r>
        <w:rPr>
          <w:i/>
          <w:iCs/>
          <w:u w:val="single"/>
        </w:rPr>
        <w:t xml:space="preserve">Modelo de </w:t>
      </w:r>
      <w:r>
        <w:rPr>
          <w:i/>
          <w:iCs/>
          <w:smallCaps/>
          <w:u w:val="single"/>
        </w:rPr>
        <w:t>Fischer</w:t>
      </w:r>
      <w:r>
        <w:t xml:space="preserve"> (1977):</w:t>
      </w:r>
    </w:p>
    <w:p w14:paraId="100DE50C" w14:textId="77777777" w:rsidR="009B5DBC" w:rsidRDefault="009B5DBC">
      <w:pPr>
        <w:pStyle w:val="Textonotapie"/>
        <w:keepNext/>
        <w:numPr>
          <w:ilvl w:val="1"/>
          <w:numId w:val="36"/>
        </w:numPr>
        <w:spacing w:after="0"/>
        <w:ind w:left="567" w:hanging="113"/>
      </w:pPr>
      <w:r w:rsidRPr="00FB0ABD">
        <w:rPr>
          <w:i/>
          <w:iCs/>
        </w:rPr>
        <w:t>Supuestos</w:t>
      </w:r>
      <w:r>
        <w:t>:</w:t>
      </w:r>
    </w:p>
    <w:p w14:paraId="0018A527" w14:textId="77777777" w:rsidR="009B5DBC" w:rsidRDefault="009B5DBC">
      <w:pPr>
        <w:pStyle w:val="Textonotapie"/>
        <w:numPr>
          <w:ilvl w:val="2"/>
          <w:numId w:val="36"/>
        </w:numPr>
        <w:spacing w:after="0"/>
        <w:ind w:left="850" w:hanging="113"/>
      </w:pPr>
      <w:r>
        <w:t xml:space="preserve">Rigideces nominales: Los contratos de trabajo se establecen </w:t>
      </w:r>
      <w:proofErr w:type="spellStart"/>
      <w:r>
        <w:t>multiperíodo</w:t>
      </w:r>
      <w:proofErr w:type="spellEnd"/>
      <w:r>
        <w:t>, es decir, se mantienen fijos durante el período sin renegociarse.</w:t>
      </w:r>
    </w:p>
    <w:p w14:paraId="4C846797" w14:textId="77777777" w:rsidR="009B5DBC" w:rsidRDefault="009B5DBC">
      <w:pPr>
        <w:pStyle w:val="Textonotapie"/>
        <w:keepNext/>
        <w:numPr>
          <w:ilvl w:val="2"/>
          <w:numId w:val="36"/>
        </w:numPr>
        <w:spacing w:after="0"/>
        <w:ind w:left="850" w:hanging="113"/>
      </w:pPr>
      <w:r>
        <w:t>Los agentes buscan negociar el salario nominal con el objetivo de que se igualen la oferta y la demanda de trabajo. Para ello, tienen en cuenta la evolución de precios esperada, para tener en cuenta el salario real que percibirán.</w:t>
      </w:r>
    </w:p>
    <w:p w14:paraId="0E86DBF5" w14:textId="77777777" w:rsidR="009B5DBC" w:rsidRPr="004E46E0" w:rsidRDefault="00000000" w:rsidP="009B5DBC">
      <w:pPr>
        <w:pStyle w:val="Textonotapie"/>
        <w:spacing w:after="0"/>
        <w:ind w:left="850"/>
        <w:rPr>
          <w:i/>
        </w:rPr>
      </w:pPr>
      <m:oMathPara>
        <m:oMath>
          <m:sSub>
            <m:sSubPr>
              <m:ctrlPr>
                <w:rPr>
                  <w:rFonts w:ascii="Cambria Math" w:hAnsi="Cambria Math"/>
                  <w:i/>
                </w:rPr>
              </m:ctrlPr>
            </m:sSubPr>
            <m:e>
              <m:r>
                <m:rPr>
                  <m:nor/>
                </m:rPr>
                <w:rPr>
                  <w:i/>
                </w:rPr>
                <m:t>W</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rPr>
              </m:ctrlPr>
            </m:dPr>
            <m:e>
              <m:sSub>
                <m:sSubPr>
                  <m:ctrlPr>
                    <w:rPr>
                      <w:rFonts w:ascii="Cambria Math" w:hAnsi="Cambria Math"/>
                      <w:i/>
                    </w:rPr>
                  </m:ctrlPr>
                </m:sSubPr>
                <m:e>
                  <m:r>
                    <m:rPr>
                      <m:nor/>
                    </m:rPr>
                    <w:rPr>
                      <w:i/>
                    </w:rPr>
                    <m:t>P</m:t>
                  </m:r>
                </m:e>
                <m:sub>
                  <m:r>
                    <m:rPr>
                      <m:nor/>
                    </m:rPr>
                    <w:rPr>
                      <w:i/>
                    </w:rPr>
                    <m:t>t+1</m:t>
                  </m:r>
                </m:sub>
              </m:sSub>
            </m:e>
          </m:d>
        </m:oMath>
      </m:oMathPara>
    </w:p>
    <w:p w14:paraId="66B10DC8" w14:textId="77777777" w:rsidR="009B5DBC" w:rsidRDefault="009B5DBC">
      <w:pPr>
        <w:pStyle w:val="Textonotapie"/>
        <w:numPr>
          <w:ilvl w:val="3"/>
          <w:numId w:val="36"/>
        </w:numPr>
        <w:spacing w:after="0"/>
        <w:ind w:left="1134" w:hanging="113"/>
      </w:pPr>
      <w:r>
        <w:t>Es decir, los agentes negocian el salario nominal buscando el vaciado esperado del mercado. Sin embargo, los agentes pueden errar en sus expectativas. Por ejemplo, si tiene lugar un shock inesperado como una expansión monetaria, el mercado no estará en equilibrio y se producirá una expansión del output y el empleo.</w:t>
      </w:r>
    </w:p>
    <w:p w14:paraId="316AB24F" w14:textId="77777777" w:rsidR="009B5DBC" w:rsidRDefault="009B5DBC">
      <w:pPr>
        <w:pStyle w:val="Textonotapie"/>
        <w:keepNext/>
        <w:numPr>
          <w:ilvl w:val="1"/>
          <w:numId w:val="36"/>
        </w:numPr>
        <w:spacing w:after="0"/>
        <w:ind w:left="567" w:hanging="113"/>
      </w:pPr>
      <w:r w:rsidRPr="00FB0ABD">
        <w:rPr>
          <w:i/>
          <w:iCs/>
        </w:rPr>
        <w:t>Conclusiones</w:t>
      </w:r>
      <w:r>
        <w:t>:</w:t>
      </w:r>
    </w:p>
    <w:p w14:paraId="654755D1" w14:textId="77777777" w:rsidR="009B5DBC" w:rsidRDefault="009B5DBC">
      <w:pPr>
        <w:pStyle w:val="Textonotapie"/>
        <w:numPr>
          <w:ilvl w:val="2"/>
          <w:numId w:val="36"/>
        </w:numPr>
        <w:spacing w:after="0"/>
        <w:ind w:left="850" w:hanging="113"/>
      </w:pPr>
      <w:r>
        <w:t xml:space="preserve">Bajo este esquema de fijación de salarios con rigidez nominal y con información imperfecta, </w:t>
      </w:r>
      <w:r w:rsidRPr="004E46E0">
        <w:rPr>
          <w:smallCaps/>
        </w:rPr>
        <w:t>Fis</w:t>
      </w:r>
      <w:r>
        <w:rPr>
          <w:smallCaps/>
        </w:rPr>
        <w:t>c</w:t>
      </w:r>
      <w:r w:rsidRPr="004E46E0">
        <w:rPr>
          <w:smallCaps/>
        </w:rPr>
        <w:t>her</w:t>
      </w:r>
      <w:r>
        <w:t xml:space="preserve"> demuestra que la autoridad monetaria puede y debería reaccionar a posibles perturbaciones en la demanda como alternativa a un salario que no puede ser la partida que se ajuste porque se mantiene fijo.</w:t>
      </w:r>
    </w:p>
    <w:p w14:paraId="7CB419F3" w14:textId="77777777" w:rsidR="009B5DBC" w:rsidRDefault="009B5DBC">
      <w:pPr>
        <w:pStyle w:val="Textonotapie"/>
        <w:keepNext/>
        <w:numPr>
          <w:ilvl w:val="0"/>
          <w:numId w:val="36"/>
        </w:numPr>
        <w:spacing w:after="0"/>
        <w:ind w:left="283" w:hanging="113"/>
      </w:pPr>
      <w:r w:rsidRPr="00FB0ABD">
        <w:rPr>
          <w:i/>
          <w:iCs/>
          <w:u w:val="single"/>
        </w:rPr>
        <w:t xml:space="preserve">Modelo de </w:t>
      </w:r>
      <w:r w:rsidRPr="00FB0ABD">
        <w:rPr>
          <w:i/>
          <w:iCs/>
          <w:smallCaps/>
          <w:u w:val="single"/>
        </w:rPr>
        <w:t>Taylor</w:t>
      </w:r>
      <w:r>
        <w:t xml:space="preserve"> (1980):</w:t>
      </w:r>
    </w:p>
    <w:p w14:paraId="2454761E" w14:textId="77777777" w:rsidR="009B5DBC" w:rsidRPr="00FB0ABD" w:rsidRDefault="009B5DBC">
      <w:pPr>
        <w:pStyle w:val="Textonotapie"/>
        <w:keepNext/>
        <w:numPr>
          <w:ilvl w:val="1"/>
          <w:numId w:val="36"/>
        </w:numPr>
        <w:spacing w:after="0"/>
        <w:ind w:left="567" w:hanging="113"/>
      </w:pPr>
      <w:r w:rsidRPr="00FB0ABD">
        <w:rPr>
          <w:i/>
          <w:iCs/>
        </w:rPr>
        <w:t>Idea principal</w:t>
      </w:r>
      <w:r>
        <w:t>:</w:t>
      </w:r>
    </w:p>
    <w:p w14:paraId="574413AC" w14:textId="77777777" w:rsidR="009B5DBC" w:rsidRDefault="009B5DBC">
      <w:pPr>
        <w:pStyle w:val="Textonotapie"/>
        <w:keepNext/>
        <w:numPr>
          <w:ilvl w:val="2"/>
          <w:numId w:val="36"/>
        </w:numPr>
        <w:spacing w:after="0"/>
        <w:ind w:left="850" w:hanging="113"/>
      </w:pPr>
      <w:r w:rsidRPr="00FB0ABD">
        <w:rPr>
          <w:smallCaps/>
        </w:rPr>
        <w:t>Taylor</w:t>
      </w:r>
      <w:r>
        <w:t xml:space="preserve"> busca mejorar el modelo de </w:t>
      </w:r>
      <w:r w:rsidRPr="005F48D7">
        <w:rPr>
          <w:smallCaps/>
        </w:rPr>
        <w:t>Fischer</w:t>
      </w:r>
      <w:r>
        <w:t xml:space="preserve"> para acomodarse a 2 hechos empíricos:</w:t>
      </w:r>
    </w:p>
    <w:p w14:paraId="69B37EDB" w14:textId="77777777" w:rsidR="009B5DBC" w:rsidRDefault="009B5DBC">
      <w:pPr>
        <w:pStyle w:val="Textonotapie"/>
        <w:numPr>
          <w:ilvl w:val="0"/>
          <w:numId w:val="37"/>
        </w:numPr>
        <w:spacing w:after="0"/>
        <w:ind w:left="1134" w:hanging="57"/>
      </w:pPr>
      <w:r w:rsidRPr="00115566">
        <w:rPr>
          <w:spacing w:val="-4"/>
        </w:rPr>
        <w:t>Persistencia de los efectos reales de la cantidad de dinero a muy corto plazo (i.e. persistencia en el nivel de precios a corto plazo)</w:t>
      </w:r>
      <w:r>
        <w:t>.</w:t>
      </w:r>
    </w:p>
    <w:p w14:paraId="26167B71" w14:textId="77777777" w:rsidR="009B5DBC" w:rsidRDefault="009B5DBC">
      <w:pPr>
        <w:pStyle w:val="Textonotapie"/>
        <w:numPr>
          <w:ilvl w:val="0"/>
          <w:numId w:val="37"/>
        </w:numPr>
        <w:spacing w:after="0"/>
        <w:ind w:left="1134" w:hanging="57"/>
      </w:pPr>
      <w:r>
        <w:t>Correlación positiva entre PIB real e inflación futura.</w:t>
      </w:r>
    </w:p>
    <w:p w14:paraId="478A5666" w14:textId="77777777" w:rsidR="009B5DBC" w:rsidRDefault="009B5DBC">
      <w:pPr>
        <w:pStyle w:val="Textonotapie"/>
        <w:keepNext/>
        <w:numPr>
          <w:ilvl w:val="1"/>
          <w:numId w:val="36"/>
        </w:numPr>
        <w:spacing w:after="0"/>
        <w:ind w:left="567" w:hanging="113"/>
      </w:pPr>
      <w:r w:rsidRPr="00FB0ABD">
        <w:rPr>
          <w:i/>
          <w:iCs/>
        </w:rPr>
        <w:t>Supuestos</w:t>
      </w:r>
      <w:r>
        <w:t>:</w:t>
      </w:r>
    </w:p>
    <w:p w14:paraId="21215150" w14:textId="77777777" w:rsidR="009B5DBC" w:rsidRDefault="009B5DBC">
      <w:pPr>
        <w:pStyle w:val="Textonotapie"/>
        <w:numPr>
          <w:ilvl w:val="0"/>
          <w:numId w:val="38"/>
        </w:numPr>
        <w:spacing w:after="0"/>
        <w:ind w:left="851" w:hanging="57"/>
      </w:pPr>
      <w:r>
        <w:t>La fijación de salarios tiene lugar para un período del contrato que durará varios períodos (no se alteran durante este intervalo de tiempo).</w:t>
      </w:r>
    </w:p>
    <w:p w14:paraId="16391DC4" w14:textId="77777777" w:rsidR="009B5DBC" w:rsidRDefault="009B5DBC">
      <w:pPr>
        <w:pStyle w:val="Textonotapie"/>
        <w:numPr>
          <w:ilvl w:val="0"/>
          <w:numId w:val="38"/>
        </w:numPr>
        <w:spacing w:after="0"/>
        <w:ind w:left="851" w:hanging="57"/>
      </w:pPr>
      <w:r>
        <w:t>La revisión de precios no está sincronizada, es decir, no ocurre en todas las empresas al mismo tiempo. Por ello, en cada período un porcentaje de empresas cambian sus precios.</w:t>
      </w:r>
    </w:p>
    <w:p w14:paraId="2837A86B" w14:textId="77777777" w:rsidR="009B5DBC" w:rsidRDefault="009B5DBC">
      <w:pPr>
        <w:pStyle w:val="Textonotapie"/>
        <w:keepNext/>
        <w:numPr>
          <w:ilvl w:val="1"/>
          <w:numId w:val="36"/>
        </w:numPr>
        <w:spacing w:after="0"/>
        <w:ind w:left="567" w:hanging="113"/>
      </w:pPr>
      <w:r w:rsidRPr="004E46E0">
        <w:rPr>
          <w:i/>
          <w:iCs/>
        </w:rPr>
        <w:t>Conclusión</w:t>
      </w:r>
      <w:r>
        <w:t>:</w:t>
      </w:r>
    </w:p>
    <w:p w14:paraId="7A44DDE5" w14:textId="77777777" w:rsidR="009B5DBC" w:rsidRDefault="009B5DBC">
      <w:pPr>
        <w:pStyle w:val="Textonotapie"/>
        <w:numPr>
          <w:ilvl w:val="2"/>
          <w:numId w:val="36"/>
        </w:numPr>
        <w:spacing w:after="0"/>
        <w:ind w:left="850" w:hanging="113"/>
      </w:pPr>
      <w:r>
        <w:t xml:space="preserve">Valor añadido es modelizar un ajuste más gradual de los precios (no existe revisión de precios en cada período como en el modelo de </w:t>
      </w:r>
      <w:r w:rsidRPr="00196880">
        <w:rPr>
          <w:smallCaps/>
        </w:rPr>
        <w:t>Fischer</w:t>
      </w:r>
      <w:r>
        <w:t>). Ello permite obtener efectos reales de la política monetaria en el corto plazo y un ajuste vía precios gradual a medio y largo plazo (cierta persistencia en los efectos de la política monetaria derivada de la persistencia en los precios, pero no permanencia: al final se da el ajuste vía precios).</w:t>
      </w:r>
    </w:p>
    <w:p w14:paraId="3F018FE7" w14:textId="77777777" w:rsidR="009B5DBC" w:rsidRDefault="009B5DBC">
      <w:pPr>
        <w:pStyle w:val="Textonotapie"/>
        <w:numPr>
          <w:ilvl w:val="2"/>
          <w:numId w:val="36"/>
        </w:numPr>
        <w:spacing w:after="0"/>
        <w:ind w:left="850" w:hanging="113"/>
      </w:pPr>
      <w:r>
        <w:t>También se obtiene un resultado coherente con la evidencia empírica de que las expansiones generan inflación (test de causalidad de Granger).</w:t>
      </w:r>
    </w:p>
    <w:p w14:paraId="39FA788B" w14:textId="77777777" w:rsidR="009B5DBC" w:rsidRDefault="009B5DBC">
      <w:pPr>
        <w:pStyle w:val="Textonotapie"/>
        <w:keepNext/>
        <w:numPr>
          <w:ilvl w:val="0"/>
          <w:numId w:val="36"/>
        </w:numPr>
        <w:spacing w:after="0"/>
        <w:ind w:left="283" w:hanging="113"/>
      </w:pPr>
      <w:r w:rsidRPr="001E417F">
        <w:rPr>
          <w:i/>
          <w:iCs/>
          <w:u w:val="single"/>
        </w:rPr>
        <w:t>Valoración</w:t>
      </w:r>
      <w:r>
        <w:t>:</w:t>
      </w:r>
    </w:p>
    <w:p w14:paraId="58EF4E5A" w14:textId="77777777" w:rsidR="009B5DBC" w:rsidRDefault="009B5DBC">
      <w:pPr>
        <w:pStyle w:val="Textonotapie"/>
        <w:numPr>
          <w:ilvl w:val="1"/>
          <w:numId w:val="36"/>
        </w:numPr>
        <w:spacing w:after="0"/>
        <w:ind w:left="567" w:hanging="113"/>
      </w:pPr>
      <w:r>
        <w:t xml:space="preserve">(+) Sirve para ilustrar como la incorporación de la HER a la modelización macroeconómica no tiene porqué llevar a resultados </w:t>
      </w:r>
      <w:proofErr w:type="spellStart"/>
      <w:r>
        <w:t>antikeynesianos</w:t>
      </w:r>
      <w:proofErr w:type="spellEnd"/>
      <w:r>
        <w:t xml:space="preserve"> (de inefectividad de políticas económicas). Este resultado será influyente para la 2ª generación de la NEK.</w:t>
      </w:r>
    </w:p>
    <w:p w14:paraId="6F9DB513" w14:textId="77777777" w:rsidR="009B5DBC" w:rsidRDefault="009B5DBC">
      <w:pPr>
        <w:pStyle w:val="Textonotapie"/>
        <w:numPr>
          <w:ilvl w:val="1"/>
          <w:numId w:val="36"/>
        </w:numPr>
        <w:spacing w:after="0"/>
        <w:ind w:left="567" w:hanging="113"/>
      </w:pPr>
      <w:r>
        <w:t xml:space="preserve">(+) Además, otra característica importante de estos modelos es que al adoptar una perspectiva dinámica se alinearon con el cambio hacia los modelos </w:t>
      </w:r>
      <w:proofErr w:type="spellStart"/>
      <w:r>
        <w:t>intertemporales</w:t>
      </w:r>
      <w:proofErr w:type="spellEnd"/>
      <w:r>
        <w:t xml:space="preserve"> que estaba ocurriendo a raíz de la emergencia de la NMC (a diferencia de la mayoría de los otros modelos NEK, que eran estáticos).</w:t>
      </w:r>
    </w:p>
    <w:p w14:paraId="103886B4" w14:textId="77777777" w:rsidR="009B5DBC" w:rsidRPr="009B31B6" w:rsidRDefault="009B5DBC">
      <w:pPr>
        <w:pStyle w:val="Textonotapie"/>
        <w:numPr>
          <w:ilvl w:val="1"/>
          <w:numId w:val="36"/>
        </w:numPr>
        <w:ind w:left="567" w:hanging="113"/>
      </w:pPr>
      <w:r>
        <w:t>(</w:t>
      </w:r>
      <w:bookmarkStart w:id="59" w:name="_Hlk120805263"/>
      <w:r>
        <w:rPr>
          <w:rFonts w:ascii="Times New Roman" w:hAnsi="Times New Roman" w:cs="Times New Roman"/>
        </w:rPr>
        <w:t>−</w:t>
      </w:r>
      <w:bookmarkEnd w:id="59"/>
      <w:r>
        <w:t xml:space="preserve">) Quedaron superados por la fijación a de precios </w:t>
      </w:r>
      <w:r>
        <w:rPr>
          <w:i/>
          <w:iCs/>
        </w:rPr>
        <w:t>à</w:t>
      </w:r>
      <w:r w:rsidRPr="00FB0ABD">
        <w:rPr>
          <w:i/>
          <w:iCs/>
        </w:rPr>
        <w:t xml:space="preserve"> la</w:t>
      </w:r>
      <w:r>
        <w:t xml:space="preserve"> </w:t>
      </w:r>
      <w:r w:rsidRPr="00FB0ABD">
        <w:rPr>
          <w:smallCaps/>
        </w:rPr>
        <w:t>Calvo</w:t>
      </w:r>
      <w:r w:rsidRPr="00FB0ABD">
        <w:t>.</w:t>
      </w:r>
    </w:p>
  </w:footnote>
  <w:footnote w:id="16">
    <w:p w14:paraId="07D04D21" w14:textId="77777777" w:rsidR="003055A2" w:rsidRPr="00B92803" w:rsidRDefault="003055A2" w:rsidP="003055A2">
      <w:pPr>
        <w:pStyle w:val="Textonotapie"/>
        <w:rPr>
          <w:rFonts w:eastAsiaTheme="minorEastAsia"/>
          <w:iCs/>
          <w:spacing w:val="-4"/>
          <w:lang w:val="en-US"/>
        </w:rPr>
      </w:pPr>
      <w:r w:rsidRPr="00B92803">
        <w:rPr>
          <w:rStyle w:val="Refdenotaalpie"/>
          <w:spacing w:val="-4"/>
        </w:rPr>
        <w:footnoteRef/>
      </w:r>
      <w:r w:rsidRPr="00B92803">
        <w:rPr>
          <w:spacing w:val="-4"/>
        </w:rPr>
        <w:t xml:space="preserve"> Para evitar entrar en una región de indeterminación o de equilibrio múltiples debe satisfacerse el Principio de Taylor, de acuerdo al cual </w:t>
      </w:r>
      <m:oMath>
        <m:sSub>
          <m:sSubPr>
            <m:ctrlPr>
              <w:rPr>
                <w:rFonts w:ascii="Cambria Math" w:hAnsi="Cambria Math"/>
                <w:i/>
                <w:spacing w:val="-4"/>
              </w:rPr>
            </m:ctrlPr>
          </m:sSubPr>
          <m:e>
            <m:r>
              <m:rPr>
                <m:nor/>
              </m:rPr>
              <w:rPr>
                <w:i/>
                <w:spacing w:val="-4"/>
              </w:rPr>
              <m:t>i</m:t>
            </m:r>
          </m:e>
          <m:sub>
            <m:r>
              <m:rPr>
                <m:nor/>
              </m:rPr>
              <w:rPr>
                <w:i/>
                <w:spacing w:val="-4"/>
              </w:rPr>
              <m:t>t</m:t>
            </m:r>
          </m:sub>
        </m:sSub>
      </m:oMath>
      <w:r w:rsidRPr="00B92803">
        <w:rPr>
          <w:rFonts w:eastAsiaTheme="minorEastAsia"/>
          <w:spacing w:val="-4"/>
        </w:rPr>
        <w:t xml:space="preserve"> debe reaccionar más que proporcionalmente ante desviaciones de la inflación con respecto a su nivel objetivo. </w:t>
      </w:r>
      <w:r w:rsidRPr="00B92803">
        <w:rPr>
          <w:rFonts w:eastAsiaTheme="minorEastAsia"/>
          <w:spacing w:val="-4"/>
          <w:lang w:val="en-US"/>
        </w:rPr>
        <w:t xml:space="preserve">Es </w:t>
      </w:r>
      <w:proofErr w:type="spellStart"/>
      <w:r w:rsidRPr="00B92803">
        <w:rPr>
          <w:rFonts w:eastAsiaTheme="minorEastAsia"/>
          <w:spacing w:val="-4"/>
          <w:lang w:val="en-US"/>
        </w:rPr>
        <w:t>decir</w:t>
      </w:r>
      <w:proofErr w:type="spellEnd"/>
      <w:r w:rsidRPr="00B92803">
        <w:rPr>
          <w:rFonts w:eastAsiaTheme="minorEastAsia"/>
          <w:spacing w:val="-4"/>
          <w:lang w:val="en-US"/>
        </w:rPr>
        <w:t xml:space="preserve">, </w:t>
      </w:r>
      <w:proofErr w:type="spellStart"/>
      <w:r w:rsidRPr="00B92803">
        <w:rPr>
          <w:rFonts w:eastAsiaTheme="minorEastAsia"/>
          <w:spacing w:val="-4"/>
          <w:lang w:val="en-US"/>
        </w:rPr>
        <w:t>debe</w:t>
      </w:r>
      <w:proofErr w:type="spellEnd"/>
      <w:r w:rsidRPr="00B92803">
        <w:rPr>
          <w:rFonts w:eastAsiaTheme="minorEastAsia"/>
          <w:spacing w:val="-4"/>
          <w:lang w:val="en-US"/>
        </w:rPr>
        <w:t xml:space="preserve"> </w:t>
      </w:r>
      <w:proofErr w:type="spellStart"/>
      <w:r w:rsidRPr="00B92803">
        <w:rPr>
          <w:rFonts w:eastAsiaTheme="minorEastAsia"/>
          <w:spacing w:val="-4"/>
          <w:lang w:val="en-US"/>
        </w:rPr>
        <w:t>cumplirse</w:t>
      </w:r>
      <w:proofErr w:type="spellEnd"/>
      <w:r w:rsidRPr="00B92803">
        <w:rPr>
          <w:rFonts w:eastAsiaTheme="minorEastAsia"/>
          <w:spacing w:val="-4"/>
          <w:lang w:val="en-US"/>
        </w:rPr>
        <w:t xml:space="preserve"> que </w:t>
      </w:r>
      <m:oMath>
        <m:r>
          <m:rPr>
            <m:nor/>
          </m:rPr>
          <w:rPr>
            <w:i/>
            <w:iCs/>
            <w:spacing w:val="-4"/>
            <w:lang w:val="fr-FR"/>
          </w:rPr>
          <m:t>ϕ</m:t>
        </m:r>
        <m:r>
          <w:rPr>
            <w:rFonts w:ascii="Cambria Math" w:hAnsi="Cambria Math"/>
            <w:spacing w:val="-4"/>
            <w:lang w:val="en-US"/>
          </w:rPr>
          <m:t>&gt;</m:t>
        </m:r>
        <m:r>
          <m:rPr>
            <m:nor/>
          </m:rPr>
          <w:rPr>
            <w:i/>
            <w:iCs/>
            <w:spacing w:val="-4"/>
            <w:lang w:val="en-US"/>
          </w:rPr>
          <m:t>1</m:t>
        </m:r>
      </m:oMath>
      <w:r w:rsidRPr="00B92803">
        <w:rPr>
          <w:rFonts w:eastAsiaTheme="minorEastAsia"/>
          <w:iCs/>
          <w:spacing w:val="-4"/>
          <w:lang w:val="en-US"/>
        </w:rPr>
        <w:t>.</w:t>
      </w:r>
    </w:p>
    <w:p w14:paraId="5D2B9E2A" w14:textId="77777777" w:rsidR="003055A2" w:rsidRDefault="003055A2" w:rsidP="003055A2">
      <w:pPr>
        <w:pStyle w:val="Textonotapie"/>
        <w:rPr>
          <w:lang w:val="en-US"/>
        </w:rPr>
      </w:pPr>
      <w:r w:rsidRPr="001508A3">
        <w:rPr>
          <w:lang w:val="en-US"/>
        </w:rPr>
        <w:t>The Taylor principle that the nominal interest rate should be raised more than point-for</w:t>
      </w:r>
      <w:r>
        <w:rPr>
          <w:lang w:val="en-US"/>
        </w:rPr>
        <w:t>-</w:t>
      </w:r>
      <w:r w:rsidRPr="001508A3">
        <w:rPr>
          <w:lang w:val="en-US"/>
        </w:rPr>
        <w:t>point when inflation rises, so that the real interest rate increases, has become a central tenet of monetary policy. Satisfying the Taylor principle is both necessary and sufficient for stabilizing inflation in a “textbook” model with an IS Curve, Phillips Curve, and Taylor rule, and is the dominant factor for determinacy of inflation in a model with a forward-looking IS Curve, a New Keynesian Phillips Curve, and a Taylor rule.</w:t>
      </w:r>
    </w:p>
    <w:p w14:paraId="6D5F8D6B" w14:textId="77777777" w:rsidR="003055A2" w:rsidRDefault="003055A2" w:rsidP="003055A2">
      <w:pPr>
        <w:pStyle w:val="Textonotapie"/>
        <w:rPr>
          <w:lang w:val="en-US"/>
        </w:rPr>
      </w:pPr>
      <w:r w:rsidRPr="001508A3">
        <w:rPr>
          <w:lang w:val="en-US"/>
        </w:rPr>
        <w:t xml:space="preserve">The Taylor principle is embedded in the </w:t>
      </w:r>
      <w:r w:rsidRPr="00B43C80">
        <w:rPr>
          <w:smallCaps/>
          <w:lang w:val="en-US"/>
        </w:rPr>
        <w:t>Taylor</w:t>
      </w:r>
      <w:r w:rsidRPr="001508A3">
        <w:rPr>
          <w:lang w:val="en-US"/>
        </w:rPr>
        <w:t xml:space="preserve"> (1993) rule. According to the Taylor rule, the policy interest rate (the federal funds rate in the U.S.) equals the inflation rate plus 0.5 times the inflation gap</w:t>
      </w:r>
      <w:r>
        <w:rPr>
          <w:lang w:val="en-US"/>
        </w:rPr>
        <w:t xml:space="preserve"> (i.e.</w:t>
      </w:r>
      <w:r w:rsidRPr="001508A3">
        <w:rPr>
          <w:lang w:val="en-US"/>
        </w:rPr>
        <w:t xml:space="preserve"> inflation minus the target inflation rate</w:t>
      </w:r>
      <w:r>
        <w:rPr>
          <w:lang w:val="en-US"/>
        </w:rPr>
        <w:t>)</w:t>
      </w:r>
      <w:r w:rsidRPr="001508A3">
        <w:rPr>
          <w:lang w:val="en-US"/>
        </w:rPr>
        <w:t xml:space="preserve"> plus 0.5 times the output gap</w:t>
      </w:r>
      <w:r>
        <w:rPr>
          <w:lang w:val="en-US"/>
        </w:rPr>
        <w:t xml:space="preserve"> (i.e. </w:t>
      </w:r>
      <w:r w:rsidRPr="001508A3">
        <w:rPr>
          <w:lang w:val="en-US"/>
        </w:rPr>
        <w:t>the percentage difference between GDP and potential GDP</w:t>
      </w:r>
      <w:r>
        <w:rPr>
          <w:lang w:val="en-US"/>
        </w:rPr>
        <w:t>)</w:t>
      </w:r>
      <w:r w:rsidRPr="001508A3">
        <w:rPr>
          <w:lang w:val="en-US"/>
        </w:rPr>
        <w:t xml:space="preserve"> plus the equilibrium real interest rate.</w:t>
      </w:r>
    </w:p>
    <w:p w14:paraId="05C12BC0" w14:textId="77777777" w:rsidR="003055A2" w:rsidRPr="00B43C80" w:rsidRDefault="003055A2" w:rsidP="003055A2">
      <w:pPr>
        <w:pStyle w:val="Textonotapie"/>
        <w:keepNext/>
        <w:spacing w:after="0"/>
        <w:rPr>
          <w:spacing w:val="-3"/>
          <w:lang w:val="en-US"/>
        </w:rPr>
      </w:pPr>
      <w:r w:rsidRPr="00B43C80">
        <w:rPr>
          <w:spacing w:val="-3"/>
          <w:lang w:val="en-US"/>
        </w:rPr>
        <w:t xml:space="preserve">With the target inflation rate and the equilibrium real interest rate both set equal to 2 %, the rule simplifies to the </w:t>
      </w:r>
      <w:r w:rsidRPr="00B43C80">
        <w:rPr>
          <w:i/>
          <w:iCs/>
          <w:spacing w:val="-3"/>
          <w:lang w:val="en-US"/>
        </w:rPr>
        <w:t>policy rate = 1 % + 1.5 * inflation + 0.5 * output gap</w:t>
      </w:r>
      <w:r w:rsidRPr="00B43C80">
        <w:rPr>
          <w:spacing w:val="-3"/>
          <w:lang w:val="en-US"/>
        </w:rPr>
        <w:t>. With the coefficient on inflation being greater than one, the Taylor rule necessarily satisfies the Taylor principle:</w:t>
      </w:r>
    </w:p>
    <w:p w14:paraId="35D1E934" w14:textId="77777777" w:rsidR="0035722E" w:rsidRPr="00322D15" w:rsidRDefault="00000000" w:rsidP="0035722E">
      <w:pPr>
        <w:pStyle w:val="Textonotapie"/>
        <w:keepNext/>
        <w:spacing w:after="0"/>
        <w:rPr>
          <w:rFonts w:eastAsiaTheme="minorEastAsia"/>
          <w:lang w:val="fr-FR"/>
        </w:rPr>
      </w:pPr>
      <m:oMathPara>
        <m:oMath>
          <m:sSub>
            <m:sSubPr>
              <m:ctrlPr>
                <w:rPr>
                  <w:rFonts w:ascii="Cambria Math" w:hAnsi="Cambria Math"/>
                </w:rPr>
              </m:ctrlPr>
            </m:sSubPr>
            <m:e>
              <m:r>
                <m:rPr>
                  <m:nor/>
                </m:rPr>
                <w:rPr>
                  <w:i/>
                  <w:lang w:val="fr-FR"/>
                </w:rPr>
                <m:t>i</m:t>
              </m:r>
            </m:e>
            <m:sub>
              <m:r>
                <m:rPr>
                  <m:nor/>
                </m:rPr>
                <w:rPr>
                  <w:i/>
                  <w:lang w:val="fr-FR"/>
                </w:rPr>
                <m:t>t</m:t>
              </m:r>
            </m:sub>
          </m:sSub>
          <m:r>
            <w:rPr>
              <w:rFonts w:ascii="Cambria Math" w:hAnsi="Cambria Math"/>
              <w:lang w:val="fr-FR"/>
            </w:rPr>
            <m:t>=</m:t>
          </m:r>
          <m:r>
            <m:rPr>
              <m:nor/>
            </m:rPr>
            <w:rPr>
              <w:i/>
              <w:lang w:val="fr-FR"/>
            </w:rPr>
            <m:t>2%</m:t>
          </m:r>
          <m:r>
            <w:rPr>
              <w:rFonts w:ascii="Cambria Math" w:hAnsi="Cambria Math"/>
              <w:lang w:val="fr-FR"/>
            </w:rPr>
            <m:t>+</m:t>
          </m:r>
          <m:sSub>
            <m:sSubPr>
              <m:ctrlPr>
                <w:rPr>
                  <w:rFonts w:ascii="Cambria Math" w:hAnsi="Cambria Math"/>
                </w:rPr>
              </m:ctrlPr>
            </m:sSubPr>
            <m:e>
              <m:r>
                <m:rPr>
                  <m:nor/>
                </m:rPr>
                <w:rPr>
                  <w:i/>
                </w:rPr>
                <m:t>π</m:t>
              </m:r>
            </m:e>
            <m:sub>
              <m:r>
                <m:rPr>
                  <m:nor/>
                </m:rPr>
                <w:rPr>
                  <w:i/>
                  <w:lang w:val="fr-FR"/>
                </w:rPr>
                <m:t>t</m:t>
              </m:r>
            </m:sub>
          </m:sSub>
          <m:r>
            <w:rPr>
              <w:rFonts w:ascii="Cambria Math" w:hAnsi="Cambria Math"/>
              <w:lang w:val="fr-FR"/>
            </w:rPr>
            <m:t>+</m:t>
          </m:r>
          <m:r>
            <m:rPr>
              <m:nor/>
            </m:rPr>
            <w:rPr>
              <w:i/>
              <w:iCs/>
              <w:lang w:val="fr-FR"/>
            </w:rPr>
            <m:t>0,5</m:t>
          </m:r>
          <m:r>
            <w:rPr>
              <w:rFonts w:ascii="Cambria Math" w:hAnsi="Cambria Math"/>
              <w:lang w:val="fr-FR"/>
            </w:rPr>
            <m:t>∙</m:t>
          </m:r>
          <m:d>
            <m:dPr>
              <m:ctrlPr>
                <w:rPr>
                  <w:rFonts w:ascii="Cambria Math" w:hAnsi="Cambria Math"/>
                </w:rPr>
              </m:ctrlPr>
            </m:dPr>
            <m:e>
              <m:sSub>
                <m:sSubPr>
                  <m:ctrlPr>
                    <w:rPr>
                      <w:rFonts w:ascii="Cambria Math" w:hAnsi="Cambria Math"/>
                    </w:rPr>
                  </m:ctrlPr>
                </m:sSubPr>
                <m:e>
                  <m:r>
                    <m:rPr>
                      <m:nor/>
                    </m:rPr>
                    <w:rPr>
                      <w:i/>
                      <w:lang w:val="fr-FR"/>
                    </w:rPr>
                    <m:t>y</m:t>
                  </m:r>
                </m:e>
                <m:sub>
                  <m:r>
                    <m:rPr>
                      <m:nor/>
                    </m:rPr>
                    <w:rPr>
                      <w:i/>
                      <w:lang w:val="fr-FR"/>
                    </w:rPr>
                    <m:t>t</m:t>
                  </m:r>
                </m:sub>
              </m:sSub>
              <m:r>
                <w:rPr>
                  <w:rFonts w:ascii="Cambria Math" w:hAnsi="Cambria Math"/>
                  <w:lang w:val="fr-FR"/>
                </w:rPr>
                <m:t>-</m:t>
              </m:r>
              <m:r>
                <m:rPr>
                  <m:nor/>
                </m:rPr>
                <w:rPr>
                  <w:i/>
                  <w:lang w:val="fr-FR"/>
                </w:rPr>
                <m:t>y*</m:t>
              </m:r>
            </m:e>
          </m:d>
          <m:r>
            <w:rPr>
              <w:rFonts w:ascii="Cambria Math" w:hAnsi="Cambria Math"/>
              <w:lang w:val="fr-FR"/>
            </w:rPr>
            <m:t>+</m:t>
          </m:r>
          <m:r>
            <m:rPr>
              <m:nor/>
            </m:rPr>
            <w:rPr>
              <w:i/>
              <w:iCs/>
              <w:lang w:val="fr-FR"/>
            </w:rPr>
            <m:t>0,5</m:t>
          </m:r>
          <m:r>
            <w:rPr>
              <w:rFonts w:ascii="Cambria Math" w:hAnsi="Cambria Math"/>
              <w:lang w:val="fr-FR"/>
            </w:rPr>
            <m:t>∙</m:t>
          </m:r>
          <m:d>
            <m:dPr>
              <m:ctrlPr>
                <w:rPr>
                  <w:rFonts w:ascii="Cambria Math" w:hAnsi="Cambria Math"/>
                </w:rPr>
              </m:ctrlPr>
            </m:dPr>
            <m:e>
              <m:sSub>
                <m:sSubPr>
                  <m:ctrlPr>
                    <w:rPr>
                      <w:rFonts w:ascii="Cambria Math" w:hAnsi="Cambria Math"/>
                    </w:rPr>
                  </m:ctrlPr>
                </m:sSubPr>
                <m:e>
                  <m:r>
                    <m:rPr>
                      <m:nor/>
                    </m:rPr>
                    <w:rPr>
                      <w:i/>
                    </w:rPr>
                    <m:t>π</m:t>
                  </m:r>
                </m:e>
                <m:sub>
                  <m:r>
                    <m:rPr>
                      <m:nor/>
                    </m:rPr>
                    <w:rPr>
                      <w:i/>
                      <w:lang w:val="fr-FR"/>
                    </w:rPr>
                    <m:t>t</m:t>
                  </m:r>
                </m:sub>
              </m:sSub>
              <m:r>
                <w:rPr>
                  <w:rFonts w:ascii="Cambria Math" w:hAnsi="Cambria Math"/>
                  <w:lang w:val="fr-FR"/>
                </w:rPr>
                <m:t>-</m:t>
              </m:r>
              <m:r>
                <m:rPr>
                  <m:nor/>
                </m:rPr>
                <w:rPr>
                  <w:i/>
                  <w:lang w:val="fr-FR"/>
                </w:rPr>
                <m:t>2%</m:t>
              </m:r>
            </m:e>
          </m:d>
        </m:oMath>
      </m:oMathPara>
    </w:p>
    <w:p w14:paraId="0564642E" w14:textId="77777777" w:rsidR="0035722E" w:rsidRPr="00322D15" w:rsidRDefault="00000000" w:rsidP="0035722E">
      <w:pPr>
        <w:pStyle w:val="Textonotapie"/>
        <w:keepNext/>
        <w:spacing w:after="0"/>
        <w:rPr>
          <w:rFonts w:eastAsiaTheme="minorEastAsia"/>
          <w:lang w:val="fr-FR"/>
        </w:rPr>
      </w:pPr>
      <m:oMathPara>
        <m:oMath>
          <m:sSub>
            <m:sSubPr>
              <m:ctrlPr>
                <w:rPr>
                  <w:rFonts w:ascii="Cambria Math" w:eastAsiaTheme="minorEastAsia" w:hAnsi="Cambria Math"/>
                  <w:i/>
                </w:rPr>
              </m:ctrlPr>
            </m:sSubPr>
            <m:e>
              <m:r>
                <m:rPr>
                  <m:nor/>
                </m:rPr>
                <w:rPr>
                  <w:i/>
                  <w:lang w:val="fr-FR"/>
                </w:rPr>
                <m:t>i</m:t>
              </m:r>
            </m:e>
            <m:sub>
              <m:r>
                <m:rPr>
                  <m:nor/>
                </m:rPr>
                <w:rPr>
                  <w:i/>
                  <w:lang w:val="fr-FR"/>
                </w:rPr>
                <m:t>t</m:t>
              </m:r>
            </m:sub>
          </m:sSub>
          <m:r>
            <w:rPr>
              <w:rFonts w:ascii="Cambria Math" w:eastAsiaTheme="minorEastAsia" w:hAnsi="Cambria Math"/>
              <w:lang w:val="fr-FR"/>
            </w:rPr>
            <m:t>=</m:t>
          </m:r>
          <m:r>
            <m:rPr>
              <m:nor/>
            </m:rPr>
            <w:rPr>
              <w:i/>
              <w:lang w:val="fr-FR"/>
            </w:rPr>
            <m:t>4%</m:t>
          </m:r>
          <m:r>
            <w:rPr>
              <w:rFonts w:ascii="Cambria Math" w:eastAsiaTheme="minorEastAsia" w:hAnsi="Cambria Math"/>
              <w:lang w:val="fr-FR"/>
            </w:rPr>
            <m:t>+</m:t>
          </m:r>
          <m:r>
            <m:rPr>
              <m:nor/>
            </m:rPr>
            <w:rPr>
              <w:i/>
              <w:iCs/>
              <w:lang w:val="fr-FR"/>
            </w:rPr>
            <m:t>0,5</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hAnsi="Cambria Math"/>
                    </w:rPr>
                  </m:ctrlPr>
                </m:sSubPr>
                <m:e>
                  <m:r>
                    <m:rPr>
                      <m:nor/>
                    </m:rPr>
                    <w:rPr>
                      <w:i/>
                      <w:lang w:val="fr-FR"/>
                    </w:rPr>
                    <m:t>y</m:t>
                  </m:r>
                </m:e>
                <m:sub>
                  <m:r>
                    <m:rPr>
                      <m:nor/>
                    </m:rPr>
                    <w:rPr>
                      <w:i/>
                      <w:lang w:val="fr-FR"/>
                    </w:rPr>
                    <m:t>t</m:t>
                  </m:r>
                </m:sub>
              </m:sSub>
              <m:r>
                <w:rPr>
                  <w:rFonts w:ascii="Cambria Math" w:hAnsi="Cambria Math"/>
                  <w:lang w:val="fr-FR"/>
                </w:rPr>
                <m:t>-</m:t>
              </m:r>
              <m:r>
                <m:rPr>
                  <m:nor/>
                </m:rPr>
                <w:rPr>
                  <w:i/>
                  <w:lang w:val="fr-FR"/>
                </w:rPr>
                <m:t>y*</m:t>
              </m:r>
            </m:e>
          </m:d>
          <m:r>
            <w:rPr>
              <w:rFonts w:ascii="Cambria Math" w:eastAsiaTheme="minorEastAsia" w:hAnsi="Cambria Math"/>
              <w:lang w:val="fr-FR"/>
            </w:rPr>
            <m:t>+</m:t>
          </m:r>
          <m:r>
            <m:rPr>
              <m:nor/>
            </m:rPr>
            <w:rPr>
              <w:i/>
              <w:iCs/>
              <w:lang w:val="fr-FR"/>
            </w:rPr>
            <m:t>1,5</m:t>
          </m:r>
          <m:r>
            <w:rPr>
              <w:rFonts w:ascii="Cambria Math" w:eastAsiaTheme="minorEastAsia" w:hAnsi="Cambria Math"/>
              <w:lang w:val="fr-FR"/>
            </w:rPr>
            <m:t>∙</m:t>
          </m:r>
          <m:d>
            <m:dPr>
              <m:ctrlPr>
                <w:rPr>
                  <w:rFonts w:ascii="Cambria Math" w:eastAsiaTheme="minorEastAsia" w:hAnsi="Cambria Math"/>
                  <w:i/>
                </w:rPr>
              </m:ctrlPr>
            </m:dPr>
            <m:e>
              <m:sSub>
                <m:sSubPr>
                  <m:ctrlPr>
                    <w:rPr>
                      <w:rFonts w:ascii="Cambria Math" w:eastAsiaTheme="minorEastAsia" w:hAnsi="Cambria Math"/>
                      <w:i/>
                    </w:rPr>
                  </m:ctrlPr>
                </m:sSubPr>
                <m:e>
                  <m:r>
                    <m:rPr>
                      <m:nor/>
                    </m:rPr>
                    <w:rPr>
                      <w:i/>
                    </w:rPr>
                    <m:t>π</m:t>
                  </m:r>
                </m:e>
                <m:sub>
                  <m:r>
                    <m:rPr>
                      <m:nor/>
                    </m:rPr>
                    <w:rPr>
                      <w:i/>
                      <w:lang w:val="fr-FR"/>
                    </w:rPr>
                    <m:t>t</m:t>
                  </m:r>
                </m:sub>
              </m:sSub>
              <m:r>
                <w:rPr>
                  <w:rFonts w:ascii="Cambria Math" w:eastAsiaTheme="minorEastAsia" w:hAnsi="Cambria Math"/>
                  <w:lang w:val="fr-FR"/>
                </w:rPr>
                <m:t>-</m:t>
              </m:r>
              <m:r>
                <m:rPr>
                  <m:nor/>
                </m:rPr>
                <w:rPr>
                  <w:i/>
                  <w:iCs/>
                  <w:lang w:val="fr-FR"/>
                </w:rPr>
                <m:t>0,02</m:t>
              </m:r>
            </m:e>
          </m:d>
        </m:oMath>
      </m:oMathPara>
    </w:p>
    <w:p w14:paraId="5EB80B30" w14:textId="135029E8" w:rsidR="003055A2" w:rsidRPr="00F26E19" w:rsidRDefault="00000000" w:rsidP="0035722E">
      <w:pPr>
        <w:pStyle w:val="Textonotapie"/>
        <w:keepNext/>
        <w:spacing w:after="0"/>
        <w:rPr>
          <w:rFonts w:eastAsiaTheme="minorEastAsia"/>
        </w:rPr>
      </w:pPr>
      <m:oMathPara>
        <m:oMath>
          <m:sSub>
            <m:sSubPr>
              <m:ctrlPr>
                <w:rPr>
                  <w:rFonts w:ascii="Cambria Math" w:hAnsi="Cambria Math"/>
                </w:rPr>
              </m:ctrlPr>
            </m:sSubPr>
            <m:e>
              <m:r>
                <m:rPr>
                  <m:nor/>
                </m:rPr>
                <w:rPr>
                  <w:i/>
                </w:rPr>
                <m:t>i</m:t>
              </m:r>
            </m:e>
            <m:sub>
              <m:r>
                <m:rPr>
                  <m:nor/>
                </m:rPr>
                <w:rPr>
                  <w:i/>
                </w:rPr>
                <m:t>t</m:t>
              </m:r>
            </m:sub>
          </m:sSub>
          <m:r>
            <w:rPr>
              <w:rFonts w:ascii="Cambria Math" w:hAnsi="Cambria Math"/>
            </w:rPr>
            <m:t>=</m:t>
          </m:r>
          <m:r>
            <m:rPr>
              <m:nor/>
            </m:rPr>
            <w:rPr>
              <w:i/>
            </w:rPr>
            <m:t>1%</m:t>
          </m:r>
          <m:r>
            <w:rPr>
              <w:rFonts w:ascii="Cambria Math" w:hAnsi="Cambria Math"/>
            </w:rPr>
            <m:t>+</m:t>
          </m:r>
          <m:r>
            <m:rPr>
              <m:nor/>
            </m:rPr>
            <w:rPr>
              <w:i/>
              <w:iCs/>
            </w:rPr>
            <m:t>1,5</m:t>
          </m:r>
          <m:r>
            <w:rPr>
              <w:rFonts w:ascii="Cambria Math" w:hAnsi="Cambria Math"/>
            </w:rPr>
            <m:t>∙</m:t>
          </m:r>
          <m:sSub>
            <m:sSubPr>
              <m:ctrlPr>
                <w:rPr>
                  <w:rFonts w:ascii="Cambria Math" w:hAnsi="Cambria Math"/>
                </w:rPr>
              </m:ctrlPr>
            </m:sSubPr>
            <m:e>
              <m:r>
                <m:rPr>
                  <m:nor/>
                </m:rPr>
                <w:rPr>
                  <w:i/>
                </w:rPr>
                <m:t>π</m:t>
              </m:r>
            </m:e>
            <m:sub>
              <m:r>
                <m:rPr>
                  <m:nor/>
                </m:rPr>
                <w:rPr>
                  <w:i/>
                </w:rPr>
                <m:t>t</m:t>
              </m:r>
            </m:sub>
          </m:sSub>
          <m:r>
            <w:rPr>
              <w:rFonts w:ascii="Cambria Math" w:hAnsi="Cambria Math"/>
            </w:rPr>
            <m:t>+</m:t>
          </m:r>
          <m:r>
            <m:rPr>
              <m:nor/>
            </m:rPr>
            <w:rPr>
              <w:i/>
              <w:iCs/>
            </w:rPr>
            <m:t>0,5</m:t>
          </m:r>
          <m:r>
            <w:rPr>
              <w:rFonts w:ascii="Cambria Math" w:hAnsi="Cambria Math"/>
            </w:rPr>
            <m:t>∙</m:t>
          </m:r>
          <m:d>
            <m:dPr>
              <m:ctrlPr>
                <w:rPr>
                  <w:rFonts w:ascii="Cambria Math" w:hAnsi="Cambria Math"/>
                </w:rPr>
              </m:ctrlPr>
            </m:dPr>
            <m:e>
              <m:sSub>
                <m:sSubPr>
                  <m:ctrlPr>
                    <w:rPr>
                      <w:rFonts w:ascii="Cambria Math" w:hAnsi="Cambria Math"/>
                    </w:rPr>
                  </m:ctrlPr>
                </m:sSubPr>
                <m:e>
                  <m:r>
                    <m:rPr>
                      <m:nor/>
                    </m:rPr>
                    <w:rPr>
                      <w:i/>
                    </w:rPr>
                    <m:t>y</m:t>
                  </m:r>
                </m:e>
                <m:sub>
                  <m:r>
                    <m:rPr>
                      <m:nor/>
                    </m:rPr>
                    <w:rPr>
                      <w:i/>
                    </w:rPr>
                    <m:t>t</m:t>
                  </m:r>
                </m:sub>
              </m:sSub>
              <m:r>
                <w:rPr>
                  <w:rFonts w:ascii="Cambria Math" w:hAnsi="Cambria Math"/>
                </w:rPr>
                <m:t>-</m:t>
              </m:r>
              <m:r>
                <m:rPr>
                  <m:nor/>
                </m:rPr>
                <w:rPr>
                  <w:i/>
                </w:rPr>
                <m:t>y*</m:t>
              </m:r>
            </m:e>
          </m:d>
        </m:oMath>
      </m:oMathPara>
    </w:p>
    <w:p w14:paraId="5592113E" w14:textId="77777777" w:rsidR="003055A2" w:rsidRPr="001508A3" w:rsidRDefault="003055A2" w:rsidP="003055A2">
      <w:pPr>
        <w:pStyle w:val="Textonotapie"/>
        <w:rPr>
          <w:rFonts w:eastAsiaTheme="minorEastAsia"/>
        </w:rPr>
      </w:pPr>
      <w:r>
        <w:rPr>
          <w:rFonts w:eastAsiaTheme="minorEastAsia"/>
        </w:rPr>
        <w:t xml:space="preserve">Las condiciones de determinación del equilibrio pueden ser realizadas mediante el método de </w:t>
      </w:r>
      <w:r w:rsidRPr="001508A3">
        <w:rPr>
          <w:rFonts w:eastAsiaTheme="minorEastAsia"/>
        </w:rPr>
        <w:t>Blanchard</w:t>
      </w:r>
      <w:r>
        <w:rPr>
          <w:rFonts w:eastAsiaTheme="minorEastAsia"/>
        </w:rPr>
        <w:t>-</w:t>
      </w:r>
      <w:r w:rsidRPr="001508A3">
        <w:rPr>
          <w:rFonts w:eastAsiaTheme="minorEastAsia"/>
        </w:rPr>
        <w:t>Kahn</w:t>
      </w:r>
      <w:r>
        <w:rPr>
          <w:rFonts w:eastAsiaTheme="minorEastAsia"/>
        </w:rPr>
        <w:t>.</w:t>
      </w:r>
    </w:p>
  </w:footnote>
  <w:footnote w:id="17">
    <w:p w14:paraId="4DE4174B" w14:textId="77777777" w:rsidR="0035722E" w:rsidRDefault="0035722E" w:rsidP="0035722E">
      <w:pPr>
        <w:pStyle w:val="Textonotapie"/>
      </w:pPr>
      <w:r>
        <w:rPr>
          <w:rStyle w:val="Refdenotaalpie"/>
        </w:rPr>
        <w:footnoteRef/>
      </w:r>
      <w:r>
        <w:t xml:space="preserve"> </w:t>
      </w:r>
      <w:r w:rsidRPr="00C96FF0">
        <w:t>De esta manera, la curva IS ampliada por las expectativas pasa a determinar un output gap presente nulo, lo que a su vez genera, de acuerdo con la curva de Phillips de la NEK una inflación presente nula. El resultado de aplicar una política monetaria óptima es que la economía obtendrá en cada período los mismos resultados en términos de output, empleo, ahorro y el resto de variables macroeconómicas relevantes, que en un contexto de plena flexibilidad de precios, maximizando así el bienestar de los agentes y alcanzando las asignaciones óptimas de Pareto.</w:t>
      </w:r>
    </w:p>
  </w:footnote>
  <w:footnote w:id="18">
    <w:p w14:paraId="425E7156" w14:textId="77777777" w:rsidR="0035722E" w:rsidRDefault="0035722E" w:rsidP="0035722E">
      <w:pPr>
        <w:pStyle w:val="Textonotapie"/>
        <w:keepNext/>
        <w:spacing w:after="0"/>
      </w:pPr>
      <w:r>
        <w:rPr>
          <w:rStyle w:val="Refdenotaalpie"/>
        </w:rPr>
        <w:footnoteRef/>
      </w:r>
      <w:r>
        <w:t xml:space="preserve"> Esta visión nos ofrece un marco para analizar el tono que está teniendo la política monetaria:</w:t>
      </w:r>
    </w:p>
    <w:p w14:paraId="3C2EC8F5" w14:textId="77777777" w:rsidR="0035722E" w:rsidRDefault="0035722E">
      <w:pPr>
        <w:pStyle w:val="Textonotapie"/>
        <w:numPr>
          <w:ilvl w:val="0"/>
          <w:numId w:val="24"/>
        </w:numPr>
        <w:spacing w:after="0"/>
        <w:ind w:left="283" w:hanging="113"/>
      </w:pPr>
      <w:r>
        <w:t>Si el tipo de interés nominal fijado por el banco central menos las expectativas de inflación es menor que el tipo de interés natural (</w:t>
      </w:r>
      <m:oMath>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r>
          <w:rPr>
            <w:rFonts w:ascii="Cambria Math" w:hAnsi="Cambria Math"/>
          </w:rPr>
          <m:t>&lt;</m:t>
        </m:r>
        <m:sSubSup>
          <m:sSubSupPr>
            <m:ctrlPr>
              <w:rPr>
                <w:rFonts w:ascii="Cambria Math" w:hAnsi="Cambria Math"/>
                <w:i/>
              </w:rPr>
            </m:ctrlPr>
          </m:sSubSupPr>
          <m:e>
            <m:r>
              <m:rPr>
                <m:nor/>
              </m:rPr>
              <w:rPr>
                <w:i/>
              </w:rPr>
              <m:t>r</m:t>
            </m:r>
          </m:e>
          <m:sub>
            <m:r>
              <m:rPr>
                <m:nor/>
              </m:rPr>
              <w:rPr>
                <w:i/>
              </w:rPr>
              <m:t>t</m:t>
            </m:r>
          </m:sub>
          <m:sup>
            <m:r>
              <m:rPr>
                <m:nor/>
              </m:rPr>
              <w:rPr>
                <w:i/>
              </w:rPr>
              <m:t>n</m:t>
            </m:r>
          </m:sup>
        </m:sSubSup>
      </m:oMath>
      <w:r>
        <w:t>), la política monetaria tendrá un carácter expansivo, lo que generará un output gap positivo, debido a que los agentes percibirán estos tipos como un desincentivo al ahorro, aumentando su demanda agregada presente, que derivará en presiones inflacionistas contemporáneas.</w:t>
      </w:r>
    </w:p>
    <w:p w14:paraId="69E03B3D" w14:textId="77777777" w:rsidR="0035722E" w:rsidRDefault="0035722E">
      <w:pPr>
        <w:pStyle w:val="Textonotapie"/>
        <w:numPr>
          <w:ilvl w:val="0"/>
          <w:numId w:val="24"/>
        </w:numPr>
        <w:ind w:left="283" w:hanging="113"/>
      </w:pPr>
      <w:r>
        <w:t>Si el tipo de interés nominal fijado por el banco central menos las expectativas de inflación es mayor que el tipo de interés natural (</w:t>
      </w:r>
      <m:oMath>
        <m:sSub>
          <m:sSubPr>
            <m:ctrlPr>
              <w:rPr>
                <w:rFonts w:ascii="Cambria Math" w:hAnsi="Cambria Math"/>
                <w:i/>
              </w:rPr>
            </m:ctrlPr>
          </m:sSubPr>
          <m:e>
            <m:r>
              <m:rPr>
                <m:nor/>
              </m:rPr>
              <w:rPr>
                <w:i/>
              </w:rPr>
              <m:t>i</m:t>
            </m:r>
          </m:e>
          <m:sub>
            <m:r>
              <m:rPr>
                <m:nor/>
              </m:rPr>
              <w:rPr>
                <w:i/>
              </w:rPr>
              <m:t>t</m:t>
            </m:r>
          </m:sub>
        </m:sSub>
        <m:r>
          <w:rPr>
            <w:rFonts w:ascii="Cambria Math" w:hAnsi="Cambria Math"/>
          </w:rPr>
          <m:t>-</m:t>
        </m:r>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iCs/>
              </w:rPr>
            </m:ctrlPr>
          </m:dPr>
          <m:e>
            <m:sSub>
              <m:sSubPr>
                <m:ctrlPr>
                  <w:rPr>
                    <w:rFonts w:ascii="Cambria Math" w:hAnsi="Cambria Math"/>
                    <w:i/>
                  </w:rPr>
                </m:ctrlPr>
              </m:sSubPr>
              <m:e>
                <m:r>
                  <m:rPr>
                    <m:nor/>
                  </m:rPr>
                  <w:rPr>
                    <w:i/>
                  </w:rPr>
                  <m:t>π</m:t>
                </m:r>
              </m:e>
              <m:sub>
                <m:r>
                  <m:rPr>
                    <m:nor/>
                  </m:rPr>
                  <w:rPr>
                    <w:i/>
                  </w:rPr>
                  <m:t>t+1</m:t>
                </m:r>
              </m:sub>
            </m:sSub>
          </m:e>
        </m:d>
        <m:r>
          <w:rPr>
            <w:rFonts w:ascii="Cambria Math" w:hAnsi="Cambria Math"/>
          </w:rPr>
          <m:t>&gt;</m:t>
        </m:r>
        <m:sSubSup>
          <m:sSubSupPr>
            <m:ctrlPr>
              <w:rPr>
                <w:rFonts w:ascii="Cambria Math" w:hAnsi="Cambria Math"/>
                <w:i/>
              </w:rPr>
            </m:ctrlPr>
          </m:sSubSupPr>
          <m:e>
            <m:r>
              <m:rPr>
                <m:nor/>
              </m:rPr>
              <w:rPr>
                <w:i/>
              </w:rPr>
              <m:t>r</m:t>
            </m:r>
          </m:e>
          <m:sub>
            <m:r>
              <m:rPr>
                <m:nor/>
              </m:rPr>
              <w:rPr>
                <w:i/>
              </w:rPr>
              <m:t>t</m:t>
            </m:r>
          </m:sub>
          <m:sup>
            <m:r>
              <m:rPr>
                <m:nor/>
              </m:rPr>
              <w:rPr>
                <w:i/>
              </w:rPr>
              <m:t>n</m:t>
            </m:r>
          </m:sup>
        </m:sSubSup>
      </m:oMath>
      <w:r>
        <w:t>), la política monetaria tendrá un carácter contractivo, lo que producirá un output gap negativo debido a que los agentes percibirán un encarecimiento del coste de oportunidad del consumo presente, que se traducirá en una caída de la demanda agregada y en presiones deflacionistas.</w:t>
      </w:r>
    </w:p>
  </w:footnote>
  <w:footnote w:id="19">
    <w:p w14:paraId="316FCA51" w14:textId="2A8896F2" w:rsidR="00A652EB" w:rsidRDefault="00A652EB">
      <w:pPr>
        <w:pStyle w:val="Textonotapie"/>
      </w:pPr>
      <w:r>
        <w:rPr>
          <w:rStyle w:val="Refdenotaalpie"/>
        </w:rPr>
        <w:footnoteRef/>
      </w:r>
      <w:r>
        <w:t xml:space="preserve"> </w:t>
      </w:r>
      <w:r w:rsidRPr="00A652EB">
        <w:rPr>
          <w:smallCaps/>
        </w:rPr>
        <w:t>Blanchard</w:t>
      </w:r>
      <w:r>
        <w:t xml:space="preserve"> y </w:t>
      </w:r>
      <w:r w:rsidRPr="00A652EB">
        <w:rPr>
          <w:smallCaps/>
        </w:rPr>
        <w:t>Galí</w:t>
      </w:r>
      <w:r>
        <w:t xml:space="preserve"> (2005) a</w:t>
      </w:r>
      <w:r w:rsidRPr="00A652EB">
        <w:t>sumen rigideces reales basadas en fricciones en la búsqueda y emparejamiento en el m</w:t>
      </w:r>
      <w:r>
        <w:t>erca</w:t>
      </w:r>
      <w:r w:rsidRPr="00A652EB">
        <w:t xml:space="preserve">do de trabajo y para ello recurren al modelo de </w:t>
      </w:r>
      <w:proofErr w:type="spellStart"/>
      <w:r w:rsidRPr="00A652EB">
        <w:rPr>
          <w:smallCaps/>
        </w:rPr>
        <w:t>Diamond</w:t>
      </w:r>
      <w:proofErr w:type="spellEnd"/>
      <w:r>
        <w:t xml:space="preserve">, </w:t>
      </w:r>
      <w:r w:rsidRPr="00A652EB">
        <w:rPr>
          <w:smallCaps/>
        </w:rPr>
        <w:t>Mortensen</w:t>
      </w:r>
      <w:r w:rsidRPr="00A652EB">
        <w:t xml:space="preserve"> y </w:t>
      </w:r>
      <w:proofErr w:type="spellStart"/>
      <w:r w:rsidRPr="00A652EB">
        <w:rPr>
          <w:smallCaps/>
        </w:rPr>
        <w:t>Pissarides</w:t>
      </w:r>
      <w:proofErr w:type="spellEnd"/>
      <w:r w:rsidRPr="00A652EB">
        <w:t xml:space="preserve"> </w:t>
      </w:r>
      <w:r w:rsidRPr="00A652EB">
        <w:rPr>
          <w:color w:val="767171" w:themeColor="background2" w:themeShade="80"/>
          <w:sz w:val="14"/>
          <w:szCs w:val="14"/>
        </w:rPr>
        <w:t>[</w:t>
      </w:r>
      <w:r>
        <w:rPr>
          <w:color w:val="767171" w:themeColor="background2" w:themeShade="80"/>
          <w:sz w:val="14"/>
          <w:szCs w:val="14"/>
        </w:rPr>
        <w:t>ver tema 3.A.</w:t>
      </w:r>
      <w:r w:rsidR="00D60AF5">
        <w:rPr>
          <w:color w:val="767171" w:themeColor="background2" w:themeShade="80"/>
          <w:sz w:val="14"/>
          <w:szCs w:val="14"/>
        </w:rPr>
        <w:t>26</w:t>
      </w:r>
      <w:r w:rsidRPr="00A652EB">
        <w:rPr>
          <w:color w:val="767171" w:themeColor="background2" w:themeShade="80"/>
          <w:sz w:val="14"/>
          <w:szCs w:val="14"/>
        </w:rPr>
        <w:t>]</w:t>
      </w:r>
      <w:r w:rsidRPr="00A652EB">
        <w:t>.</w:t>
      </w:r>
    </w:p>
  </w:footnote>
  <w:footnote w:id="20">
    <w:p w14:paraId="70D5B1B0" w14:textId="5CB12997" w:rsidR="008F5617" w:rsidRPr="008F5617" w:rsidRDefault="008F5617">
      <w:pPr>
        <w:pStyle w:val="Textonotapie"/>
        <w:rPr>
          <w:spacing w:val="-2"/>
        </w:rPr>
      </w:pPr>
      <w:r w:rsidRPr="008F5617">
        <w:rPr>
          <w:rStyle w:val="Refdenotaalpie"/>
          <w:spacing w:val="-2"/>
        </w:rPr>
        <w:footnoteRef/>
      </w:r>
      <w:r w:rsidRPr="008F5617">
        <w:rPr>
          <w:spacing w:val="-2"/>
        </w:rPr>
        <w:t xml:space="preserve"> En el </w:t>
      </w:r>
      <w:r w:rsidRPr="008F5617">
        <w:rPr>
          <w:i/>
          <w:iCs/>
          <w:spacing w:val="-2"/>
        </w:rPr>
        <w:t xml:space="preserve">modelo canónico </w:t>
      </w:r>
      <w:proofErr w:type="spellStart"/>
      <w:r w:rsidRPr="008F5617">
        <w:rPr>
          <w:i/>
          <w:iCs/>
          <w:spacing w:val="-2"/>
        </w:rPr>
        <w:t>neokeynesiano</w:t>
      </w:r>
      <w:proofErr w:type="spellEnd"/>
      <w:r w:rsidRPr="008F5617">
        <w:rPr>
          <w:spacing w:val="-2"/>
        </w:rPr>
        <w:t xml:space="preserve"> se cumple el </w:t>
      </w:r>
      <w:r w:rsidRPr="008F5617">
        <w:rPr>
          <w:i/>
          <w:iCs/>
          <w:spacing w:val="-2"/>
        </w:rPr>
        <w:t>teorema de Modigliani-Miller</w:t>
      </w:r>
      <w:r w:rsidRPr="008F5617">
        <w:rPr>
          <w:spacing w:val="-2"/>
        </w:rPr>
        <w:t>, por lo que la estructura financiera de las empresas es irrelevante.</w:t>
      </w:r>
    </w:p>
  </w:footnote>
  <w:footnote w:id="21">
    <w:p w14:paraId="51A9DAD8" w14:textId="52DD11FB" w:rsidR="00E51B66" w:rsidRDefault="00CC3AAF" w:rsidP="00E51B66">
      <w:pPr>
        <w:pStyle w:val="Textonotapie"/>
        <w:keepNext/>
        <w:spacing w:after="0"/>
      </w:pPr>
      <w:r>
        <w:rPr>
          <w:rStyle w:val="Refdenotaalpie"/>
        </w:rPr>
        <w:footnoteRef/>
      </w:r>
      <w:r>
        <w:t xml:space="preserve"> </w:t>
      </w:r>
      <w:r w:rsidR="00E51B66">
        <w:t xml:space="preserve">En marzo de 2019, </w:t>
      </w:r>
      <w:r w:rsidR="00E51B66" w:rsidRPr="00E51B66">
        <w:rPr>
          <w:smallCaps/>
        </w:rPr>
        <w:t>Larry Summers</w:t>
      </w:r>
      <w:r w:rsidR="00E51B66">
        <w:t xml:space="preserve"> y </w:t>
      </w:r>
      <w:proofErr w:type="spellStart"/>
      <w:r w:rsidR="00E51B66" w:rsidRPr="00E51B66">
        <w:rPr>
          <w:smallCaps/>
        </w:rPr>
        <w:t>Lukasz</w:t>
      </w:r>
      <w:proofErr w:type="spellEnd"/>
      <w:r w:rsidR="00E51B66" w:rsidRPr="00E51B66">
        <w:rPr>
          <w:smallCaps/>
        </w:rPr>
        <w:t xml:space="preserve"> Rachel</w:t>
      </w:r>
      <w:r w:rsidR="00E51B66">
        <w:t xml:space="preserve"> publicaron un artículo donde han advertido de la situación de </w:t>
      </w:r>
      <w:r w:rsidR="00E51B66" w:rsidRPr="00E51B66">
        <w:rPr>
          <w:b/>
          <w:bCs/>
        </w:rPr>
        <w:t>estancamiento secular</w:t>
      </w:r>
      <w:r w:rsidR="00E51B66">
        <w:t xml:space="preserve"> en la que se encuentran las principales economías desarrolladas a raíz de un </w:t>
      </w:r>
      <w:r w:rsidR="00E51B66" w:rsidRPr="00E51B66">
        <w:rPr>
          <w:i/>
          <w:iCs/>
        </w:rPr>
        <w:t>exceso de ahorro privado y una falta de inversión privada</w:t>
      </w:r>
      <w:r w:rsidR="00E51B66">
        <w:t xml:space="preserve"> provocada por factores como: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2120"/>
      </w:tblGrid>
      <w:tr w:rsidR="00E51B66" w14:paraId="0445D72D" w14:textId="77777777" w:rsidTr="00E51B66">
        <w:tc>
          <w:tcPr>
            <w:tcW w:w="7508" w:type="dxa"/>
          </w:tcPr>
          <w:p w14:paraId="07F5DDD2" w14:textId="77777777" w:rsidR="00E51B66" w:rsidRDefault="00E51B66">
            <w:pPr>
              <w:pStyle w:val="Textonotapie"/>
              <w:keepNext/>
              <w:numPr>
                <w:ilvl w:val="0"/>
                <w:numId w:val="18"/>
              </w:numPr>
              <w:spacing w:after="0"/>
              <w:ind w:left="283" w:hanging="113"/>
            </w:pPr>
            <w:r w:rsidRPr="00E51B66">
              <w:rPr>
                <w:i/>
                <w:iCs/>
                <w:u w:val="single"/>
              </w:rPr>
              <w:t>Ahorro</w:t>
            </w:r>
            <w:r>
              <w:t>:</w:t>
            </w:r>
          </w:p>
          <w:p w14:paraId="7E4B63AD" w14:textId="77777777" w:rsidR="00E51B66" w:rsidRDefault="00E51B66">
            <w:pPr>
              <w:pStyle w:val="Textonotapie"/>
              <w:numPr>
                <w:ilvl w:val="1"/>
                <w:numId w:val="18"/>
              </w:numPr>
              <w:spacing w:after="0"/>
              <w:ind w:left="567" w:hanging="113"/>
            </w:pPr>
            <w:r>
              <w:t>Envejecimiento población y reducción de la natalidad (al tener menos hijos se ahorra más).</w:t>
            </w:r>
          </w:p>
          <w:p w14:paraId="2D3BF25D" w14:textId="77777777" w:rsidR="00E51B66" w:rsidRDefault="00E51B66">
            <w:pPr>
              <w:pStyle w:val="Textonotapie"/>
              <w:numPr>
                <w:ilvl w:val="1"/>
                <w:numId w:val="18"/>
              </w:numPr>
              <w:spacing w:after="0"/>
              <w:ind w:left="567" w:hanging="113"/>
            </w:pPr>
            <w:r>
              <w:t>Incertidumbre: Ahorro precautorio.</w:t>
            </w:r>
          </w:p>
          <w:p w14:paraId="6FCD9FD7" w14:textId="77777777" w:rsidR="00E51B66" w:rsidRDefault="00E51B66">
            <w:pPr>
              <w:pStyle w:val="Textonotapie"/>
              <w:keepNext/>
              <w:numPr>
                <w:ilvl w:val="0"/>
                <w:numId w:val="18"/>
              </w:numPr>
              <w:spacing w:after="0"/>
              <w:ind w:left="283" w:hanging="113"/>
            </w:pPr>
            <w:r w:rsidRPr="00E51B66">
              <w:rPr>
                <w:i/>
                <w:iCs/>
                <w:u w:val="single"/>
              </w:rPr>
              <w:t>Inversión</w:t>
            </w:r>
            <w:r>
              <w:t>:</w:t>
            </w:r>
          </w:p>
          <w:p w14:paraId="3E79F4F0" w14:textId="77777777" w:rsidR="00E51B66" w:rsidRDefault="00E51B66">
            <w:pPr>
              <w:pStyle w:val="Textonotapie"/>
              <w:numPr>
                <w:ilvl w:val="1"/>
                <w:numId w:val="18"/>
              </w:numPr>
              <w:spacing w:after="0"/>
              <w:ind w:left="567" w:hanging="113"/>
            </w:pPr>
            <w:r>
              <w:t xml:space="preserve">Incertidumbre: Afecta los animal </w:t>
            </w:r>
            <w:proofErr w:type="spellStart"/>
            <w:r>
              <w:t>spirits</w:t>
            </w:r>
            <w:proofErr w:type="spellEnd"/>
            <w:r>
              <w:t>.</w:t>
            </w:r>
          </w:p>
          <w:p w14:paraId="67B68283" w14:textId="77777777" w:rsidR="00E51B66" w:rsidRDefault="00E51B66">
            <w:pPr>
              <w:pStyle w:val="Textonotapie"/>
              <w:numPr>
                <w:ilvl w:val="1"/>
                <w:numId w:val="18"/>
              </w:numPr>
              <w:spacing w:after="0"/>
              <w:ind w:left="567" w:hanging="113"/>
            </w:pPr>
            <w:r>
              <w:t>Histéresis.</w:t>
            </w:r>
          </w:p>
          <w:p w14:paraId="2E507175" w14:textId="59A9F9B2" w:rsidR="00E51B66" w:rsidRDefault="00E51B66">
            <w:pPr>
              <w:pStyle w:val="Textonotapie"/>
              <w:numPr>
                <w:ilvl w:val="1"/>
                <w:numId w:val="18"/>
              </w:numPr>
              <w:ind w:left="567" w:hanging="113"/>
            </w:pPr>
            <w:r>
              <w:t xml:space="preserve">Aumento del </w:t>
            </w:r>
            <w:r w:rsidRPr="00E51B66">
              <w:rPr>
                <w:i/>
                <w:iCs/>
              </w:rPr>
              <w:t>e-</w:t>
            </w:r>
            <w:proofErr w:type="spellStart"/>
            <w:r w:rsidRPr="00E51B66">
              <w:rPr>
                <w:i/>
                <w:iCs/>
              </w:rPr>
              <w:t>commerce</w:t>
            </w:r>
            <w:proofErr w:type="spellEnd"/>
            <w:r>
              <w:t xml:space="preserve"> (reduce la inversión real).</w:t>
            </w:r>
          </w:p>
        </w:tc>
        <w:tc>
          <w:tcPr>
            <w:tcW w:w="2120" w:type="dxa"/>
            <w:vAlign w:val="center"/>
          </w:tcPr>
          <w:p w14:paraId="5F1D5B56" w14:textId="7FF04F1D" w:rsidR="00E51B66" w:rsidRDefault="00E51B66" w:rsidP="00E51B66">
            <w:pPr>
              <w:pStyle w:val="Textonotapie"/>
              <w:keepNext/>
              <w:spacing w:after="0"/>
              <w:jc w:val="right"/>
            </w:pPr>
            <w:r w:rsidRPr="00E51B66">
              <w:rPr>
                <w:noProof/>
              </w:rPr>
              <w:drawing>
                <wp:inline distT="0" distB="0" distL="0" distR="0" wp14:anchorId="411805F8" wp14:editId="039304C3">
                  <wp:extent cx="872329" cy="956733"/>
                  <wp:effectExtent l="0" t="0" r="4445" b="0"/>
                  <wp:docPr id="39" name="Imagen 39"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descr="Imagen en blanco y negro&#10;&#10;Descripción generada automáticamente con confianza baj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1287" cy="966558"/>
                          </a:xfrm>
                          <a:prstGeom prst="rect">
                            <a:avLst/>
                          </a:prstGeom>
                          <a:noFill/>
                          <a:ln>
                            <a:noFill/>
                          </a:ln>
                        </pic:spPr>
                      </pic:pic>
                    </a:graphicData>
                  </a:graphic>
                </wp:inline>
              </w:drawing>
            </w:r>
          </w:p>
        </w:tc>
      </w:tr>
    </w:tbl>
    <w:p w14:paraId="13CA0246" w14:textId="02369868" w:rsidR="00E51B66" w:rsidRDefault="00E51B66" w:rsidP="00E51B66">
      <w:pPr>
        <w:pStyle w:val="Textonotapie"/>
      </w:pPr>
      <w:r w:rsidRPr="00E51B66">
        <w:t>Estos aspectos han llevado a que el tipo de interés neutral, aquel que iguala el ahorro y la inversión en el mercado de fondos prestables, se encuentre en niveles cercanos a cero o negativos en muchos países desarrollados.</w:t>
      </w:r>
    </w:p>
    <w:p w14:paraId="5939C51E" w14:textId="66B5A1CF" w:rsidR="00110F32" w:rsidRPr="00110F32" w:rsidRDefault="00110F32" w:rsidP="00110F32">
      <w:pPr>
        <w:pStyle w:val="Textonotapie"/>
        <w:keepNext/>
        <w:spacing w:after="0"/>
      </w:pPr>
      <w:r>
        <w:t xml:space="preserve">Artículos de </w:t>
      </w:r>
      <w:r>
        <w:rPr>
          <w:smallCaps/>
        </w:rPr>
        <w:t>Olivier Blanchard</w:t>
      </w:r>
      <w:r>
        <w:t xml:space="preserve"> en los que se debate la vigencia de esta situación (más detallado en su libro </w:t>
      </w:r>
      <w:r w:rsidRPr="00110F32">
        <w:rPr>
          <w:i/>
          <w:iCs/>
        </w:rPr>
        <w:t>“</w:t>
      </w:r>
      <w:r>
        <w:rPr>
          <w:i/>
          <w:iCs/>
        </w:rPr>
        <w:t xml:space="preserve">Fiscal </w:t>
      </w:r>
      <w:proofErr w:type="spellStart"/>
      <w:r>
        <w:rPr>
          <w:i/>
          <w:iCs/>
        </w:rPr>
        <w:t>Policy</w:t>
      </w:r>
      <w:proofErr w:type="spellEnd"/>
      <w:r>
        <w:rPr>
          <w:i/>
          <w:iCs/>
        </w:rPr>
        <w:t xml:space="preserve"> </w:t>
      </w:r>
      <w:proofErr w:type="spellStart"/>
      <w:r>
        <w:rPr>
          <w:i/>
          <w:iCs/>
        </w:rPr>
        <w:t>under</w:t>
      </w:r>
      <w:proofErr w:type="spellEnd"/>
      <w:r>
        <w:rPr>
          <w:i/>
          <w:iCs/>
        </w:rPr>
        <w:t xml:space="preserve"> Low </w:t>
      </w:r>
      <w:proofErr w:type="spellStart"/>
      <w:r>
        <w:rPr>
          <w:i/>
          <w:iCs/>
        </w:rPr>
        <w:t>Interest</w:t>
      </w:r>
      <w:proofErr w:type="spellEnd"/>
      <w:r>
        <w:rPr>
          <w:i/>
          <w:iCs/>
        </w:rPr>
        <w:t xml:space="preserve"> Rates</w:t>
      </w:r>
      <w:r w:rsidRPr="00110F32">
        <w:rPr>
          <w:i/>
          <w:iCs/>
        </w:rPr>
        <w:t>”</w:t>
      </w:r>
      <w:r>
        <w:t>):</w:t>
      </w:r>
    </w:p>
    <w:p w14:paraId="2B098B36" w14:textId="677C94ED" w:rsidR="00110F32" w:rsidRPr="00C63DEB" w:rsidRDefault="00000000">
      <w:pPr>
        <w:pStyle w:val="Textonotapie"/>
        <w:numPr>
          <w:ilvl w:val="0"/>
          <w:numId w:val="30"/>
        </w:numPr>
        <w:spacing w:after="0"/>
        <w:ind w:left="283" w:hanging="113"/>
        <w:rPr>
          <w:sz w:val="14"/>
          <w:szCs w:val="14"/>
        </w:rPr>
      </w:pPr>
      <w:hyperlink r:id="rId3" w:history="1">
        <w:r w:rsidR="00110F32" w:rsidRPr="00C63DEB">
          <w:rPr>
            <w:rStyle w:val="Hipervnculo"/>
            <w:sz w:val="14"/>
            <w:szCs w:val="14"/>
          </w:rPr>
          <w:t>https://www.piie.com/blogs/realtime-economics/secular-stagnation-not-over</w:t>
        </w:r>
      </w:hyperlink>
    </w:p>
    <w:p w14:paraId="526F057E" w14:textId="0B898E1D" w:rsidR="00110F32" w:rsidRPr="00C63DEB" w:rsidRDefault="00000000">
      <w:pPr>
        <w:pStyle w:val="Textonotapie"/>
        <w:numPr>
          <w:ilvl w:val="0"/>
          <w:numId w:val="30"/>
        </w:numPr>
        <w:ind w:left="283" w:hanging="113"/>
        <w:rPr>
          <w:sz w:val="14"/>
          <w:szCs w:val="14"/>
        </w:rPr>
      </w:pPr>
      <w:hyperlink r:id="rId4" w:history="1">
        <w:r w:rsidR="00110F32" w:rsidRPr="00C63DEB">
          <w:rPr>
            <w:rStyle w:val="Hipervnculo"/>
            <w:sz w:val="14"/>
            <w:szCs w:val="14"/>
          </w:rPr>
          <w:t>https://www.piie.com/blogs/realtime-economic-issues-watch/why-low-interest-rates-force-us-revisit-scope-and-role-fiscal</w:t>
        </w:r>
      </w:hyperlink>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2120"/>
      </w:tblGrid>
      <w:tr w:rsidR="00C63DEB" w14:paraId="28887128" w14:textId="77777777" w:rsidTr="00A31D48">
        <w:tc>
          <w:tcPr>
            <w:tcW w:w="7508" w:type="dxa"/>
          </w:tcPr>
          <w:p w14:paraId="241A5C36" w14:textId="225057C4" w:rsidR="00C63DEB" w:rsidRDefault="00C63DEB" w:rsidP="00557811">
            <w:pPr>
              <w:pStyle w:val="Textonotapie"/>
              <w:spacing w:after="0"/>
              <w:ind w:left="-111"/>
              <w:rPr>
                <w:i/>
                <w:iCs/>
                <w:lang w:val="en-US"/>
              </w:rPr>
            </w:pPr>
            <w:r w:rsidRPr="00557811">
              <w:rPr>
                <w:i/>
                <w:iCs/>
                <w:smallCaps/>
                <w:lang w:val="en-US"/>
              </w:rPr>
              <w:t>Lawrence Summers</w:t>
            </w:r>
            <w:r w:rsidRPr="00557811">
              <w:rPr>
                <w:i/>
                <w:iCs/>
                <w:lang w:val="en-US"/>
              </w:rPr>
              <w:t xml:space="preserve"> (2014) argued that we might indeed have entered a period of “secular stagnation” and that r was going to remain low for a long time. I am not sure that the Hansen-Summers terminology is best, but it has become standard (I would prefer the term “structurally weak private demand,” but it probably sounds too technical).</w:t>
            </w:r>
          </w:p>
          <w:p w14:paraId="66FD35F7" w14:textId="780CF4DB" w:rsidR="00557811" w:rsidRDefault="00557811" w:rsidP="00557811">
            <w:pPr>
              <w:pStyle w:val="Textonotapie"/>
              <w:spacing w:after="0"/>
              <w:ind w:left="-111"/>
              <w:rPr>
                <w:i/>
                <w:iCs/>
                <w:lang w:val="en-US"/>
              </w:rPr>
            </w:pPr>
            <w:r w:rsidRPr="00557811">
              <w:rPr>
                <w:i/>
                <w:iCs/>
                <w:lang w:val="en-US"/>
              </w:rPr>
              <w:t>As r* has decreased over the last 30</w:t>
            </w:r>
            <w:r>
              <w:rPr>
                <w:i/>
                <w:iCs/>
                <w:lang w:val="en-US"/>
              </w:rPr>
              <w:t> </w:t>
            </w:r>
            <w:r w:rsidRPr="00557811">
              <w:rPr>
                <w:i/>
                <w:iCs/>
                <w:lang w:val="en-US"/>
              </w:rPr>
              <w:t>years, it has crossed two important thresholds.</w:t>
            </w:r>
          </w:p>
          <w:p w14:paraId="373BAEB8" w14:textId="77777777" w:rsidR="00557811" w:rsidRDefault="00557811">
            <w:pPr>
              <w:pStyle w:val="Textonotapie"/>
              <w:numPr>
                <w:ilvl w:val="0"/>
                <w:numId w:val="31"/>
              </w:numPr>
              <w:spacing w:after="0"/>
              <w:ind w:left="283" w:hanging="113"/>
              <w:rPr>
                <w:i/>
                <w:iCs/>
                <w:lang w:val="en-US"/>
              </w:rPr>
            </w:pPr>
            <w:r w:rsidRPr="00557811">
              <w:rPr>
                <w:i/>
                <w:iCs/>
                <w:lang w:val="en-US"/>
              </w:rPr>
              <w:t>First, it became less than the growth rate: r* and by implication r became lower than g.</w:t>
            </w:r>
          </w:p>
          <w:p w14:paraId="0FE5443D" w14:textId="3DBDD907" w:rsidR="00557811" w:rsidRPr="00557811" w:rsidRDefault="00557811">
            <w:pPr>
              <w:pStyle w:val="Textonotapie"/>
              <w:numPr>
                <w:ilvl w:val="0"/>
                <w:numId w:val="31"/>
              </w:numPr>
              <w:ind w:left="283" w:hanging="113"/>
              <w:rPr>
                <w:i/>
                <w:iCs/>
                <w:lang w:val="en-US"/>
              </w:rPr>
            </w:pPr>
            <w:r w:rsidRPr="00557811">
              <w:rPr>
                <w:i/>
                <w:iCs/>
                <w:lang w:val="en-US"/>
              </w:rPr>
              <w:t>The second is that it became so low that, at times, monetary policy could not decrease r to match the decrease in r*, a constraint known as the effective lower bound.</w:t>
            </w:r>
          </w:p>
        </w:tc>
        <w:tc>
          <w:tcPr>
            <w:tcW w:w="2120" w:type="dxa"/>
            <w:vAlign w:val="center"/>
          </w:tcPr>
          <w:p w14:paraId="02FCA1E7" w14:textId="07495E84" w:rsidR="00557811" w:rsidRDefault="00C63DEB" w:rsidP="00557811">
            <w:pPr>
              <w:pStyle w:val="Textonotapie"/>
              <w:keepNext/>
              <w:spacing w:after="0"/>
              <w:jc w:val="right"/>
              <w:rPr>
                <w:noProof/>
              </w:rPr>
            </w:pPr>
            <w:r>
              <w:rPr>
                <w:noProof/>
              </w:rPr>
              <w:drawing>
                <wp:inline distT="0" distB="0" distL="0" distR="0" wp14:anchorId="0F7E5614" wp14:editId="5A8737D3">
                  <wp:extent cx="1127945" cy="768074"/>
                  <wp:effectExtent l="0" t="0" r="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38598" cy="775328"/>
                          </a:xfrm>
                          <a:prstGeom prst="rect">
                            <a:avLst/>
                          </a:prstGeom>
                        </pic:spPr>
                      </pic:pic>
                    </a:graphicData>
                  </a:graphic>
                </wp:inline>
              </w:drawing>
            </w:r>
          </w:p>
          <w:p w14:paraId="69778078" w14:textId="6A4953FE" w:rsidR="00C63DEB" w:rsidRDefault="00C63DEB" w:rsidP="00C63DEB">
            <w:pPr>
              <w:pStyle w:val="Textonotapie"/>
              <w:keepNext/>
              <w:spacing w:after="0"/>
              <w:jc w:val="right"/>
            </w:pPr>
            <w:r>
              <w:rPr>
                <w:noProof/>
              </w:rPr>
              <w:drawing>
                <wp:inline distT="0" distB="0" distL="0" distR="0" wp14:anchorId="1EE9181A" wp14:editId="662E8A5F">
                  <wp:extent cx="1096325" cy="720000"/>
                  <wp:effectExtent l="0" t="0" r="8890" b="444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096325" cy="720000"/>
                          </a:xfrm>
                          <a:prstGeom prst="rect">
                            <a:avLst/>
                          </a:prstGeom>
                        </pic:spPr>
                      </pic:pic>
                    </a:graphicData>
                  </a:graphic>
                </wp:inline>
              </w:drawing>
            </w:r>
          </w:p>
        </w:tc>
      </w:tr>
    </w:tbl>
    <w:p w14:paraId="25DEAECC" w14:textId="45F07B76" w:rsidR="00557811" w:rsidRDefault="00557811" w:rsidP="00557811">
      <w:pPr>
        <w:pStyle w:val="Textonotapie"/>
        <w:keepNext/>
        <w:spacing w:after="0"/>
        <w:rPr>
          <w:i/>
          <w:iCs/>
          <w:lang w:val="en-US"/>
        </w:rPr>
      </w:pPr>
      <w:r w:rsidRPr="00557811">
        <w:rPr>
          <w:i/>
          <w:iCs/>
          <w:lang w:val="en-US"/>
        </w:rPr>
        <w:t>The sign of (r −g) indeed has strong implications for debt dynamics as</w:t>
      </w:r>
      <w:r>
        <w:rPr>
          <w:i/>
          <w:iCs/>
          <w:lang w:val="en-US"/>
        </w:rPr>
        <w:t xml:space="preserve"> </w:t>
      </w:r>
      <w:r w:rsidRPr="00557811">
        <w:rPr>
          <w:i/>
          <w:iCs/>
          <w:lang w:val="en-US"/>
        </w:rPr>
        <w:t>well as for the welfare implications of debt</w:t>
      </w:r>
      <w:r>
        <w:rPr>
          <w:i/>
          <w:iCs/>
          <w:lang w:val="en-US"/>
        </w:rPr>
        <w:t>:</w:t>
      </w:r>
    </w:p>
    <w:p w14:paraId="2CA6798A" w14:textId="77777777" w:rsidR="00557811" w:rsidRDefault="00557811">
      <w:pPr>
        <w:pStyle w:val="Textonotapie"/>
        <w:keepNext/>
        <w:numPr>
          <w:ilvl w:val="0"/>
          <w:numId w:val="32"/>
        </w:numPr>
        <w:spacing w:after="0"/>
        <w:ind w:left="283" w:hanging="113"/>
        <w:rPr>
          <w:i/>
          <w:iCs/>
          <w:lang w:val="en-US"/>
        </w:rPr>
      </w:pPr>
      <w:r w:rsidRPr="00557811">
        <w:rPr>
          <w:i/>
          <w:iCs/>
          <w:lang w:val="en-US"/>
        </w:rPr>
        <w:t>Take debt dynamics first. For any borrower, a low interest rate is good news.</w:t>
      </w:r>
      <w:r w:rsidRPr="00557811">
        <w:rPr>
          <w:lang w:val="en-US"/>
        </w:rPr>
        <w:t xml:space="preserve"> </w:t>
      </w:r>
      <w:r w:rsidRPr="00557811">
        <w:rPr>
          <w:i/>
          <w:iCs/>
          <w:lang w:val="en-US"/>
        </w:rPr>
        <w:t xml:space="preserve">But, if you or I borrow, we still must pay back the loan before we die. Governments do not need to do that. In effect, because they live forever, when debt becomes </w:t>
      </w:r>
      <w:proofErr w:type="gramStart"/>
      <w:r w:rsidRPr="00557811">
        <w:rPr>
          <w:i/>
          <w:iCs/>
          <w:lang w:val="en-US"/>
        </w:rPr>
        <w:t>due</w:t>
      </w:r>
      <w:proofErr w:type="gramEnd"/>
      <w:r w:rsidRPr="00557811">
        <w:rPr>
          <w:i/>
          <w:iCs/>
          <w:lang w:val="en-US"/>
        </w:rPr>
        <w:t xml:space="preserve"> they can issue new debt (i.e., “rollover debt”). All governments do that. […].</w:t>
      </w:r>
    </w:p>
    <w:p w14:paraId="54A10ED2" w14:textId="77777777" w:rsidR="00557811" w:rsidRDefault="00557811">
      <w:pPr>
        <w:pStyle w:val="Textonotapie"/>
        <w:numPr>
          <w:ilvl w:val="1"/>
          <w:numId w:val="32"/>
        </w:numPr>
        <w:spacing w:after="0"/>
        <w:ind w:left="567" w:hanging="113"/>
        <w:rPr>
          <w:i/>
          <w:iCs/>
          <w:lang w:val="en-US"/>
        </w:rPr>
      </w:pPr>
      <w:r w:rsidRPr="00557811">
        <w:rPr>
          <w:i/>
          <w:iCs/>
          <w:lang w:val="en-US"/>
        </w:rPr>
        <w:t>If r &gt; g, which has long been taken as the standard case, the ratio of debt to output, often called the “debt ratio” for short, will increase exponentially at rate (r − g), and sooner or later, if the government does not want the debt</w:t>
      </w:r>
      <w:r>
        <w:rPr>
          <w:i/>
          <w:iCs/>
          <w:lang w:val="en-US"/>
        </w:rPr>
        <w:t xml:space="preserve"> </w:t>
      </w:r>
      <w:r w:rsidRPr="00557811">
        <w:rPr>
          <w:i/>
          <w:iCs/>
          <w:lang w:val="en-US"/>
        </w:rPr>
        <w:t>ratio to explode, it will have to increase taxes (or decrease spending, or both).</w:t>
      </w:r>
    </w:p>
    <w:p w14:paraId="35BD4305" w14:textId="1481DA51" w:rsidR="00557811" w:rsidRPr="00557811" w:rsidRDefault="00557811">
      <w:pPr>
        <w:pStyle w:val="Textonotapie"/>
        <w:numPr>
          <w:ilvl w:val="1"/>
          <w:numId w:val="32"/>
        </w:numPr>
        <w:spacing w:after="0"/>
        <w:ind w:left="567" w:hanging="113"/>
        <w:rPr>
          <w:i/>
          <w:iCs/>
          <w:lang w:val="en-US"/>
        </w:rPr>
      </w:pPr>
      <w:r w:rsidRPr="00557811">
        <w:rPr>
          <w:i/>
          <w:iCs/>
          <w:lang w:val="en-US"/>
        </w:rPr>
        <w:t>But if r &lt; g, the situation we are in today and expect to be in for some time to come, then the debt ratio will decrease over time. Indeed, if r &lt; g forever, then the government can spend more for a while, issue debt, and never raise taxes. Thus, the standard notion that higher debt implies the need for higher taxes in the future seems no longer to hold.</w:t>
      </w:r>
    </w:p>
    <w:p w14:paraId="25AA5BBF" w14:textId="39F4A7E3" w:rsidR="00557811" w:rsidRPr="00557811" w:rsidRDefault="00557811">
      <w:pPr>
        <w:pStyle w:val="Textonotapie"/>
        <w:numPr>
          <w:ilvl w:val="0"/>
          <w:numId w:val="32"/>
        </w:numPr>
        <w:ind w:left="283" w:hanging="113"/>
        <w:rPr>
          <w:i/>
          <w:iCs/>
          <w:lang w:val="en-US"/>
        </w:rPr>
      </w:pPr>
      <w:r w:rsidRPr="00557811">
        <w:rPr>
          <w:i/>
          <w:iCs/>
          <w:lang w:val="en-US"/>
        </w:rPr>
        <w:t xml:space="preserve">Turn to welfare implications. A low r is </w:t>
      </w:r>
      <w:proofErr w:type="gramStart"/>
      <w:r w:rsidRPr="00557811">
        <w:rPr>
          <w:i/>
          <w:iCs/>
          <w:lang w:val="en-US"/>
        </w:rPr>
        <w:t>actually a</w:t>
      </w:r>
      <w:proofErr w:type="gramEnd"/>
      <w:r w:rsidRPr="00557811">
        <w:rPr>
          <w:i/>
          <w:iCs/>
          <w:lang w:val="en-US"/>
        </w:rPr>
        <w:t xml:space="preserve"> signal that something is wrong with the economy: In effect, if we think of the safe rate as the risk-adjusted rate of return on capital, the low safe rate is sending the signal that, risk adjusted, the return on capital is low. Put another way, it is sending the signal that capital is in fact not very productive at the margin. If so, to the extent that we think of debt as crowding capital and thus decreasing capital</w:t>
      </w:r>
      <w:r>
        <w:rPr>
          <w:i/>
          <w:iCs/>
          <w:lang w:val="en-US"/>
        </w:rPr>
        <w:t xml:space="preserve"> </w:t>
      </w:r>
      <w:r w:rsidRPr="00557811">
        <w:rPr>
          <w:i/>
          <w:iCs/>
          <w:lang w:val="en-US"/>
        </w:rPr>
        <w:t>accumulation, debt may not be costly. It may even be beneficial if there truly was too much capital to start with.</w:t>
      </w:r>
    </w:p>
  </w:footnote>
  <w:footnote w:id="22">
    <w:p w14:paraId="2838CE81" w14:textId="7784EF9D" w:rsidR="007F0AC2" w:rsidRDefault="007F0AC2" w:rsidP="007F0AC2">
      <w:pPr>
        <w:pStyle w:val="Textonotapie"/>
        <w:spacing w:after="0"/>
      </w:pPr>
      <w:r>
        <w:rPr>
          <w:rStyle w:val="Refdenotaalpie"/>
        </w:rPr>
        <w:footnoteRef/>
      </w:r>
      <w:r>
        <w:t xml:space="preserve"> En su libro </w:t>
      </w:r>
      <w:r w:rsidRPr="007F0AC2">
        <w:rPr>
          <w:i/>
          <w:iCs/>
        </w:rPr>
        <w:t>“La maldición del metálico”</w:t>
      </w:r>
      <w:r>
        <w:t xml:space="preserve"> publicado en octubre de 2016, </w:t>
      </w:r>
      <w:r>
        <w:rPr>
          <w:smallCaps/>
        </w:rPr>
        <w:t xml:space="preserve">Kenneth </w:t>
      </w:r>
      <w:proofErr w:type="spellStart"/>
      <w:r>
        <w:rPr>
          <w:smallCaps/>
        </w:rPr>
        <w:t>Rogoff</w:t>
      </w:r>
      <w:proofErr w:type="spellEnd"/>
      <w:r>
        <w:t xml:space="preserve"> propone un sistema para transitar de una economía “metálica” a una economía “electrónica”.</w:t>
      </w:r>
    </w:p>
    <w:p w14:paraId="6C4156F5" w14:textId="6F01B15C" w:rsidR="007F0AC2" w:rsidRPr="00417A95" w:rsidRDefault="007F0AC2" w:rsidP="007F0AC2">
      <w:pPr>
        <w:pStyle w:val="Textonotapie"/>
        <w:rPr>
          <w:lang w:val="en-US"/>
        </w:rPr>
      </w:pPr>
      <w:r>
        <w:t>Propone empezar eliminando los billetes de más de 20</w:t>
      </w:r>
      <w:r w:rsidR="00750756">
        <w:t> </w:t>
      </w:r>
      <w:r>
        <w:t xml:space="preserve">euros (o dólares). Más adelante, se eliminarían también estos billetes de bajas denominaciones, dejando únicamente las monedas de 1 </w:t>
      </w:r>
      <w:proofErr w:type="spellStart"/>
      <w:r>
        <w:t>ó</w:t>
      </w:r>
      <w:proofErr w:type="spellEnd"/>
      <w:r>
        <w:t xml:space="preserve"> 2 euros, lo que aumentaría el coste de mantener dinero en efectivo, incentivando a los individuos más rezagados a pasarse al sistema “electrónico”. </w:t>
      </w:r>
      <w:r w:rsidRPr="00417A95">
        <w:rPr>
          <w:lang w:val="en-US"/>
        </w:rPr>
        <w:t xml:space="preserve">Por </w:t>
      </w:r>
      <w:proofErr w:type="spellStart"/>
      <w:r w:rsidRPr="00417A95">
        <w:rPr>
          <w:lang w:val="en-US"/>
        </w:rPr>
        <w:t>último</w:t>
      </w:r>
      <w:proofErr w:type="spellEnd"/>
      <w:r w:rsidRPr="00417A95">
        <w:rPr>
          <w:lang w:val="en-US"/>
        </w:rPr>
        <w:t xml:space="preserve">, se </w:t>
      </w:r>
      <w:proofErr w:type="spellStart"/>
      <w:r w:rsidRPr="00417A95">
        <w:rPr>
          <w:lang w:val="en-US"/>
        </w:rPr>
        <w:t>eliminarían</w:t>
      </w:r>
      <w:proofErr w:type="spellEnd"/>
      <w:r w:rsidRPr="00417A95">
        <w:rPr>
          <w:lang w:val="en-US"/>
        </w:rPr>
        <w:t xml:space="preserve"> </w:t>
      </w:r>
      <w:proofErr w:type="spellStart"/>
      <w:r w:rsidRPr="00417A95">
        <w:rPr>
          <w:lang w:val="en-US"/>
        </w:rPr>
        <w:t>también</w:t>
      </w:r>
      <w:proofErr w:type="spellEnd"/>
      <w:r w:rsidRPr="00417A95">
        <w:rPr>
          <w:lang w:val="en-US"/>
        </w:rPr>
        <w:t xml:space="preserve"> las </w:t>
      </w:r>
      <w:proofErr w:type="spellStart"/>
      <w:r w:rsidRPr="00417A95">
        <w:rPr>
          <w:lang w:val="en-US"/>
        </w:rPr>
        <w:t>monedas</w:t>
      </w:r>
      <w:proofErr w:type="spellEnd"/>
      <w:r w:rsidRPr="00417A95">
        <w:rPr>
          <w:lang w:val="en-US"/>
        </w:rPr>
        <w:t>.</w:t>
      </w:r>
    </w:p>
  </w:footnote>
  <w:footnote w:id="23">
    <w:p w14:paraId="7FA4EB48" w14:textId="77777777" w:rsidR="00FA1128" w:rsidRPr="004836DA" w:rsidRDefault="00FA1128" w:rsidP="00FA1128">
      <w:pPr>
        <w:pStyle w:val="Textonotapie"/>
        <w:keepNext/>
        <w:spacing w:after="0"/>
        <w:rPr>
          <w:lang w:val="en-US"/>
        </w:rPr>
      </w:pPr>
      <w:r>
        <w:rPr>
          <w:rStyle w:val="Refdenotaalpie"/>
        </w:rPr>
        <w:footnoteRef/>
      </w:r>
      <w:r w:rsidRPr="004836DA">
        <w:rPr>
          <w:lang w:val="en-US"/>
        </w:rPr>
        <w:t xml:space="preserve"> </w:t>
      </w:r>
      <w:r w:rsidRPr="004836DA">
        <w:rPr>
          <w:i/>
          <w:iCs/>
          <w:spacing w:val="-1"/>
          <w:lang w:val="en-US"/>
        </w:rPr>
        <w:t xml:space="preserve">“The inflation rate over the longer run is primarily determined by monetary policy, and hence the Committee </w:t>
      </w:r>
      <w:proofErr w:type="gramStart"/>
      <w:r w:rsidRPr="004836DA">
        <w:rPr>
          <w:i/>
          <w:iCs/>
          <w:spacing w:val="-1"/>
          <w:lang w:val="en-US"/>
        </w:rPr>
        <w:t>has the ability to</w:t>
      </w:r>
      <w:proofErr w:type="gramEnd"/>
      <w:r w:rsidRPr="004836DA">
        <w:rPr>
          <w:i/>
          <w:iCs/>
          <w:spacing w:val="-1"/>
          <w:lang w:val="en-US"/>
        </w:rPr>
        <w:t xml:space="preserve"> specify a longer-run goal for inflation. The Committee reaffirms its judgment that inflation at the rate of 2 percent, as measured by the annual change in the price index for personal consumption expenditures, is most consistent over the longer run with the Federal Reserve's statutory mandate. The Committee judges that longer-term inflation expectations that are well anchored at 2 percent foster price stability and moderate long-term interest rates and enhance the Committee's ability to promote maximum employment in the face of significant economic disturbances. </w:t>
      </w:r>
      <w:proofErr w:type="gramStart"/>
      <w:r w:rsidRPr="004836DA">
        <w:rPr>
          <w:i/>
          <w:iCs/>
          <w:spacing w:val="-1"/>
          <w:u w:val="single"/>
          <w:lang w:val="en-US"/>
        </w:rPr>
        <w:t>In order to</w:t>
      </w:r>
      <w:proofErr w:type="gramEnd"/>
      <w:r w:rsidRPr="004836DA">
        <w:rPr>
          <w:i/>
          <w:iCs/>
          <w:spacing w:val="-1"/>
          <w:u w:val="single"/>
          <w:lang w:val="en-US"/>
        </w:rPr>
        <w:t xml:space="preserve"> anchor longer-term inflation expectations at this level, the Committee seeks to achieve inflation that averages 2 percent over time, and therefore judges that, following periods when inflation has been running persistently below 2 percent, appropriate monetary policy will likely aim to achieve inflation moderately above 2 percent for some time.</w:t>
      </w:r>
      <w:r w:rsidRPr="004836DA">
        <w:rPr>
          <w:i/>
          <w:iCs/>
          <w:spacing w:val="-1"/>
          <w:lang w:val="en-US"/>
        </w:rPr>
        <w:t>”</w:t>
      </w:r>
    </w:p>
    <w:p w14:paraId="74E33305" w14:textId="77777777" w:rsidR="00FA1128" w:rsidRPr="004836DA" w:rsidRDefault="00FA1128" w:rsidP="00FA1128">
      <w:pPr>
        <w:pStyle w:val="Textonotapie"/>
        <w:jc w:val="right"/>
        <w:rPr>
          <w:lang w:val="en-US"/>
        </w:rPr>
      </w:pPr>
      <w:r>
        <w:rPr>
          <w:lang w:val="en-US"/>
        </w:rPr>
        <w:t xml:space="preserve">Federal Reserve (2020), </w:t>
      </w:r>
      <w:r w:rsidRPr="004836DA">
        <w:rPr>
          <w:i/>
          <w:iCs/>
          <w:lang w:val="en-US"/>
        </w:rPr>
        <w:t>Review of monetary policy strategy tools and communications</w:t>
      </w:r>
      <w:r>
        <w:rPr>
          <w:lang w:val="en-US"/>
        </w:rPr>
        <w:t xml:space="preserve">, </w:t>
      </w:r>
      <w:r w:rsidR="00000000">
        <w:fldChar w:fldCharType="begin"/>
      </w:r>
      <w:r w:rsidR="00000000" w:rsidRPr="008C588C">
        <w:rPr>
          <w:lang w:val="en-US"/>
        </w:rPr>
        <w:instrText>HYPERLINK "https://www.federalreserve.gov/monetarypolicy/review-of-monetary-policy-strategy-tools-and-communications-statement-on-longer-run-goals-monetary-policy-strategy.htm"</w:instrText>
      </w:r>
      <w:r w:rsidR="00000000">
        <w:fldChar w:fldCharType="separate"/>
      </w:r>
      <w:r w:rsidRPr="004836DA">
        <w:rPr>
          <w:rStyle w:val="Hipervnculo"/>
          <w:sz w:val="14"/>
          <w:szCs w:val="14"/>
          <w:lang w:val="en-US"/>
        </w:rPr>
        <w:t>https://www.federalreserve.gov/monetarypolicy/review-of-monetary-policy-strategy-tools-and-communications-statement-on-longer-run-goals-monetary-policy-strategy.htm</w:t>
      </w:r>
      <w:r w:rsidR="00000000">
        <w:rPr>
          <w:rStyle w:val="Hipervnculo"/>
          <w:sz w:val="14"/>
          <w:szCs w:val="14"/>
          <w:lang w:val="en-US"/>
        </w:rPr>
        <w:fldChar w:fldCharType="end"/>
      </w:r>
    </w:p>
  </w:footnote>
  <w:footnote w:id="24">
    <w:p w14:paraId="2DC498C3" w14:textId="3757EF67" w:rsidR="00CA26AF" w:rsidRDefault="00CA26AF" w:rsidP="00CA26AF">
      <w:pPr>
        <w:pStyle w:val="Textonotapie"/>
      </w:pPr>
      <w:r>
        <w:rPr>
          <w:rStyle w:val="Refdenotaalpie"/>
        </w:rPr>
        <w:footnoteRef/>
      </w:r>
      <w:r>
        <w:t xml:space="preserve"> Pese a tratares de un modelo estático, en espíritu hay elementos dinámicos, pues el modelo sólo est</w:t>
      </w:r>
      <w:r w:rsidR="00886959">
        <w:t>á</w:t>
      </w:r>
      <w:r>
        <w:t xml:space="preserve"> en equilibrio cuando la economía se sitúa sobre las curvas. Para cualquier otra combinación de renta y tipos de interés existen mercados en desequilibrio que, de alguna manera, tienden a un equilibrio.</w:t>
      </w:r>
    </w:p>
  </w:footnote>
  <w:footnote w:id="25">
    <w:p w14:paraId="6A252BE2" w14:textId="77777777" w:rsidR="00CA26AF" w:rsidRDefault="00CA26AF" w:rsidP="00CA26AF">
      <w:pPr>
        <w:pStyle w:val="Textonotapie"/>
        <w:keepNext/>
        <w:spacing w:after="0"/>
      </w:pPr>
      <w:r>
        <w:rPr>
          <w:rStyle w:val="Refdenotaalpie"/>
        </w:rPr>
        <w:footnoteRef/>
      </w:r>
      <w:r>
        <w:t xml:space="preserve"> Realmente lo que hemos supuesto es lo siguiente:</w:t>
      </w:r>
    </w:p>
    <w:p w14:paraId="2F115C09" w14:textId="77777777" w:rsidR="00CA26AF" w:rsidRPr="00AE0C47" w:rsidRDefault="00000000" w:rsidP="00CA26AF">
      <w:pPr>
        <w:pStyle w:val="Textonotapie"/>
        <w:keepNext/>
        <w:spacing w:after="0"/>
        <w:rPr>
          <w:lang w:val="en-US"/>
        </w:rPr>
      </w:pPr>
      <m:oMathPara>
        <m:oMath>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r>
                    <m:rPr>
                      <m:nor/>
                    </m:rPr>
                    <w:rPr>
                      <w:rStyle w:val="Hipervnculo"/>
                      <w:i/>
                      <w:color w:val="auto"/>
                      <w:u w:val="none"/>
                      <w:lang w:val="en-US"/>
                    </w:rPr>
                    <m:t>CC</m:t>
                  </m:r>
                </m:e>
              </m:groupChr>
            </m:e>
            <m:lim>
              <m:r>
                <m:rPr>
                  <m:nor/>
                </m:rPr>
                <w:rPr>
                  <w:rStyle w:val="Hipervnculo"/>
                  <w:i/>
                  <w:color w:val="auto"/>
                  <w:u w:val="none"/>
                  <w:lang w:val="en-US"/>
                </w:rPr>
                <m:t>CB&amp;S</m:t>
              </m:r>
              <m:r>
                <w:rPr>
                  <w:rStyle w:val="Hipervnculo"/>
                  <w:rFonts w:ascii="Cambria Math" w:hAnsi="Cambria Math"/>
                  <w:color w:val="auto"/>
                  <w:u w:val="none"/>
                  <w:lang w:val="en-US"/>
                </w:rPr>
                <m:t>+</m:t>
              </m:r>
              <m:limLow>
                <m:limLowPr>
                  <m:ctrlPr>
                    <w:rPr>
                      <w:rStyle w:val="Hipervnculo"/>
                      <w:rFonts w:ascii="Cambria Math" w:hAnsi="Cambria Math"/>
                      <w:i/>
                      <w:color w:val="auto"/>
                      <w:u w:val="none"/>
                      <w:lang w:val="fr-FR"/>
                    </w:rPr>
                  </m:ctrlPr>
                </m:limLowPr>
                <m:e>
                  <m:groupChr>
                    <m:groupChrPr>
                      <m:ctrlPr>
                        <w:rPr>
                          <w:rStyle w:val="Hipervnculo"/>
                          <w:rFonts w:ascii="Cambria Math" w:hAnsi="Cambria Math"/>
                          <w:i/>
                          <w:color w:val="auto"/>
                          <w:u w:val="none"/>
                          <w:lang w:val="fr-FR"/>
                        </w:rPr>
                      </m:ctrlPr>
                    </m:groupChrPr>
                    <m:e>
                      <m:r>
                        <m:rPr>
                          <m:nor/>
                        </m:rPr>
                        <w:rPr>
                          <w:rStyle w:val="Hipervnculo"/>
                          <w:i/>
                          <w:strike/>
                          <w:color w:val="C00000"/>
                          <w:u w:val="none"/>
                          <w:lang w:val="en-US"/>
                        </w:rPr>
                        <m:t>CR1</m:t>
                      </m:r>
                      <m:r>
                        <m:rPr>
                          <m:nor/>
                        </m:rPr>
                        <w:rPr>
                          <w:rStyle w:val="Hipervnculo"/>
                          <w:i/>
                          <w:color w:val="C00000"/>
                          <w:u w:val="none"/>
                          <w:vertAlign w:val="superscript"/>
                          <w:lang w:val="en-US"/>
                        </w:rPr>
                        <m:t>as</m:t>
                      </m:r>
                    </m:e>
                  </m:groupChr>
                </m:e>
                <m:lim>
                  <m:sSub>
                    <m:sSubPr>
                      <m:ctrlPr>
                        <w:rPr>
                          <w:rStyle w:val="Hipervnculo"/>
                          <w:rFonts w:ascii="Cambria Math" w:hAnsi="Cambria Math"/>
                          <w:i/>
                          <w:strike/>
                          <w:color w:val="C00000"/>
                          <w:u w:val="none"/>
                          <w:lang w:val="fr-FR"/>
                        </w:rPr>
                      </m:ctrlPr>
                    </m:sSubPr>
                    <m:e>
                      <m:r>
                        <m:rPr>
                          <m:nor/>
                        </m:rPr>
                        <w:rPr>
                          <w:rStyle w:val="Hipervnculo"/>
                          <w:i/>
                          <w:strike/>
                          <w:color w:val="C00000"/>
                          <w:u w:val="none"/>
                          <w:lang w:val="en-US"/>
                        </w:rPr>
                        <m:t>CR1</m:t>
                      </m:r>
                      <m:r>
                        <m:rPr>
                          <m:nor/>
                        </m:rPr>
                        <w:rPr>
                          <w:rStyle w:val="Hipervnculo"/>
                          <w:i/>
                          <w:color w:val="C00000"/>
                          <w:u w:val="none"/>
                          <w:vertAlign w:val="superscript"/>
                          <w:lang w:val="en-US"/>
                        </w:rPr>
                        <m:t>as</m:t>
                      </m:r>
                    </m:e>
                    <m:sub>
                      <m:r>
                        <m:rPr>
                          <m:nor/>
                        </m:rPr>
                        <w:rPr>
                          <w:rStyle w:val="Hipervnculo"/>
                          <w:i/>
                          <w:color w:val="C00000"/>
                          <w:u w:val="none"/>
                          <w:lang w:val="en-US"/>
                        </w:rPr>
                        <m:t>K</m:t>
                      </m:r>
                    </m:sub>
                  </m:sSub>
                  <m:r>
                    <w:rPr>
                      <w:rStyle w:val="Hipervnculo"/>
                      <w:rFonts w:ascii="Cambria Math" w:hAnsi="Cambria Math"/>
                      <w:color w:val="auto"/>
                      <w:u w:val="none"/>
                      <w:lang w:val="en-US"/>
                    </w:rPr>
                    <m:t>+</m:t>
                  </m:r>
                  <m:sSub>
                    <m:sSubPr>
                      <m:ctrlPr>
                        <w:rPr>
                          <w:rStyle w:val="Hipervnculo"/>
                          <w:rFonts w:ascii="Cambria Math" w:hAnsi="Cambria Math"/>
                          <w:i/>
                          <w:strike/>
                          <w:color w:val="C00000"/>
                          <w:u w:val="none"/>
                          <w:lang w:val="fr-FR"/>
                        </w:rPr>
                      </m:ctrlPr>
                    </m:sSubPr>
                    <m:e>
                      <m:r>
                        <m:rPr>
                          <m:nor/>
                        </m:rPr>
                        <w:rPr>
                          <w:rStyle w:val="Hipervnculo"/>
                          <w:i/>
                          <w:strike/>
                          <w:color w:val="C00000"/>
                          <w:u w:val="none"/>
                          <w:lang w:val="en-US"/>
                        </w:rPr>
                        <m:t>CR1</m:t>
                      </m:r>
                      <m:r>
                        <m:rPr>
                          <m:nor/>
                        </m:rPr>
                        <w:rPr>
                          <w:rStyle w:val="Hipervnculo"/>
                          <w:i/>
                          <w:color w:val="C00000"/>
                          <w:u w:val="none"/>
                          <w:vertAlign w:val="superscript"/>
                          <w:lang w:val="en-US"/>
                        </w:rPr>
                        <m:t>as</m:t>
                      </m:r>
                    </m:e>
                    <m:sub>
                      <m:r>
                        <m:rPr>
                          <m:nor/>
                        </m:rPr>
                        <w:rPr>
                          <w:rStyle w:val="Hipervnculo"/>
                          <w:i/>
                          <w:color w:val="C00000"/>
                          <w:u w:val="none"/>
                          <w:lang w:val="en-US"/>
                        </w:rPr>
                        <m:t>L</m:t>
                      </m:r>
                    </m:sub>
                  </m:sSub>
                </m:lim>
              </m:limLow>
              <m:r>
                <w:rPr>
                  <w:rStyle w:val="Hipervnculo"/>
                  <w:rFonts w:ascii="Cambria Math" w:hAnsi="Cambria Math"/>
                  <w:color w:val="auto"/>
                  <w:u w:val="none"/>
                  <w:lang w:val="en-US"/>
                </w:rPr>
                <m:t>+</m:t>
              </m:r>
              <m:r>
                <m:rPr>
                  <m:nor/>
                </m:rPr>
                <w:rPr>
                  <w:rStyle w:val="Hipervnculo"/>
                  <w:i/>
                  <w:strike/>
                  <w:color w:val="C00000"/>
                  <w:u w:val="none"/>
                  <w:lang w:val="en-US"/>
                </w:rPr>
                <m:t>CR2</m:t>
              </m:r>
              <m:r>
                <m:rPr>
                  <m:nor/>
                </m:rPr>
                <w:rPr>
                  <w:rStyle w:val="Hipervnculo"/>
                  <w:i/>
                  <w:color w:val="C00000"/>
                  <w:u w:val="none"/>
                  <w:vertAlign w:val="superscript"/>
                  <w:lang w:val="en-US"/>
                </w:rPr>
                <m:t>as</m:t>
              </m:r>
            </m:lim>
          </m:limLow>
          <m:r>
            <w:rPr>
              <w:rStyle w:val="Hipervnculo"/>
              <w:rFonts w:ascii="Cambria Math" w:hAnsi="Cambria Math"/>
              <w:color w:val="auto"/>
              <w:u w:val="none"/>
              <w:lang w:val="en-US"/>
            </w:rPr>
            <m:t>+</m:t>
          </m:r>
          <m:r>
            <m:rPr>
              <m:nor/>
            </m:rPr>
            <w:rPr>
              <w:rStyle w:val="Hipervnculo"/>
              <w:i/>
              <w:strike/>
              <w:color w:val="C00000"/>
              <w:u w:val="none"/>
              <w:lang w:val="en-US"/>
            </w:rPr>
            <m:t>CK</m:t>
          </m:r>
          <m:r>
            <w:rPr>
              <w:rStyle w:val="Hipervnculo"/>
              <w:rFonts w:ascii="Cambria Math" w:hAnsi="Cambria Math"/>
              <w:color w:val="auto"/>
              <w:u w:val="none"/>
              <w:lang w:val="en-US"/>
            </w:rPr>
            <m:t>+</m:t>
          </m:r>
          <m:r>
            <m:rPr>
              <m:nor/>
            </m:rPr>
            <w:rPr>
              <w:rStyle w:val="Hipervnculo"/>
              <w:i/>
              <w:strike/>
              <w:color w:val="C00000"/>
              <w:u w:val="none"/>
              <w:lang w:val="en-US"/>
            </w:rPr>
            <m:t>EO</m:t>
          </m:r>
          <m:r>
            <w:rPr>
              <w:rStyle w:val="Hipervnculo"/>
              <w:rFonts w:ascii="Cambria Math" w:hAnsi="Cambria Math"/>
              <w:color w:val="auto"/>
              <w:u w:val="none"/>
              <w:lang w:val="en-US"/>
            </w:rPr>
            <m:t>=</m:t>
          </m:r>
          <m:limLow>
            <m:limLowPr>
              <m:ctrlPr>
                <w:rPr>
                  <w:rStyle w:val="Hipervnculo"/>
                  <w:rFonts w:ascii="Cambria Math" w:hAnsi="Cambria Math"/>
                  <w:i/>
                  <w:color w:val="auto"/>
                  <w:u w:val="none"/>
                </w:rPr>
              </m:ctrlPr>
            </m:limLowPr>
            <m:e>
              <m:groupChr>
                <m:groupChrPr>
                  <m:ctrlPr>
                    <w:rPr>
                      <w:rStyle w:val="Hipervnculo"/>
                      <w:rFonts w:ascii="Cambria Math" w:hAnsi="Cambria Math"/>
                      <w:i/>
                      <w:color w:val="auto"/>
                      <w:u w:val="none"/>
                    </w:rPr>
                  </m:ctrlPr>
                </m:groupChrPr>
                <m:e>
                  <m:r>
                    <m:rPr>
                      <m:nor/>
                    </m:rPr>
                    <w:rPr>
                      <w:rStyle w:val="Hipervnculo"/>
                      <w:i/>
                      <w:color w:val="auto"/>
                      <w:u w:val="none"/>
                      <w:lang w:val="en-US"/>
                    </w:rPr>
                    <m:t>CF</m:t>
                  </m:r>
                </m:e>
              </m:groupChr>
            </m:e>
            <m:lim>
              <m:r>
                <m:rPr>
                  <m:nor/>
                </m:rPr>
                <w:rPr>
                  <w:rStyle w:val="Hipervnculo"/>
                  <w:i/>
                  <w:color w:val="auto"/>
                  <w:u w:val="none"/>
                  <w:lang w:val="en-US"/>
                </w:rPr>
                <m:t>ID</m:t>
              </m:r>
              <m:r>
                <w:rPr>
                  <w:rStyle w:val="Hipervnculo"/>
                  <w:rFonts w:ascii="Cambria Math" w:hAnsi="Cambria Math"/>
                  <w:color w:val="auto"/>
                  <w:u w:val="none"/>
                  <w:lang w:val="en-US"/>
                </w:rPr>
                <m:t>+</m:t>
              </m:r>
              <m:r>
                <m:rPr>
                  <m:nor/>
                </m:rPr>
                <w:rPr>
                  <w:rStyle w:val="Hipervnculo"/>
                  <w:i/>
                  <w:color w:val="auto"/>
                  <w:u w:val="none"/>
                  <w:lang w:val="en-US"/>
                </w:rPr>
                <m:t>IC</m:t>
              </m:r>
              <m:r>
                <w:rPr>
                  <w:rStyle w:val="Hipervnculo"/>
                  <w:rFonts w:ascii="Cambria Math" w:hAnsi="Cambria Math"/>
                  <w:color w:val="auto"/>
                  <w:u w:val="none"/>
                  <w:lang w:val="en-US"/>
                </w:rPr>
                <m:t>+</m:t>
              </m:r>
              <m:r>
                <m:rPr>
                  <m:nor/>
                </m:rPr>
                <w:rPr>
                  <w:rStyle w:val="Hipervnculo"/>
                  <w:i/>
                  <w:color w:val="auto"/>
                  <w:u w:val="none"/>
                  <w:lang w:val="en-US"/>
                </w:rPr>
                <m:t>Otra inversión</m:t>
              </m:r>
              <m:r>
                <w:rPr>
                  <w:rStyle w:val="Hipervnculo"/>
                  <w:rFonts w:ascii="Cambria Math" w:hAnsi="Cambria Math"/>
                  <w:color w:val="auto"/>
                  <w:u w:val="none"/>
                  <w:lang w:val="en-US"/>
                </w:rPr>
                <m:t>+</m:t>
              </m:r>
              <m:r>
                <m:rPr>
                  <m:nor/>
                </m:rPr>
                <w:rPr>
                  <w:rStyle w:val="Hipervnculo"/>
                  <w:i/>
                  <w:color w:val="auto"/>
                  <w:u w:val="none"/>
                  <w:lang w:val="en-US"/>
                </w:rPr>
                <m:t>Derivados</m:t>
              </m:r>
              <m:r>
                <w:rPr>
                  <w:rStyle w:val="Hipervnculo"/>
                  <w:rFonts w:ascii="Cambria Math" w:hAnsi="Cambria Math"/>
                  <w:color w:val="auto"/>
                  <w:u w:val="none"/>
                  <w:lang w:val="en-US"/>
                </w:rPr>
                <m:t>+</m:t>
              </m:r>
              <m:r>
                <m:rPr>
                  <m:nor/>
                </m:rPr>
                <w:rPr>
                  <w:iCs/>
                  <w:szCs w:val="16"/>
                  <w:lang w:val="en-US"/>
                </w:rPr>
                <m:t>∆R</m:t>
              </m:r>
            </m:lim>
          </m:limLow>
        </m:oMath>
      </m:oMathPara>
    </w:p>
    <w:p w14:paraId="4804A46E" w14:textId="77777777" w:rsidR="00CA26AF" w:rsidRDefault="00CA26AF" w:rsidP="00CA26AF">
      <w:pPr>
        <w:pStyle w:val="Textonotapie"/>
      </w:pPr>
      <w:r>
        <w:t xml:space="preserve">Así, el saldo por cuenta corriente queda reflejado en las exportaciones netas (que como ya hemos introducido en la curva </w:t>
      </w:r>
      <w:r>
        <w:rPr>
          <w:i/>
          <w:iCs/>
        </w:rPr>
        <w:t>IS</w:t>
      </w:r>
      <w:r>
        <w:t xml:space="preserve"> depende positivamente de la renta extranjera y del tipo de cambio real, y negativamente de la renta nacional).</w:t>
      </w:r>
    </w:p>
    <w:p w14:paraId="7524DDA9" w14:textId="4584FA6D" w:rsidR="00CA26AF" w:rsidRPr="00AE0C47" w:rsidRDefault="00CA26AF" w:rsidP="00CA26AF">
      <w:pPr>
        <w:pStyle w:val="Textonotapie"/>
      </w:pPr>
      <w:r>
        <w:t xml:space="preserve">Por su parte, la cuenta financiera dependerá del diferencial de tipos de interés, de modo que si los tipos de interés nacionales son mayores que los internacionales se producirá una entrada de capitales. Estos flujos de capitales dependerán del </w:t>
      </w:r>
      <w:r w:rsidR="00352D2A">
        <w:t>g</w:t>
      </w:r>
      <w:r>
        <w:t xml:space="preserve">rado de movilidad de capitales </w:t>
      </w:r>
      <m:oMath>
        <m:r>
          <m:rPr>
            <m:nor/>
          </m:rPr>
          <w:rPr>
            <w:i/>
            <w:lang w:val="en-US"/>
          </w:rPr>
          <m:t>β</m:t>
        </m:r>
      </m:oMath>
      <w:r w:rsidRPr="00AE0C47">
        <w:rPr>
          <w:rFonts w:eastAsiaTheme="minorEastAsia"/>
        </w:rPr>
        <w:t>.</w:t>
      </w:r>
    </w:p>
  </w:footnote>
  <w:footnote w:id="26">
    <w:p w14:paraId="5AC197FC" w14:textId="77777777" w:rsidR="004E3526" w:rsidRDefault="004E3526" w:rsidP="004E3526">
      <w:pPr>
        <w:pStyle w:val="Textonotapie"/>
      </w:pPr>
      <w:r>
        <w:rPr>
          <w:rStyle w:val="Refdenotaalpie"/>
        </w:rPr>
        <w:footnoteRef/>
      </w:r>
      <w:r>
        <w:t xml:space="preserve"> Aquí se asume que el tipo de interés nominal hasta </w:t>
      </w:r>
      <m:oMath>
        <m:r>
          <m:rPr>
            <m:nor/>
          </m:rPr>
          <w:rPr>
            <w:i/>
          </w:rPr>
          <m:t>t</m:t>
        </m:r>
      </m:oMath>
      <w:r>
        <w:t xml:space="preserve"> y a partir de </w:t>
      </w:r>
      <m:oMath>
        <m:r>
          <m:rPr>
            <m:nor/>
          </m:rPr>
          <w:rPr>
            <w:i/>
          </w:rPr>
          <m:t>T</m:t>
        </m:r>
        <m:r>
          <w:rPr>
            <w:rFonts w:ascii="Cambria Math"/>
          </w:rPr>
          <m:t>+</m:t>
        </m:r>
        <m:r>
          <m:rPr>
            <m:nor/>
          </m:rPr>
          <w:rPr>
            <w:i/>
          </w:rPr>
          <m:t>1</m:t>
        </m:r>
      </m:oMath>
      <w:r>
        <w:t xml:space="preserve"> es tal que </w:t>
      </w:r>
      <w:proofErr w:type="spellStart"/>
      <w:r>
        <w:t>replica</w:t>
      </w:r>
      <w:proofErr w:type="spellEnd"/>
      <w:r>
        <w:t xml:space="preserve"> al tipo natural, por lo que la inflación y el output gap son cero.</w:t>
      </w:r>
    </w:p>
  </w:footnote>
  <w:footnote w:id="27">
    <w:p w14:paraId="0ADBA72B" w14:textId="77777777" w:rsidR="00AF4A86" w:rsidRDefault="00AF4A86" w:rsidP="00AF4A86">
      <w:pPr>
        <w:pStyle w:val="Textonotapie"/>
      </w:pPr>
      <w:r>
        <w:rPr>
          <w:rStyle w:val="Refdenotaalpie"/>
        </w:rPr>
        <w:footnoteRef/>
      </w:r>
      <w:r>
        <w:t xml:space="preserve"> Modelo canónico de la Nueva Economía Keynesiana (</w:t>
      </w:r>
      <w:r>
        <w:rPr>
          <w:smallCaps/>
        </w:rPr>
        <w:t>Clarida</w:t>
      </w:r>
      <w:r>
        <w:t xml:space="preserve">, </w:t>
      </w:r>
      <w:r>
        <w:rPr>
          <w:smallCaps/>
        </w:rPr>
        <w:t>Galí</w:t>
      </w:r>
      <w:r>
        <w:t xml:space="preserve"> y </w:t>
      </w:r>
      <w:r>
        <w:rPr>
          <w:smallCaps/>
        </w:rPr>
        <w:t>Gertler</w:t>
      </w:r>
      <w:r>
        <w:t xml:space="preserve"> (1999))</w:t>
      </w:r>
    </w:p>
  </w:footnote>
  <w:footnote w:id="28">
    <w:p w14:paraId="27A8D2F2" w14:textId="77777777" w:rsidR="00AF4A86" w:rsidRPr="00DB3260" w:rsidRDefault="00AF4A86" w:rsidP="00AF4A86">
      <w:pPr>
        <w:pStyle w:val="Textonotapie"/>
      </w:pPr>
      <w:r>
        <w:rPr>
          <w:rStyle w:val="Refdenotaalpie"/>
        </w:rPr>
        <w:footnoteRef/>
      </w:r>
      <w:r>
        <w:t xml:space="preserve"> Las rigideces nominales en precios han sido documentadas en varios estudios empleando microdatos, uno de los más influyentes es </w:t>
      </w:r>
      <w:r>
        <w:rPr>
          <w:smallCaps/>
        </w:rPr>
        <w:t>Nakamura</w:t>
      </w:r>
      <w:r>
        <w:t xml:space="preserve"> y </w:t>
      </w:r>
      <w:proofErr w:type="spellStart"/>
      <w:r>
        <w:rPr>
          <w:smallCaps/>
        </w:rPr>
        <w:t>Steinsson</w:t>
      </w:r>
      <w:proofErr w:type="spellEnd"/>
      <w:r>
        <w:t xml:space="preserve"> (2008).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886959" w:rsidRPr="00C44422" w14:paraId="7A5F297D" w14:textId="77777777" w:rsidTr="009F6145">
      <w:trPr>
        <w:trHeight w:val="136"/>
        <w:jc w:val="center"/>
      </w:trPr>
      <w:sdt>
        <w:sdtPr>
          <w:rPr>
            <w:b/>
            <w:bCs/>
            <w:i/>
            <w:iCs/>
            <w:caps/>
            <w:color w:val="5F2987"/>
            <w:sz w:val="18"/>
            <w:szCs w:val="18"/>
          </w:rPr>
          <w:alias w:val="Title"/>
          <w:tag w:val=""/>
          <w:id w:val="-14375906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4168EBCE" w14:textId="632734FA" w:rsidR="00886959" w:rsidRPr="00851FCE" w:rsidRDefault="00886959"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3.A.37</w:t>
              </w:r>
            </w:p>
          </w:tc>
        </w:sdtContent>
      </w:sdt>
      <w:tc>
        <w:tcPr>
          <w:tcW w:w="7937" w:type="dxa"/>
          <w:vAlign w:val="center"/>
        </w:tcPr>
        <w:sdt>
          <w:sdtPr>
            <w:rPr>
              <w:i/>
              <w:iCs/>
              <w:color w:val="5F2987"/>
              <w:spacing w:val="-6"/>
              <w:sz w:val="18"/>
              <w:szCs w:val="18"/>
            </w:rPr>
            <w:alias w:val="Subject"/>
            <w:tag w:val=""/>
            <w:id w:val="317387352"/>
            <w:dataBinding w:prefixMappings="xmlns:ns0='http://purl.org/dc/elements/1.1/' xmlns:ns1='http://schemas.openxmlformats.org/package/2006/metadata/core-properties' " w:xpath="/ns1:coreProperties[1]/ns0:subject[1]" w:storeItemID="{6C3C8BC8-F283-45AE-878A-BAB7291924A1}"/>
            <w:text/>
          </w:sdtPr>
          <w:sdtContent>
            <w:p w14:paraId="712B1C9E" w14:textId="220A7AAB" w:rsidR="00886959" w:rsidRPr="00851FCE" w:rsidRDefault="00886959" w:rsidP="00C80BBD">
              <w:pPr>
                <w:pStyle w:val="Encabezado"/>
                <w:spacing w:after="0"/>
                <w:ind w:right="-110"/>
                <w:contextualSpacing/>
                <w:jc w:val="center"/>
                <w:rPr>
                  <w:i/>
                  <w:iCs/>
                  <w:color w:val="5F2987"/>
                  <w:sz w:val="18"/>
                  <w:szCs w:val="18"/>
                </w:rPr>
              </w:pPr>
              <w:r w:rsidRPr="00886959">
                <w:rPr>
                  <w:i/>
                  <w:iCs/>
                  <w:color w:val="5F2987"/>
                  <w:spacing w:val="-6"/>
                  <w:sz w:val="18"/>
                  <w:szCs w:val="18"/>
                </w:rPr>
                <w:t>Política monetaria (II). Los mecanismos de transmisión de la política monetaria convencional. Rigideces de precios, rigideces de salarios y fricciones financieras. Los mecanismos de transmisión de la política monetaria no convencional.</w:t>
              </w:r>
            </w:p>
          </w:sdtContent>
        </w:sdt>
      </w:tc>
      <w:sdt>
        <w:sdtPr>
          <w:rPr>
            <w:b/>
            <w:bCs/>
            <w:i/>
            <w:iCs/>
            <w:color w:val="5F2987"/>
            <w:spacing w:val="-6"/>
            <w:sz w:val="18"/>
            <w:szCs w:val="18"/>
          </w:rPr>
          <w:alias w:val="Author"/>
          <w:tag w:val=""/>
          <w:id w:val="-1822571588"/>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1DF5D0FD" w14:textId="77777777" w:rsidR="00886959" w:rsidRPr="00C44422" w:rsidRDefault="00886959"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5F303D19" w14:textId="77777777" w:rsidR="00044055" w:rsidRPr="00FF571B" w:rsidRDefault="00044055" w:rsidP="00FF571B">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886959" w:rsidRPr="00C44422" w14:paraId="768DD8C6" w14:textId="77777777" w:rsidTr="009F6145">
      <w:trPr>
        <w:trHeight w:val="136"/>
        <w:jc w:val="center"/>
      </w:trPr>
      <w:sdt>
        <w:sdtPr>
          <w:rPr>
            <w:b/>
            <w:bCs/>
            <w:i/>
            <w:iCs/>
            <w:caps/>
            <w:color w:val="5F2987"/>
            <w:sz w:val="18"/>
            <w:szCs w:val="18"/>
          </w:rPr>
          <w:alias w:val="Title"/>
          <w:tag w:val=""/>
          <w:id w:val="-416788016"/>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4CEC2DA9" w14:textId="33ED1374" w:rsidR="00886959" w:rsidRPr="00851FCE" w:rsidRDefault="00886959"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3.A.37</w:t>
              </w:r>
            </w:p>
          </w:tc>
        </w:sdtContent>
      </w:sdt>
      <w:tc>
        <w:tcPr>
          <w:tcW w:w="7937" w:type="dxa"/>
          <w:vAlign w:val="center"/>
        </w:tcPr>
        <w:sdt>
          <w:sdtPr>
            <w:rPr>
              <w:i/>
              <w:iCs/>
              <w:color w:val="5F2987"/>
              <w:spacing w:val="-6"/>
              <w:sz w:val="18"/>
              <w:szCs w:val="18"/>
            </w:rPr>
            <w:alias w:val="Subject"/>
            <w:tag w:val=""/>
            <w:id w:val="-7684965"/>
            <w:dataBinding w:prefixMappings="xmlns:ns0='http://purl.org/dc/elements/1.1/' xmlns:ns1='http://schemas.openxmlformats.org/package/2006/metadata/core-properties' " w:xpath="/ns1:coreProperties[1]/ns0:subject[1]" w:storeItemID="{6C3C8BC8-F283-45AE-878A-BAB7291924A1}"/>
            <w:text/>
          </w:sdtPr>
          <w:sdtContent>
            <w:p w14:paraId="1BA07D78" w14:textId="191263BA" w:rsidR="00886959" w:rsidRPr="00886959" w:rsidRDefault="00886959" w:rsidP="00C80BBD">
              <w:pPr>
                <w:pStyle w:val="Encabezado"/>
                <w:spacing w:after="0"/>
                <w:ind w:right="-110"/>
                <w:contextualSpacing/>
                <w:jc w:val="center"/>
                <w:rPr>
                  <w:i/>
                  <w:iCs/>
                  <w:color w:val="5F2987"/>
                  <w:spacing w:val="-6"/>
                  <w:sz w:val="18"/>
                  <w:szCs w:val="18"/>
                </w:rPr>
              </w:pPr>
              <w:r w:rsidRPr="00886959">
                <w:rPr>
                  <w:i/>
                  <w:iCs/>
                  <w:color w:val="5F2987"/>
                  <w:spacing w:val="-6"/>
                  <w:sz w:val="18"/>
                  <w:szCs w:val="18"/>
                </w:rPr>
                <w:t>Política monetaria (II). Los mecanismos de transmisión de la política monetaria convencional. Rigideces de precios, rigideces de salarios y fricciones financieras. Los mecanismos de transmisión de la política monetaria no convencional.</w:t>
              </w:r>
            </w:p>
          </w:sdtContent>
        </w:sdt>
      </w:tc>
      <w:sdt>
        <w:sdtPr>
          <w:rPr>
            <w:b/>
            <w:bCs/>
            <w:i/>
            <w:iCs/>
            <w:color w:val="5F2987"/>
            <w:spacing w:val="-6"/>
            <w:sz w:val="18"/>
            <w:szCs w:val="18"/>
          </w:rPr>
          <w:alias w:val="Author"/>
          <w:tag w:val=""/>
          <w:id w:val="-58630989"/>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76FA2C99" w14:textId="77777777" w:rsidR="00886959" w:rsidRPr="00C44422" w:rsidRDefault="00886959"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50A0CBEC" w14:textId="77777777" w:rsidR="008274D7" w:rsidRPr="004C465C" w:rsidRDefault="008274D7" w:rsidP="006D4ABB">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FF571B" w:rsidRPr="00BE1B62" w14:paraId="30827952" w14:textId="77777777" w:rsidTr="00EB648B">
      <w:tc>
        <w:tcPr>
          <w:tcW w:w="3261" w:type="dxa"/>
          <w:tcBorders>
            <w:bottom w:val="thickThinSmallGap" w:sz="12" w:space="0" w:color="5F2987"/>
          </w:tcBorders>
        </w:tcPr>
        <w:p w14:paraId="1C4097B8" w14:textId="17E95349" w:rsidR="00FF571B" w:rsidRPr="00BE1B62" w:rsidRDefault="00FF571B" w:rsidP="00114E27">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3F54C7">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75092A3C" w14:textId="77777777" w:rsidR="00FF571B" w:rsidRPr="00BE1B62" w:rsidRDefault="00FF571B" w:rsidP="00114E27">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55C17412C947413897D8E60AF7508611"/>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7BA62911" w14:textId="7B327395" w:rsidR="00FF571B" w:rsidRPr="00BE1B62" w:rsidRDefault="005936EF" w:rsidP="00114E27">
              <w:pPr>
                <w:pStyle w:val="Encabezado"/>
                <w:spacing w:after="0"/>
                <w:jc w:val="right"/>
                <w:rPr>
                  <w:i/>
                  <w:iCs/>
                  <w:color w:val="5F2987"/>
                  <w:spacing w:val="-6"/>
                  <w:sz w:val="18"/>
                  <w:szCs w:val="18"/>
                </w:rPr>
              </w:pPr>
              <w:r>
                <w:rPr>
                  <w:i/>
                  <w:iCs/>
                  <w:color w:val="5F2987"/>
                  <w:spacing w:val="-6"/>
                  <w:sz w:val="20"/>
                  <w:szCs w:val="20"/>
                </w:rPr>
                <w:t>3.A.37</w:t>
              </w:r>
            </w:p>
          </w:tc>
        </w:sdtContent>
      </w:sdt>
    </w:tr>
  </w:tbl>
  <w:p w14:paraId="4186F4BC" w14:textId="77777777" w:rsidR="00044055" w:rsidRPr="00FF571B" w:rsidRDefault="00044055" w:rsidP="00FF571B">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1159F"/>
    <w:multiLevelType w:val="hybridMultilevel"/>
    <w:tmpl w:val="457273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2A64EB8"/>
    <w:multiLevelType w:val="hybridMultilevel"/>
    <w:tmpl w:val="E904DBD8"/>
    <w:lvl w:ilvl="0" w:tplc="DC541AF2">
      <w:start w:val="1"/>
      <w:numFmt w:val="lowerRoman"/>
      <w:lvlText w:val="%1."/>
      <w:lvlJc w:val="right"/>
      <w:pPr>
        <w:ind w:left="720" w:hanging="360"/>
      </w:pPr>
      <w:rPr>
        <w:rFonts w:hint="default"/>
        <w:i/>
        <w:i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9BC1074"/>
    <w:multiLevelType w:val="hybridMultilevel"/>
    <w:tmpl w:val="5BC4E550"/>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40B485A4">
      <w:numFmt w:val="bullet"/>
      <w:lvlText w:val="-"/>
      <w:lvlJc w:val="left"/>
      <w:pPr>
        <w:ind w:left="2160" w:hanging="360"/>
      </w:pPr>
      <w:rPr>
        <w:rFonts w:ascii="Garamond" w:eastAsiaTheme="minorHAnsi" w:hAnsi="Garamond" w:cstheme="minorBidi"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4" w15:restartNumberingAfterBreak="0">
    <w:nsid w:val="0FC95012"/>
    <w:multiLevelType w:val="hybridMultilevel"/>
    <w:tmpl w:val="27AC57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A24AEE"/>
    <w:multiLevelType w:val="hybridMultilevel"/>
    <w:tmpl w:val="4F6A0E86"/>
    <w:lvl w:ilvl="0" w:tplc="5170BF54">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8775044"/>
    <w:multiLevelType w:val="hybridMultilevel"/>
    <w:tmpl w:val="7AD48672"/>
    <w:lvl w:ilvl="0" w:tplc="2416B78E">
      <w:start w:val="1"/>
      <w:numFmt w:val="low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7"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DB600AC"/>
    <w:multiLevelType w:val="hybridMultilevel"/>
    <w:tmpl w:val="68723BC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0C017C0"/>
    <w:multiLevelType w:val="hybridMultilevel"/>
    <w:tmpl w:val="B81A58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2" w15:restartNumberingAfterBreak="0">
    <w:nsid w:val="27952A02"/>
    <w:multiLevelType w:val="hybridMultilevel"/>
    <w:tmpl w:val="8208D74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DB11286"/>
    <w:multiLevelType w:val="hybridMultilevel"/>
    <w:tmpl w:val="36E2E17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EE8362B"/>
    <w:multiLevelType w:val="hybridMultilevel"/>
    <w:tmpl w:val="30A220A8"/>
    <w:lvl w:ilvl="0" w:tplc="FECA101A">
      <w:start w:val="1"/>
      <w:numFmt w:val="lowerRoman"/>
      <w:lvlText w:val="%1)"/>
      <w:lvlJc w:val="right"/>
      <w:pPr>
        <w:ind w:left="1003" w:hanging="720"/>
      </w:pPr>
      <w:rPr>
        <w:rFonts w:hint="default"/>
        <w:i/>
        <w:iCs/>
      </w:rPr>
    </w:lvl>
    <w:lvl w:ilvl="1" w:tplc="0C0A0019" w:tentative="1">
      <w:start w:val="1"/>
      <w:numFmt w:val="lowerLetter"/>
      <w:lvlText w:val="%2."/>
      <w:lvlJc w:val="left"/>
      <w:pPr>
        <w:ind w:left="1363" w:hanging="360"/>
      </w:pPr>
    </w:lvl>
    <w:lvl w:ilvl="2" w:tplc="0C0A001B" w:tentative="1">
      <w:start w:val="1"/>
      <w:numFmt w:val="lowerRoman"/>
      <w:lvlText w:val="%3."/>
      <w:lvlJc w:val="right"/>
      <w:pPr>
        <w:ind w:left="2083" w:hanging="180"/>
      </w:pPr>
    </w:lvl>
    <w:lvl w:ilvl="3" w:tplc="0C0A000F" w:tentative="1">
      <w:start w:val="1"/>
      <w:numFmt w:val="decimal"/>
      <w:lvlText w:val="%4."/>
      <w:lvlJc w:val="left"/>
      <w:pPr>
        <w:ind w:left="2803" w:hanging="360"/>
      </w:pPr>
    </w:lvl>
    <w:lvl w:ilvl="4" w:tplc="0C0A0019" w:tentative="1">
      <w:start w:val="1"/>
      <w:numFmt w:val="lowerLetter"/>
      <w:lvlText w:val="%5."/>
      <w:lvlJc w:val="left"/>
      <w:pPr>
        <w:ind w:left="3523" w:hanging="360"/>
      </w:pPr>
    </w:lvl>
    <w:lvl w:ilvl="5" w:tplc="0C0A001B" w:tentative="1">
      <w:start w:val="1"/>
      <w:numFmt w:val="lowerRoman"/>
      <w:lvlText w:val="%6."/>
      <w:lvlJc w:val="right"/>
      <w:pPr>
        <w:ind w:left="4243" w:hanging="180"/>
      </w:pPr>
    </w:lvl>
    <w:lvl w:ilvl="6" w:tplc="0C0A000F" w:tentative="1">
      <w:start w:val="1"/>
      <w:numFmt w:val="decimal"/>
      <w:lvlText w:val="%7."/>
      <w:lvlJc w:val="left"/>
      <w:pPr>
        <w:ind w:left="4963" w:hanging="360"/>
      </w:pPr>
    </w:lvl>
    <w:lvl w:ilvl="7" w:tplc="0C0A0019" w:tentative="1">
      <w:start w:val="1"/>
      <w:numFmt w:val="lowerLetter"/>
      <w:lvlText w:val="%8."/>
      <w:lvlJc w:val="left"/>
      <w:pPr>
        <w:ind w:left="5683" w:hanging="360"/>
      </w:pPr>
    </w:lvl>
    <w:lvl w:ilvl="8" w:tplc="0C0A001B" w:tentative="1">
      <w:start w:val="1"/>
      <w:numFmt w:val="lowerRoman"/>
      <w:lvlText w:val="%9."/>
      <w:lvlJc w:val="right"/>
      <w:pPr>
        <w:ind w:left="6403" w:hanging="180"/>
      </w:pPr>
    </w:lvl>
  </w:abstractNum>
  <w:abstractNum w:abstractNumId="15" w15:restartNumberingAfterBreak="0">
    <w:nsid w:val="3069686B"/>
    <w:multiLevelType w:val="hybridMultilevel"/>
    <w:tmpl w:val="39003E7E"/>
    <w:lvl w:ilvl="0" w:tplc="35C895C2">
      <w:start w:val="1"/>
      <w:numFmt w:val="lowerRoman"/>
      <w:lvlText w:val="%1)"/>
      <w:lvlJc w:val="right"/>
      <w:pPr>
        <w:ind w:left="720" w:hanging="360"/>
      </w:pPr>
      <w:rPr>
        <w:rFonts w:eastAsiaTheme="minorHAnsi"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22571F3"/>
    <w:multiLevelType w:val="hybridMultilevel"/>
    <w:tmpl w:val="27AC57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2CB4E63"/>
    <w:multiLevelType w:val="hybridMultilevel"/>
    <w:tmpl w:val="3DC29A82"/>
    <w:lvl w:ilvl="0" w:tplc="A9DCCF3E">
      <w:start w:val="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EC6DDF"/>
    <w:multiLevelType w:val="hybridMultilevel"/>
    <w:tmpl w:val="77B0FD7E"/>
    <w:lvl w:ilvl="0" w:tplc="FFFFFFFF">
      <w:start w:val="1"/>
      <w:numFmt w:val="lowerRoman"/>
      <w:lvlText w:val="%1."/>
      <w:lvlJc w:val="left"/>
      <w:pPr>
        <w:ind w:left="720" w:hanging="360"/>
      </w:pPr>
      <w:rPr>
        <w:rFonts w:hint="default"/>
        <w:i/>
        <w:iCs/>
      </w:rPr>
    </w:lvl>
    <w:lvl w:ilvl="1" w:tplc="0C0A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65D23EF"/>
    <w:multiLevelType w:val="hybridMultilevel"/>
    <w:tmpl w:val="888E4CE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9132145"/>
    <w:multiLevelType w:val="hybridMultilevel"/>
    <w:tmpl w:val="0E70495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E31709A"/>
    <w:multiLevelType w:val="hybridMultilevel"/>
    <w:tmpl w:val="82264DB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0B460D1"/>
    <w:multiLevelType w:val="hybridMultilevel"/>
    <w:tmpl w:val="C17C6B0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2EB46D4"/>
    <w:multiLevelType w:val="hybridMultilevel"/>
    <w:tmpl w:val="E8C69B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6BF3152"/>
    <w:multiLevelType w:val="hybridMultilevel"/>
    <w:tmpl w:val="366086C8"/>
    <w:lvl w:ilvl="0" w:tplc="A0A8EEF8">
      <w:start w:val="1"/>
      <w:numFmt w:val="lowerRoman"/>
      <w:lvlText w:val="%1)"/>
      <w:lvlJc w:val="right"/>
      <w:pPr>
        <w:ind w:left="1003" w:hanging="720"/>
      </w:pPr>
      <w:rPr>
        <w:rFonts w:hint="default"/>
        <w:i/>
      </w:rPr>
    </w:lvl>
    <w:lvl w:ilvl="1" w:tplc="0C0A0019" w:tentative="1">
      <w:start w:val="1"/>
      <w:numFmt w:val="lowerLetter"/>
      <w:lvlText w:val="%2."/>
      <w:lvlJc w:val="left"/>
      <w:pPr>
        <w:ind w:left="1363" w:hanging="360"/>
      </w:pPr>
    </w:lvl>
    <w:lvl w:ilvl="2" w:tplc="0C0A001B" w:tentative="1">
      <w:start w:val="1"/>
      <w:numFmt w:val="lowerRoman"/>
      <w:lvlText w:val="%3."/>
      <w:lvlJc w:val="right"/>
      <w:pPr>
        <w:ind w:left="2083" w:hanging="180"/>
      </w:pPr>
    </w:lvl>
    <w:lvl w:ilvl="3" w:tplc="0C0A000F" w:tentative="1">
      <w:start w:val="1"/>
      <w:numFmt w:val="decimal"/>
      <w:lvlText w:val="%4."/>
      <w:lvlJc w:val="left"/>
      <w:pPr>
        <w:ind w:left="2803" w:hanging="360"/>
      </w:pPr>
    </w:lvl>
    <w:lvl w:ilvl="4" w:tplc="0C0A0019" w:tentative="1">
      <w:start w:val="1"/>
      <w:numFmt w:val="lowerLetter"/>
      <w:lvlText w:val="%5."/>
      <w:lvlJc w:val="left"/>
      <w:pPr>
        <w:ind w:left="3523" w:hanging="360"/>
      </w:pPr>
    </w:lvl>
    <w:lvl w:ilvl="5" w:tplc="0C0A001B" w:tentative="1">
      <w:start w:val="1"/>
      <w:numFmt w:val="lowerRoman"/>
      <w:lvlText w:val="%6."/>
      <w:lvlJc w:val="right"/>
      <w:pPr>
        <w:ind w:left="4243" w:hanging="180"/>
      </w:pPr>
    </w:lvl>
    <w:lvl w:ilvl="6" w:tplc="0C0A000F" w:tentative="1">
      <w:start w:val="1"/>
      <w:numFmt w:val="decimal"/>
      <w:lvlText w:val="%7."/>
      <w:lvlJc w:val="left"/>
      <w:pPr>
        <w:ind w:left="4963" w:hanging="360"/>
      </w:pPr>
    </w:lvl>
    <w:lvl w:ilvl="7" w:tplc="0C0A0019" w:tentative="1">
      <w:start w:val="1"/>
      <w:numFmt w:val="lowerLetter"/>
      <w:lvlText w:val="%8."/>
      <w:lvlJc w:val="left"/>
      <w:pPr>
        <w:ind w:left="5683" w:hanging="360"/>
      </w:pPr>
    </w:lvl>
    <w:lvl w:ilvl="8" w:tplc="0C0A001B" w:tentative="1">
      <w:start w:val="1"/>
      <w:numFmt w:val="lowerRoman"/>
      <w:lvlText w:val="%9."/>
      <w:lvlJc w:val="right"/>
      <w:pPr>
        <w:ind w:left="6403" w:hanging="180"/>
      </w:pPr>
    </w:lvl>
  </w:abstractNum>
  <w:abstractNum w:abstractNumId="26" w15:restartNumberingAfterBreak="0">
    <w:nsid w:val="5CCD6778"/>
    <w:multiLevelType w:val="hybridMultilevel"/>
    <w:tmpl w:val="96B63FA4"/>
    <w:lvl w:ilvl="0" w:tplc="E45C5352">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2233276"/>
    <w:multiLevelType w:val="hybridMultilevel"/>
    <w:tmpl w:val="640451FE"/>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4BC57A9"/>
    <w:multiLevelType w:val="hybridMultilevel"/>
    <w:tmpl w:val="6BD2D01A"/>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1" w15:restartNumberingAfterBreak="0">
    <w:nsid w:val="75CA08DD"/>
    <w:multiLevelType w:val="hybridMultilevel"/>
    <w:tmpl w:val="C494D7AA"/>
    <w:lvl w:ilvl="0" w:tplc="782E14F2">
      <w:start w:val="1"/>
      <w:numFmt w:val="decimal"/>
      <w:lvlText w:val="%1."/>
      <w:lvlJc w:val="left"/>
      <w:pPr>
        <w:ind w:left="644" w:hanging="360"/>
      </w:pPr>
    </w:lvl>
    <w:lvl w:ilvl="1" w:tplc="0C0A0019">
      <w:start w:val="1"/>
      <w:numFmt w:val="lowerLetter"/>
      <w:lvlText w:val="%2."/>
      <w:lvlJc w:val="left"/>
      <w:pPr>
        <w:ind w:left="1364" w:hanging="360"/>
      </w:pPr>
    </w:lvl>
    <w:lvl w:ilvl="2" w:tplc="3FA889D8">
      <w:start w:val="1"/>
      <w:numFmt w:val="lowerRoman"/>
      <w:lvlText w:val="%3."/>
      <w:lvlJc w:val="right"/>
      <w:pPr>
        <w:ind w:left="2084" w:hanging="180"/>
      </w:pPr>
      <w:rPr>
        <w:i/>
        <w:iCs/>
      </w:rPr>
    </w:lvl>
    <w:lvl w:ilvl="3" w:tplc="0C0A000F">
      <w:start w:val="1"/>
      <w:numFmt w:val="decimal"/>
      <w:lvlText w:val="%4."/>
      <w:lvlJc w:val="left"/>
      <w:pPr>
        <w:ind w:left="2804" w:hanging="360"/>
      </w:pPr>
    </w:lvl>
    <w:lvl w:ilvl="4" w:tplc="0C0A0019">
      <w:start w:val="1"/>
      <w:numFmt w:val="lowerLetter"/>
      <w:lvlText w:val="%5."/>
      <w:lvlJc w:val="left"/>
      <w:pPr>
        <w:ind w:left="3524" w:hanging="360"/>
      </w:pPr>
    </w:lvl>
    <w:lvl w:ilvl="5" w:tplc="0C0A001B">
      <w:start w:val="1"/>
      <w:numFmt w:val="lowerRoman"/>
      <w:lvlText w:val="%6."/>
      <w:lvlJc w:val="right"/>
      <w:pPr>
        <w:ind w:left="4244" w:hanging="180"/>
      </w:pPr>
    </w:lvl>
    <w:lvl w:ilvl="6" w:tplc="0C0A000F">
      <w:start w:val="1"/>
      <w:numFmt w:val="decimal"/>
      <w:lvlText w:val="%7."/>
      <w:lvlJc w:val="left"/>
      <w:pPr>
        <w:ind w:left="4964" w:hanging="360"/>
      </w:pPr>
    </w:lvl>
    <w:lvl w:ilvl="7" w:tplc="0C0A0019">
      <w:start w:val="1"/>
      <w:numFmt w:val="lowerLetter"/>
      <w:lvlText w:val="%8."/>
      <w:lvlJc w:val="left"/>
      <w:pPr>
        <w:ind w:left="5684" w:hanging="360"/>
      </w:pPr>
    </w:lvl>
    <w:lvl w:ilvl="8" w:tplc="0C0A001B">
      <w:start w:val="1"/>
      <w:numFmt w:val="lowerRoman"/>
      <w:lvlText w:val="%9."/>
      <w:lvlJc w:val="right"/>
      <w:pPr>
        <w:ind w:left="6404" w:hanging="180"/>
      </w:pPr>
    </w:lvl>
  </w:abstractNum>
  <w:abstractNum w:abstractNumId="32" w15:restartNumberingAfterBreak="0">
    <w:nsid w:val="765F726B"/>
    <w:multiLevelType w:val="hybridMultilevel"/>
    <w:tmpl w:val="BE820F8C"/>
    <w:lvl w:ilvl="0" w:tplc="93E099E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6A43953"/>
    <w:multiLevelType w:val="hybridMultilevel"/>
    <w:tmpl w:val="DEACEEE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74B4FAA"/>
    <w:multiLevelType w:val="hybridMultilevel"/>
    <w:tmpl w:val="C63805D2"/>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8465A44"/>
    <w:multiLevelType w:val="hybridMultilevel"/>
    <w:tmpl w:val="F746EC60"/>
    <w:lvl w:ilvl="0" w:tplc="A274CF3A">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7DC83F77"/>
    <w:multiLevelType w:val="hybridMultilevel"/>
    <w:tmpl w:val="F440BC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412003888">
    <w:abstractNumId w:val="3"/>
  </w:num>
  <w:num w:numId="2" w16cid:durableId="1621574225">
    <w:abstractNumId w:val="36"/>
  </w:num>
  <w:num w:numId="3" w16cid:durableId="467477799">
    <w:abstractNumId w:val="10"/>
  </w:num>
  <w:num w:numId="4" w16cid:durableId="1917006281">
    <w:abstractNumId w:val="30"/>
  </w:num>
  <w:num w:numId="5" w16cid:durableId="785655377">
    <w:abstractNumId w:val="11"/>
  </w:num>
  <w:num w:numId="6" w16cid:durableId="326985549">
    <w:abstractNumId w:val="19"/>
  </w:num>
  <w:num w:numId="7" w16cid:durableId="359743230">
    <w:abstractNumId w:val="17"/>
  </w:num>
  <w:num w:numId="8" w16cid:durableId="713506137">
    <w:abstractNumId w:val="7"/>
  </w:num>
  <w:num w:numId="9" w16cid:durableId="1045716360">
    <w:abstractNumId w:val="1"/>
  </w:num>
  <w:num w:numId="10" w16cid:durableId="1172797726">
    <w:abstractNumId w:val="18"/>
  </w:num>
  <w:num w:numId="11" w16cid:durableId="558369988">
    <w:abstractNumId w:val="37"/>
  </w:num>
  <w:num w:numId="12" w16cid:durableId="1482817759">
    <w:abstractNumId w:val="29"/>
  </w:num>
  <w:num w:numId="13" w16cid:durableId="108668904">
    <w:abstractNumId w:val="32"/>
  </w:num>
  <w:num w:numId="14" w16cid:durableId="1586305767">
    <w:abstractNumId w:val="20"/>
  </w:num>
  <w:num w:numId="15" w16cid:durableId="431583883">
    <w:abstractNumId w:val="6"/>
  </w:num>
  <w:num w:numId="16" w16cid:durableId="31351236">
    <w:abstractNumId w:val="33"/>
  </w:num>
  <w:num w:numId="17" w16cid:durableId="1024553996">
    <w:abstractNumId w:val="22"/>
  </w:num>
  <w:num w:numId="18" w16cid:durableId="1296105860">
    <w:abstractNumId w:val="27"/>
  </w:num>
  <w:num w:numId="19" w16cid:durableId="1952543478">
    <w:abstractNumId w:val="5"/>
  </w:num>
  <w:num w:numId="20" w16cid:durableId="756709567">
    <w:abstractNumId w:val="13"/>
  </w:num>
  <w:num w:numId="21" w16cid:durableId="217404565">
    <w:abstractNumId w:val="15"/>
  </w:num>
  <w:num w:numId="22" w16cid:durableId="1137337435">
    <w:abstractNumId w:val="12"/>
  </w:num>
  <w:num w:numId="23" w16cid:durableId="451050940">
    <w:abstractNumId w:val="35"/>
  </w:num>
  <w:num w:numId="24" w16cid:durableId="1606695728">
    <w:abstractNumId w:val="24"/>
  </w:num>
  <w:num w:numId="25" w16cid:durableId="1131676180">
    <w:abstractNumId w:val="8"/>
  </w:num>
  <w:num w:numId="26" w16cid:durableId="1713572613">
    <w:abstractNumId w:val="23"/>
  </w:num>
  <w:num w:numId="27" w16cid:durableId="1016690058">
    <w:abstractNumId w:val="16"/>
  </w:num>
  <w:num w:numId="28" w16cid:durableId="2027514831">
    <w:abstractNumId w:val="4"/>
  </w:num>
  <w:num w:numId="29" w16cid:durableId="1951204985">
    <w:abstractNumId w:val="21"/>
  </w:num>
  <w:num w:numId="30" w16cid:durableId="853958495">
    <w:abstractNumId w:val="0"/>
  </w:num>
  <w:num w:numId="31" w16cid:durableId="502667706">
    <w:abstractNumId w:val="9"/>
  </w:num>
  <w:num w:numId="32" w16cid:durableId="633486212">
    <w:abstractNumId w:val="34"/>
  </w:num>
  <w:num w:numId="33" w16cid:durableId="40272470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00327971">
    <w:abstractNumId w:val="26"/>
  </w:num>
  <w:num w:numId="35" w16cid:durableId="768891578">
    <w:abstractNumId w:val="28"/>
  </w:num>
  <w:num w:numId="36" w16cid:durableId="1368801220">
    <w:abstractNumId w:val="2"/>
  </w:num>
  <w:num w:numId="37" w16cid:durableId="125659308">
    <w:abstractNumId w:val="25"/>
  </w:num>
  <w:num w:numId="38" w16cid:durableId="1631209772">
    <w:abstractNumId w:val="1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271"/>
    <w:rsid w:val="000002B3"/>
    <w:rsid w:val="00003250"/>
    <w:rsid w:val="00020C89"/>
    <w:rsid w:val="00024F33"/>
    <w:rsid w:val="0002549F"/>
    <w:rsid w:val="000257C7"/>
    <w:rsid w:val="00031D43"/>
    <w:rsid w:val="00044055"/>
    <w:rsid w:val="00047C32"/>
    <w:rsid w:val="00055E94"/>
    <w:rsid w:val="0005681F"/>
    <w:rsid w:val="00057867"/>
    <w:rsid w:val="00057F22"/>
    <w:rsid w:val="000609E2"/>
    <w:rsid w:val="000719A7"/>
    <w:rsid w:val="00073477"/>
    <w:rsid w:val="00096281"/>
    <w:rsid w:val="000A25EB"/>
    <w:rsid w:val="000A3137"/>
    <w:rsid w:val="000B0018"/>
    <w:rsid w:val="000B0ECA"/>
    <w:rsid w:val="000C032A"/>
    <w:rsid w:val="000C54D7"/>
    <w:rsid w:val="000C69D6"/>
    <w:rsid w:val="000D244D"/>
    <w:rsid w:val="000D3D87"/>
    <w:rsid w:val="000D5EC0"/>
    <w:rsid w:val="000E3517"/>
    <w:rsid w:val="000E6778"/>
    <w:rsid w:val="00110F32"/>
    <w:rsid w:val="001311E5"/>
    <w:rsid w:val="00144B9D"/>
    <w:rsid w:val="0015013E"/>
    <w:rsid w:val="0015324A"/>
    <w:rsid w:val="00160C77"/>
    <w:rsid w:val="00161196"/>
    <w:rsid w:val="00161CB4"/>
    <w:rsid w:val="00162C58"/>
    <w:rsid w:val="00163ADC"/>
    <w:rsid w:val="0016551F"/>
    <w:rsid w:val="00176C2F"/>
    <w:rsid w:val="0018456D"/>
    <w:rsid w:val="0018636E"/>
    <w:rsid w:val="001869B6"/>
    <w:rsid w:val="001871D4"/>
    <w:rsid w:val="00192DFD"/>
    <w:rsid w:val="001957CC"/>
    <w:rsid w:val="001B2458"/>
    <w:rsid w:val="001C68B8"/>
    <w:rsid w:val="001C7EE2"/>
    <w:rsid w:val="001D4384"/>
    <w:rsid w:val="001D61A0"/>
    <w:rsid w:val="001E0819"/>
    <w:rsid w:val="001E7E82"/>
    <w:rsid w:val="001F20E5"/>
    <w:rsid w:val="001F5247"/>
    <w:rsid w:val="00214675"/>
    <w:rsid w:val="0021774E"/>
    <w:rsid w:val="00223973"/>
    <w:rsid w:val="002269EF"/>
    <w:rsid w:val="00230D83"/>
    <w:rsid w:val="0023308B"/>
    <w:rsid w:val="002426A5"/>
    <w:rsid w:val="00243564"/>
    <w:rsid w:val="00253655"/>
    <w:rsid w:val="0025733B"/>
    <w:rsid w:val="002764C1"/>
    <w:rsid w:val="00277E9F"/>
    <w:rsid w:val="00294AD7"/>
    <w:rsid w:val="00297B69"/>
    <w:rsid w:val="002A00DE"/>
    <w:rsid w:val="002A1386"/>
    <w:rsid w:val="002A15B0"/>
    <w:rsid w:val="002A17D0"/>
    <w:rsid w:val="002A29AC"/>
    <w:rsid w:val="002A3679"/>
    <w:rsid w:val="002A5EF2"/>
    <w:rsid w:val="002A7603"/>
    <w:rsid w:val="002B4546"/>
    <w:rsid w:val="002C6439"/>
    <w:rsid w:val="002D2461"/>
    <w:rsid w:val="002D7274"/>
    <w:rsid w:val="002E0C48"/>
    <w:rsid w:val="002E0DAF"/>
    <w:rsid w:val="002E3C60"/>
    <w:rsid w:val="002E5F5F"/>
    <w:rsid w:val="002E7C22"/>
    <w:rsid w:val="002F31E4"/>
    <w:rsid w:val="002F3697"/>
    <w:rsid w:val="00302A0E"/>
    <w:rsid w:val="00302AB9"/>
    <w:rsid w:val="00303F72"/>
    <w:rsid w:val="003055A2"/>
    <w:rsid w:val="00307C23"/>
    <w:rsid w:val="00314790"/>
    <w:rsid w:val="0031762E"/>
    <w:rsid w:val="00322D15"/>
    <w:rsid w:val="00322F6D"/>
    <w:rsid w:val="00334E25"/>
    <w:rsid w:val="00342648"/>
    <w:rsid w:val="00347634"/>
    <w:rsid w:val="00350773"/>
    <w:rsid w:val="00352D2A"/>
    <w:rsid w:val="00354A35"/>
    <w:rsid w:val="0035722E"/>
    <w:rsid w:val="00372D9E"/>
    <w:rsid w:val="003739F7"/>
    <w:rsid w:val="00377CC4"/>
    <w:rsid w:val="003862AF"/>
    <w:rsid w:val="00391DCD"/>
    <w:rsid w:val="003A1D46"/>
    <w:rsid w:val="003A6BD7"/>
    <w:rsid w:val="003B04F7"/>
    <w:rsid w:val="003C17AB"/>
    <w:rsid w:val="003C31F8"/>
    <w:rsid w:val="003D03C9"/>
    <w:rsid w:val="003E57C9"/>
    <w:rsid w:val="003F529B"/>
    <w:rsid w:val="003F54C7"/>
    <w:rsid w:val="004005AD"/>
    <w:rsid w:val="00414D65"/>
    <w:rsid w:val="00417A95"/>
    <w:rsid w:val="0042098F"/>
    <w:rsid w:val="004263AB"/>
    <w:rsid w:val="0043163B"/>
    <w:rsid w:val="00431AE3"/>
    <w:rsid w:val="004464AC"/>
    <w:rsid w:val="00446990"/>
    <w:rsid w:val="00447376"/>
    <w:rsid w:val="004567F5"/>
    <w:rsid w:val="00463818"/>
    <w:rsid w:val="00473D11"/>
    <w:rsid w:val="00481E21"/>
    <w:rsid w:val="0049441D"/>
    <w:rsid w:val="00495B66"/>
    <w:rsid w:val="004A0387"/>
    <w:rsid w:val="004A18B7"/>
    <w:rsid w:val="004A6BE1"/>
    <w:rsid w:val="004B6ED2"/>
    <w:rsid w:val="004C0C34"/>
    <w:rsid w:val="004C465C"/>
    <w:rsid w:val="004C5DE5"/>
    <w:rsid w:val="004D4194"/>
    <w:rsid w:val="004E1870"/>
    <w:rsid w:val="004E3526"/>
    <w:rsid w:val="00500681"/>
    <w:rsid w:val="00502A72"/>
    <w:rsid w:val="00504463"/>
    <w:rsid w:val="00524877"/>
    <w:rsid w:val="00535433"/>
    <w:rsid w:val="00536EFA"/>
    <w:rsid w:val="00554E7A"/>
    <w:rsid w:val="00556F6E"/>
    <w:rsid w:val="00557811"/>
    <w:rsid w:val="00560FB4"/>
    <w:rsid w:val="00581BD2"/>
    <w:rsid w:val="00583471"/>
    <w:rsid w:val="005936EF"/>
    <w:rsid w:val="005A0192"/>
    <w:rsid w:val="005A14FD"/>
    <w:rsid w:val="005C131B"/>
    <w:rsid w:val="005C2C04"/>
    <w:rsid w:val="005C702F"/>
    <w:rsid w:val="005D323C"/>
    <w:rsid w:val="005E4DAB"/>
    <w:rsid w:val="005E53B9"/>
    <w:rsid w:val="005F0C11"/>
    <w:rsid w:val="00602888"/>
    <w:rsid w:val="00606E13"/>
    <w:rsid w:val="00613C98"/>
    <w:rsid w:val="006225DE"/>
    <w:rsid w:val="00626A87"/>
    <w:rsid w:val="006363A1"/>
    <w:rsid w:val="00636938"/>
    <w:rsid w:val="0063698F"/>
    <w:rsid w:val="0064289D"/>
    <w:rsid w:val="00651CB4"/>
    <w:rsid w:val="00661C4A"/>
    <w:rsid w:val="006668FD"/>
    <w:rsid w:val="00670327"/>
    <w:rsid w:val="0068426C"/>
    <w:rsid w:val="00691F65"/>
    <w:rsid w:val="00693B21"/>
    <w:rsid w:val="00693E74"/>
    <w:rsid w:val="00696AB1"/>
    <w:rsid w:val="006A6757"/>
    <w:rsid w:val="006B5546"/>
    <w:rsid w:val="006C0E5B"/>
    <w:rsid w:val="006C1AA4"/>
    <w:rsid w:val="006C2369"/>
    <w:rsid w:val="006C5499"/>
    <w:rsid w:val="006C69B3"/>
    <w:rsid w:val="006D4ABB"/>
    <w:rsid w:val="006E1CC7"/>
    <w:rsid w:val="006F0B9B"/>
    <w:rsid w:val="006F3D91"/>
    <w:rsid w:val="006F5D13"/>
    <w:rsid w:val="006F6EFA"/>
    <w:rsid w:val="0070225E"/>
    <w:rsid w:val="007156E8"/>
    <w:rsid w:val="00717516"/>
    <w:rsid w:val="00717682"/>
    <w:rsid w:val="0072000F"/>
    <w:rsid w:val="007317F3"/>
    <w:rsid w:val="007372DD"/>
    <w:rsid w:val="00741B8A"/>
    <w:rsid w:val="0075062A"/>
    <w:rsid w:val="00750756"/>
    <w:rsid w:val="00753656"/>
    <w:rsid w:val="007612BD"/>
    <w:rsid w:val="007636D8"/>
    <w:rsid w:val="007660BF"/>
    <w:rsid w:val="0078419D"/>
    <w:rsid w:val="007A1A2D"/>
    <w:rsid w:val="007A52E1"/>
    <w:rsid w:val="007B148E"/>
    <w:rsid w:val="007D1AE8"/>
    <w:rsid w:val="007D4E08"/>
    <w:rsid w:val="007E4A7C"/>
    <w:rsid w:val="007F07B0"/>
    <w:rsid w:val="007F0AC2"/>
    <w:rsid w:val="007F53EB"/>
    <w:rsid w:val="00805921"/>
    <w:rsid w:val="00812700"/>
    <w:rsid w:val="00813A28"/>
    <w:rsid w:val="0081544B"/>
    <w:rsid w:val="008229A8"/>
    <w:rsid w:val="008274D7"/>
    <w:rsid w:val="00832BC1"/>
    <w:rsid w:val="00832E6A"/>
    <w:rsid w:val="00834EB0"/>
    <w:rsid w:val="008371B9"/>
    <w:rsid w:val="00856C38"/>
    <w:rsid w:val="008653F0"/>
    <w:rsid w:val="00870131"/>
    <w:rsid w:val="00874A22"/>
    <w:rsid w:val="00875F48"/>
    <w:rsid w:val="008764F9"/>
    <w:rsid w:val="00880683"/>
    <w:rsid w:val="00886959"/>
    <w:rsid w:val="00886D9F"/>
    <w:rsid w:val="00897B2B"/>
    <w:rsid w:val="008A43E5"/>
    <w:rsid w:val="008A6BF9"/>
    <w:rsid w:val="008A75A3"/>
    <w:rsid w:val="008A7EDD"/>
    <w:rsid w:val="008B5FCB"/>
    <w:rsid w:val="008C039C"/>
    <w:rsid w:val="008C05DD"/>
    <w:rsid w:val="008C3B6E"/>
    <w:rsid w:val="008C588C"/>
    <w:rsid w:val="008D6D3B"/>
    <w:rsid w:val="008E222A"/>
    <w:rsid w:val="008E2DA4"/>
    <w:rsid w:val="008E5500"/>
    <w:rsid w:val="008F0158"/>
    <w:rsid w:val="008F5617"/>
    <w:rsid w:val="00900D26"/>
    <w:rsid w:val="00905068"/>
    <w:rsid w:val="00922177"/>
    <w:rsid w:val="00927B16"/>
    <w:rsid w:val="00933354"/>
    <w:rsid w:val="00956BA3"/>
    <w:rsid w:val="00961AFF"/>
    <w:rsid w:val="009635A8"/>
    <w:rsid w:val="0096481D"/>
    <w:rsid w:val="00971031"/>
    <w:rsid w:val="00973A78"/>
    <w:rsid w:val="009831C9"/>
    <w:rsid w:val="009B4E80"/>
    <w:rsid w:val="009B58EC"/>
    <w:rsid w:val="009B5DBC"/>
    <w:rsid w:val="009C125C"/>
    <w:rsid w:val="009C69E8"/>
    <w:rsid w:val="009E0407"/>
    <w:rsid w:val="009E1791"/>
    <w:rsid w:val="009E25C7"/>
    <w:rsid w:val="009E726A"/>
    <w:rsid w:val="009E7B25"/>
    <w:rsid w:val="009F72C5"/>
    <w:rsid w:val="00A116B6"/>
    <w:rsid w:val="00A234D9"/>
    <w:rsid w:val="00A270D2"/>
    <w:rsid w:val="00A42628"/>
    <w:rsid w:val="00A443E0"/>
    <w:rsid w:val="00A51B24"/>
    <w:rsid w:val="00A54398"/>
    <w:rsid w:val="00A6182D"/>
    <w:rsid w:val="00A6505E"/>
    <w:rsid w:val="00A652EB"/>
    <w:rsid w:val="00A73A52"/>
    <w:rsid w:val="00A83959"/>
    <w:rsid w:val="00AA0271"/>
    <w:rsid w:val="00AC16AC"/>
    <w:rsid w:val="00AC3494"/>
    <w:rsid w:val="00AD191E"/>
    <w:rsid w:val="00AD472E"/>
    <w:rsid w:val="00AD5A8C"/>
    <w:rsid w:val="00AF1F34"/>
    <w:rsid w:val="00AF2B6D"/>
    <w:rsid w:val="00AF3F99"/>
    <w:rsid w:val="00AF4A86"/>
    <w:rsid w:val="00B0080A"/>
    <w:rsid w:val="00B02A88"/>
    <w:rsid w:val="00B04AB0"/>
    <w:rsid w:val="00B13833"/>
    <w:rsid w:val="00B1527A"/>
    <w:rsid w:val="00B21CBD"/>
    <w:rsid w:val="00B23DFB"/>
    <w:rsid w:val="00B31CB3"/>
    <w:rsid w:val="00B35259"/>
    <w:rsid w:val="00B50D06"/>
    <w:rsid w:val="00B546DB"/>
    <w:rsid w:val="00B66204"/>
    <w:rsid w:val="00B70D33"/>
    <w:rsid w:val="00B75046"/>
    <w:rsid w:val="00B77C0F"/>
    <w:rsid w:val="00B77ED9"/>
    <w:rsid w:val="00B83B18"/>
    <w:rsid w:val="00B86AA2"/>
    <w:rsid w:val="00B9022F"/>
    <w:rsid w:val="00B92803"/>
    <w:rsid w:val="00B92AB6"/>
    <w:rsid w:val="00B939A3"/>
    <w:rsid w:val="00B953CD"/>
    <w:rsid w:val="00B9743B"/>
    <w:rsid w:val="00BA0746"/>
    <w:rsid w:val="00BA59B8"/>
    <w:rsid w:val="00BA5EA5"/>
    <w:rsid w:val="00BA7735"/>
    <w:rsid w:val="00BB3300"/>
    <w:rsid w:val="00BB3CA5"/>
    <w:rsid w:val="00BD3D53"/>
    <w:rsid w:val="00BF1E81"/>
    <w:rsid w:val="00C132F6"/>
    <w:rsid w:val="00C15ABA"/>
    <w:rsid w:val="00C15D40"/>
    <w:rsid w:val="00C20D55"/>
    <w:rsid w:val="00C21803"/>
    <w:rsid w:val="00C32664"/>
    <w:rsid w:val="00C34A65"/>
    <w:rsid w:val="00C55545"/>
    <w:rsid w:val="00C63DEB"/>
    <w:rsid w:val="00C66727"/>
    <w:rsid w:val="00C73466"/>
    <w:rsid w:val="00C75295"/>
    <w:rsid w:val="00C81078"/>
    <w:rsid w:val="00C851DA"/>
    <w:rsid w:val="00C872CC"/>
    <w:rsid w:val="00C92748"/>
    <w:rsid w:val="00C94258"/>
    <w:rsid w:val="00C9456C"/>
    <w:rsid w:val="00C96CF1"/>
    <w:rsid w:val="00CA26AF"/>
    <w:rsid w:val="00CA6A8D"/>
    <w:rsid w:val="00CC3AAF"/>
    <w:rsid w:val="00CC3B84"/>
    <w:rsid w:val="00CD6EDF"/>
    <w:rsid w:val="00CE0A9F"/>
    <w:rsid w:val="00CE26C0"/>
    <w:rsid w:val="00CF07FC"/>
    <w:rsid w:val="00CF17C6"/>
    <w:rsid w:val="00CF6BBD"/>
    <w:rsid w:val="00CF6FE1"/>
    <w:rsid w:val="00D00A62"/>
    <w:rsid w:val="00D030A0"/>
    <w:rsid w:val="00D05D2C"/>
    <w:rsid w:val="00D11798"/>
    <w:rsid w:val="00D12C92"/>
    <w:rsid w:val="00D34916"/>
    <w:rsid w:val="00D44D93"/>
    <w:rsid w:val="00D50A12"/>
    <w:rsid w:val="00D53570"/>
    <w:rsid w:val="00D564BC"/>
    <w:rsid w:val="00D57E24"/>
    <w:rsid w:val="00D60AF5"/>
    <w:rsid w:val="00D62242"/>
    <w:rsid w:val="00D73775"/>
    <w:rsid w:val="00D74CDB"/>
    <w:rsid w:val="00D770C2"/>
    <w:rsid w:val="00D852AF"/>
    <w:rsid w:val="00D8703C"/>
    <w:rsid w:val="00D8792A"/>
    <w:rsid w:val="00DA723A"/>
    <w:rsid w:val="00DB2BA2"/>
    <w:rsid w:val="00DB3260"/>
    <w:rsid w:val="00DB3942"/>
    <w:rsid w:val="00DB5894"/>
    <w:rsid w:val="00DC117D"/>
    <w:rsid w:val="00DC6B2A"/>
    <w:rsid w:val="00DE5796"/>
    <w:rsid w:val="00DE664B"/>
    <w:rsid w:val="00DF0C7F"/>
    <w:rsid w:val="00DF7B11"/>
    <w:rsid w:val="00E013C1"/>
    <w:rsid w:val="00E035A9"/>
    <w:rsid w:val="00E03C13"/>
    <w:rsid w:val="00E1276F"/>
    <w:rsid w:val="00E12DED"/>
    <w:rsid w:val="00E14EF3"/>
    <w:rsid w:val="00E158AE"/>
    <w:rsid w:val="00E17AEA"/>
    <w:rsid w:val="00E224B5"/>
    <w:rsid w:val="00E229E6"/>
    <w:rsid w:val="00E3437D"/>
    <w:rsid w:val="00E36652"/>
    <w:rsid w:val="00E51B66"/>
    <w:rsid w:val="00E56A31"/>
    <w:rsid w:val="00E6544F"/>
    <w:rsid w:val="00E76526"/>
    <w:rsid w:val="00E805C0"/>
    <w:rsid w:val="00E80896"/>
    <w:rsid w:val="00E979F5"/>
    <w:rsid w:val="00E97A97"/>
    <w:rsid w:val="00EB35D3"/>
    <w:rsid w:val="00EB45D5"/>
    <w:rsid w:val="00EB648B"/>
    <w:rsid w:val="00EB707E"/>
    <w:rsid w:val="00EC1C94"/>
    <w:rsid w:val="00ED0627"/>
    <w:rsid w:val="00ED646B"/>
    <w:rsid w:val="00ED7809"/>
    <w:rsid w:val="00EE0D2B"/>
    <w:rsid w:val="00F02987"/>
    <w:rsid w:val="00F10DCD"/>
    <w:rsid w:val="00F1669E"/>
    <w:rsid w:val="00F17F8F"/>
    <w:rsid w:val="00F22498"/>
    <w:rsid w:val="00F2366B"/>
    <w:rsid w:val="00F2467B"/>
    <w:rsid w:val="00F26E19"/>
    <w:rsid w:val="00F31C6D"/>
    <w:rsid w:val="00F31E37"/>
    <w:rsid w:val="00F42EBA"/>
    <w:rsid w:val="00F479B2"/>
    <w:rsid w:val="00F64BBB"/>
    <w:rsid w:val="00F71E02"/>
    <w:rsid w:val="00F7532E"/>
    <w:rsid w:val="00F75ADB"/>
    <w:rsid w:val="00F810B2"/>
    <w:rsid w:val="00F84BE7"/>
    <w:rsid w:val="00F87AD1"/>
    <w:rsid w:val="00FA1128"/>
    <w:rsid w:val="00FB379F"/>
    <w:rsid w:val="00FC67BD"/>
    <w:rsid w:val="00FD095D"/>
    <w:rsid w:val="00FD6DD1"/>
    <w:rsid w:val="00FD7472"/>
    <w:rsid w:val="00FE0280"/>
    <w:rsid w:val="00FE0542"/>
    <w:rsid w:val="00FE4875"/>
    <w:rsid w:val="00FF0353"/>
    <w:rsid w:val="00FF20B9"/>
    <w:rsid w:val="00FF34E8"/>
    <w:rsid w:val="00FF571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D37F82"/>
  <w14:defaultImageDpi w14:val="32767"/>
  <w15:chartTrackingRefBased/>
  <w15:docId w15:val="{D489B8D5-25F0-4B76-9EB9-B53F135C7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88C"/>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8C588C"/>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8C588C"/>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8C588C"/>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8C588C"/>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8C588C"/>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8C588C"/>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8C588C"/>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8C588C"/>
    <w:pPr>
      <w:ind w:left="993"/>
      <w:outlineLvl w:val="7"/>
    </w:pPr>
    <w:rPr>
      <w:color w:val="321547"/>
      <w:szCs w:val="22"/>
      <w:u w:val="dotDotDash"/>
    </w:rPr>
  </w:style>
  <w:style w:type="paragraph" w:styleId="Ttulo9">
    <w:name w:val="heading 9"/>
    <w:basedOn w:val="Ttulo8"/>
    <w:next w:val="Normal"/>
    <w:link w:val="Ttulo9Car"/>
    <w:uiPriority w:val="9"/>
    <w:unhideWhenUsed/>
    <w:qFormat/>
    <w:rsid w:val="008C588C"/>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8C588C"/>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8C588C"/>
  </w:style>
  <w:style w:type="paragraph" w:styleId="Encabezado">
    <w:name w:val="header"/>
    <w:basedOn w:val="Normal"/>
    <w:link w:val="EncabezadoCar"/>
    <w:uiPriority w:val="99"/>
    <w:unhideWhenUsed/>
    <w:rsid w:val="008C588C"/>
    <w:pPr>
      <w:tabs>
        <w:tab w:val="center" w:pos="4252"/>
        <w:tab w:val="right" w:pos="8504"/>
      </w:tabs>
    </w:pPr>
  </w:style>
  <w:style w:type="character" w:customStyle="1" w:styleId="EncabezadoCar">
    <w:name w:val="Encabezado Car"/>
    <w:basedOn w:val="Fuentedeprrafopredeter"/>
    <w:link w:val="Encabezado"/>
    <w:uiPriority w:val="99"/>
    <w:rsid w:val="008C588C"/>
    <w:rPr>
      <w:rFonts w:ascii="Palatino Linotype" w:hAnsi="Palatino Linotype"/>
      <w:lang w:val="es-ES"/>
    </w:rPr>
  </w:style>
  <w:style w:type="paragraph" w:styleId="Piedepgina">
    <w:name w:val="footer"/>
    <w:basedOn w:val="Normal"/>
    <w:link w:val="PiedepginaCar"/>
    <w:uiPriority w:val="99"/>
    <w:unhideWhenUsed/>
    <w:qFormat/>
    <w:rsid w:val="00581BD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81BD2"/>
    <w:rPr>
      <w:rFonts w:ascii="Palatino Linotype" w:hAnsi="Palatino Linotype"/>
      <w:lang w:val="es-ES"/>
    </w:rPr>
  </w:style>
  <w:style w:type="table" w:styleId="Tablaconcuadrcula">
    <w:name w:val="Table Grid"/>
    <w:basedOn w:val="Tablanormal"/>
    <w:uiPriority w:val="39"/>
    <w:rsid w:val="008C58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8C588C"/>
    <w:rPr>
      <w:color w:val="808080"/>
    </w:rPr>
  </w:style>
  <w:style w:type="paragraph" w:styleId="Ttulo">
    <w:name w:val="Title"/>
    <w:basedOn w:val="Normal"/>
    <w:next w:val="Normal"/>
    <w:link w:val="TtuloCar"/>
    <w:uiPriority w:val="10"/>
    <w:qFormat/>
    <w:rsid w:val="008C588C"/>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8C588C"/>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8C588C"/>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8C588C"/>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8C588C"/>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8C588C"/>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8C588C"/>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8C588C"/>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8C588C"/>
    <w:rPr>
      <w:color w:val="0563C1" w:themeColor="hyperlink"/>
      <w:u w:val="single"/>
    </w:rPr>
  </w:style>
  <w:style w:type="character" w:customStyle="1" w:styleId="Ttulo3Car">
    <w:name w:val="Título 3 Car"/>
    <w:basedOn w:val="Fuentedeprrafopredeter"/>
    <w:link w:val="Ttulo3"/>
    <w:uiPriority w:val="9"/>
    <w:rsid w:val="008C588C"/>
    <w:rPr>
      <w:rFonts w:ascii="Palatino Linotype" w:hAnsi="Palatino Linotype"/>
      <w:i/>
      <w:iCs/>
      <w:color w:val="5F2987"/>
      <w:u w:val="single"/>
      <w:lang w:val="es-ES"/>
    </w:rPr>
  </w:style>
  <w:style w:type="paragraph" w:styleId="TDC3">
    <w:name w:val="toc 3"/>
    <w:basedOn w:val="Normal"/>
    <w:next w:val="FinTDC"/>
    <w:autoRedefine/>
    <w:uiPriority w:val="39"/>
    <w:unhideWhenUsed/>
    <w:rsid w:val="008C588C"/>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8C588C"/>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8C588C"/>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8C588C"/>
    <w:rPr>
      <w:color w:val="7F7F7F" w:themeColor="text1" w:themeTint="80"/>
      <w:sz w:val="16"/>
    </w:rPr>
  </w:style>
  <w:style w:type="character" w:customStyle="1" w:styleId="NocantarChar">
    <w:name w:val="No cantar Char"/>
    <w:basedOn w:val="Fuentedeprrafopredeter"/>
    <w:link w:val="Nocantar"/>
    <w:rsid w:val="008C588C"/>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8C588C"/>
    <w:pPr>
      <w:numPr>
        <w:numId w:val="0"/>
      </w:numPr>
      <w:ind w:firstLine="142"/>
    </w:pPr>
  </w:style>
  <w:style w:type="character" w:customStyle="1" w:styleId="IntroduccinyconclusinChar">
    <w:name w:val="Introducción y conclusión Char"/>
    <w:basedOn w:val="Ttulo1Car"/>
    <w:link w:val="Introduccinyconclusin"/>
    <w:rsid w:val="008C588C"/>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8C588C"/>
    <w:pPr>
      <w:numPr>
        <w:numId w:val="3"/>
      </w:numPr>
    </w:pPr>
  </w:style>
  <w:style w:type="paragraph" w:customStyle="1" w:styleId="Nivel1">
    <w:name w:val="Nivel 1"/>
    <w:basedOn w:val="Normal"/>
    <w:qFormat/>
    <w:rsid w:val="008C588C"/>
    <w:pPr>
      <w:numPr>
        <w:numId w:val="1"/>
      </w:numPr>
      <w:spacing w:before="100" w:after="100"/>
      <w:ind w:left="623" w:hanging="198"/>
    </w:pPr>
  </w:style>
  <w:style w:type="paragraph" w:customStyle="1" w:styleId="Nivel3">
    <w:name w:val="Nivel 3"/>
    <w:basedOn w:val="Nivel2"/>
    <w:link w:val="Nivel3Car"/>
    <w:qFormat/>
    <w:rsid w:val="008C588C"/>
    <w:pPr>
      <w:numPr>
        <w:ilvl w:val="2"/>
      </w:numPr>
      <w:spacing w:after="0"/>
      <w:ind w:left="1474" w:hanging="198"/>
    </w:pPr>
  </w:style>
  <w:style w:type="paragraph" w:customStyle="1" w:styleId="Letra">
    <w:name w:val="Letra"/>
    <w:basedOn w:val="Nivel1"/>
    <w:qFormat/>
    <w:rsid w:val="008C588C"/>
    <w:pPr>
      <w:numPr>
        <w:numId w:val="4"/>
      </w:numPr>
      <w:spacing w:before="0" w:after="40"/>
      <w:ind w:left="936" w:hanging="227"/>
    </w:pPr>
  </w:style>
  <w:style w:type="paragraph" w:customStyle="1" w:styleId="Nmero">
    <w:name w:val="Número"/>
    <w:basedOn w:val="Normal"/>
    <w:qFormat/>
    <w:rsid w:val="008C588C"/>
    <w:pPr>
      <w:numPr>
        <w:numId w:val="5"/>
      </w:numPr>
      <w:spacing w:after="40"/>
      <w:ind w:left="936" w:hanging="227"/>
    </w:pPr>
  </w:style>
  <w:style w:type="paragraph" w:styleId="Textodeglobo">
    <w:name w:val="Balloon Text"/>
    <w:basedOn w:val="Normal"/>
    <w:link w:val="TextodegloboCar"/>
    <w:uiPriority w:val="99"/>
    <w:semiHidden/>
    <w:unhideWhenUsed/>
    <w:rsid w:val="008C588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C588C"/>
    <w:rPr>
      <w:rFonts w:ascii="Segoe UI" w:hAnsi="Segoe UI" w:cs="Segoe UI"/>
      <w:sz w:val="18"/>
      <w:szCs w:val="18"/>
      <w:lang w:val="es-ES"/>
    </w:rPr>
  </w:style>
  <w:style w:type="paragraph" w:customStyle="1" w:styleId="Notaalopositor">
    <w:name w:val="Nota al opositor"/>
    <w:basedOn w:val="Normal"/>
    <w:link w:val="NotaalopositorChar"/>
    <w:qFormat/>
    <w:rsid w:val="008C588C"/>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8C588C"/>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8C588C"/>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8C588C"/>
    <w:rPr>
      <w:rFonts w:ascii="Palatino Linotype" w:hAnsi="Palatino Linotype"/>
      <w:sz w:val="16"/>
      <w:szCs w:val="20"/>
      <w:lang w:val="es-ES"/>
    </w:rPr>
  </w:style>
  <w:style w:type="character" w:styleId="Refdenotaalpie">
    <w:name w:val="footnote reference"/>
    <w:basedOn w:val="Fuentedeprrafopredeter"/>
    <w:uiPriority w:val="99"/>
    <w:unhideWhenUsed/>
    <w:rsid w:val="008C588C"/>
    <w:rPr>
      <w:vertAlign w:val="superscript"/>
    </w:rPr>
  </w:style>
  <w:style w:type="character" w:customStyle="1" w:styleId="Ttulo6Car">
    <w:name w:val="Título 6 Car"/>
    <w:basedOn w:val="Fuentedeprrafopredeter"/>
    <w:link w:val="Ttulo6"/>
    <w:uiPriority w:val="9"/>
    <w:rsid w:val="008C588C"/>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8C588C"/>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8C588C"/>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8C588C"/>
    <w:pPr>
      <w:ind w:left="0"/>
    </w:pPr>
  </w:style>
  <w:style w:type="paragraph" w:customStyle="1" w:styleId="Nivel2SM">
    <w:name w:val="Nivel 2 SM"/>
    <w:basedOn w:val="Nivel2"/>
    <w:qFormat/>
    <w:rsid w:val="008C588C"/>
    <w:pPr>
      <w:ind w:left="567"/>
    </w:pPr>
  </w:style>
  <w:style w:type="paragraph" w:customStyle="1" w:styleId="Nivel3SM">
    <w:name w:val="Nivel 3 SM"/>
    <w:basedOn w:val="Nivel3"/>
    <w:qFormat/>
    <w:rsid w:val="008C588C"/>
    <w:pPr>
      <w:ind w:left="963"/>
    </w:pPr>
  </w:style>
  <w:style w:type="paragraph" w:styleId="Encabezadodelista">
    <w:name w:val="toa heading"/>
    <w:basedOn w:val="Normal"/>
    <w:next w:val="Normal"/>
    <w:uiPriority w:val="99"/>
    <w:semiHidden/>
    <w:unhideWhenUsed/>
    <w:rsid w:val="008C588C"/>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8C588C"/>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8C588C"/>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8C588C"/>
    <w:rPr>
      <w:rFonts w:ascii="Palatino Linotype" w:hAnsi="Palatino Linotype"/>
      <w:shd w:val="clear" w:color="auto" w:fill="E7E6E6" w:themeFill="background2"/>
      <w:lang w:val="es-ES"/>
    </w:rPr>
  </w:style>
  <w:style w:type="character" w:styleId="Mencinsinresolver">
    <w:name w:val="Unresolved Mention"/>
    <w:basedOn w:val="Fuentedeprrafopredeter"/>
    <w:uiPriority w:val="99"/>
    <w:semiHidden/>
    <w:unhideWhenUsed/>
    <w:rsid w:val="008C588C"/>
    <w:rPr>
      <w:color w:val="605E5C"/>
      <w:shd w:val="clear" w:color="auto" w:fill="E1DFDD"/>
    </w:rPr>
  </w:style>
  <w:style w:type="paragraph" w:styleId="Prrafodelista">
    <w:name w:val="List Paragraph"/>
    <w:basedOn w:val="Normal"/>
    <w:uiPriority w:val="34"/>
    <w:rsid w:val="008C588C"/>
    <w:pPr>
      <w:ind w:left="720"/>
      <w:contextualSpacing/>
    </w:pPr>
  </w:style>
  <w:style w:type="character" w:customStyle="1" w:styleId="Ttulo7Car">
    <w:name w:val="Título 7 Car"/>
    <w:basedOn w:val="Fuentedeprrafopredeter"/>
    <w:link w:val="Ttulo7"/>
    <w:uiPriority w:val="9"/>
    <w:rsid w:val="008C588C"/>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8C588C"/>
    <w:rPr>
      <w:rFonts w:ascii="Garamond" w:hAnsi="Garamond"/>
      <w:lang w:val="es-ES"/>
    </w:rPr>
  </w:style>
  <w:style w:type="character" w:customStyle="1" w:styleId="FooterChar">
    <w:name w:val="Footer Char"/>
    <w:basedOn w:val="Fuentedeprrafopredeter"/>
    <w:uiPriority w:val="99"/>
    <w:rsid w:val="008C588C"/>
    <w:rPr>
      <w:rFonts w:ascii="Garamond" w:hAnsi="Garamond"/>
      <w:lang w:val="es-ES"/>
    </w:rPr>
  </w:style>
  <w:style w:type="character" w:customStyle="1" w:styleId="TitleChar">
    <w:name w:val="Title Char"/>
    <w:basedOn w:val="Fuentedeprrafopredeter"/>
    <w:uiPriority w:val="10"/>
    <w:rsid w:val="008C588C"/>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8C588C"/>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8C588C"/>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8C588C"/>
    <w:rPr>
      <w:rFonts w:ascii="Garamond" w:hAnsi="Garamond"/>
      <w:i/>
      <w:iCs/>
      <w:color w:val="5F2987"/>
      <w:u w:val="single"/>
      <w:lang w:val="es-ES"/>
    </w:rPr>
  </w:style>
  <w:style w:type="character" w:customStyle="1" w:styleId="Heading4Char">
    <w:name w:val="Heading 4 Char"/>
    <w:basedOn w:val="Fuentedeprrafopredeter"/>
    <w:uiPriority w:val="9"/>
    <w:rsid w:val="008C588C"/>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8C588C"/>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8C588C"/>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8C588C"/>
    <w:rPr>
      <w:rFonts w:ascii="Garamond" w:hAnsi="Garamond"/>
      <w:sz w:val="16"/>
      <w:szCs w:val="20"/>
      <w:lang w:val="es-ES"/>
    </w:rPr>
  </w:style>
  <w:style w:type="character" w:customStyle="1" w:styleId="Heading6Char">
    <w:name w:val="Heading 6 Char"/>
    <w:basedOn w:val="Fuentedeprrafopredeter"/>
    <w:uiPriority w:val="9"/>
    <w:semiHidden/>
    <w:rsid w:val="008C588C"/>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8C588C"/>
    <w:rPr>
      <w:rFonts w:ascii="Garamond" w:eastAsiaTheme="minorEastAsia" w:hAnsi="Garamond"/>
      <w:smallCaps/>
      <w:color w:val="5A5A5A" w:themeColor="text1" w:themeTint="A5"/>
      <w:lang w:val="es-ES"/>
    </w:rPr>
  </w:style>
  <w:style w:type="paragraph" w:styleId="TDC5">
    <w:name w:val="toc 5"/>
    <w:basedOn w:val="Normal"/>
    <w:next w:val="FinTDC"/>
    <w:autoRedefine/>
    <w:uiPriority w:val="39"/>
    <w:unhideWhenUsed/>
    <w:rsid w:val="008C588C"/>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8C588C"/>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8C588C"/>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8C588C"/>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8C588C"/>
    <w:pPr>
      <w:spacing w:line="240" w:lineRule="auto"/>
      <w:ind w:left="567" w:hanging="567"/>
    </w:pPr>
  </w:style>
  <w:style w:type="paragraph" w:customStyle="1" w:styleId="Ttuloimagen">
    <w:name w:val="Título imagen"/>
    <w:basedOn w:val="PiedeImagen"/>
    <w:next w:val="Imagen"/>
    <w:link w:val="TtuloimagenCar"/>
    <w:qFormat/>
    <w:rsid w:val="008C588C"/>
    <w:pPr>
      <w:keepNext/>
      <w:spacing w:after="0"/>
    </w:pPr>
    <w:rPr>
      <w:i w:val="0"/>
      <w:smallCaps/>
      <w:sz w:val="20"/>
    </w:rPr>
  </w:style>
  <w:style w:type="character" w:customStyle="1" w:styleId="TtuloimagenCar">
    <w:name w:val="Título imagen Car"/>
    <w:basedOn w:val="ImagenCar"/>
    <w:link w:val="Ttuloimagen"/>
    <w:rsid w:val="008C588C"/>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8C588C"/>
    <w:pPr>
      <w:ind w:left="1100"/>
    </w:pPr>
  </w:style>
  <w:style w:type="paragraph" w:styleId="Lista2">
    <w:name w:val="List 2"/>
    <w:basedOn w:val="Normal"/>
    <w:uiPriority w:val="99"/>
    <w:unhideWhenUsed/>
    <w:rsid w:val="004E1870"/>
    <w:pPr>
      <w:ind w:left="566" w:hanging="283"/>
      <w:contextualSpacing/>
    </w:pPr>
  </w:style>
  <w:style w:type="paragraph" w:styleId="Textoindependiente">
    <w:name w:val="Body Text"/>
    <w:basedOn w:val="Normal"/>
    <w:link w:val="TextoindependienteCar"/>
    <w:uiPriority w:val="99"/>
    <w:unhideWhenUsed/>
    <w:rsid w:val="004E1870"/>
  </w:style>
  <w:style w:type="character" w:customStyle="1" w:styleId="TextoindependienteCar">
    <w:name w:val="Texto independiente Car"/>
    <w:basedOn w:val="Fuentedeprrafopredeter"/>
    <w:link w:val="Textoindependiente"/>
    <w:uiPriority w:val="99"/>
    <w:rsid w:val="004E1870"/>
    <w:rPr>
      <w:rFonts w:ascii="PalatinoLinotype-Roman" w:hAnsi="PalatinoLinotype-Roman"/>
      <w:lang w:val="es-ES"/>
    </w:rPr>
  </w:style>
  <w:style w:type="paragraph" w:styleId="Sangradetextonormal">
    <w:name w:val="Body Text Indent"/>
    <w:basedOn w:val="Normal"/>
    <w:link w:val="SangradetextonormalCar"/>
    <w:uiPriority w:val="99"/>
    <w:semiHidden/>
    <w:unhideWhenUsed/>
    <w:rsid w:val="004E1870"/>
    <w:pPr>
      <w:ind w:left="283"/>
    </w:pPr>
  </w:style>
  <w:style w:type="character" w:customStyle="1" w:styleId="SangradetextonormalCar">
    <w:name w:val="Sangría de texto normal Car"/>
    <w:basedOn w:val="Fuentedeprrafopredeter"/>
    <w:link w:val="Sangradetextonormal"/>
    <w:uiPriority w:val="99"/>
    <w:semiHidden/>
    <w:rsid w:val="004E1870"/>
    <w:rPr>
      <w:rFonts w:ascii="PalatinoLinotype-Roman" w:hAnsi="PalatinoLinotype-Roman"/>
      <w:lang w:val="es-ES"/>
    </w:rPr>
  </w:style>
  <w:style w:type="paragraph" w:styleId="Textoindependienteprimerasangra2">
    <w:name w:val="Body Text First Indent 2"/>
    <w:basedOn w:val="Sangradetextonormal"/>
    <w:link w:val="Textoindependienteprimerasangra2Car"/>
    <w:uiPriority w:val="99"/>
    <w:unhideWhenUsed/>
    <w:rsid w:val="004E1870"/>
    <w:pPr>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E1870"/>
    <w:rPr>
      <w:rFonts w:ascii="PalatinoLinotype-Roman" w:hAnsi="PalatinoLinotype-Roman"/>
      <w:lang w:val="es-ES"/>
    </w:rPr>
  </w:style>
  <w:style w:type="character" w:styleId="Hipervnculovisitado">
    <w:name w:val="FollowedHyperlink"/>
    <w:basedOn w:val="Fuentedeprrafopredeter"/>
    <w:uiPriority w:val="99"/>
    <w:semiHidden/>
    <w:unhideWhenUsed/>
    <w:rsid w:val="00C132F6"/>
    <w:rPr>
      <w:color w:val="954F72" w:themeColor="followedHyperlink"/>
      <w:u w:val="single"/>
    </w:rPr>
  </w:style>
  <w:style w:type="character" w:customStyle="1" w:styleId="Ttulo8Car">
    <w:name w:val="Título 8 Car"/>
    <w:basedOn w:val="Fuentedeprrafopredeter"/>
    <w:link w:val="Ttulo8"/>
    <w:uiPriority w:val="9"/>
    <w:rsid w:val="008C588C"/>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8C588C"/>
    <w:rPr>
      <w:rFonts w:ascii="Palatino Linotype" w:eastAsiaTheme="majorEastAsia" w:hAnsi="Palatino Linotype" w:cstheme="majorBidi"/>
      <w:i/>
      <w:color w:val="240F33"/>
      <w:spacing w:val="-4"/>
      <w:w w:val="99"/>
      <w:sz w:val="21"/>
      <w:szCs w:val="21"/>
      <w:u w:val="dotted"/>
      <w:lang w:val="es-ES"/>
    </w:rPr>
  </w:style>
  <w:style w:type="paragraph" w:styleId="Sinespaciado">
    <w:name w:val="No Spacing"/>
    <w:link w:val="SinespaciadoCar"/>
    <w:uiPriority w:val="1"/>
    <w:qFormat/>
    <w:rsid w:val="008C588C"/>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8C588C"/>
    <w:rPr>
      <w:rFonts w:eastAsiaTheme="minorEastAsia"/>
      <w:lang w:val="es-ES" w:eastAsia="es-ES"/>
    </w:rPr>
  </w:style>
  <w:style w:type="paragraph" w:customStyle="1" w:styleId="Nmeroromano">
    <w:name w:val="Número romano"/>
    <w:basedOn w:val="Prrafodelista"/>
    <w:qFormat/>
    <w:rsid w:val="008C588C"/>
    <w:pPr>
      <w:numPr>
        <w:numId w:val="35"/>
      </w:numPr>
      <w:spacing w:after="100"/>
      <w:ind w:left="567" w:hanging="113"/>
    </w:pPr>
  </w:style>
  <w:style w:type="paragraph" w:customStyle="1" w:styleId="Saltodettulos">
    <w:name w:val="Salto de títulos"/>
    <w:basedOn w:val="Normal"/>
    <w:rsid w:val="008C588C"/>
    <w:pPr>
      <w:spacing w:after="0" w:line="240" w:lineRule="auto"/>
    </w:pPr>
    <w:rPr>
      <w:color w:val="FFFFFF"/>
      <w:sz w:val="2"/>
    </w:rPr>
  </w:style>
  <w:style w:type="paragraph" w:styleId="TDC7">
    <w:name w:val="toc 7"/>
    <w:basedOn w:val="Normal"/>
    <w:next w:val="FinTDC"/>
    <w:autoRedefine/>
    <w:uiPriority w:val="39"/>
    <w:unhideWhenUsed/>
    <w:rsid w:val="008C588C"/>
    <w:pPr>
      <w:spacing w:after="0" w:line="20" w:lineRule="atLeast"/>
      <w:ind w:left="1418"/>
      <w:jc w:val="left"/>
    </w:pPr>
    <w:rPr>
      <w:i/>
      <w:color w:val="5F2987"/>
      <w:sz w:val="12"/>
    </w:rPr>
  </w:style>
  <w:style w:type="paragraph" w:customStyle="1" w:styleId="FinTDC">
    <w:name w:val="FinTDC"/>
    <w:basedOn w:val="Nivel1"/>
    <w:qFormat/>
    <w:rsid w:val="008C588C"/>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8C588C"/>
    <w:pPr>
      <w:spacing w:after="0" w:line="240" w:lineRule="auto"/>
      <w:jc w:val="left"/>
    </w:pPr>
    <w:rPr>
      <w:sz w:val="15"/>
    </w:rPr>
  </w:style>
  <w:style w:type="paragraph" w:styleId="TDC9">
    <w:name w:val="toc 9"/>
    <w:basedOn w:val="TDC8"/>
    <w:next w:val="FinTDC"/>
    <w:autoRedefine/>
    <w:uiPriority w:val="39"/>
    <w:unhideWhenUsed/>
    <w:rsid w:val="008C588C"/>
    <w:pPr>
      <w:ind w:left="1760"/>
    </w:pPr>
  </w:style>
  <w:style w:type="paragraph" w:customStyle="1" w:styleId="Apartado0">
    <w:name w:val="Apartado 0"/>
    <w:basedOn w:val="Ttulo1"/>
    <w:next w:val="Normal"/>
    <w:link w:val="Apartado0Car"/>
    <w:qFormat/>
    <w:rsid w:val="008C588C"/>
    <w:pPr>
      <w:numPr>
        <w:numId w:val="8"/>
      </w:numPr>
      <w:ind w:left="357" w:hanging="357"/>
    </w:pPr>
  </w:style>
  <w:style w:type="character" w:customStyle="1" w:styleId="Apartado0Car">
    <w:name w:val="Apartado 0 Car"/>
    <w:basedOn w:val="Ttulo1Car"/>
    <w:link w:val="Apartado0"/>
    <w:rsid w:val="008C588C"/>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8C588C"/>
    <w:pPr>
      <w:numPr>
        <w:ilvl w:val="3"/>
      </w:numPr>
      <w:ind w:left="1899" w:hanging="198"/>
    </w:pPr>
  </w:style>
  <w:style w:type="paragraph" w:customStyle="1" w:styleId="Nivel5">
    <w:name w:val="Nivel 5"/>
    <w:basedOn w:val="Nivel4"/>
    <w:link w:val="Nivel5Car"/>
    <w:qFormat/>
    <w:rsid w:val="008C588C"/>
    <w:pPr>
      <w:numPr>
        <w:ilvl w:val="4"/>
      </w:numPr>
      <w:ind w:left="2155" w:hanging="170"/>
    </w:pPr>
  </w:style>
  <w:style w:type="character" w:customStyle="1" w:styleId="Nivel2Car">
    <w:name w:val="Nivel 2 Car"/>
    <w:basedOn w:val="Fuentedeprrafopredeter"/>
    <w:link w:val="Nivel2"/>
    <w:rsid w:val="008C588C"/>
    <w:rPr>
      <w:rFonts w:ascii="Palatino Linotype" w:hAnsi="Palatino Linotype"/>
      <w:lang w:val="es-ES"/>
    </w:rPr>
  </w:style>
  <w:style w:type="character" w:customStyle="1" w:styleId="Nivel3Car">
    <w:name w:val="Nivel 3 Car"/>
    <w:basedOn w:val="Nivel2Car"/>
    <w:link w:val="Nivel3"/>
    <w:rsid w:val="008C588C"/>
    <w:rPr>
      <w:rFonts w:ascii="Palatino Linotype" w:hAnsi="Palatino Linotype"/>
      <w:lang w:val="es-ES"/>
    </w:rPr>
  </w:style>
  <w:style w:type="character" w:customStyle="1" w:styleId="Nivel4Car">
    <w:name w:val="Nivel 4 Car"/>
    <w:basedOn w:val="Nivel3Car"/>
    <w:link w:val="Nivel4"/>
    <w:rsid w:val="008C588C"/>
    <w:rPr>
      <w:rFonts w:ascii="Palatino Linotype" w:hAnsi="Palatino Linotype"/>
      <w:lang w:val="es-ES"/>
    </w:rPr>
  </w:style>
  <w:style w:type="paragraph" w:customStyle="1" w:styleId="Nivel6">
    <w:name w:val="Nivel 6"/>
    <w:basedOn w:val="Nivel5"/>
    <w:link w:val="Nivel6Car"/>
    <w:qFormat/>
    <w:rsid w:val="008C588C"/>
    <w:pPr>
      <w:numPr>
        <w:ilvl w:val="5"/>
      </w:numPr>
      <w:ind w:left="2438" w:hanging="227"/>
    </w:pPr>
  </w:style>
  <w:style w:type="character" w:customStyle="1" w:styleId="Nivel5Car">
    <w:name w:val="Nivel 5 Car"/>
    <w:basedOn w:val="Nivel4Car"/>
    <w:link w:val="Nivel5"/>
    <w:rsid w:val="008C588C"/>
    <w:rPr>
      <w:rFonts w:ascii="Palatino Linotype" w:hAnsi="Palatino Linotype"/>
      <w:lang w:val="es-ES"/>
    </w:rPr>
  </w:style>
  <w:style w:type="paragraph" w:customStyle="1" w:styleId="Nivel7">
    <w:name w:val="Nivel 7"/>
    <w:basedOn w:val="Nivel5"/>
    <w:link w:val="Nivel7Car"/>
    <w:qFormat/>
    <w:rsid w:val="008C588C"/>
    <w:pPr>
      <w:numPr>
        <w:ilvl w:val="6"/>
      </w:numPr>
      <w:ind w:left="2722" w:hanging="170"/>
    </w:pPr>
  </w:style>
  <w:style w:type="character" w:customStyle="1" w:styleId="Nivel6Car">
    <w:name w:val="Nivel 6 Car"/>
    <w:basedOn w:val="Nivel5Car"/>
    <w:link w:val="Nivel6"/>
    <w:rsid w:val="008C588C"/>
    <w:rPr>
      <w:rFonts w:ascii="Palatino Linotype" w:hAnsi="Palatino Linotype"/>
      <w:lang w:val="es-ES"/>
    </w:rPr>
  </w:style>
  <w:style w:type="character" w:customStyle="1" w:styleId="Nivel7Car">
    <w:name w:val="Nivel 7 Car"/>
    <w:basedOn w:val="Nivel5Car"/>
    <w:link w:val="Nivel7"/>
    <w:rsid w:val="008C588C"/>
    <w:rPr>
      <w:rFonts w:ascii="Palatino Linotype" w:hAnsi="Palatino Linotype"/>
      <w:lang w:val="es-ES"/>
    </w:rPr>
  </w:style>
  <w:style w:type="paragraph" w:styleId="Descripcin">
    <w:name w:val="caption"/>
    <w:basedOn w:val="Normal"/>
    <w:next w:val="Normal"/>
    <w:uiPriority w:val="35"/>
    <w:unhideWhenUsed/>
    <w:qFormat/>
    <w:rsid w:val="008C588C"/>
    <w:pPr>
      <w:spacing w:after="200" w:line="240" w:lineRule="auto"/>
    </w:pPr>
    <w:rPr>
      <w:i/>
      <w:iCs/>
      <w:color w:val="44546A" w:themeColor="text2"/>
      <w:sz w:val="18"/>
      <w:szCs w:val="18"/>
    </w:rPr>
  </w:style>
  <w:style w:type="paragraph" w:customStyle="1" w:styleId="Ttulo10">
    <w:name w:val="Título 10"/>
    <w:basedOn w:val="Ttulo9"/>
    <w:link w:val="Ttulo10Car"/>
    <w:qFormat/>
    <w:rsid w:val="008C588C"/>
    <w:pPr>
      <w:ind w:left="1276"/>
    </w:pPr>
    <w:rPr>
      <w:w w:val="97"/>
      <w:sz w:val="20"/>
    </w:rPr>
  </w:style>
  <w:style w:type="character" w:customStyle="1" w:styleId="Ttulo10Car">
    <w:name w:val="Título 10 Car"/>
    <w:basedOn w:val="Ttulo9Car"/>
    <w:link w:val="Ttulo10"/>
    <w:rsid w:val="008C588C"/>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8C588C"/>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character" w:styleId="Refdecomentario">
    <w:name w:val="annotation reference"/>
    <w:basedOn w:val="Fuentedeprrafopredeter"/>
    <w:uiPriority w:val="99"/>
    <w:semiHidden/>
    <w:unhideWhenUsed/>
    <w:rsid w:val="00E03C13"/>
    <w:rPr>
      <w:sz w:val="16"/>
      <w:szCs w:val="16"/>
    </w:rPr>
  </w:style>
  <w:style w:type="paragraph" w:styleId="Textocomentario">
    <w:name w:val="annotation text"/>
    <w:basedOn w:val="Normal"/>
    <w:link w:val="TextocomentarioCar"/>
    <w:uiPriority w:val="99"/>
    <w:unhideWhenUsed/>
    <w:rsid w:val="00E03C13"/>
    <w:pPr>
      <w:spacing w:line="240" w:lineRule="auto"/>
    </w:pPr>
    <w:rPr>
      <w:sz w:val="20"/>
      <w:szCs w:val="20"/>
    </w:rPr>
  </w:style>
  <w:style w:type="character" w:customStyle="1" w:styleId="TextocomentarioCar">
    <w:name w:val="Texto comentario Car"/>
    <w:basedOn w:val="Fuentedeprrafopredeter"/>
    <w:link w:val="Textocomentario"/>
    <w:uiPriority w:val="99"/>
    <w:rsid w:val="00E03C13"/>
    <w:rPr>
      <w:rFonts w:ascii="Palatino Linotype" w:hAnsi="Palatino Linotype"/>
      <w:sz w:val="20"/>
      <w:szCs w:val="20"/>
      <w:lang w:val="es-ES"/>
    </w:rPr>
  </w:style>
  <w:style w:type="paragraph" w:styleId="Asuntodelcomentario">
    <w:name w:val="annotation subject"/>
    <w:basedOn w:val="Textocomentario"/>
    <w:next w:val="Textocomentario"/>
    <w:link w:val="AsuntodelcomentarioCar"/>
    <w:uiPriority w:val="99"/>
    <w:semiHidden/>
    <w:unhideWhenUsed/>
    <w:rsid w:val="00E03C13"/>
    <w:rPr>
      <w:b/>
      <w:bCs/>
    </w:rPr>
  </w:style>
  <w:style w:type="character" w:customStyle="1" w:styleId="AsuntodelcomentarioCar">
    <w:name w:val="Asunto del comentario Car"/>
    <w:basedOn w:val="TextocomentarioCar"/>
    <w:link w:val="Asuntodelcomentario"/>
    <w:uiPriority w:val="99"/>
    <w:semiHidden/>
    <w:rsid w:val="00E03C13"/>
    <w:rPr>
      <w:rFonts w:ascii="Palatino Linotype" w:hAnsi="Palatino Linotype"/>
      <w:b/>
      <w:bCs/>
      <w:sz w:val="20"/>
      <w:szCs w:val="20"/>
      <w:lang w:val="es-ES"/>
    </w:rPr>
  </w:style>
  <w:style w:type="paragraph" w:customStyle="1" w:styleId="Nivel8">
    <w:name w:val="Nivel 8"/>
    <w:basedOn w:val="Nivel7"/>
    <w:link w:val="Nivel8Car"/>
    <w:qFormat/>
    <w:rsid w:val="008C588C"/>
    <w:pPr>
      <w:numPr>
        <w:ilvl w:val="7"/>
      </w:numPr>
      <w:ind w:left="3005" w:hanging="170"/>
    </w:pPr>
  </w:style>
  <w:style w:type="character" w:customStyle="1" w:styleId="Nivel8Car">
    <w:name w:val="Nivel 8 Car"/>
    <w:basedOn w:val="Nivel7Car"/>
    <w:link w:val="Nivel8"/>
    <w:rsid w:val="008C588C"/>
    <w:rPr>
      <w:rFonts w:ascii="Palatino Linotype" w:hAnsi="Palatino Linotype"/>
      <w:lang w:val="es-ES"/>
    </w:rPr>
  </w:style>
  <w:style w:type="paragraph" w:customStyle="1" w:styleId="Advertencia">
    <w:name w:val="Advertencia"/>
    <w:basedOn w:val="Normal"/>
    <w:next w:val="Normal"/>
    <w:link w:val="AdvertenciaCar"/>
    <w:qFormat/>
    <w:rsid w:val="008C588C"/>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8C588C"/>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8C588C"/>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C588C"/>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8C58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294109">
      <w:bodyDiv w:val="1"/>
      <w:marLeft w:val="0"/>
      <w:marRight w:val="0"/>
      <w:marTop w:val="0"/>
      <w:marBottom w:val="0"/>
      <w:divBdr>
        <w:top w:val="none" w:sz="0" w:space="0" w:color="auto"/>
        <w:left w:val="none" w:sz="0" w:space="0" w:color="auto"/>
        <w:bottom w:val="none" w:sz="0" w:space="0" w:color="auto"/>
        <w:right w:val="none" w:sz="0" w:space="0" w:color="auto"/>
      </w:divBdr>
      <w:divsChild>
        <w:div w:id="1071080095">
          <w:marLeft w:val="480"/>
          <w:marRight w:val="0"/>
          <w:marTop w:val="0"/>
          <w:marBottom w:val="0"/>
          <w:divBdr>
            <w:top w:val="none" w:sz="0" w:space="0" w:color="auto"/>
            <w:left w:val="none" w:sz="0" w:space="0" w:color="auto"/>
            <w:bottom w:val="none" w:sz="0" w:space="0" w:color="auto"/>
            <w:right w:val="none" w:sz="0" w:space="0" w:color="auto"/>
          </w:divBdr>
          <w:divsChild>
            <w:div w:id="120278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79525">
      <w:bodyDiv w:val="1"/>
      <w:marLeft w:val="0"/>
      <w:marRight w:val="0"/>
      <w:marTop w:val="0"/>
      <w:marBottom w:val="0"/>
      <w:divBdr>
        <w:top w:val="none" w:sz="0" w:space="0" w:color="auto"/>
        <w:left w:val="none" w:sz="0" w:space="0" w:color="auto"/>
        <w:bottom w:val="none" w:sz="0" w:space="0" w:color="auto"/>
        <w:right w:val="none" w:sz="0" w:space="0" w:color="auto"/>
      </w:divBdr>
      <w:divsChild>
        <w:div w:id="886641886">
          <w:marLeft w:val="480"/>
          <w:marRight w:val="0"/>
          <w:marTop w:val="0"/>
          <w:marBottom w:val="0"/>
          <w:divBdr>
            <w:top w:val="none" w:sz="0" w:space="0" w:color="auto"/>
            <w:left w:val="none" w:sz="0" w:space="0" w:color="auto"/>
            <w:bottom w:val="none" w:sz="0" w:space="0" w:color="auto"/>
            <w:right w:val="none" w:sz="0" w:space="0" w:color="auto"/>
          </w:divBdr>
          <w:divsChild>
            <w:div w:id="211347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07649">
      <w:bodyDiv w:val="1"/>
      <w:marLeft w:val="0"/>
      <w:marRight w:val="0"/>
      <w:marTop w:val="0"/>
      <w:marBottom w:val="0"/>
      <w:divBdr>
        <w:top w:val="none" w:sz="0" w:space="0" w:color="auto"/>
        <w:left w:val="none" w:sz="0" w:space="0" w:color="auto"/>
        <w:bottom w:val="none" w:sz="0" w:space="0" w:color="auto"/>
        <w:right w:val="none" w:sz="0" w:space="0" w:color="auto"/>
      </w:divBdr>
    </w:div>
    <w:div w:id="985621057">
      <w:bodyDiv w:val="1"/>
      <w:marLeft w:val="0"/>
      <w:marRight w:val="0"/>
      <w:marTop w:val="0"/>
      <w:marBottom w:val="0"/>
      <w:divBdr>
        <w:top w:val="none" w:sz="0" w:space="0" w:color="auto"/>
        <w:left w:val="none" w:sz="0" w:space="0" w:color="auto"/>
        <w:bottom w:val="none" w:sz="0" w:space="0" w:color="auto"/>
        <w:right w:val="none" w:sz="0" w:space="0" w:color="auto"/>
      </w:divBdr>
      <w:divsChild>
        <w:div w:id="1953590865">
          <w:marLeft w:val="480"/>
          <w:marRight w:val="0"/>
          <w:marTop w:val="0"/>
          <w:marBottom w:val="0"/>
          <w:divBdr>
            <w:top w:val="none" w:sz="0" w:space="0" w:color="auto"/>
            <w:left w:val="none" w:sz="0" w:space="0" w:color="auto"/>
            <w:bottom w:val="none" w:sz="0" w:space="0" w:color="auto"/>
            <w:right w:val="none" w:sz="0" w:space="0" w:color="auto"/>
          </w:divBdr>
          <w:divsChild>
            <w:div w:id="19204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710601">
      <w:bodyDiv w:val="1"/>
      <w:marLeft w:val="0"/>
      <w:marRight w:val="0"/>
      <w:marTop w:val="0"/>
      <w:marBottom w:val="0"/>
      <w:divBdr>
        <w:top w:val="none" w:sz="0" w:space="0" w:color="auto"/>
        <w:left w:val="none" w:sz="0" w:space="0" w:color="auto"/>
        <w:bottom w:val="none" w:sz="0" w:space="0" w:color="auto"/>
        <w:right w:val="none" w:sz="0" w:space="0" w:color="auto"/>
      </w:divBdr>
      <w:divsChild>
        <w:div w:id="1519151967">
          <w:marLeft w:val="480"/>
          <w:marRight w:val="0"/>
          <w:marTop w:val="0"/>
          <w:marBottom w:val="0"/>
          <w:divBdr>
            <w:top w:val="none" w:sz="0" w:space="0" w:color="auto"/>
            <w:left w:val="none" w:sz="0" w:space="0" w:color="auto"/>
            <w:bottom w:val="none" w:sz="0" w:space="0" w:color="auto"/>
            <w:right w:val="none" w:sz="0" w:space="0" w:color="auto"/>
          </w:divBdr>
          <w:divsChild>
            <w:div w:id="84628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070571">
      <w:bodyDiv w:val="1"/>
      <w:marLeft w:val="0"/>
      <w:marRight w:val="0"/>
      <w:marTop w:val="0"/>
      <w:marBottom w:val="0"/>
      <w:divBdr>
        <w:top w:val="none" w:sz="0" w:space="0" w:color="auto"/>
        <w:left w:val="none" w:sz="0" w:space="0" w:color="auto"/>
        <w:bottom w:val="none" w:sz="0" w:space="0" w:color="auto"/>
        <w:right w:val="none" w:sz="0" w:space="0" w:color="auto"/>
      </w:divBdr>
    </w:div>
    <w:div w:id="1610502799">
      <w:bodyDiv w:val="1"/>
      <w:marLeft w:val="0"/>
      <w:marRight w:val="0"/>
      <w:marTop w:val="0"/>
      <w:marBottom w:val="0"/>
      <w:divBdr>
        <w:top w:val="none" w:sz="0" w:space="0" w:color="auto"/>
        <w:left w:val="none" w:sz="0" w:space="0" w:color="auto"/>
        <w:bottom w:val="none" w:sz="0" w:space="0" w:color="auto"/>
        <w:right w:val="none" w:sz="0" w:space="0" w:color="auto"/>
      </w:divBdr>
      <w:divsChild>
        <w:div w:id="351998096">
          <w:marLeft w:val="480"/>
          <w:marRight w:val="0"/>
          <w:marTop w:val="0"/>
          <w:marBottom w:val="0"/>
          <w:divBdr>
            <w:top w:val="none" w:sz="0" w:space="0" w:color="auto"/>
            <w:left w:val="none" w:sz="0" w:space="0" w:color="auto"/>
            <w:bottom w:val="none" w:sz="0" w:space="0" w:color="auto"/>
            <w:right w:val="none" w:sz="0" w:space="0" w:color="auto"/>
          </w:divBdr>
          <w:divsChild>
            <w:div w:id="57247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598434">
      <w:bodyDiv w:val="1"/>
      <w:marLeft w:val="0"/>
      <w:marRight w:val="0"/>
      <w:marTop w:val="0"/>
      <w:marBottom w:val="0"/>
      <w:divBdr>
        <w:top w:val="none" w:sz="0" w:space="0" w:color="auto"/>
        <w:left w:val="none" w:sz="0" w:space="0" w:color="auto"/>
        <w:bottom w:val="none" w:sz="0" w:space="0" w:color="auto"/>
        <w:right w:val="none" w:sz="0" w:space="0" w:color="auto"/>
      </w:divBdr>
      <w:divsChild>
        <w:div w:id="1496534013">
          <w:marLeft w:val="300"/>
          <w:marRight w:val="300"/>
          <w:marTop w:val="300"/>
          <w:marBottom w:val="300"/>
          <w:divBdr>
            <w:top w:val="none" w:sz="0" w:space="0" w:color="auto"/>
            <w:left w:val="none" w:sz="0" w:space="0" w:color="auto"/>
            <w:bottom w:val="none" w:sz="0" w:space="0" w:color="auto"/>
            <w:right w:val="none" w:sz="0" w:space="0" w:color="auto"/>
          </w:divBdr>
        </w:div>
      </w:divsChild>
    </w:div>
    <w:div w:id="2134211209">
      <w:bodyDiv w:val="1"/>
      <w:marLeft w:val="0"/>
      <w:marRight w:val="0"/>
      <w:marTop w:val="0"/>
      <w:marBottom w:val="0"/>
      <w:divBdr>
        <w:top w:val="none" w:sz="0" w:space="0" w:color="auto"/>
        <w:left w:val="none" w:sz="0" w:space="0" w:color="auto"/>
        <w:bottom w:val="none" w:sz="0" w:space="0" w:color="auto"/>
        <w:right w:val="none" w:sz="0" w:space="0" w:color="auto"/>
      </w:divBdr>
      <w:divsChild>
        <w:div w:id="675690406">
          <w:marLeft w:val="480"/>
          <w:marRight w:val="0"/>
          <w:marTop w:val="0"/>
          <w:marBottom w:val="0"/>
          <w:divBdr>
            <w:top w:val="none" w:sz="0" w:space="0" w:color="auto"/>
            <w:left w:val="none" w:sz="0" w:space="0" w:color="auto"/>
            <w:bottom w:val="none" w:sz="0" w:space="0" w:color="auto"/>
            <w:right w:val="none" w:sz="0" w:space="0" w:color="auto"/>
          </w:divBdr>
          <w:divsChild>
            <w:div w:id="211000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hyperlink" Target="https://www.nber.org/papers/w11341" TargetMode="External"/><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header" Target="header2.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epr.org/voxeu/columns/inflation-targeting-vs-price-level-targeting-new-survey-theory-and-empirics" TargetMode="External"/><Relationship Id="rId29" Type="http://schemas.openxmlformats.org/officeDocument/2006/relationships/image" Target="media/image20.png"/><Relationship Id="rId11" Type="http://schemas.openxmlformats.org/officeDocument/2006/relationships/hyperlink" Target="https://www.bde.es/f/webbe/SES/Secciones/Publicaciones/PublicacionesAnuales/InformesAnuales/22/Fich/InfAnual_2022.pdf" TargetMode="Externa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diagramQuickStyle" Target="diagrams/quickStyle1.xml"/><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hyperlink" Target="https://www.khanacademy.org/economics-finance-domain/core-finance/money-and-banking/federal-reserve/v/quantitative-easing?modal=1" TargetMode="External"/><Relationship Id="rId58" Type="http://schemas.openxmlformats.org/officeDocument/2006/relationships/image" Target="media/image38.png"/><Relationship Id="rId66"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hyperlink" Target="https://www.ecb.europa.eu/mopo/intro/transmission/html/index.en.html" TargetMode="External"/><Relationship Id="rId19" Type="http://schemas.openxmlformats.org/officeDocument/2006/relationships/image" Target="media/image11.emf"/><Relationship Id="rId14" Type="http://schemas.openxmlformats.org/officeDocument/2006/relationships/image" Target="media/image4.jp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diagramData" Target="diagrams/data1.xml"/><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37.png"/><Relationship Id="rId64" Type="http://schemas.openxmlformats.org/officeDocument/2006/relationships/footer" Target="footer1.xml"/><Relationship Id="rId69" Type="http://schemas.openxmlformats.org/officeDocument/2006/relationships/glossaryDocument" Target="glossary/document.xml"/><Relationship Id="rId8" Type="http://schemas.openxmlformats.org/officeDocument/2006/relationships/image" Target="media/image1.png"/><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image" Target="media/image2.jpg"/><Relationship Id="rId17" Type="http://schemas.openxmlformats.org/officeDocument/2006/relationships/image" Target="media/image9.jpg"/><Relationship Id="rId25" Type="http://schemas.openxmlformats.org/officeDocument/2006/relationships/image" Target="media/image16.png"/><Relationship Id="rId33" Type="http://schemas.openxmlformats.org/officeDocument/2006/relationships/hyperlink" Target="https://www.ecb.europa.eu/pub/economic-bulletin/articles/2018/html/ecb.ebart201806_01.en.html" TargetMode="External"/><Relationship Id="rId38" Type="http://schemas.openxmlformats.org/officeDocument/2006/relationships/diagramColors" Target="diagrams/colors1.xml"/><Relationship Id="rId46" Type="http://schemas.openxmlformats.org/officeDocument/2006/relationships/image" Target="media/image30.png"/><Relationship Id="rId59" Type="http://schemas.openxmlformats.org/officeDocument/2006/relationships/image" Target="media/image39.png"/><Relationship Id="rId67" Type="http://schemas.openxmlformats.org/officeDocument/2006/relationships/footer" Target="footer3.xml"/><Relationship Id="rId20" Type="http://schemas.openxmlformats.org/officeDocument/2006/relationships/image" Target="media/image12.emf"/><Relationship Id="rId41" Type="http://schemas.openxmlformats.org/officeDocument/2006/relationships/image" Target="media/image25.png"/><Relationship Id="rId54" Type="http://schemas.openxmlformats.org/officeDocument/2006/relationships/hyperlink" Target="https://www.khanacademy.org/economics-finance-domain/core-finance/money-and-banking/federal-reserve/v/more-on-quantitative-easing-and-credit-easing" TargetMode="External"/><Relationship Id="rId62" Type="http://schemas.openxmlformats.org/officeDocument/2006/relationships/header" Target="header1.xm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diagramLayout" Target="diagrams/layout1.xml"/><Relationship Id="rId49" Type="http://schemas.openxmlformats.org/officeDocument/2006/relationships/image" Target="media/image33.png"/><Relationship Id="rId57" Type="http://schemas.openxmlformats.org/officeDocument/2006/relationships/hyperlink" Target="https://voxeu.org/article/helicopter-money-time-now" TargetMode="External"/><Relationship Id="rId10" Type="http://schemas.openxmlformats.org/officeDocument/2006/relationships/hyperlink" Target="https://economia3.com/banco-central-europeo/" TargetMode="External"/><Relationship Id="rId31" Type="http://schemas.openxmlformats.org/officeDocument/2006/relationships/image" Target="media/image22.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hyperlink" Target="https://www.ecb.europa.eu/ecb/tasks/monpol/html/index.es.html" TargetMode="External"/><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ecb.europa.eu/home/search/review/html/price-stability-objective.es.html" TargetMode="External"/><Relationship Id="rId13" Type="http://schemas.openxmlformats.org/officeDocument/2006/relationships/image" Target="media/image3.png"/><Relationship Id="rId18" Type="http://schemas.openxmlformats.org/officeDocument/2006/relationships/image" Target="media/image10.emf"/><Relationship Id="rId39" Type="http://schemas.microsoft.com/office/2007/relationships/diagramDrawing" Target="diagrams/drawing1.xml"/><Relationship Id="rId34" Type="http://schemas.openxmlformats.org/officeDocument/2006/relationships/hyperlink" Target="https://www.ecb.europa.eu/mopo/intro/transmission/html/index.en.html" TargetMode="External"/><Relationship Id="rId50" Type="http://schemas.openxmlformats.org/officeDocument/2006/relationships/image" Target="media/image34.png"/><Relationship Id="rId55" Type="http://schemas.openxmlformats.org/officeDocument/2006/relationships/hyperlink" Target="https://www.khanacademy.org/economics-finance-domain/core-finance/money-and-banking/federal-reserve/v/us-and-japanese-quantitative-easing"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piie.com/blogs/realtime-economics/secular-stagnation-not-over" TargetMode="External"/><Relationship Id="rId2" Type="http://schemas.openxmlformats.org/officeDocument/2006/relationships/image" Target="media/image5.png"/><Relationship Id="rId1" Type="http://schemas.openxmlformats.org/officeDocument/2006/relationships/hyperlink" Target="https://www.ine.es/jaxiT3/Datos.htm?t=50934" TargetMode="External"/><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hyperlink" Target="https://www.piie.com/blogs/realtime-economic-issues-watch/why-low-interest-rates-force-us-revisit-scope-and-role-fisc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2CEA1A2-4A91-49B9-91DF-BC4F7DAB613C}"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DDF99349-C341-46AD-A3C0-74AE2867E00F}">
      <dgm:prSet phldrT="[Text]"/>
      <dgm:spPr>
        <a:solidFill>
          <a:schemeClr val="accent6">
            <a:lumMod val="20000"/>
            <a:lumOff val="80000"/>
          </a:schemeClr>
        </a:solidFill>
      </dgm:spPr>
      <dgm:t>
        <a:bodyPr/>
        <a:lstStyle/>
        <a:p>
          <a:r>
            <a:rPr lang="en-GB" b="1">
              <a:solidFill>
                <a:srgbClr val="5F2987"/>
              </a:solidFill>
              <a:latin typeface="Garamond" panose="02020404030301010803" pitchFamily="18" charset="0"/>
            </a:rPr>
            <a:t>Efectos tradicionales</a:t>
          </a:r>
          <a:r>
            <a:rPr lang="en-GB">
              <a:solidFill>
                <a:srgbClr val="5F2987"/>
              </a:solidFill>
              <a:latin typeface="Garamond" panose="02020404030301010803" pitchFamily="18" charset="0"/>
            </a:rPr>
            <a:t>:</a:t>
          </a:r>
        </a:p>
        <a:p>
          <a:r>
            <a:rPr lang="en-GB">
              <a:solidFill>
                <a:srgbClr val="5F2987"/>
              </a:solidFill>
              <a:latin typeface="Garamond" panose="02020404030301010803" pitchFamily="18" charset="0"/>
            </a:rPr>
            <a:t>tasa de interés</a:t>
          </a:r>
        </a:p>
      </dgm:t>
    </dgm:pt>
    <dgm:pt modelId="{9220B513-A9A6-41D7-BA51-23239D181538}" type="parTrans" cxnId="{582CD1A7-0748-47BE-AC30-6E29D144E03A}">
      <dgm:prSet/>
      <dgm:spPr/>
      <dgm:t>
        <a:bodyPr/>
        <a:lstStyle/>
        <a:p>
          <a:endParaRPr lang="en-GB">
            <a:solidFill>
              <a:srgbClr val="5F2987"/>
            </a:solidFill>
            <a:latin typeface="Garamond" panose="02020404030301010803" pitchFamily="18" charset="0"/>
          </a:endParaRPr>
        </a:p>
      </dgm:t>
    </dgm:pt>
    <dgm:pt modelId="{874BA2F0-803D-4055-A316-62958DDADB75}" type="sibTrans" cxnId="{582CD1A7-0748-47BE-AC30-6E29D144E03A}">
      <dgm:prSet/>
      <dgm:spPr/>
      <dgm:t>
        <a:bodyPr/>
        <a:lstStyle/>
        <a:p>
          <a:endParaRPr lang="en-GB">
            <a:solidFill>
              <a:srgbClr val="5F2987"/>
            </a:solidFill>
            <a:latin typeface="Garamond" panose="02020404030301010803" pitchFamily="18" charset="0"/>
          </a:endParaRPr>
        </a:p>
      </dgm:t>
    </dgm:pt>
    <dgm:pt modelId="{B95ED43A-B281-49CB-8233-D8C7DB1FA4F4}">
      <dgm:prSet phldrT="[Text]"/>
      <dgm:spPr>
        <a:solidFill>
          <a:schemeClr val="accent6">
            <a:lumMod val="20000"/>
            <a:lumOff val="80000"/>
          </a:schemeClr>
        </a:solidFill>
      </dgm:spPr>
      <dgm:t>
        <a:bodyPr/>
        <a:lstStyle/>
        <a:p>
          <a:r>
            <a:rPr lang="en-GB">
              <a:solidFill>
                <a:srgbClr val="5F2987"/>
              </a:solidFill>
              <a:latin typeface="Garamond" panose="02020404030301010803" pitchFamily="18" charset="0"/>
            </a:rPr>
            <a:t>Operan a través de los </a:t>
          </a:r>
          <a:r>
            <a:rPr lang="en-GB" b="1">
              <a:solidFill>
                <a:srgbClr val="5F2987"/>
              </a:solidFill>
              <a:latin typeface="Garamond" panose="02020404030301010803" pitchFamily="18" charset="0"/>
            </a:rPr>
            <a:t>precios de activos distintos a los tipos de interés</a:t>
          </a:r>
        </a:p>
      </dgm:t>
    </dgm:pt>
    <dgm:pt modelId="{B83F180E-D65C-48FA-9FFB-AF4F7397CFEA}" type="parTrans" cxnId="{1AF8D63C-0D1C-4BF2-854D-2F6FCE94BE2F}">
      <dgm:prSet/>
      <dgm:spPr>
        <a:ln>
          <a:solidFill>
            <a:srgbClr val="5F2987"/>
          </a:solidFill>
        </a:ln>
      </dgm:spPr>
      <dgm:t>
        <a:bodyPr/>
        <a:lstStyle/>
        <a:p>
          <a:endParaRPr lang="en-GB">
            <a:solidFill>
              <a:srgbClr val="5F2987"/>
            </a:solidFill>
            <a:latin typeface="Garamond" panose="02020404030301010803" pitchFamily="18" charset="0"/>
          </a:endParaRPr>
        </a:p>
      </dgm:t>
    </dgm:pt>
    <dgm:pt modelId="{A9D271D8-C0B5-4A64-AF23-34351CDB9919}" type="sibTrans" cxnId="{1AF8D63C-0D1C-4BF2-854D-2F6FCE94BE2F}">
      <dgm:prSet/>
      <dgm:spPr/>
      <dgm:t>
        <a:bodyPr/>
        <a:lstStyle/>
        <a:p>
          <a:endParaRPr lang="en-GB">
            <a:solidFill>
              <a:srgbClr val="5F2987"/>
            </a:solidFill>
            <a:latin typeface="Garamond" panose="02020404030301010803" pitchFamily="18" charset="0"/>
          </a:endParaRPr>
        </a:p>
      </dgm:t>
    </dgm:pt>
    <dgm:pt modelId="{EE0DFDD3-459F-460C-ACFD-5A2F3840520E}">
      <dgm:prSet phldrT="[Text]"/>
      <dgm:spPr>
        <a:solidFill>
          <a:schemeClr val="accent6">
            <a:lumMod val="20000"/>
            <a:lumOff val="80000"/>
          </a:schemeClr>
        </a:solidFill>
      </dgm:spPr>
      <dgm:t>
        <a:bodyPr/>
        <a:lstStyle/>
        <a:p>
          <a:r>
            <a:rPr lang="en-GB">
              <a:solidFill>
                <a:srgbClr val="5F2987"/>
              </a:solidFill>
              <a:latin typeface="Garamond" panose="02020404030301010803" pitchFamily="18" charset="0"/>
            </a:rPr>
            <a:t>Tipos de cambio</a:t>
          </a:r>
        </a:p>
      </dgm:t>
    </dgm:pt>
    <dgm:pt modelId="{D6B1A571-3C93-45BD-A1B7-44981235AABF}" type="parTrans" cxnId="{AB0D2283-A10E-47D3-A071-C982746B049C}">
      <dgm:prSet/>
      <dgm:spPr>
        <a:ln>
          <a:solidFill>
            <a:srgbClr val="5F2987"/>
          </a:solidFill>
        </a:ln>
      </dgm:spPr>
      <dgm:t>
        <a:bodyPr/>
        <a:lstStyle/>
        <a:p>
          <a:endParaRPr lang="en-GB">
            <a:solidFill>
              <a:srgbClr val="5F2987"/>
            </a:solidFill>
            <a:latin typeface="Garamond" panose="02020404030301010803" pitchFamily="18" charset="0"/>
          </a:endParaRPr>
        </a:p>
      </dgm:t>
    </dgm:pt>
    <dgm:pt modelId="{70CCECFC-7821-4715-AEF0-F77A7B3E9270}" type="sibTrans" cxnId="{AB0D2283-A10E-47D3-A071-C982746B049C}">
      <dgm:prSet/>
      <dgm:spPr/>
      <dgm:t>
        <a:bodyPr/>
        <a:lstStyle/>
        <a:p>
          <a:endParaRPr lang="en-GB">
            <a:solidFill>
              <a:srgbClr val="5F2987"/>
            </a:solidFill>
            <a:latin typeface="Garamond" panose="02020404030301010803" pitchFamily="18" charset="0"/>
          </a:endParaRPr>
        </a:p>
      </dgm:t>
    </dgm:pt>
    <dgm:pt modelId="{C54A0284-536A-47F2-A1D6-BC939FE53276}">
      <dgm:prSet phldrT="[Text]"/>
      <dgm:spPr>
        <a:solidFill>
          <a:schemeClr val="accent6">
            <a:lumMod val="20000"/>
            <a:lumOff val="80000"/>
          </a:schemeClr>
        </a:solidFill>
      </dgm:spPr>
      <dgm:t>
        <a:bodyPr/>
        <a:lstStyle/>
        <a:p>
          <a:r>
            <a:rPr lang="en-GB">
              <a:solidFill>
                <a:srgbClr val="5F2987"/>
              </a:solidFill>
              <a:latin typeface="Garamond" panose="02020404030301010803" pitchFamily="18" charset="0"/>
            </a:rPr>
            <a:t>Precio de las participaciones (acciones)</a:t>
          </a:r>
        </a:p>
      </dgm:t>
    </dgm:pt>
    <dgm:pt modelId="{9405C311-9F8A-4AFD-8394-E90EE3A28346}" type="parTrans" cxnId="{B7A8E148-7F2E-4633-9B62-1BAD9C8B0D49}">
      <dgm:prSet/>
      <dgm:spPr>
        <a:ln>
          <a:solidFill>
            <a:srgbClr val="5F2987"/>
          </a:solidFill>
        </a:ln>
      </dgm:spPr>
      <dgm:t>
        <a:bodyPr/>
        <a:lstStyle/>
        <a:p>
          <a:endParaRPr lang="en-GB">
            <a:solidFill>
              <a:srgbClr val="5F2987"/>
            </a:solidFill>
            <a:latin typeface="Garamond" panose="02020404030301010803" pitchFamily="18" charset="0"/>
          </a:endParaRPr>
        </a:p>
      </dgm:t>
    </dgm:pt>
    <dgm:pt modelId="{E9433DA5-D306-4767-9FD3-DAE4CE967CDF}" type="sibTrans" cxnId="{B7A8E148-7F2E-4633-9B62-1BAD9C8B0D49}">
      <dgm:prSet/>
      <dgm:spPr/>
      <dgm:t>
        <a:bodyPr/>
        <a:lstStyle/>
        <a:p>
          <a:endParaRPr lang="en-GB">
            <a:solidFill>
              <a:srgbClr val="5F2987"/>
            </a:solidFill>
            <a:latin typeface="Garamond" panose="02020404030301010803" pitchFamily="18" charset="0"/>
          </a:endParaRPr>
        </a:p>
      </dgm:t>
    </dgm:pt>
    <dgm:pt modelId="{5C392167-16B9-48FF-B2F8-C07827D3CC02}">
      <dgm:prSet phldrT="[Text]"/>
      <dgm:spPr>
        <a:solidFill>
          <a:schemeClr val="accent6">
            <a:lumMod val="20000"/>
            <a:lumOff val="80000"/>
          </a:schemeClr>
        </a:solidFill>
      </dgm:spPr>
      <dgm:t>
        <a:bodyPr/>
        <a:lstStyle/>
        <a:p>
          <a:pPr>
            <a:spcAft>
              <a:spcPts val="0"/>
            </a:spcAft>
          </a:pPr>
          <a:r>
            <a:rPr lang="en-GB">
              <a:solidFill>
                <a:srgbClr val="5F2987"/>
              </a:solidFill>
              <a:latin typeface="Garamond" panose="02020404030301010803" pitchFamily="18" charset="0"/>
            </a:rPr>
            <a:t>Operan a través de los efectos de información asimétrica sobre los mercados de crédito</a:t>
          </a:r>
        </a:p>
        <a:p>
          <a:pPr>
            <a:spcAft>
              <a:spcPts val="0"/>
            </a:spcAft>
          </a:pPr>
          <a:r>
            <a:rPr lang="en-GB">
              <a:solidFill>
                <a:srgbClr val="5F2987"/>
              </a:solidFill>
              <a:latin typeface="Garamond" panose="02020404030301010803" pitchFamily="18" charset="0"/>
            </a:rPr>
            <a:t>(</a:t>
          </a:r>
          <a:r>
            <a:rPr lang="en-GB" b="1">
              <a:solidFill>
                <a:srgbClr val="5F2987"/>
              </a:solidFill>
              <a:latin typeface="Garamond" panose="02020404030301010803" pitchFamily="18" charset="0"/>
            </a:rPr>
            <a:t>Visión de crédito</a:t>
          </a:r>
          <a:r>
            <a:rPr lang="en-GB">
              <a:solidFill>
                <a:srgbClr val="5F2987"/>
              </a:solidFill>
              <a:latin typeface="Garamond" panose="02020404030301010803" pitchFamily="18" charset="0"/>
            </a:rPr>
            <a:t>)</a:t>
          </a:r>
        </a:p>
      </dgm:t>
    </dgm:pt>
    <dgm:pt modelId="{796FF78F-2EBE-4F3C-9313-315EC636A6FF}" type="parTrans" cxnId="{0CA53A63-B459-4A3F-AEA7-EFD4FEE5377A}">
      <dgm:prSet/>
      <dgm:spPr>
        <a:ln>
          <a:solidFill>
            <a:srgbClr val="5F2987"/>
          </a:solidFill>
        </a:ln>
      </dgm:spPr>
      <dgm:t>
        <a:bodyPr/>
        <a:lstStyle/>
        <a:p>
          <a:endParaRPr lang="en-GB">
            <a:solidFill>
              <a:srgbClr val="5F2987"/>
            </a:solidFill>
            <a:latin typeface="Garamond" panose="02020404030301010803" pitchFamily="18" charset="0"/>
          </a:endParaRPr>
        </a:p>
      </dgm:t>
    </dgm:pt>
    <dgm:pt modelId="{52646D6E-DD05-406F-87CA-F8FF8B2949FC}" type="sibTrans" cxnId="{0CA53A63-B459-4A3F-AEA7-EFD4FEE5377A}">
      <dgm:prSet/>
      <dgm:spPr/>
      <dgm:t>
        <a:bodyPr/>
        <a:lstStyle/>
        <a:p>
          <a:endParaRPr lang="en-GB">
            <a:solidFill>
              <a:srgbClr val="5F2987"/>
            </a:solidFill>
            <a:latin typeface="Garamond" panose="02020404030301010803" pitchFamily="18" charset="0"/>
          </a:endParaRPr>
        </a:p>
      </dgm:t>
    </dgm:pt>
    <dgm:pt modelId="{E9DA873D-F469-4E82-8BD0-BAB8A1C20AE6}">
      <dgm:prSet phldrT="[Text]"/>
      <dgm:spPr>
        <a:solidFill>
          <a:schemeClr val="accent6">
            <a:lumMod val="20000"/>
            <a:lumOff val="80000"/>
          </a:schemeClr>
        </a:solidFill>
      </dgm:spPr>
      <dgm:t>
        <a:bodyPr/>
        <a:lstStyle/>
        <a:p>
          <a:pPr>
            <a:spcAft>
              <a:spcPts val="0"/>
            </a:spcAft>
          </a:pPr>
          <a:r>
            <a:rPr lang="en-GB">
              <a:solidFill>
                <a:srgbClr val="5F2987"/>
              </a:solidFill>
              <a:latin typeface="Garamond" panose="02020404030301010803" pitchFamily="18" charset="0"/>
            </a:rPr>
            <a:t>Efectos de riqueza</a:t>
          </a:r>
        </a:p>
        <a:p>
          <a:pPr>
            <a:spcAft>
              <a:spcPct val="35000"/>
            </a:spcAft>
          </a:pPr>
          <a:r>
            <a:rPr lang="en-GB" cap="small" baseline="0">
              <a:solidFill>
                <a:srgbClr val="5F2987"/>
              </a:solidFill>
              <a:latin typeface="Garamond" panose="02020404030301010803" pitchFamily="18" charset="0"/>
            </a:rPr>
            <a:t>(Franco Modigliani)</a:t>
          </a:r>
        </a:p>
      </dgm:t>
    </dgm:pt>
    <dgm:pt modelId="{6A0D0259-D3DC-482C-BA68-252286F4D354}" type="parTrans" cxnId="{7FBBF794-E628-44A4-A811-94CBEC6964E4}">
      <dgm:prSet/>
      <dgm:spPr>
        <a:ln>
          <a:solidFill>
            <a:srgbClr val="5F2987"/>
          </a:solidFill>
        </a:ln>
      </dgm:spPr>
      <dgm:t>
        <a:bodyPr/>
        <a:lstStyle/>
        <a:p>
          <a:endParaRPr lang="en-GB">
            <a:solidFill>
              <a:srgbClr val="5F2987"/>
            </a:solidFill>
          </a:endParaRPr>
        </a:p>
      </dgm:t>
    </dgm:pt>
    <dgm:pt modelId="{DFDA6AD7-7ECB-4105-BAF7-FC9A049BA9D4}" type="sibTrans" cxnId="{7FBBF794-E628-44A4-A811-94CBEC6964E4}">
      <dgm:prSet/>
      <dgm:spPr/>
      <dgm:t>
        <a:bodyPr/>
        <a:lstStyle/>
        <a:p>
          <a:endParaRPr lang="en-GB">
            <a:solidFill>
              <a:srgbClr val="5F2987"/>
            </a:solidFill>
          </a:endParaRPr>
        </a:p>
      </dgm:t>
    </dgm:pt>
    <dgm:pt modelId="{8CDFB1B8-244C-426A-A4B7-943308797262}">
      <dgm:prSet phldrT="[Text]"/>
      <dgm:spPr>
        <a:solidFill>
          <a:schemeClr val="accent6">
            <a:lumMod val="20000"/>
            <a:lumOff val="80000"/>
          </a:schemeClr>
        </a:solidFill>
      </dgm:spPr>
      <dgm:t>
        <a:bodyPr/>
        <a:lstStyle/>
        <a:p>
          <a:r>
            <a:rPr lang="en-GB">
              <a:solidFill>
                <a:srgbClr val="5F2987"/>
              </a:solidFill>
              <a:latin typeface="Garamond" panose="02020404030301010803" pitchFamily="18" charset="0"/>
            </a:rPr>
            <a:t>Teoría de la </a:t>
          </a:r>
          <a:r>
            <a:rPr lang="en-GB" i="1">
              <a:solidFill>
                <a:srgbClr val="5F2987"/>
              </a:solidFill>
              <a:latin typeface="Garamond" panose="02020404030301010803" pitchFamily="18" charset="0"/>
            </a:rPr>
            <a:t>q</a:t>
          </a:r>
          <a:r>
            <a:rPr lang="en-GB" i="0">
              <a:solidFill>
                <a:srgbClr val="5F2987"/>
              </a:solidFill>
              <a:latin typeface="Garamond" panose="02020404030301010803" pitchFamily="18" charset="0"/>
            </a:rPr>
            <a:t> de </a:t>
          </a:r>
          <a:r>
            <a:rPr lang="en-GB" i="0" cap="small" baseline="0">
              <a:solidFill>
                <a:srgbClr val="5F2987"/>
              </a:solidFill>
              <a:latin typeface="Garamond" panose="02020404030301010803" pitchFamily="18" charset="0"/>
            </a:rPr>
            <a:t>Tobin</a:t>
          </a:r>
          <a:endParaRPr lang="en-GB" cap="small" baseline="0">
            <a:solidFill>
              <a:srgbClr val="5F2987"/>
            </a:solidFill>
            <a:latin typeface="Garamond" panose="02020404030301010803" pitchFamily="18" charset="0"/>
          </a:endParaRPr>
        </a:p>
      </dgm:t>
    </dgm:pt>
    <dgm:pt modelId="{09BA0509-60CE-4475-842A-CA7BFD27B44E}" type="parTrans" cxnId="{6A6ACCA6-FDA7-48C0-97BD-599F5BD0593A}">
      <dgm:prSet/>
      <dgm:spPr>
        <a:ln>
          <a:solidFill>
            <a:srgbClr val="5F2987"/>
          </a:solidFill>
        </a:ln>
      </dgm:spPr>
      <dgm:t>
        <a:bodyPr/>
        <a:lstStyle/>
        <a:p>
          <a:endParaRPr lang="en-GB">
            <a:solidFill>
              <a:srgbClr val="5F2987"/>
            </a:solidFill>
          </a:endParaRPr>
        </a:p>
      </dgm:t>
    </dgm:pt>
    <dgm:pt modelId="{AD991874-5C8E-49A6-BF4A-CAE91D32508F}" type="sibTrans" cxnId="{6A6ACCA6-FDA7-48C0-97BD-599F5BD0593A}">
      <dgm:prSet/>
      <dgm:spPr/>
      <dgm:t>
        <a:bodyPr/>
        <a:lstStyle/>
        <a:p>
          <a:endParaRPr lang="en-GB">
            <a:solidFill>
              <a:srgbClr val="5F2987"/>
            </a:solidFill>
          </a:endParaRPr>
        </a:p>
      </dgm:t>
    </dgm:pt>
    <dgm:pt modelId="{A2664C75-2C3C-4E8A-BD1E-6939942187E1}">
      <dgm:prSet phldrT="[Text]"/>
      <dgm:spPr>
        <a:solidFill>
          <a:schemeClr val="accent6">
            <a:lumMod val="20000"/>
            <a:lumOff val="80000"/>
          </a:schemeClr>
        </a:solidFill>
      </dgm:spPr>
      <dgm:t>
        <a:bodyPr/>
        <a:lstStyle/>
        <a:p>
          <a:pPr>
            <a:spcAft>
              <a:spcPts val="0"/>
            </a:spcAft>
          </a:pPr>
          <a:r>
            <a:rPr lang="en-GB">
              <a:solidFill>
                <a:srgbClr val="5F2987"/>
              </a:solidFill>
              <a:latin typeface="Garamond" panose="02020404030301010803" pitchFamily="18" charset="0"/>
            </a:rPr>
            <a:t>Operan a través de efectos sobre el préstamo bancario</a:t>
          </a:r>
        </a:p>
      </dgm:t>
    </dgm:pt>
    <dgm:pt modelId="{7E2C0435-927A-437E-B405-5C983C66A1B5}" type="parTrans" cxnId="{83BEF0E2-4C74-4A5D-B4EF-2FF77FC4047B}">
      <dgm:prSet/>
      <dgm:spPr>
        <a:ln>
          <a:solidFill>
            <a:srgbClr val="5F2987"/>
          </a:solidFill>
        </a:ln>
      </dgm:spPr>
      <dgm:t>
        <a:bodyPr/>
        <a:lstStyle/>
        <a:p>
          <a:endParaRPr lang="en-GB"/>
        </a:p>
      </dgm:t>
    </dgm:pt>
    <dgm:pt modelId="{030030C1-E4E7-410E-86C3-4135506C4DEC}" type="sibTrans" cxnId="{83BEF0E2-4C74-4A5D-B4EF-2FF77FC4047B}">
      <dgm:prSet/>
      <dgm:spPr/>
      <dgm:t>
        <a:bodyPr/>
        <a:lstStyle/>
        <a:p>
          <a:endParaRPr lang="en-GB"/>
        </a:p>
      </dgm:t>
    </dgm:pt>
    <dgm:pt modelId="{410AFA8D-8066-4A51-9781-EEA9579A6B32}">
      <dgm:prSet phldrT="[Text]"/>
      <dgm:spPr>
        <a:solidFill>
          <a:schemeClr val="accent6">
            <a:lumMod val="20000"/>
            <a:lumOff val="80000"/>
          </a:schemeClr>
        </a:solidFill>
      </dgm:spPr>
      <dgm:t>
        <a:bodyPr/>
        <a:lstStyle/>
        <a:p>
          <a:pPr>
            <a:spcAft>
              <a:spcPts val="0"/>
            </a:spcAft>
          </a:pPr>
          <a:r>
            <a:rPr lang="en-GB">
              <a:solidFill>
                <a:srgbClr val="5F2987"/>
              </a:solidFill>
              <a:latin typeface="Garamond" panose="02020404030301010803" pitchFamily="18" charset="0"/>
            </a:rPr>
            <a:t>Operan mediante efectos sobre los balances generales de empresas e individuos</a:t>
          </a:r>
        </a:p>
      </dgm:t>
    </dgm:pt>
    <dgm:pt modelId="{2602F42B-9D04-4C1F-B529-76AB1DA98308}" type="parTrans" cxnId="{A7447B3B-366F-401E-93E6-6868DD2D80A0}">
      <dgm:prSet/>
      <dgm:spPr>
        <a:ln>
          <a:solidFill>
            <a:srgbClr val="5F2987"/>
          </a:solidFill>
        </a:ln>
      </dgm:spPr>
      <dgm:t>
        <a:bodyPr/>
        <a:lstStyle/>
        <a:p>
          <a:endParaRPr lang="en-GB"/>
        </a:p>
      </dgm:t>
    </dgm:pt>
    <dgm:pt modelId="{9E140D7A-41FC-4329-8385-766294A76051}" type="sibTrans" cxnId="{A7447B3B-366F-401E-93E6-6868DD2D80A0}">
      <dgm:prSet/>
      <dgm:spPr/>
      <dgm:t>
        <a:bodyPr/>
        <a:lstStyle/>
        <a:p>
          <a:endParaRPr lang="en-GB"/>
        </a:p>
      </dgm:t>
    </dgm:pt>
    <dgm:pt modelId="{D3EA9007-76DA-4AB2-8F44-C5F42EC36C1C}">
      <dgm:prSet phldrT="[Text]"/>
      <dgm:spPr>
        <a:solidFill>
          <a:schemeClr val="accent6">
            <a:lumMod val="20000"/>
            <a:lumOff val="80000"/>
          </a:schemeClr>
        </a:solidFill>
      </dgm:spPr>
      <dgm:t>
        <a:bodyPr/>
        <a:lstStyle/>
        <a:p>
          <a:pPr>
            <a:spcAft>
              <a:spcPts val="0"/>
            </a:spcAft>
          </a:pPr>
          <a:r>
            <a:rPr lang="en-GB">
              <a:solidFill>
                <a:srgbClr val="5F2987"/>
              </a:solidFill>
              <a:latin typeface="Garamond" panose="02020404030301010803" pitchFamily="18" charset="0"/>
            </a:rPr>
            <a:t>Canal de balance general</a:t>
          </a:r>
        </a:p>
      </dgm:t>
    </dgm:pt>
    <dgm:pt modelId="{B4B0BB5D-A9B3-4021-A87D-88E3515848E4}" type="parTrans" cxnId="{6F979FCD-A91E-4E1B-93B7-6F0A4135B503}">
      <dgm:prSet/>
      <dgm:spPr>
        <a:ln>
          <a:solidFill>
            <a:srgbClr val="5F2987"/>
          </a:solidFill>
        </a:ln>
      </dgm:spPr>
      <dgm:t>
        <a:bodyPr/>
        <a:lstStyle/>
        <a:p>
          <a:endParaRPr lang="en-GB"/>
        </a:p>
      </dgm:t>
    </dgm:pt>
    <dgm:pt modelId="{D7028E79-E87B-4D1D-A47A-7860C04CF952}" type="sibTrans" cxnId="{6F979FCD-A91E-4E1B-93B7-6F0A4135B503}">
      <dgm:prSet/>
      <dgm:spPr/>
      <dgm:t>
        <a:bodyPr/>
        <a:lstStyle/>
        <a:p>
          <a:endParaRPr lang="en-GB"/>
        </a:p>
      </dgm:t>
    </dgm:pt>
    <dgm:pt modelId="{E8A263BF-5A0C-475A-8F56-C67C90AED720}">
      <dgm:prSet phldrT="[Text]"/>
      <dgm:spPr>
        <a:solidFill>
          <a:schemeClr val="accent6">
            <a:lumMod val="20000"/>
            <a:lumOff val="80000"/>
          </a:schemeClr>
        </a:solidFill>
      </dgm:spPr>
      <dgm:t>
        <a:bodyPr/>
        <a:lstStyle/>
        <a:p>
          <a:pPr>
            <a:spcAft>
              <a:spcPts val="0"/>
            </a:spcAft>
          </a:pPr>
          <a:r>
            <a:rPr lang="en-GB">
              <a:solidFill>
                <a:srgbClr val="5F2987"/>
              </a:solidFill>
              <a:latin typeface="Garamond" panose="02020404030301010803" pitchFamily="18" charset="0"/>
            </a:rPr>
            <a:t>Canal de flujo de efectivo</a:t>
          </a:r>
        </a:p>
      </dgm:t>
    </dgm:pt>
    <dgm:pt modelId="{B09A5081-2E5B-4A64-B7B2-BEB28538C64E}" type="parTrans" cxnId="{A8F45BE2-4EFD-48F4-8755-5E653AF7709F}">
      <dgm:prSet/>
      <dgm:spPr>
        <a:ln>
          <a:solidFill>
            <a:srgbClr val="5F2987"/>
          </a:solidFill>
        </a:ln>
      </dgm:spPr>
      <dgm:t>
        <a:bodyPr/>
        <a:lstStyle/>
        <a:p>
          <a:endParaRPr lang="en-GB"/>
        </a:p>
      </dgm:t>
    </dgm:pt>
    <dgm:pt modelId="{04D8B37B-A8A7-4FC2-8F4B-8CDEF022505F}" type="sibTrans" cxnId="{A8F45BE2-4EFD-48F4-8755-5E653AF7709F}">
      <dgm:prSet/>
      <dgm:spPr/>
      <dgm:t>
        <a:bodyPr/>
        <a:lstStyle/>
        <a:p>
          <a:endParaRPr lang="en-GB"/>
        </a:p>
      </dgm:t>
    </dgm:pt>
    <dgm:pt modelId="{1F411B20-AC3E-4A84-AEBE-5A4B6BCAD864}">
      <dgm:prSet phldrT="[Text]"/>
      <dgm:spPr>
        <a:solidFill>
          <a:schemeClr val="accent6">
            <a:lumMod val="20000"/>
            <a:lumOff val="80000"/>
          </a:schemeClr>
        </a:solidFill>
      </dgm:spPr>
      <dgm:t>
        <a:bodyPr/>
        <a:lstStyle/>
        <a:p>
          <a:pPr>
            <a:spcAft>
              <a:spcPts val="0"/>
            </a:spcAft>
          </a:pPr>
          <a:r>
            <a:rPr lang="en-GB">
              <a:solidFill>
                <a:srgbClr val="5F2987"/>
              </a:solidFill>
              <a:latin typeface="Garamond" panose="02020404030301010803" pitchFamily="18" charset="0"/>
            </a:rPr>
            <a:t>Canal de nivel de precios no anticipado</a:t>
          </a:r>
        </a:p>
      </dgm:t>
    </dgm:pt>
    <dgm:pt modelId="{1F239848-9BDB-4080-9DEF-AB63E264867F}" type="parTrans" cxnId="{44BB42AA-DA53-4DA8-A877-DEE6CF2F704C}">
      <dgm:prSet/>
      <dgm:spPr>
        <a:ln>
          <a:solidFill>
            <a:srgbClr val="5F2987"/>
          </a:solidFill>
        </a:ln>
      </dgm:spPr>
      <dgm:t>
        <a:bodyPr/>
        <a:lstStyle/>
        <a:p>
          <a:endParaRPr lang="en-GB"/>
        </a:p>
      </dgm:t>
    </dgm:pt>
    <dgm:pt modelId="{596E961F-E52D-4514-99B2-FBDF64ADDFDE}" type="sibTrans" cxnId="{44BB42AA-DA53-4DA8-A877-DEE6CF2F704C}">
      <dgm:prSet/>
      <dgm:spPr/>
      <dgm:t>
        <a:bodyPr/>
        <a:lstStyle/>
        <a:p>
          <a:endParaRPr lang="en-GB"/>
        </a:p>
      </dgm:t>
    </dgm:pt>
    <dgm:pt modelId="{6E23738D-2D17-4F59-98E7-F281A8ADB68B}">
      <dgm:prSet phldrT="[Text]"/>
      <dgm:spPr>
        <a:solidFill>
          <a:schemeClr val="accent6">
            <a:lumMod val="20000"/>
            <a:lumOff val="80000"/>
          </a:schemeClr>
        </a:solidFill>
      </dgm:spPr>
      <dgm:t>
        <a:bodyPr/>
        <a:lstStyle/>
        <a:p>
          <a:pPr>
            <a:spcAft>
              <a:spcPts val="0"/>
            </a:spcAft>
          </a:pPr>
          <a:r>
            <a:rPr lang="en-GB">
              <a:solidFill>
                <a:srgbClr val="5F2987"/>
              </a:solidFill>
              <a:latin typeface="Garamond" panose="02020404030301010803" pitchFamily="18" charset="0"/>
            </a:rPr>
            <a:t>Canal de préstamos bancarios</a:t>
          </a:r>
        </a:p>
      </dgm:t>
    </dgm:pt>
    <dgm:pt modelId="{71BE6FA3-1F8E-4428-B3AD-F295D108E817}" type="parTrans" cxnId="{BCA275DE-5FEA-4731-AAA9-8468F89BCC9B}">
      <dgm:prSet/>
      <dgm:spPr>
        <a:ln>
          <a:solidFill>
            <a:srgbClr val="5F2987"/>
          </a:solidFill>
        </a:ln>
      </dgm:spPr>
      <dgm:t>
        <a:bodyPr/>
        <a:lstStyle/>
        <a:p>
          <a:endParaRPr lang="en-GB"/>
        </a:p>
      </dgm:t>
    </dgm:pt>
    <dgm:pt modelId="{8C4DF538-4B30-4F5D-AD35-DAEF1E533ED0}" type="sibTrans" cxnId="{BCA275DE-5FEA-4731-AAA9-8468F89BCC9B}">
      <dgm:prSet/>
      <dgm:spPr/>
      <dgm:t>
        <a:bodyPr/>
        <a:lstStyle/>
        <a:p>
          <a:endParaRPr lang="en-GB"/>
        </a:p>
      </dgm:t>
    </dgm:pt>
    <dgm:pt modelId="{8F6ADF83-E361-4CCF-A2C0-C47D47D30540}" type="pres">
      <dgm:prSet presAssocID="{72CEA1A2-4A91-49B9-91DF-BC4F7DAB613C}" presName="diagram" presStyleCnt="0">
        <dgm:presLayoutVars>
          <dgm:chPref val="1"/>
          <dgm:dir/>
          <dgm:animOne val="branch"/>
          <dgm:animLvl val="lvl"/>
          <dgm:resizeHandles val="exact"/>
        </dgm:presLayoutVars>
      </dgm:prSet>
      <dgm:spPr/>
    </dgm:pt>
    <dgm:pt modelId="{ACF4B65B-3A23-4E4D-8D49-6EBB77F8D55A}" type="pres">
      <dgm:prSet presAssocID="{DDF99349-C341-46AD-A3C0-74AE2867E00F}" presName="root1" presStyleCnt="0"/>
      <dgm:spPr/>
    </dgm:pt>
    <dgm:pt modelId="{5585CC54-32CC-4BFD-B8D5-27FF147F9922}" type="pres">
      <dgm:prSet presAssocID="{DDF99349-C341-46AD-A3C0-74AE2867E00F}" presName="LevelOneTextNode" presStyleLbl="node0" presStyleIdx="0" presStyleCnt="1">
        <dgm:presLayoutVars>
          <dgm:chPref val="3"/>
        </dgm:presLayoutVars>
      </dgm:prSet>
      <dgm:spPr/>
    </dgm:pt>
    <dgm:pt modelId="{FFD2B037-6A47-4F2E-B423-C253F141BE23}" type="pres">
      <dgm:prSet presAssocID="{DDF99349-C341-46AD-A3C0-74AE2867E00F}" presName="level2hierChild" presStyleCnt="0"/>
      <dgm:spPr/>
    </dgm:pt>
    <dgm:pt modelId="{F3A0F08B-8FAD-4290-ADCF-C3DE364C3FCA}" type="pres">
      <dgm:prSet presAssocID="{B83F180E-D65C-48FA-9FFB-AF4F7397CFEA}" presName="conn2-1" presStyleLbl="parChTrans1D2" presStyleIdx="0" presStyleCnt="2"/>
      <dgm:spPr/>
    </dgm:pt>
    <dgm:pt modelId="{412C483F-85F6-4B45-899E-89B8F3345F6A}" type="pres">
      <dgm:prSet presAssocID="{B83F180E-D65C-48FA-9FFB-AF4F7397CFEA}" presName="connTx" presStyleLbl="parChTrans1D2" presStyleIdx="0" presStyleCnt="2"/>
      <dgm:spPr/>
    </dgm:pt>
    <dgm:pt modelId="{DE4CA1C9-72B6-481F-A20A-00E3F128A822}" type="pres">
      <dgm:prSet presAssocID="{B95ED43A-B281-49CB-8233-D8C7DB1FA4F4}" presName="root2" presStyleCnt="0"/>
      <dgm:spPr/>
    </dgm:pt>
    <dgm:pt modelId="{7E1678F0-395F-480F-B905-FD1C96818AA4}" type="pres">
      <dgm:prSet presAssocID="{B95ED43A-B281-49CB-8233-D8C7DB1FA4F4}" presName="LevelTwoTextNode" presStyleLbl="node2" presStyleIdx="0" presStyleCnt="2">
        <dgm:presLayoutVars>
          <dgm:chPref val="3"/>
        </dgm:presLayoutVars>
      </dgm:prSet>
      <dgm:spPr/>
    </dgm:pt>
    <dgm:pt modelId="{94C12255-7FC9-4229-9616-862F1C0CF8F2}" type="pres">
      <dgm:prSet presAssocID="{B95ED43A-B281-49CB-8233-D8C7DB1FA4F4}" presName="level3hierChild" presStyleCnt="0"/>
      <dgm:spPr/>
    </dgm:pt>
    <dgm:pt modelId="{4895A53E-4CAF-4659-88A4-59D7042F0A6C}" type="pres">
      <dgm:prSet presAssocID="{D6B1A571-3C93-45BD-A1B7-44981235AABF}" presName="conn2-1" presStyleLbl="parChTrans1D3" presStyleIdx="0" presStyleCnt="4"/>
      <dgm:spPr/>
    </dgm:pt>
    <dgm:pt modelId="{AE51133F-71DD-40FD-8606-8C4A4B131DAD}" type="pres">
      <dgm:prSet presAssocID="{D6B1A571-3C93-45BD-A1B7-44981235AABF}" presName="connTx" presStyleLbl="parChTrans1D3" presStyleIdx="0" presStyleCnt="4"/>
      <dgm:spPr/>
    </dgm:pt>
    <dgm:pt modelId="{2AB50FF2-F827-4537-AE1E-EAF1EB8BD18F}" type="pres">
      <dgm:prSet presAssocID="{EE0DFDD3-459F-460C-ACFD-5A2F3840520E}" presName="root2" presStyleCnt="0"/>
      <dgm:spPr/>
    </dgm:pt>
    <dgm:pt modelId="{28A898C8-B00D-4222-867D-0CF3CD43FD0E}" type="pres">
      <dgm:prSet presAssocID="{EE0DFDD3-459F-460C-ACFD-5A2F3840520E}" presName="LevelTwoTextNode" presStyleLbl="node3" presStyleIdx="0" presStyleCnt="4">
        <dgm:presLayoutVars>
          <dgm:chPref val="3"/>
        </dgm:presLayoutVars>
      </dgm:prSet>
      <dgm:spPr/>
    </dgm:pt>
    <dgm:pt modelId="{CBB2589D-39BD-49B9-8574-CCA7B49CD964}" type="pres">
      <dgm:prSet presAssocID="{EE0DFDD3-459F-460C-ACFD-5A2F3840520E}" presName="level3hierChild" presStyleCnt="0"/>
      <dgm:spPr/>
    </dgm:pt>
    <dgm:pt modelId="{F0847327-FBEC-4289-B77E-C6033C92953F}" type="pres">
      <dgm:prSet presAssocID="{9405C311-9F8A-4AFD-8394-E90EE3A28346}" presName="conn2-1" presStyleLbl="parChTrans1D3" presStyleIdx="1" presStyleCnt="4"/>
      <dgm:spPr/>
    </dgm:pt>
    <dgm:pt modelId="{FA716B09-70DE-4437-A070-59D47882027E}" type="pres">
      <dgm:prSet presAssocID="{9405C311-9F8A-4AFD-8394-E90EE3A28346}" presName="connTx" presStyleLbl="parChTrans1D3" presStyleIdx="1" presStyleCnt="4"/>
      <dgm:spPr/>
    </dgm:pt>
    <dgm:pt modelId="{1ECE0910-D88A-45DC-89DF-A9612E3AFCA8}" type="pres">
      <dgm:prSet presAssocID="{C54A0284-536A-47F2-A1D6-BC939FE53276}" presName="root2" presStyleCnt="0"/>
      <dgm:spPr/>
    </dgm:pt>
    <dgm:pt modelId="{8815CF40-1FB9-4CFA-92CD-EE24CD158296}" type="pres">
      <dgm:prSet presAssocID="{C54A0284-536A-47F2-A1D6-BC939FE53276}" presName="LevelTwoTextNode" presStyleLbl="node3" presStyleIdx="1" presStyleCnt="4">
        <dgm:presLayoutVars>
          <dgm:chPref val="3"/>
        </dgm:presLayoutVars>
      </dgm:prSet>
      <dgm:spPr/>
    </dgm:pt>
    <dgm:pt modelId="{18F40706-FEA4-471D-B42F-9F2138DAF461}" type="pres">
      <dgm:prSet presAssocID="{C54A0284-536A-47F2-A1D6-BC939FE53276}" presName="level3hierChild" presStyleCnt="0"/>
      <dgm:spPr/>
    </dgm:pt>
    <dgm:pt modelId="{D612D5D8-00D1-4C01-8949-B345AFADCB7C}" type="pres">
      <dgm:prSet presAssocID="{09BA0509-60CE-4475-842A-CA7BFD27B44E}" presName="conn2-1" presStyleLbl="parChTrans1D4" presStyleIdx="0" presStyleCnt="6"/>
      <dgm:spPr/>
    </dgm:pt>
    <dgm:pt modelId="{7598B6D5-DB6E-4109-A116-ABB9746D6494}" type="pres">
      <dgm:prSet presAssocID="{09BA0509-60CE-4475-842A-CA7BFD27B44E}" presName="connTx" presStyleLbl="parChTrans1D4" presStyleIdx="0" presStyleCnt="6"/>
      <dgm:spPr/>
    </dgm:pt>
    <dgm:pt modelId="{1AAF714A-DA8A-4F1B-A513-518A8D78AF07}" type="pres">
      <dgm:prSet presAssocID="{8CDFB1B8-244C-426A-A4B7-943308797262}" presName="root2" presStyleCnt="0"/>
      <dgm:spPr/>
    </dgm:pt>
    <dgm:pt modelId="{4677F528-4B7F-4F42-8C19-C895E45AB33E}" type="pres">
      <dgm:prSet presAssocID="{8CDFB1B8-244C-426A-A4B7-943308797262}" presName="LevelTwoTextNode" presStyleLbl="node4" presStyleIdx="0" presStyleCnt="6" custScaleY="64327">
        <dgm:presLayoutVars>
          <dgm:chPref val="3"/>
        </dgm:presLayoutVars>
      </dgm:prSet>
      <dgm:spPr/>
    </dgm:pt>
    <dgm:pt modelId="{962BDF15-7904-4710-961C-C2722AADE385}" type="pres">
      <dgm:prSet presAssocID="{8CDFB1B8-244C-426A-A4B7-943308797262}" presName="level3hierChild" presStyleCnt="0"/>
      <dgm:spPr/>
    </dgm:pt>
    <dgm:pt modelId="{DD3C8F13-B310-4A40-8074-3794BD353A39}" type="pres">
      <dgm:prSet presAssocID="{6A0D0259-D3DC-482C-BA68-252286F4D354}" presName="conn2-1" presStyleLbl="parChTrans1D4" presStyleIdx="1" presStyleCnt="6"/>
      <dgm:spPr/>
    </dgm:pt>
    <dgm:pt modelId="{C3CAB132-043C-4CC5-8D24-56BB6465D3C8}" type="pres">
      <dgm:prSet presAssocID="{6A0D0259-D3DC-482C-BA68-252286F4D354}" presName="connTx" presStyleLbl="parChTrans1D4" presStyleIdx="1" presStyleCnt="6"/>
      <dgm:spPr/>
    </dgm:pt>
    <dgm:pt modelId="{2D068256-4028-4FD1-962D-FDF0654E91D1}" type="pres">
      <dgm:prSet presAssocID="{E9DA873D-F469-4E82-8BD0-BAB8A1C20AE6}" presName="root2" presStyleCnt="0"/>
      <dgm:spPr/>
    </dgm:pt>
    <dgm:pt modelId="{B78B1DA6-D261-43D0-8B70-65E4673EC47B}" type="pres">
      <dgm:prSet presAssocID="{E9DA873D-F469-4E82-8BD0-BAB8A1C20AE6}" presName="LevelTwoTextNode" presStyleLbl="node4" presStyleIdx="1" presStyleCnt="6" custScaleY="62686">
        <dgm:presLayoutVars>
          <dgm:chPref val="3"/>
        </dgm:presLayoutVars>
      </dgm:prSet>
      <dgm:spPr/>
    </dgm:pt>
    <dgm:pt modelId="{10ADA804-D438-4876-9CB9-7C43011F3149}" type="pres">
      <dgm:prSet presAssocID="{E9DA873D-F469-4E82-8BD0-BAB8A1C20AE6}" presName="level3hierChild" presStyleCnt="0"/>
      <dgm:spPr/>
    </dgm:pt>
    <dgm:pt modelId="{EEF8249B-F350-4D76-BCB2-66A6A854BDE4}" type="pres">
      <dgm:prSet presAssocID="{796FF78F-2EBE-4F3C-9313-315EC636A6FF}" presName="conn2-1" presStyleLbl="parChTrans1D2" presStyleIdx="1" presStyleCnt="2"/>
      <dgm:spPr/>
    </dgm:pt>
    <dgm:pt modelId="{698CE31E-800F-4AFC-AB0B-93091FAEB6F7}" type="pres">
      <dgm:prSet presAssocID="{796FF78F-2EBE-4F3C-9313-315EC636A6FF}" presName="connTx" presStyleLbl="parChTrans1D2" presStyleIdx="1" presStyleCnt="2"/>
      <dgm:spPr/>
    </dgm:pt>
    <dgm:pt modelId="{5366CC13-4A71-4117-977B-0D76DA97C784}" type="pres">
      <dgm:prSet presAssocID="{5C392167-16B9-48FF-B2F8-C07827D3CC02}" presName="root2" presStyleCnt="0"/>
      <dgm:spPr/>
    </dgm:pt>
    <dgm:pt modelId="{214569FE-7DB7-4546-A80A-A263F20854A7}" type="pres">
      <dgm:prSet presAssocID="{5C392167-16B9-48FF-B2F8-C07827D3CC02}" presName="LevelTwoTextNode" presStyleLbl="node2" presStyleIdx="1" presStyleCnt="2">
        <dgm:presLayoutVars>
          <dgm:chPref val="3"/>
        </dgm:presLayoutVars>
      </dgm:prSet>
      <dgm:spPr/>
    </dgm:pt>
    <dgm:pt modelId="{E5A9983C-6171-4468-997B-1A5EBD55E6FA}" type="pres">
      <dgm:prSet presAssocID="{5C392167-16B9-48FF-B2F8-C07827D3CC02}" presName="level3hierChild" presStyleCnt="0"/>
      <dgm:spPr/>
    </dgm:pt>
    <dgm:pt modelId="{BC49BB80-DFF5-4ED7-87A0-5994D7811561}" type="pres">
      <dgm:prSet presAssocID="{7E2C0435-927A-437E-B405-5C983C66A1B5}" presName="conn2-1" presStyleLbl="parChTrans1D3" presStyleIdx="2" presStyleCnt="4"/>
      <dgm:spPr/>
    </dgm:pt>
    <dgm:pt modelId="{1CF64A36-8FE4-48EB-9901-35093C58A0A5}" type="pres">
      <dgm:prSet presAssocID="{7E2C0435-927A-437E-B405-5C983C66A1B5}" presName="connTx" presStyleLbl="parChTrans1D3" presStyleIdx="2" presStyleCnt="4"/>
      <dgm:spPr/>
    </dgm:pt>
    <dgm:pt modelId="{1AED67C7-2F79-42C3-87E2-6A286C48ABF4}" type="pres">
      <dgm:prSet presAssocID="{A2664C75-2C3C-4E8A-BD1E-6939942187E1}" presName="root2" presStyleCnt="0"/>
      <dgm:spPr/>
    </dgm:pt>
    <dgm:pt modelId="{67C843F9-64A5-4474-AA22-963BBCF0D10E}" type="pres">
      <dgm:prSet presAssocID="{A2664C75-2C3C-4E8A-BD1E-6939942187E1}" presName="LevelTwoTextNode" presStyleLbl="node3" presStyleIdx="2" presStyleCnt="4">
        <dgm:presLayoutVars>
          <dgm:chPref val="3"/>
        </dgm:presLayoutVars>
      </dgm:prSet>
      <dgm:spPr/>
    </dgm:pt>
    <dgm:pt modelId="{58A10362-F93F-401F-A2E4-8E96DAB22686}" type="pres">
      <dgm:prSet presAssocID="{A2664C75-2C3C-4E8A-BD1E-6939942187E1}" presName="level3hierChild" presStyleCnt="0"/>
      <dgm:spPr/>
    </dgm:pt>
    <dgm:pt modelId="{25BE5593-53D9-4731-AD90-AA63CFE98091}" type="pres">
      <dgm:prSet presAssocID="{71BE6FA3-1F8E-4428-B3AD-F295D108E817}" presName="conn2-1" presStyleLbl="parChTrans1D4" presStyleIdx="2" presStyleCnt="6"/>
      <dgm:spPr/>
    </dgm:pt>
    <dgm:pt modelId="{DF287267-3C1C-47F3-AF3A-E55D60AD203D}" type="pres">
      <dgm:prSet presAssocID="{71BE6FA3-1F8E-4428-B3AD-F295D108E817}" presName="connTx" presStyleLbl="parChTrans1D4" presStyleIdx="2" presStyleCnt="6"/>
      <dgm:spPr/>
    </dgm:pt>
    <dgm:pt modelId="{4B1A1C31-CA14-4362-8B39-4C2D12E7CB2B}" type="pres">
      <dgm:prSet presAssocID="{6E23738D-2D17-4F59-98E7-F281A8ADB68B}" presName="root2" presStyleCnt="0"/>
      <dgm:spPr/>
    </dgm:pt>
    <dgm:pt modelId="{68C61B09-5712-450E-AD97-1B8A07D96BE6}" type="pres">
      <dgm:prSet presAssocID="{6E23738D-2D17-4F59-98E7-F281A8ADB68B}" presName="LevelTwoTextNode" presStyleLbl="node4" presStyleIdx="2" presStyleCnt="6" custScaleY="48885">
        <dgm:presLayoutVars>
          <dgm:chPref val="3"/>
        </dgm:presLayoutVars>
      </dgm:prSet>
      <dgm:spPr/>
    </dgm:pt>
    <dgm:pt modelId="{3BCD7284-E3E1-41A3-9BF0-4C0C5130B5A0}" type="pres">
      <dgm:prSet presAssocID="{6E23738D-2D17-4F59-98E7-F281A8ADB68B}" presName="level3hierChild" presStyleCnt="0"/>
      <dgm:spPr/>
    </dgm:pt>
    <dgm:pt modelId="{E009940A-254E-4236-B7DC-8BADD5496BED}" type="pres">
      <dgm:prSet presAssocID="{2602F42B-9D04-4C1F-B529-76AB1DA98308}" presName="conn2-1" presStyleLbl="parChTrans1D3" presStyleIdx="3" presStyleCnt="4"/>
      <dgm:spPr/>
    </dgm:pt>
    <dgm:pt modelId="{8338ECD0-6086-4C72-94EC-BA2BC9CA7CAF}" type="pres">
      <dgm:prSet presAssocID="{2602F42B-9D04-4C1F-B529-76AB1DA98308}" presName="connTx" presStyleLbl="parChTrans1D3" presStyleIdx="3" presStyleCnt="4"/>
      <dgm:spPr/>
    </dgm:pt>
    <dgm:pt modelId="{85D3AB74-7E7C-4208-A22F-F0B714419FFC}" type="pres">
      <dgm:prSet presAssocID="{410AFA8D-8066-4A51-9781-EEA9579A6B32}" presName="root2" presStyleCnt="0"/>
      <dgm:spPr/>
    </dgm:pt>
    <dgm:pt modelId="{71F15A22-1B9C-4B59-9B51-FA1E41DC9471}" type="pres">
      <dgm:prSet presAssocID="{410AFA8D-8066-4A51-9781-EEA9579A6B32}" presName="LevelTwoTextNode" presStyleLbl="node3" presStyleIdx="3" presStyleCnt="4">
        <dgm:presLayoutVars>
          <dgm:chPref val="3"/>
        </dgm:presLayoutVars>
      </dgm:prSet>
      <dgm:spPr/>
    </dgm:pt>
    <dgm:pt modelId="{DDC3D360-F992-42E8-8D35-D4E89A459F3E}" type="pres">
      <dgm:prSet presAssocID="{410AFA8D-8066-4A51-9781-EEA9579A6B32}" presName="level3hierChild" presStyleCnt="0"/>
      <dgm:spPr/>
    </dgm:pt>
    <dgm:pt modelId="{7F27A4C4-EA04-4EE0-9664-3347F4A524DF}" type="pres">
      <dgm:prSet presAssocID="{B4B0BB5D-A9B3-4021-A87D-88E3515848E4}" presName="conn2-1" presStyleLbl="parChTrans1D4" presStyleIdx="3" presStyleCnt="6"/>
      <dgm:spPr/>
    </dgm:pt>
    <dgm:pt modelId="{919247C4-318C-4EDB-A43B-F34F8A6C8D16}" type="pres">
      <dgm:prSet presAssocID="{B4B0BB5D-A9B3-4021-A87D-88E3515848E4}" presName="connTx" presStyleLbl="parChTrans1D4" presStyleIdx="3" presStyleCnt="6"/>
      <dgm:spPr/>
    </dgm:pt>
    <dgm:pt modelId="{4BAD019C-6F05-4C0C-9472-83861560E9BA}" type="pres">
      <dgm:prSet presAssocID="{D3EA9007-76DA-4AB2-8F44-C5F42EC36C1C}" presName="root2" presStyleCnt="0"/>
      <dgm:spPr/>
    </dgm:pt>
    <dgm:pt modelId="{0347DE98-0C36-4A45-8F88-51FF23E9CB5D}" type="pres">
      <dgm:prSet presAssocID="{D3EA9007-76DA-4AB2-8F44-C5F42EC36C1C}" presName="LevelTwoTextNode" presStyleLbl="node4" presStyleIdx="3" presStyleCnt="6" custScaleY="48885">
        <dgm:presLayoutVars>
          <dgm:chPref val="3"/>
        </dgm:presLayoutVars>
      </dgm:prSet>
      <dgm:spPr/>
    </dgm:pt>
    <dgm:pt modelId="{7A88993E-0CCF-44A4-8D12-C2BD30C86F03}" type="pres">
      <dgm:prSet presAssocID="{D3EA9007-76DA-4AB2-8F44-C5F42EC36C1C}" presName="level3hierChild" presStyleCnt="0"/>
      <dgm:spPr/>
    </dgm:pt>
    <dgm:pt modelId="{0778EAE4-0BD6-4131-A077-247AA2D5AF8F}" type="pres">
      <dgm:prSet presAssocID="{B09A5081-2E5B-4A64-B7B2-BEB28538C64E}" presName="conn2-1" presStyleLbl="parChTrans1D4" presStyleIdx="4" presStyleCnt="6"/>
      <dgm:spPr/>
    </dgm:pt>
    <dgm:pt modelId="{C4C29D70-BEEE-4A5B-90CA-00F7BB3C51A8}" type="pres">
      <dgm:prSet presAssocID="{B09A5081-2E5B-4A64-B7B2-BEB28538C64E}" presName="connTx" presStyleLbl="parChTrans1D4" presStyleIdx="4" presStyleCnt="6"/>
      <dgm:spPr/>
    </dgm:pt>
    <dgm:pt modelId="{17F488C5-ECEB-4C18-807D-1233DC096121}" type="pres">
      <dgm:prSet presAssocID="{E8A263BF-5A0C-475A-8F56-C67C90AED720}" presName="root2" presStyleCnt="0"/>
      <dgm:spPr/>
    </dgm:pt>
    <dgm:pt modelId="{F027456B-F54A-4F47-911E-BA41F894ADB1}" type="pres">
      <dgm:prSet presAssocID="{E8A263BF-5A0C-475A-8F56-C67C90AED720}" presName="LevelTwoTextNode" presStyleLbl="node4" presStyleIdx="4" presStyleCnt="6" custScaleY="48885">
        <dgm:presLayoutVars>
          <dgm:chPref val="3"/>
        </dgm:presLayoutVars>
      </dgm:prSet>
      <dgm:spPr/>
    </dgm:pt>
    <dgm:pt modelId="{01285818-6844-4ED9-B03C-352784527BBF}" type="pres">
      <dgm:prSet presAssocID="{E8A263BF-5A0C-475A-8F56-C67C90AED720}" presName="level3hierChild" presStyleCnt="0"/>
      <dgm:spPr/>
    </dgm:pt>
    <dgm:pt modelId="{36C479B2-1BC0-46B3-B2A3-52301B159495}" type="pres">
      <dgm:prSet presAssocID="{1F239848-9BDB-4080-9DEF-AB63E264867F}" presName="conn2-1" presStyleLbl="parChTrans1D4" presStyleIdx="5" presStyleCnt="6"/>
      <dgm:spPr/>
    </dgm:pt>
    <dgm:pt modelId="{89BD16D1-0D69-4186-9B46-04606B0BC4E5}" type="pres">
      <dgm:prSet presAssocID="{1F239848-9BDB-4080-9DEF-AB63E264867F}" presName="connTx" presStyleLbl="parChTrans1D4" presStyleIdx="5" presStyleCnt="6"/>
      <dgm:spPr/>
    </dgm:pt>
    <dgm:pt modelId="{8F128A7F-9F6B-462D-8358-1776E5D1C151}" type="pres">
      <dgm:prSet presAssocID="{1F411B20-AC3E-4A84-AEBE-5A4B6BCAD864}" presName="root2" presStyleCnt="0"/>
      <dgm:spPr/>
    </dgm:pt>
    <dgm:pt modelId="{5BADFBD6-B126-408E-8DC3-CFCBE1BAEED9}" type="pres">
      <dgm:prSet presAssocID="{1F411B20-AC3E-4A84-AEBE-5A4B6BCAD864}" presName="LevelTwoTextNode" presStyleLbl="node4" presStyleIdx="5" presStyleCnt="6" custScaleY="48885">
        <dgm:presLayoutVars>
          <dgm:chPref val="3"/>
        </dgm:presLayoutVars>
      </dgm:prSet>
      <dgm:spPr/>
    </dgm:pt>
    <dgm:pt modelId="{A64E8DF1-F769-478E-8EF4-80B882825BE3}" type="pres">
      <dgm:prSet presAssocID="{1F411B20-AC3E-4A84-AEBE-5A4B6BCAD864}" presName="level3hierChild" presStyleCnt="0"/>
      <dgm:spPr/>
    </dgm:pt>
  </dgm:ptLst>
  <dgm:cxnLst>
    <dgm:cxn modelId="{C1DCE604-84B3-45D5-9C17-33C5BF4C7C63}" type="presOf" srcId="{6A0D0259-D3DC-482C-BA68-252286F4D354}" destId="{DD3C8F13-B310-4A40-8074-3794BD353A39}" srcOrd="0" destOrd="0" presId="urn:microsoft.com/office/officeart/2005/8/layout/hierarchy2"/>
    <dgm:cxn modelId="{0CA9850C-154F-4289-9145-35BF71D8CFA0}" type="presOf" srcId="{5C392167-16B9-48FF-B2F8-C07827D3CC02}" destId="{214569FE-7DB7-4546-A80A-A263F20854A7}" srcOrd="0" destOrd="0" presId="urn:microsoft.com/office/officeart/2005/8/layout/hierarchy2"/>
    <dgm:cxn modelId="{4EF32A0E-0578-463A-A7BC-C87AB1E4360F}" type="presOf" srcId="{E8A263BF-5A0C-475A-8F56-C67C90AED720}" destId="{F027456B-F54A-4F47-911E-BA41F894ADB1}" srcOrd="0" destOrd="0" presId="urn:microsoft.com/office/officeart/2005/8/layout/hierarchy2"/>
    <dgm:cxn modelId="{D8183511-3B2B-4D3A-ADDC-E677AE164816}" type="presOf" srcId="{B09A5081-2E5B-4A64-B7B2-BEB28538C64E}" destId="{C4C29D70-BEEE-4A5B-90CA-00F7BB3C51A8}" srcOrd="1" destOrd="0" presId="urn:microsoft.com/office/officeart/2005/8/layout/hierarchy2"/>
    <dgm:cxn modelId="{C63CE522-6106-4C35-B88E-F1D28F377316}" type="presOf" srcId="{796FF78F-2EBE-4F3C-9313-315EC636A6FF}" destId="{698CE31E-800F-4AFC-AB0B-93091FAEB6F7}" srcOrd="1" destOrd="0" presId="urn:microsoft.com/office/officeart/2005/8/layout/hierarchy2"/>
    <dgm:cxn modelId="{DF8B722A-492A-4320-A316-2A0E3BFFD7A6}" type="presOf" srcId="{B09A5081-2E5B-4A64-B7B2-BEB28538C64E}" destId="{0778EAE4-0BD6-4131-A077-247AA2D5AF8F}" srcOrd="0" destOrd="0" presId="urn:microsoft.com/office/officeart/2005/8/layout/hierarchy2"/>
    <dgm:cxn modelId="{A7447B3B-366F-401E-93E6-6868DD2D80A0}" srcId="{5C392167-16B9-48FF-B2F8-C07827D3CC02}" destId="{410AFA8D-8066-4A51-9781-EEA9579A6B32}" srcOrd="1" destOrd="0" parTransId="{2602F42B-9D04-4C1F-B529-76AB1DA98308}" sibTransId="{9E140D7A-41FC-4329-8385-766294A76051}"/>
    <dgm:cxn modelId="{1AF8D63C-0D1C-4BF2-854D-2F6FCE94BE2F}" srcId="{DDF99349-C341-46AD-A3C0-74AE2867E00F}" destId="{B95ED43A-B281-49CB-8233-D8C7DB1FA4F4}" srcOrd="0" destOrd="0" parTransId="{B83F180E-D65C-48FA-9FFB-AF4F7397CFEA}" sibTransId="{A9D271D8-C0B5-4A64-AF23-34351CDB9919}"/>
    <dgm:cxn modelId="{F3CF7D40-F1E3-4485-80A4-1A83D47308E6}" type="presOf" srcId="{D3EA9007-76DA-4AB2-8F44-C5F42EC36C1C}" destId="{0347DE98-0C36-4A45-8F88-51FF23E9CB5D}" srcOrd="0" destOrd="0" presId="urn:microsoft.com/office/officeart/2005/8/layout/hierarchy2"/>
    <dgm:cxn modelId="{9343A75C-EB8A-41DB-AE0D-798CB8E162A1}" type="presOf" srcId="{DDF99349-C341-46AD-A3C0-74AE2867E00F}" destId="{5585CC54-32CC-4BFD-B8D5-27FF147F9922}" srcOrd="0" destOrd="0" presId="urn:microsoft.com/office/officeart/2005/8/layout/hierarchy2"/>
    <dgm:cxn modelId="{A7410960-1D25-4E90-B8C8-4BBCCC79112E}" type="presOf" srcId="{8CDFB1B8-244C-426A-A4B7-943308797262}" destId="{4677F528-4B7F-4F42-8C19-C895E45AB33E}" srcOrd="0" destOrd="0" presId="urn:microsoft.com/office/officeart/2005/8/layout/hierarchy2"/>
    <dgm:cxn modelId="{0CA53A63-B459-4A3F-AEA7-EFD4FEE5377A}" srcId="{DDF99349-C341-46AD-A3C0-74AE2867E00F}" destId="{5C392167-16B9-48FF-B2F8-C07827D3CC02}" srcOrd="1" destOrd="0" parTransId="{796FF78F-2EBE-4F3C-9313-315EC636A6FF}" sibTransId="{52646D6E-DD05-406F-87CA-F8FF8B2949FC}"/>
    <dgm:cxn modelId="{E9317165-6992-4BE4-B2E9-D079D25BAD5C}" type="presOf" srcId="{6E23738D-2D17-4F59-98E7-F281A8ADB68B}" destId="{68C61B09-5712-450E-AD97-1B8A07D96BE6}" srcOrd="0" destOrd="0" presId="urn:microsoft.com/office/officeart/2005/8/layout/hierarchy2"/>
    <dgm:cxn modelId="{B20D9366-1192-4BC1-BA70-A7A54C5EAA1F}" type="presOf" srcId="{C54A0284-536A-47F2-A1D6-BC939FE53276}" destId="{8815CF40-1FB9-4CFA-92CD-EE24CD158296}" srcOrd="0" destOrd="0" presId="urn:microsoft.com/office/officeart/2005/8/layout/hierarchy2"/>
    <dgm:cxn modelId="{B7A8E148-7F2E-4633-9B62-1BAD9C8B0D49}" srcId="{B95ED43A-B281-49CB-8233-D8C7DB1FA4F4}" destId="{C54A0284-536A-47F2-A1D6-BC939FE53276}" srcOrd="1" destOrd="0" parTransId="{9405C311-9F8A-4AFD-8394-E90EE3A28346}" sibTransId="{E9433DA5-D306-4767-9FD3-DAE4CE967CDF}"/>
    <dgm:cxn modelId="{EF12034A-C256-4F64-9B02-B67D3359E1EF}" type="presOf" srcId="{1F411B20-AC3E-4A84-AEBE-5A4B6BCAD864}" destId="{5BADFBD6-B126-408E-8DC3-CFCBE1BAEED9}" srcOrd="0" destOrd="0" presId="urn:microsoft.com/office/officeart/2005/8/layout/hierarchy2"/>
    <dgm:cxn modelId="{61AAA44F-43DC-448D-9B28-6A3EDCEBF763}" type="presOf" srcId="{71BE6FA3-1F8E-4428-B3AD-F295D108E817}" destId="{25BE5593-53D9-4731-AD90-AA63CFE98091}" srcOrd="0" destOrd="0" presId="urn:microsoft.com/office/officeart/2005/8/layout/hierarchy2"/>
    <dgm:cxn modelId="{74C69371-CCCD-4482-B5CB-0903326CB34A}" type="presOf" srcId="{796FF78F-2EBE-4F3C-9313-315EC636A6FF}" destId="{EEF8249B-F350-4D76-BCB2-66A6A854BDE4}" srcOrd="0" destOrd="0" presId="urn:microsoft.com/office/officeart/2005/8/layout/hierarchy2"/>
    <dgm:cxn modelId="{78D45357-BD61-4F1F-82FA-79F779597B5E}" type="presOf" srcId="{E9DA873D-F469-4E82-8BD0-BAB8A1C20AE6}" destId="{B78B1DA6-D261-43D0-8B70-65E4673EC47B}" srcOrd="0" destOrd="0" presId="urn:microsoft.com/office/officeart/2005/8/layout/hierarchy2"/>
    <dgm:cxn modelId="{1DCFF458-3B54-4640-8150-3B6027385164}" type="presOf" srcId="{09BA0509-60CE-4475-842A-CA7BFD27B44E}" destId="{7598B6D5-DB6E-4109-A116-ABB9746D6494}" srcOrd="1" destOrd="0" presId="urn:microsoft.com/office/officeart/2005/8/layout/hierarchy2"/>
    <dgm:cxn modelId="{10D32659-CD5C-435B-ACE7-2A96BC0B3104}" type="presOf" srcId="{410AFA8D-8066-4A51-9781-EEA9579A6B32}" destId="{71F15A22-1B9C-4B59-9B51-FA1E41DC9471}" srcOrd="0" destOrd="0" presId="urn:microsoft.com/office/officeart/2005/8/layout/hierarchy2"/>
    <dgm:cxn modelId="{19A20C7F-82AA-441E-9F8E-CB6BB29DD2CF}" type="presOf" srcId="{B95ED43A-B281-49CB-8233-D8C7DB1FA4F4}" destId="{7E1678F0-395F-480F-B905-FD1C96818AA4}" srcOrd="0" destOrd="0" presId="urn:microsoft.com/office/officeart/2005/8/layout/hierarchy2"/>
    <dgm:cxn modelId="{AB0D2283-A10E-47D3-A071-C982746B049C}" srcId="{B95ED43A-B281-49CB-8233-D8C7DB1FA4F4}" destId="{EE0DFDD3-459F-460C-ACFD-5A2F3840520E}" srcOrd="0" destOrd="0" parTransId="{D6B1A571-3C93-45BD-A1B7-44981235AABF}" sibTransId="{70CCECFC-7821-4715-AEF0-F77A7B3E9270}"/>
    <dgm:cxn modelId="{D130D084-BBB2-46CD-A95E-839883906D1D}" type="presOf" srcId="{B83F180E-D65C-48FA-9FFB-AF4F7397CFEA}" destId="{F3A0F08B-8FAD-4290-ADCF-C3DE364C3FCA}" srcOrd="0" destOrd="0" presId="urn:microsoft.com/office/officeart/2005/8/layout/hierarchy2"/>
    <dgm:cxn modelId="{75477E85-4719-4889-831A-D3C64E0BC595}" type="presOf" srcId="{9405C311-9F8A-4AFD-8394-E90EE3A28346}" destId="{FA716B09-70DE-4437-A070-59D47882027E}" srcOrd="1" destOrd="0" presId="urn:microsoft.com/office/officeart/2005/8/layout/hierarchy2"/>
    <dgm:cxn modelId="{2CE2358B-B485-41E3-918D-103FBD1A8657}" type="presOf" srcId="{B4B0BB5D-A9B3-4021-A87D-88E3515848E4}" destId="{919247C4-318C-4EDB-A43B-F34F8A6C8D16}" srcOrd="1" destOrd="0" presId="urn:microsoft.com/office/officeart/2005/8/layout/hierarchy2"/>
    <dgm:cxn modelId="{7FBBF794-E628-44A4-A811-94CBEC6964E4}" srcId="{C54A0284-536A-47F2-A1D6-BC939FE53276}" destId="{E9DA873D-F469-4E82-8BD0-BAB8A1C20AE6}" srcOrd="1" destOrd="0" parTransId="{6A0D0259-D3DC-482C-BA68-252286F4D354}" sibTransId="{DFDA6AD7-7ECB-4105-BAF7-FC9A049BA9D4}"/>
    <dgm:cxn modelId="{875A5395-750B-442F-9F0F-E8B2DE075D60}" type="presOf" srcId="{B83F180E-D65C-48FA-9FFB-AF4F7397CFEA}" destId="{412C483F-85F6-4B45-899E-89B8F3345F6A}" srcOrd="1" destOrd="0" presId="urn:microsoft.com/office/officeart/2005/8/layout/hierarchy2"/>
    <dgm:cxn modelId="{B7286A98-2021-40DC-AA68-0F0AE479140E}" type="presOf" srcId="{09BA0509-60CE-4475-842A-CA7BFD27B44E}" destId="{D612D5D8-00D1-4C01-8949-B345AFADCB7C}" srcOrd="0" destOrd="0" presId="urn:microsoft.com/office/officeart/2005/8/layout/hierarchy2"/>
    <dgm:cxn modelId="{5227979A-23E2-4506-B281-FBF3440EFD81}" type="presOf" srcId="{B4B0BB5D-A9B3-4021-A87D-88E3515848E4}" destId="{7F27A4C4-EA04-4EE0-9664-3347F4A524DF}" srcOrd="0" destOrd="0" presId="urn:microsoft.com/office/officeart/2005/8/layout/hierarchy2"/>
    <dgm:cxn modelId="{0F20A49E-6059-4607-B804-1E4F76F7FF19}" type="presOf" srcId="{D6B1A571-3C93-45BD-A1B7-44981235AABF}" destId="{4895A53E-4CAF-4659-88A4-59D7042F0A6C}" srcOrd="0" destOrd="0" presId="urn:microsoft.com/office/officeart/2005/8/layout/hierarchy2"/>
    <dgm:cxn modelId="{A50B069F-E8BB-4D23-B332-1C74356626AF}" type="presOf" srcId="{7E2C0435-927A-437E-B405-5C983C66A1B5}" destId="{BC49BB80-DFF5-4ED7-87A0-5994D7811561}" srcOrd="0" destOrd="0" presId="urn:microsoft.com/office/officeart/2005/8/layout/hierarchy2"/>
    <dgm:cxn modelId="{6A6ACCA6-FDA7-48C0-97BD-599F5BD0593A}" srcId="{C54A0284-536A-47F2-A1D6-BC939FE53276}" destId="{8CDFB1B8-244C-426A-A4B7-943308797262}" srcOrd="0" destOrd="0" parTransId="{09BA0509-60CE-4475-842A-CA7BFD27B44E}" sibTransId="{AD991874-5C8E-49A6-BF4A-CAE91D32508F}"/>
    <dgm:cxn modelId="{582CD1A7-0748-47BE-AC30-6E29D144E03A}" srcId="{72CEA1A2-4A91-49B9-91DF-BC4F7DAB613C}" destId="{DDF99349-C341-46AD-A3C0-74AE2867E00F}" srcOrd="0" destOrd="0" parTransId="{9220B513-A9A6-41D7-BA51-23239D181538}" sibTransId="{874BA2F0-803D-4055-A316-62958DDADB75}"/>
    <dgm:cxn modelId="{5AD3D6A8-ECD7-4881-8981-173777566ADD}" type="presOf" srcId="{EE0DFDD3-459F-460C-ACFD-5A2F3840520E}" destId="{28A898C8-B00D-4222-867D-0CF3CD43FD0E}" srcOrd="0" destOrd="0" presId="urn:microsoft.com/office/officeart/2005/8/layout/hierarchy2"/>
    <dgm:cxn modelId="{44BB42AA-DA53-4DA8-A877-DEE6CF2F704C}" srcId="{410AFA8D-8066-4A51-9781-EEA9579A6B32}" destId="{1F411B20-AC3E-4A84-AEBE-5A4B6BCAD864}" srcOrd="2" destOrd="0" parTransId="{1F239848-9BDB-4080-9DEF-AB63E264867F}" sibTransId="{596E961F-E52D-4514-99B2-FBDF64ADDFDE}"/>
    <dgm:cxn modelId="{2D73AAB4-5B07-4996-8D4B-8D9395FBB1C1}" type="presOf" srcId="{2602F42B-9D04-4C1F-B529-76AB1DA98308}" destId="{8338ECD0-6086-4C72-94EC-BA2BC9CA7CAF}" srcOrd="1" destOrd="0" presId="urn:microsoft.com/office/officeart/2005/8/layout/hierarchy2"/>
    <dgm:cxn modelId="{156EF8B7-3883-46B5-8AC2-2FA834D4FC5C}" type="presOf" srcId="{71BE6FA3-1F8E-4428-B3AD-F295D108E817}" destId="{DF287267-3C1C-47F3-AF3A-E55D60AD203D}" srcOrd="1" destOrd="0" presId="urn:microsoft.com/office/officeart/2005/8/layout/hierarchy2"/>
    <dgm:cxn modelId="{751197C0-4245-4AA5-93BE-C429B7AA8B42}" type="presOf" srcId="{9405C311-9F8A-4AFD-8394-E90EE3A28346}" destId="{F0847327-FBEC-4289-B77E-C6033C92953F}" srcOrd="0" destOrd="0" presId="urn:microsoft.com/office/officeart/2005/8/layout/hierarchy2"/>
    <dgm:cxn modelId="{C9ACCAC6-F6F5-43E2-A476-9CE64E842EFC}" type="presOf" srcId="{7E2C0435-927A-437E-B405-5C983C66A1B5}" destId="{1CF64A36-8FE4-48EB-9901-35093C58A0A5}" srcOrd="1" destOrd="0" presId="urn:microsoft.com/office/officeart/2005/8/layout/hierarchy2"/>
    <dgm:cxn modelId="{352387C9-9819-4C7E-9538-A7C4EAF451E3}" type="presOf" srcId="{1F239848-9BDB-4080-9DEF-AB63E264867F}" destId="{36C479B2-1BC0-46B3-B2A3-52301B159495}" srcOrd="0" destOrd="0" presId="urn:microsoft.com/office/officeart/2005/8/layout/hierarchy2"/>
    <dgm:cxn modelId="{6F979FCD-A91E-4E1B-93B7-6F0A4135B503}" srcId="{410AFA8D-8066-4A51-9781-EEA9579A6B32}" destId="{D3EA9007-76DA-4AB2-8F44-C5F42EC36C1C}" srcOrd="0" destOrd="0" parTransId="{B4B0BB5D-A9B3-4021-A87D-88E3515848E4}" sibTransId="{D7028E79-E87B-4D1D-A47A-7860C04CF952}"/>
    <dgm:cxn modelId="{C56C7AD6-C94F-4B12-9E0E-177B7C77A389}" type="presOf" srcId="{A2664C75-2C3C-4E8A-BD1E-6939942187E1}" destId="{67C843F9-64A5-4474-AA22-963BBCF0D10E}" srcOrd="0" destOrd="0" presId="urn:microsoft.com/office/officeart/2005/8/layout/hierarchy2"/>
    <dgm:cxn modelId="{14B04ADD-0240-45A0-BC48-06897657609D}" type="presOf" srcId="{2602F42B-9D04-4C1F-B529-76AB1DA98308}" destId="{E009940A-254E-4236-B7DC-8BADD5496BED}" srcOrd="0" destOrd="0" presId="urn:microsoft.com/office/officeart/2005/8/layout/hierarchy2"/>
    <dgm:cxn modelId="{BCA275DE-5FEA-4731-AAA9-8468F89BCC9B}" srcId="{A2664C75-2C3C-4E8A-BD1E-6939942187E1}" destId="{6E23738D-2D17-4F59-98E7-F281A8ADB68B}" srcOrd="0" destOrd="0" parTransId="{71BE6FA3-1F8E-4428-B3AD-F295D108E817}" sibTransId="{8C4DF538-4B30-4F5D-AD35-DAEF1E533ED0}"/>
    <dgm:cxn modelId="{541341E0-187A-454E-AA69-408FB66B004E}" type="presOf" srcId="{6A0D0259-D3DC-482C-BA68-252286F4D354}" destId="{C3CAB132-043C-4CC5-8D24-56BB6465D3C8}" srcOrd="1" destOrd="0" presId="urn:microsoft.com/office/officeart/2005/8/layout/hierarchy2"/>
    <dgm:cxn modelId="{A8F45BE2-4EFD-48F4-8755-5E653AF7709F}" srcId="{410AFA8D-8066-4A51-9781-EEA9579A6B32}" destId="{E8A263BF-5A0C-475A-8F56-C67C90AED720}" srcOrd="1" destOrd="0" parTransId="{B09A5081-2E5B-4A64-B7B2-BEB28538C64E}" sibTransId="{04D8B37B-A8A7-4FC2-8F4B-8CDEF022505F}"/>
    <dgm:cxn modelId="{83BEF0E2-4C74-4A5D-B4EF-2FF77FC4047B}" srcId="{5C392167-16B9-48FF-B2F8-C07827D3CC02}" destId="{A2664C75-2C3C-4E8A-BD1E-6939942187E1}" srcOrd="0" destOrd="0" parTransId="{7E2C0435-927A-437E-B405-5C983C66A1B5}" sibTransId="{030030C1-E4E7-410E-86C3-4135506C4DEC}"/>
    <dgm:cxn modelId="{25B93AE8-EDD2-4494-BBC0-2DD02D4216A9}" type="presOf" srcId="{1F239848-9BDB-4080-9DEF-AB63E264867F}" destId="{89BD16D1-0D69-4186-9B46-04606B0BC4E5}" srcOrd="1" destOrd="0" presId="urn:microsoft.com/office/officeart/2005/8/layout/hierarchy2"/>
    <dgm:cxn modelId="{C04DC6EA-99FB-473B-8DA3-FFD691B3D6C6}" type="presOf" srcId="{72CEA1A2-4A91-49B9-91DF-BC4F7DAB613C}" destId="{8F6ADF83-E361-4CCF-A2C0-C47D47D30540}" srcOrd="0" destOrd="0" presId="urn:microsoft.com/office/officeart/2005/8/layout/hierarchy2"/>
    <dgm:cxn modelId="{B832E4F3-D479-4AF6-B23D-4A5E3B45603A}" type="presOf" srcId="{D6B1A571-3C93-45BD-A1B7-44981235AABF}" destId="{AE51133F-71DD-40FD-8606-8C4A4B131DAD}" srcOrd="1" destOrd="0" presId="urn:microsoft.com/office/officeart/2005/8/layout/hierarchy2"/>
    <dgm:cxn modelId="{D943E0DB-BDD1-48C1-9029-FD0434E0CA78}" type="presParOf" srcId="{8F6ADF83-E361-4CCF-A2C0-C47D47D30540}" destId="{ACF4B65B-3A23-4E4D-8D49-6EBB77F8D55A}" srcOrd="0" destOrd="0" presId="urn:microsoft.com/office/officeart/2005/8/layout/hierarchy2"/>
    <dgm:cxn modelId="{BDC9F52B-2DB6-4C57-AB4A-E773C3ED0AE2}" type="presParOf" srcId="{ACF4B65B-3A23-4E4D-8D49-6EBB77F8D55A}" destId="{5585CC54-32CC-4BFD-B8D5-27FF147F9922}" srcOrd="0" destOrd="0" presId="urn:microsoft.com/office/officeart/2005/8/layout/hierarchy2"/>
    <dgm:cxn modelId="{5CB8A079-590E-496E-B71A-A222A2A7846C}" type="presParOf" srcId="{ACF4B65B-3A23-4E4D-8D49-6EBB77F8D55A}" destId="{FFD2B037-6A47-4F2E-B423-C253F141BE23}" srcOrd="1" destOrd="0" presId="urn:microsoft.com/office/officeart/2005/8/layout/hierarchy2"/>
    <dgm:cxn modelId="{B1C6CA74-DAC3-45B3-A018-5733ED2DF7B0}" type="presParOf" srcId="{FFD2B037-6A47-4F2E-B423-C253F141BE23}" destId="{F3A0F08B-8FAD-4290-ADCF-C3DE364C3FCA}" srcOrd="0" destOrd="0" presId="urn:microsoft.com/office/officeart/2005/8/layout/hierarchy2"/>
    <dgm:cxn modelId="{C6BBBF86-92B5-4317-833C-FB9449A3F776}" type="presParOf" srcId="{F3A0F08B-8FAD-4290-ADCF-C3DE364C3FCA}" destId="{412C483F-85F6-4B45-899E-89B8F3345F6A}" srcOrd="0" destOrd="0" presId="urn:microsoft.com/office/officeart/2005/8/layout/hierarchy2"/>
    <dgm:cxn modelId="{99AF2E30-04DE-42CB-A9DE-6B7AEEAA876A}" type="presParOf" srcId="{FFD2B037-6A47-4F2E-B423-C253F141BE23}" destId="{DE4CA1C9-72B6-481F-A20A-00E3F128A822}" srcOrd="1" destOrd="0" presId="urn:microsoft.com/office/officeart/2005/8/layout/hierarchy2"/>
    <dgm:cxn modelId="{D73FB86B-C885-40EF-85B8-1363443E1E25}" type="presParOf" srcId="{DE4CA1C9-72B6-481F-A20A-00E3F128A822}" destId="{7E1678F0-395F-480F-B905-FD1C96818AA4}" srcOrd="0" destOrd="0" presId="urn:microsoft.com/office/officeart/2005/8/layout/hierarchy2"/>
    <dgm:cxn modelId="{06B7453A-E9B1-4AAF-9F5F-028E406AA89A}" type="presParOf" srcId="{DE4CA1C9-72B6-481F-A20A-00E3F128A822}" destId="{94C12255-7FC9-4229-9616-862F1C0CF8F2}" srcOrd="1" destOrd="0" presId="urn:microsoft.com/office/officeart/2005/8/layout/hierarchy2"/>
    <dgm:cxn modelId="{C0740B53-728E-464B-B0AE-C691277A9F76}" type="presParOf" srcId="{94C12255-7FC9-4229-9616-862F1C0CF8F2}" destId="{4895A53E-4CAF-4659-88A4-59D7042F0A6C}" srcOrd="0" destOrd="0" presId="urn:microsoft.com/office/officeart/2005/8/layout/hierarchy2"/>
    <dgm:cxn modelId="{A5C25F0D-799B-4AE3-BAEE-43491F543F6C}" type="presParOf" srcId="{4895A53E-4CAF-4659-88A4-59D7042F0A6C}" destId="{AE51133F-71DD-40FD-8606-8C4A4B131DAD}" srcOrd="0" destOrd="0" presId="urn:microsoft.com/office/officeart/2005/8/layout/hierarchy2"/>
    <dgm:cxn modelId="{8C90697D-DA12-466A-B2DA-1BBB62CDBBDE}" type="presParOf" srcId="{94C12255-7FC9-4229-9616-862F1C0CF8F2}" destId="{2AB50FF2-F827-4537-AE1E-EAF1EB8BD18F}" srcOrd="1" destOrd="0" presId="urn:microsoft.com/office/officeart/2005/8/layout/hierarchy2"/>
    <dgm:cxn modelId="{4BB90E33-56C0-4B10-B04A-D5695A8BB63B}" type="presParOf" srcId="{2AB50FF2-F827-4537-AE1E-EAF1EB8BD18F}" destId="{28A898C8-B00D-4222-867D-0CF3CD43FD0E}" srcOrd="0" destOrd="0" presId="urn:microsoft.com/office/officeart/2005/8/layout/hierarchy2"/>
    <dgm:cxn modelId="{1C2A72A3-26D4-419D-B185-FE1BC8D85CAC}" type="presParOf" srcId="{2AB50FF2-F827-4537-AE1E-EAF1EB8BD18F}" destId="{CBB2589D-39BD-49B9-8574-CCA7B49CD964}" srcOrd="1" destOrd="0" presId="urn:microsoft.com/office/officeart/2005/8/layout/hierarchy2"/>
    <dgm:cxn modelId="{1062CEA7-CE15-45FF-9216-4E19099641EF}" type="presParOf" srcId="{94C12255-7FC9-4229-9616-862F1C0CF8F2}" destId="{F0847327-FBEC-4289-B77E-C6033C92953F}" srcOrd="2" destOrd="0" presId="urn:microsoft.com/office/officeart/2005/8/layout/hierarchy2"/>
    <dgm:cxn modelId="{4F389823-6B2C-428D-AB40-0D31233F0A79}" type="presParOf" srcId="{F0847327-FBEC-4289-B77E-C6033C92953F}" destId="{FA716B09-70DE-4437-A070-59D47882027E}" srcOrd="0" destOrd="0" presId="urn:microsoft.com/office/officeart/2005/8/layout/hierarchy2"/>
    <dgm:cxn modelId="{E451FE17-BEDE-4A63-99DB-4D086851A6BA}" type="presParOf" srcId="{94C12255-7FC9-4229-9616-862F1C0CF8F2}" destId="{1ECE0910-D88A-45DC-89DF-A9612E3AFCA8}" srcOrd="3" destOrd="0" presId="urn:microsoft.com/office/officeart/2005/8/layout/hierarchy2"/>
    <dgm:cxn modelId="{10277EB0-6F8F-43B8-93DC-70FC7826A15D}" type="presParOf" srcId="{1ECE0910-D88A-45DC-89DF-A9612E3AFCA8}" destId="{8815CF40-1FB9-4CFA-92CD-EE24CD158296}" srcOrd="0" destOrd="0" presId="urn:microsoft.com/office/officeart/2005/8/layout/hierarchy2"/>
    <dgm:cxn modelId="{9660809D-C01D-4913-8272-B9B1EA9EEA15}" type="presParOf" srcId="{1ECE0910-D88A-45DC-89DF-A9612E3AFCA8}" destId="{18F40706-FEA4-471D-B42F-9F2138DAF461}" srcOrd="1" destOrd="0" presId="urn:microsoft.com/office/officeart/2005/8/layout/hierarchy2"/>
    <dgm:cxn modelId="{6EEEEAAE-27CD-499C-8D77-C5D5048579EF}" type="presParOf" srcId="{18F40706-FEA4-471D-B42F-9F2138DAF461}" destId="{D612D5D8-00D1-4C01-8949-B345AFADCB7C}" srcOrd="0" destOrd="0" presId="urn:microsoft.com/office/officeart/2005/8/layout/hierarchy2"/>
    <dgm:cxn modelId="{BA5A3CB1-3373-4D9B-98BE-49827B1D9932}" type="presParOf" srcId="{D612D5D8-00D1-4C01-8949-B345AFADCB7C}" destId="{7598B6D5-DB6E-4109-A116-ABB9746D6494}" srcOrd="0" destOrd="0" presId="urn:microsoft.com/office/officeart/2005/8/layout/hierarchy2"/>
    <dgm:cxn modelId="{1B3D3FFA-B5E0-4E0A-9804-E4EDE24CE4DA}" type="presParOf" srcId="{18F40706-FEA4-471D-B42F-9F2138DAF461}" destId="{1AAF714A-DA8A-4F1B-A513-518A8D78AF07}" srcOrd="1" destOrd="0" presId="urn:microsoft.com/office/officeart/2005/8/layout/hierarchy2"/>
    <dgm:cxn modelId="{03A4B809-A513-4D3A-9B11-B90705AA7935}" type="presParOf" srcId="{1AAF714A-DA8A-4F1B-A513-518A8D78AF07}" destId="{4677F528-4B7F-4F42-8C19-C895E45AB33E}" srcOrd="0" destOrd="0" presId="urn:microsoft.com/office/officeart/2005/8/layout/hierarchy2"/>
    <dgm:cxn modelId="{5519CF79-4C28-4F5F-954B-1EC629CA6607}" type="presParOf" srcId="{1AAF714A-DA8A-4F1B-A513-518A8D78AF07}" destId="{962BDF15-7904-4710-961C-C2722AADE385}" srcOrd="1" destOrd="0" presId="urn:microsoft.com/office/officeart/2005/8/layout/hierarchy2"/>
    <dgm:cxn modelId="{36DE90A8-2422-4518-A439-C840D1F331D8}" type="presParOf" srcId="{18F40706-FEA4-471D-B42F-9F2138DAF461}" destId="{DD3C8F13-B310-4A40-8074-3794BD353A39}" srcOrd="2" destOrd="0" presId="urn:microsoft.com/office/officeart/2005/8/layout/hierarchy2"/>
    <dgm:cxn modelId="{DF82CDF7-E44B-4CE6-81C0-0ADCB2E02AE5}" type="presParOf" srcId="{DD3C8F13-B310-4A40-8074-3794BD353A39}" destId="{C3CAB132-043C-4CC5-8D24-56BB6465D3C8}" srcOrd="0" destOrd="0" presId="urn:microsoft.com/office/officeart/2005/8/layout/hierarchy2"/>
    <dgm:cxn modelId="{3D7A4386-FA7F-4A3A-8051-FC8277736F8F}" type="presParOf" srcId="{18F40706-FEA4-471D-B42F-9F2138DAF461}" destId="{2D068256-4028-4FD1-962D-FDF0654E91D1}" srcOrd="3" destOrd="0" presId="urn:microsoft.com/office/officeart/2005/8/layout/hierarchy2"/>
    <dgm:cxn modelId="{DD48B24B-901E-431A-A936-5EF3086D5539}" type="presParOf" srcId="{2D068256-4028-4FD1-962D-FDF0654E91D1}" destId="{B78B1DA6-D261-43D0-8B70-65E4673EC47B}" srcOrd="0" destOrd="0" presId="urn:microsoft.com/office/officeart/2005/8/layout/hierarchy2"/>
    <dgm:cxn modelId="{D49D4183-B2FE-44AC-A8BA-E3E6FEAB1225}" type="presParOf" srcId="{2D068256-4028-4FD1-962D-FDF0654E91D1}" destId="{10ADA804-D438-4876-9CB9-7C43011F3149}" srcOrd="1" destOrd="0" presId="urn:microsoft.com/office/officeart/2005/8/layout/hierarchy2"/>
    <dgm:cxn modelId="{A45BFDD0-9A4C-4333-94B3-5F80C19EC530}" type="presParOf" srcId="{FFD2B037-6A47-4F2E-B423-C253F141BE23}" destId="{EEF8249B-F350-4D76-BCB2-66A6A854BDE4}" srcOrd="2" destOrd="0" presId="urn:microsoft.com/office/officeart/2005/8/layout/hierarchy2"/>
    <dgm:cxn modelId="{9F745494-A429-483B-BB40-71E17EAC8F26}" type="presParOf" srcId="{EEF8249B-F350-4D76-BCB2-66A6A854BDE4}" destId="{698CE31E-800F-4AFC-AB0B-93091FAEB6F7}" srcOrd="0" destOrd="0" presId="urn:microsoft.com/office/officeart/2005/8/layout/hierarchy2"/>
    <dgm:cxn modelId="{BE510991-D0B8-4261-A6EF-BAF855D8EB8A}" type="presParOf" srcId="{FFD2B037-6A47-4F2E-B423-C253F141BE23}" destId="{5366CC13-4A71-4117-977B-0D76DA97C784}" srcOrd="3" destOrd="0" presId="urn:microsoft.com/office/officeart/2005/8/layout/hierarchy2"/>
    <dgm:cxn modelId="{4A059250-D518-4D5B-A546-8F6E164D99A9}" type="presParOf" srcId="{5366CC13-4A71-4117-977B-0D76DA97C784}" destId="{214569FE-7DB7-4546-A80A-A263F20854A7}" srcOrd="0" destOrd="0" presId="urn:microsoft.com/office/officeart/2005/8/layout/hierarchy2"/>
    <dgm:cxn modelId="{2DA3D39A-C14D-42C3-B91C-4EFA9B7CFFC9}" type="presParOf" srcId="{5366CC13-4A71-4117-977B-0D76DA97C784}" destId="{E5A9983C-6171-4468-997B-1A5EBD55E6FA}" srcOrd="1" destOrd="0" presId="urn:microsoft.com/office/officeart/2005/8/layout/hierarchy2"/>
    <dgm:cxn modelId="{D48BC4A2-1719-4B80-AA9D-871559D42D59}" type="presParOf" srcId="{E5A9983C-6171-4468-997B-1A5EBD55E6FA}" destId="{BC49BB80-DFF5-4ED7-87A0-5994D7811561}" srcOrd="0" destOrd="0" presId="urn:microsoft.com/office/officeart/2005/8/layout/hierarchy2"/>
    <dgm:cxn modelId="{DEF1297E-DAF1-4015-8881-C9222F755917}" type="presParOf" srcId="{BC49BB80-DFF5-4ED7-87A0-5994D7811561}" destId="{1CF64A36-8FE4-48EB-9901-35093C58A0A5}" srcOrd="0" destOrd="0" presId="urn:microsoft.com/office/officeart/2005/8/layout/hierarchy2"/>
    <dgm:cxn modelId="{BE189645-37D4-4470-B7D1-EAD924AFECAE}" type="presParOf" srcId="{E5A9983C-6171-4468-997B-1A5EBD55E6FA}" destId="{1AED67C7-2F79-42C3-87E2-6A286C48ABF4}" srcOrd="1" destOrd="0" presId="urn:microsoft.com/office/officeart/2005/8/layout/hierarchy2"/>
    <dgm:cxn modelId="{6774DB4C-4934-49E8-972B-0FA633ACCA12}" type="presParOf" srcId="{1AED67C7-2F79-42C3-87E2-6A286C48ABF4}" destId="{67C843F9-64A5-4474-AA22-963BBCF0D10E}" srcOrd="0" destOrd="0" presId="urn:microsoft.com/office/officeart/2005/8/layout/hierarchy2"/>
    <dgm:cxn modelId="{D4C4D920-1BE5-4C81-97FB-FF6F642BEE4E}" type="presParOf" srcId="{1AED67C7-2F79-42C3-87E2-6A286C48ABF4}" destId="{58A10362-F93F-401F-A2E4-8E96DAB22686}" srcOrd="1" destOrd="0" presId="urn:microsoft.com/office/officeart/2005/8/layout/hierarchy2"/>
    <dgm:cxn modelId="{A3F2EB36-24F8-49C6-A325-C66F8432F828}" type="presParOf" srcId="{58A10362-F93F-401F-A2E4-8E96DAB22686}" destId="{25BE5593-53D9-4731-AD90-AA63CFE98091}" srcOrd="0" destOrd="0" presId="urn:microsoft.com/office/officeart/2005/8/layout/hierarchy2"/>
    <dgm:cxn modelId="{37D5FEFC-F1BA-429D-BE59-31141891C864}" type="presParOf" srcId="{25BE5593-53D9-4731-AD90-AA63CFE98091}" destId="{DF287267-3C1C-47F3-AF3A-E55D60AD203D}" srcOrd="0" destOrd="0" presId="urn:microsoft.com/office/officeart/2005/8/layout/hierarchy2"/>
    <dgm:cxn modelId="{81788918-9E75-4504-B086-6E225E52D3FB}" type="presParOf" srcId="{58A10362-F93F-401F-A2E4-8E96DAB22686}" destId="{4B1A1C31-CA14-4362-8B39-4C2D12E7CB2B}" srcOrd="1" destOrd="0" presId="urn:microsoft.com/office/officeart/2005/8/layout/hierarchy2"/>
    <dgm:cxn modelId="{0E071995-1F8F-40A0-AE08-1ADA6F682308}" type="presParOf" srcId="{4B1A1C31-CA14-4362-8B39-4C2D12E7CB2B}" destId="{68C61B09-5712-450E-AD97-1B8A07D96BE6}" srcOrd="0" destOrd="0" presId="urn:microsoft.com/office/officeart/2005/8/layout/hierarchy2"/>
    <dgm:cxn modelId="{6E341CB2-B9D7-44F9-A699-E29DA248A0FF}" type="presParOf" srcId="{4B1A1C31-CA14-4362-8B39-4C2D12E7CB2B}" destId="{3BCD7284-E3E1-41A3-9BF0-4C0C5130B5A0}" srcOrd="1" destOrd="0" presId="urn:microsoft.com/office/officeart/2005/8/layout/hierarchy2"/>
    <dgm:cxn modelId="{F89E426B-BDD7-4A22-A87B-13870ACFEE97}" type="presParOf" srcId="{E5A9983C-6171-4468-997B-1A5EBD55E6FA}" destId="{E009940A-254E-4236-B7DC-8BADD5496BED}" srcOrd="2" destOrd="0" presId="urn:microsoft.com/office/officeart/2005/8/layout/hierarchy2"/>
    <dgm:cxn modelId="{93D8509A-CFAE-46E5-B0F5-CF1FBCBE9FEC}" type="presParOf" srcId="{E009940A-254E-4236-B7DC-8BADD5496BED}" destId="{8338ECD0-6086-4C72-94EC-BA2BC9CA7CAF}" srcOrd="0" destOrd="0" presId="urn:microsoft.com/office/officeart/2005/8/layout/hierarchy2"/>
    <dgm:cxn modelId="{4362DA51-A488-46AE-A6CF-529C1CB82CB0}" type="presParOf" srcId="{E5A9983C-6171-4468-997B-1A5EBD55E6FA}" destId="{85D3AB74-7E7C-4208-A22F-F0B714419FFC}" srcOrd="3" destOrd="0" presId="urn:microsoft.com/office/officeart/2005/8/layout/hierarchy2"/>
    <dgm:cxn modelId="{26E0956A-FAAD-4ADC-BE6C-CF189877ADF1}" type="presParOf" srcId="{85D3AB74-7E7C-4208-A22F-F0B714419FFC}" destId="{71F15A22-1B9C-4B59-9B51-FA1E41DC9471}" srcOrd="0" destOrd="0" presId="urn:microsoft.com/office/officeart/2005/8/layout/hierarchy2"/>
    <dgm:cxn modelId="{636321B3-A4C8-4A9E-9D79-55D9540C3727}" type="presParOf" srcId="{85D3AB74-7E7C-4208-A22F-F0B714419FFC}" destId="{DDC3D360-F992-42E8-8D35-D4E89A459F3E}" srcOrd="1" destOrd="0" presId="urn:microsoft.com/office/officeart/2005/8/layout/hierarchy2"/>
    <dgm:cxn modelId="{F5023E8D-0FD6-413F-88EE-EF6BE30FE077}" type="presParOf" srcId="{DDC3D360-F992-42E8-8D35-D4E89A459F3E}" destId="{7F27A4C4-EA04-4EE0-9664-3347F4A524DF}" srcOrd="0" destOrd="0" presId="urn:microsoft.com/office/officeart/2005/8/layout/hierarchy2"/>
    <dgm:cxn modelId="{0C9CB6F7-FEEB-4D7E-A2CD-CBAC00FD8583}" type="presParOf" srcId="{7F27A4C4-EA04-4EE0-9664-3347F4A524DF}" destId="{919247C4-318C-4EDB-A43B-F34F8A6C8D16}" srcOrd="0" destOrd="0" presId="urn:microsoft.com/office/officeart/2005/8/layout/hierarchy2"/>
    <dgm:cxn modelId="{772933A1-4636-4E68-BB84-A4C952F5DA72}" type="presParOf" srcId="{DDC3D360-F992-42E8-8D35-D4E89A459F3E}" destId="{4BAD019C-6F05-4C0C-9472-83861560E9BA}" srcOrd="1" destOrd="0" presId="urn:microsoft.com/office/officeart/2005/8/layout/hierarchy2"/>
    <dgm:cxn modelId="{E1D67C81-DB71-46D0-879D-37A8B635B6BA}" type="presParOf" srcId="{4BAD019C-6F05-4C0C-9472-83861560E9BA}" destId="{0347DE98-0C36-4A45-8F88-51FF23E9CB5D}" srcOrd="0" destOrd="0" presId="urn:microsoft.com/office/officeart/2005/8/layout/hierarchy2"/>
    <dgm:cxn modelId="{D27206CE-7862-4726-96C4-919D06EAA74A}" type="presParOf" srcId="{4BAD019C-6F05-4C0C-9472-83861560E9BA}" destId="{7A88993E-0CCF-44A4-8D12-C2BD30C86F03}" srcOrd="1" destOrd="0" presId="urn:microsoft.com/office/officeart/2005/8/layout/hierarchy2"/>
    <dgm:cxn modelId="{A3666EF4-A287-45AB-8895-0593D6306E3D}" type="presParOf" srcId="{DDC3D360-F992-42E8-8D35-D4E89A459F3E}" destId="{0778EAE4-0BD6-4131-A077-247AA2D5AF8F}" srcOrd="2" destOrd="0" presId="urn:microsoft.com/office/officeart/2005/8/layout/hierarchy2"/>
    <dgm:cxn modelId="{321C37AE-AD06-4057-A1FC-043424F315FE}" type="presParOf" srcId="{0778EAE4-0BD6-4131-A077-247AA2D5AF8F}" destId="{C4C29D70-BEEE-4A5B-90CA-00F7BB3C51A8}" srcOrd="0" destOrd="0" presId="urn:microsoft.com/office/officeart/2005/8/layout/hierarchy2"/>
    <dgm:cxn modelId="{A68D1C7D-EBE8-442F-8AE5-82E76308D62E}" type="presParOf" srcId="{DDC3D360-F992-42E8-8D35-D4E89A459F3E}" destId="{17F488C5-ECEB-4C18-807D-1233DC096121}" srcOrd="3" destOrd="0" presId="urn:microsoft.com/office/officeart/2005/8/layout/hierarchy2"/>
    <dgm:cxn modelId="{BF3CF1A8-7000-4CDB-AEAA-93F518E4C848}" type="presParOf" srcId="{17F488C5-ECEB-4C18-807D-1233DC096121}" destId="{F027456B-F54A-4F47-911E-BA41F894ADB1}" srcOrd="0" destOrd="0" presId="urn:microsoft.com/office/officeart/2005/8/layout/hierarchy2"/>
    <dgm:cxn modelId="{BA329E61-35D6-423F-8B19-55804C428997}" type="presParOf" srcId="{17F488C5-ECEB-4C18-807D-1233DC096121}" destId="{01285818-6844-4ED9-B03C-352784527BBF}" srcOrd="1" destOrd="0" presId="urn:microsoft.com/office/officeart/2005/8/layout/hierarchy2"/>
    <dgm:cxn modelId="{F1C316CD-B238-44F9-8270-931C3C140245}" type="presParOf" srcId="{DDC3D360-F992-42E8-8D35-D4E89A459F3E}" destId="{36C479B2-1BC0-46B3-B2A3-52301B159495}" srcOrd="4" destOrd="0" presId="urn:microsoft.com/office/officeart/2005/8/layout/hierarchy2"/>
    <dgm:cxn modelId="{53656807-E362-4A95-8170-25F6D3D971BE}" type="presParOf" srcId="{36C479B2-1BC0-46B3-B2A3-52301B159495}" destId="{89BD16D1-0D69-4186-9B46-04606B0BC4E5}" srcOrd="0" destOrd="0" presId="urn:microsoft.com/office/officeart/2005/8/layout/hierarchy2"/>
    <dgm:cxn modelId="{C746E04E-FB87-40FB-ACC4-C9EE8E570EC5}" type="presParOf" srcId="{DDC3D360-F992-42E8-8D35-D4E89A459F3E}" destId="{8F128A7F-9F6B-462D-8358-1776E5D1C151}" srcOrd="5" destOrd="0" presId="urn:microsoft.com/office/officeart/2005/8/layout/hierarchy2"/>
    <dgm:cxn modelId="{0A8EA9F7-9A16-483F-A35F-07D1D83C9381}" type="presParOf" srcId="{8F128A7F-9F6B-462D-8358-1776E5D1C151}" destId="{5BADFBD6-B126-408E-8DC3-CFCBE1BAEED9}" srcOrd="0" destOrd="0" presId="urn:microsoft.com/office/officeart/2005/8/layout/hierarchy2"/>
    <dgm:cxn modelId="{04A32937-F9ED-4BEC-8E24-A72FF513D829}" type="presParOf" srcId="{8F128A7F-9F6B-462D-8358-1776E5D1C151}" destId="{A64E8DF1-F769-478E-8EF4-80B882825BE3}" srcOrd="1" destOrd="0" presId="urn:microsoft.com/office/officeart/2005/8/layout/hierarchy2"/>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85CC54-32CC-4BFD-B8D5-27FF147F9922}">
      <dsp:nvSpPr>
        <dsp:cNvPr id="0" name=""/>
        <dsp:cNvSpPr/>
      </dsp:nvSpPr>
      <dsp:spPr>
        <a:xfrm>
          <a:off x="1810" y="1173923"/>
          <a:ext cx="1178272" cy="589136"/>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b="1" kern="1200">
              <a:solidFill>
                <a:srgbClr val="5F2987"/>
              </a:solidFill>
              <a:latin typeface="Garamond" panose="02020404030301010803" pitchFamily="18" charset="0"/>
            </a:rPr>
            <a:t>Efectos tradicionales</a:t>
          </a:r>
          <a:r>
            <a:rPr lang="en-GB" sz="800" kern="1200">
              <a:solidFill>
                <a:srgbClr val="5F2987"/>
              </a:solidFill>
              <a:latin typeface="Garamond" panose="02020404030301010803" pitchFamily="18" charset="0"/>
            </a:rPr>
            <a:t>:</a:t>
          </a:r>
        </a:p>
        <a:p>
          <a:pPr marL="0" lvl="0" indent="0" algn="ctr" defTabSz="355600">
            <a:lnSpc>
              <a:spcPct val="90000"/>
            </a:lnSpc>
            <a:spcBef>
              <a:spcPct val="0"/>
            </a:spcBef>
            <a:spcAft>
              <a:spcPct val="35000"/>
            </a:spcAft>
            <a:buNone/>
          </a:pPr>
          <a:r>
            <a:rPr lang="en-GB" sz="800" kern="1200">
              <a:solidFill>
                <a:srgbClr val="5F2987"/>
              </a:solidFill>
              <a:latin typeface="Garamond" panose="02020404030301010803" pitchFamily="18" charset="0"/>
            </a:rPr>
            <a:t>tasa de interés</a:t>
          </a:r>
        </a:p>
      </dsp:txBody>
      <dsp:txXfrm>
        <a:off x="19065" y="1191178"/>
        <a:ext cx="1143762" cy="554626"/>
      </dsp:txXfrm>
    </dsp:sp>
    <dsp:sp modelId="{F3A0F08B-8FAD-4290-ADCF-C3DE364C3FCA}">
      <dsp:nvSpPr>
        <dsp:cNvPr id="0" name=""/>
        <dsp:cNvSpPr/>
      </dsp:nvSpPr>
      <dsp:spPr>
        <a:xfrm rot="18245554">
          <a:off x="995324" y="1103766"/>
          <a:ext cx="840824" cy="33134"/>
        </a:xfrm>
        <a:custGeom>
          <a:avLst/>
          <a:gdLst/>
          <a:ahLst/>
          <a:cxnLst/>
          <a:rect l="0" t="0" r="0" b="0"/>
          <a:pathLst>
            <a:path>
              <a:moveTo>
                <a:pt x="0" y="16567"/>
              </a:moveTo>
              <a:lnTo>
                <a:pt x="840824" y="16567"/>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5F2987"/>
            </a:solidFill>
            <a:latin typeface="Garamond" panose="02020404030301010803" pitchFamily="18" charset="0"/>
          </a:endParaRPr>
        </a:p>
      </dsp:txBody>
      <dsp:txXfrm>
        <a:off x="1394716" y="1099313"/>
        <a:ext cx="42041" cy="42041"/>
      </dsp:txXfrm>
    </dsp:sp>
    <dsp:sp modelId="{7E1678F0-395F-480F-B905-FD1C96818AA4}">
      <dsp:nvSpPr>
        <dsp:cNvPr id="0" name=""/>
        <dsp:cNvSpPr/>
      </dsp:nvSpPr>
      <dsp:spPr>
        <a:xfrm>
          <a:off x="1651391" y="477608"/>
          <a:ext cx="1178272" cy="589136"/>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solidFill>
                <a:srgbClr val="5F2987"/>
              </a:solidFill>
              <a:latin typeface="Garamond" panose="02020404030301010803" pitchFamily="18" charset="0"/>
            </a:rPr>
            <a:t>Operan a través de los </a:t>
          </a:r>
          <a:r>
            <a:rPr lang="en-GB" sz="800" b="1" kern="1200">
              <a:solidFill>
                <a:srgbClr val="5F2987"/>
              </a:solidFill>
              <a:latin typeface="Garamond" panose="02020404030301010803" pitchFamily="18" charset="0"/>
            </a:rPr>
            <a:t>precios de activos distintos a los tipos de interés</a:t>
          </a:r>
        </a:p>
      </dsp:txBody>
      <dsp:txXfrm>
        <a:off x="1668646" y="494863"/>
        <a:ext cx="1143762" cy="554626"/>
      </dsp:txXfrm>
    </dsp:sp>
    <dsp:sp modelId="{4895A53E-4CAF-4659-88A4-59D7042F0A6C}">
      <dsp:nvSpPr>
        <dsp:cNvPr id="0" name=""/>
        <dsp:cNvSpPr/>
      </dsp:nvSpPr>
      <dsp:spPr>
        <a:xfrm rot="19457599">
          <a:off x="2775109" y="586232"/>
          <a:ext cx="580418" cy="33134"/>
        </a:xfrm>
        <a:custGeom>
          <a:avLst/>
          <a:gdLst/>
          <a:ahLst/>
          <a:cxnLst/>
          <a:rect l="0" t="0" r="0" b="0"/>
          <a:pathLst>
            <a:path>
              <a:moveTo>
                <a:pt x="0" y="16567"/>
              </a:moveTo>
              <a:lnTo>
                <a:pt x="580418" y="16567"/>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5F2987"/>
            </a:solidFill>
            <a:latin typeface="Garamond" panose="02020404030301010803" pitchFamily="18" charset="0"/>
          </a:endParaRPr>
        </a:p>
      </dsp:txBody>
      <dsp:txXfrm>
        <a:off x="3050808" y="588289"/>
        <a:ext cx="29020" cy="29020"/>
      </dsp:txXfrm>
    </dsp:sp>
    <dsp:sp modelId="{28A898C8-B00D-4222-867D-0CF3CD43FD0E}">
      <dsp:nvSpPr>
        <dsp:cNvPr id="0" name=""/>
        <dsp:cNvSpPr/>
      </dsp:nvSpPr>
      <dsp:spPr>
        <a:xfrm>
          <a:off x="3300972" y="138855"/>
          <a:ext cx="1178272" cy="589136"/>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solidFill>
                <a:srgbClr val="5F2987"/>
              </a:solidFill>
              <a:latin typeface="Garamond" panose="02020404030301010803" pitchFamily="18" charset="0"/>
            </a:rPr>
            <a:t>Tipos de cambio</a:t>
          </a:r>
        </a:p>
      </dsp:txBody>
      <dsp:txXfrm>
        <a:off x="3318227" y="156110"/>
        <a:ext cx="1143762" cy="554626"/>
      </dsp:txXfrm>
    </dsp:sp>
    <dsp:sp modelId="{F0847327-FBEC-4289-B77E-C6033C92953F}">
      <dsp:nvSpPr>
        <dsp:cNvPr id="0" name=""/>
        <dsp:cNvSpPr/>
      </dsp:nvSpPr>
      <dsp:spPr>
        <a:xfrm rot="2142401">
          <a:off x="2775109" y="924985"/>
          <a:ext cx="580418" cy="33134"/>
        </a:xfrm>
        <a:custGeom>
          <a:avLst/>
          <a:gdLst/>
          <a:ahLst/>
          <a:cxnLst/>
          <a:rect l="0" t="0" r="0" b="0"/>
          <a:pathLst>
            <a:path>
              <a:moveTo>
                <a:pt x="0" y="16567"/>
              </a:moveTo>
              <a:lnTo>
                <a:pt x="580418" y="16567"/>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5F2987"/>
            </a:solidFill>
            <a:latin typeface="Garamond" panose="02020404030301010803" pitchFamily="18" charset="0"/>
          </a:endParaRPr>
        </a:p>
      </dsp:txBody>
      <dsp:txXfrm>
        <a:off x="3050808" y="927042"/>
        <a:ext cx="29020" cy="29020"/>
      </dsp:txXfrm>
    </dsp:sp>
    <dsp:sp modelId="{8815CF40-1FB9-4CFA-92CD-EE24CD158296}">
      <dsp:nvSpPr>
        <dsp:cNvPr id="0" name=""/>
        <dsp:cNvSpPr/>
      </dsp:nvSpPr>
      <dsp:spPr>
        <a:xfrm>
          <a:off x="3300972" y="816361"/>
          <a:ext cx="1178272" cy="589136"/>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solidFill>
                <a:srgbClr val="5F2987"/>
              </a:solidFill>
              <a:latin typeface="Garamond" panose="02020404030301010803" pitchFamily="18" charset="0"/>
            </a:rPr>
            <a:t>Precio de las participaciones (acciones)</a:t>
          </a:r>
        </a:p>
      </dsp:txBody>
      <dsp:txXfrm>
        <a:off x="3318227" y="833616"/>
        <a:ext cx="1143762" cy="554626"/>
      </dsp:txXfrm>
    </dsp:sp>
    <dsp:sp modelId="{D612D5D8-00D1-4C01-8949-B345AFADCB7C}">
      <dsp:nvSpPr>
        <dsp:cNvPr id="0" name=""/>
        <dsp:cNvSpPr/>
      </dsp:nvSpPr>
      <dsp:spPr>
        <a:xfrm rot="20046101">
          <a:off x="4452936" y="979943"/>
          <a:ext cx="523926" cy="33134"/>
        </a:xfrm>
        <a:custGeom>
          <a:avLst/>
          <a:gdLst/>
          <a:ahLst/>
          <a:cxnLst/>
          <a:rect l="0" t="0" r="0" b="0"/>
          <a:pathLst>
            <a:path>
              <a:moveTo>
                <a:pt x="0" y="16567"/>
              </a:moveTo>
              <a:lnTo>
                <a:pt x="523926" y="16567"/>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5F2987"/>
            </a:solidFill>
          </a:endParaRPr>
        </a:p>
      </dsp:txBody>
      <dsp:txXfrm>
        <a:off x="4701801" y="983412"/>
        <a:ext cx="26196" cy="26196"/>
      </dsp:txXfrm>
    </dsp:sp>
    <dsp:sp modelId="{4677F528-4B7F-4F42-8C19-C895E45AB33E}">
      <dsp:nvSpPr>
        <dsp:cNvPr id="0" name=""/>
        <dsp:cNvSpPr/>
      </dsp:nvSpPr>
      <dsp:spPr>
        <a:xfrm>
          <a:off x="4950554" y="692604"/>
          <a:ext cx="1178272" cy="378973"/>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solidFill>
                <a:srgbClr val="5F2987"/>
              </a:solidFill>
              <a:latin typeface="Garamond" panose="02020404030301010803" pitchFamily="18" charset="0"/>
            </a:rPr>
            <a:t>Teoría de la </a:t>
          </a:r>
          <a:r>
            <a:rPr lang="en-GB" sz="800" i="1" kern="1200">
              <a:solidFill>
                <a:srgbClr val="5F2987"/>
              </a:solidFill>
              <a:latin typeface="Garamond" panose="02020404030301010803" pitchFamily="18" charset="0"/>
            </a:rPr>
            <a:t>q</a:t>
          </a:r>
          <a:r>
            <a:rPr lang="en-GB" sz="800" i="0" kern="1200">
              <a:solidFill>
                <a:srgbClr val="5F2987"/>
              </a:solidFill>
              <a:latin typeface="Garamond" panose="02020404030301010803" pitchFamily="18" charset="0"/>
            </a:rPr>
            <a:t> de </a:t>
          </a:r>
          <a:r>
            <a:rPr lang="en-GB" sz="800" i="0" kern="1200" cap="small" baseline="0">
              <a:solidFill>
                <a:srgbClr val="5F2987"/>
              </a:solidFill>
              <a:latin typeface="Garamond" panose="02020404030301010803" pitchFamily="18" charset="0"/>
            </a:rPr>
            <a:t>Tobin</a:t>
          </a:r>
          <a:endParaRPr lang="en-GB" sz="800" kern="1200" cap="small" baseline="0">
            <a:solidFill>
              <a:srgbClr val="5F2987"/>
            </a:solidFill>
            <a:latin typeface="Garamond" panose="02020404030301010803" pitchFamily="18" charset="0"/>
          </a:endParaRPr>
        </a:p>
      </dsp:txBody>
      <dsp:txXfrm>
        <a:off x="4961654" y="703704"/>
        <a:ext cx="1156072" cy="356773"/>
      </dsp:txXfrm>
    </dsp:sp>
    <dsp:sp modelId="{DD3C8F13-B310-4A40-8074-3794BD353A39}">
      <dsp:nvSpPr>
        <dsp:cNvPr id="0" name=""/>
        <dsp:cNvSpPr/>
      </dsp:nvSpPr>
      <dsp:spPr>
        <a:xfrm rot="1582316">
          <a:off x="4451871" y="1211198"/>
          <a:ext cx="526055" cy="33134"/>
        </a:xfrm>
        <a:custGeom>
          <a:avLst/>
          <a:gdLst/>
          <a:ahLst/>
          <a:cxnLst/>
          <a:rect l="0" t="0" r="0" b="0"/>
          <a:pathLst>
            <a:path>
              <a:moveTo>
                <a:pt x="0" y="16567"/>
              </a:moveTo>
              <a:lnTo>
                <a:pt x="526055" y="16567"/>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5F2987"/>
            </a:solidFill>
          </a:endParaRPr>
        </a:p>
      </dsp:txBody>
      <dsp:txXfrm>
        <a:off x="4701748" y="1214614"/>
        <a:ext cx="26302" cy="26302"/>
      </dsp:txXfrm>
    </dsp:sp>
    <dsp:sp modelId="{B78B1DA6-D261-43D0-8B70-65E4673EC47B}">
      <dsp:nvSpPr>
        <dsp:cNvPr id="0" name=""/>
        <dsp:cNvSpPr/>
      </dsp:nvSpPr>
      <dsp:spPr>
        <a:xfrm>
          <a:off x="4950554" y="1159948"/>
          <a:ext cx="1178272" cy="36930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ts val="0"/>
            </a:spcAft>
            <a:buNone/>
          </a:pPr>
          <a:r>
            <a:rPr lang="en-GB" sz="800" kern="1200">
              <a:solidFill>
                <a:srgbClr val="5F2987"/>
              </a:solidFill>
              <a:latin typeface="Garamond" panose="02020404030301010803" pitchFamily="18" charset="0"/>
            </a:rPr>
            <a:t>Efectos de riqueza</a:t>
          </a:r>
        </a:p>
        <a:p>
          <a:pPr marL="0" lvl="0" indent="0" algn="ctr" defTabSz="355600">
            <a:lnSpc>
              <a:spcPct val="90000"/>
            </a:lnSpc>
            <a:spcBef>
              <a:spcPct val="0"/>
            </a:spcBef>
            <a:spcAft>
              <a:spcPct val="35000"/>
            </a:spcAft>
            <a:buNone/>
          </a:pPr>
          <a:r>
            <a:rPr lang="en-GB" sz="800" kern="1200" cap="small" baseline="0">
              <a:solidFill>
                <a:srgbClr val="5F2987"/>
              </a:solidFill>
              <a:latin typeface="Garamond" panose="02020404030301010803" pitchFamily="18" charset="0"/>
            </a:rPr>
            <a:t>(Franco Modigliani)</a:t>
          </a:r>
        </a:p>
      </dsp:txBody>
      <dsp:txXfrm>
        <a:off x="4961371" y="1170765"/>
        <a:ext cx="1156638" cy="347671"/>
      </dsp:txXfrm>
    </dsp:sp>
    <dsp:sp modelId="{EEF8249B-F350-4D76-BCB2-66A6A854BDE4}">
      <dsp:nvSpPr>
        <dsp:cNvPr id="0" name=""/>
        <dsp:cNvSpPr/>
      </dsp:nvSpPr>
      <dsp:spPr>
        <a:xfrm rot="3354446">
          <a:off x="995324" y="1800081"/>
          <a:ext cx="840824" cy="33134"/>
        </a:xfrm>
        <a:custGeom>
          <a:avLst/>
          <a:gdLst/>
          <a:ahLst/>
          <a:cxnLst/>
          <a:rect l="0" t="0" r="0" b="0"/>
          <a:pathLst>
            <a:path>
              <a:moveTo>
                <a:pt x="0" y="16567"/>
              </a:moveTo>
              <a:lnTo>
                <a:pt x="840824" y="16567"/>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5F2987"/>
            </a:solidFill>
            <a:latin typeface="Garamond" panose="02020404030301010803" pitchFamily="18" charset="0"/>
          </a:endParaRPr>
        </a:p>
      </dsp:txBody>
      <dsp:txXfrm>
        <a:off x="1394716" y="1795627"/>
        <a:ext cx="42041" cy="42041"/>
      </dsp:txXfrm>
    </dsp:sp>
    <dsp:sp modelId="{214569FE-7DB7-4546-A80A-A263F20854A7}">
      <dsp:nvSpPr>
        <dsp:cNvPr id="0" name=""/>
        <dsp:cNvSpPr/>
      </dsp:nvSpPr>
      <dsp:spPr>
        <a:xfrm>
          <a:off x="1651391" y="1870237"/>
          <a:ext cx="1178272" cy="589136"/>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ts val="0"/>
            </a:spcAft>
            <a:buNone/>
          </a:pPr>
          <a:r>
            <a:rPr lang="en-GB" sz="800" kern="1200">
              <a:solidFill>
                <a:srgbClr val="5F2987"/>
              </a:solidFill>
              <a:latin typeface="Garamond" panose="02020404030301010803" pitchFamily="18" charset="0"/>
            </a:rPr>
            <a:t>Operan a través de los efectos de información asimétrica sobre los mercados de crédito</a:t>
          </a:r>
        </a:p>
        <a:p>
          <a:pPr marL="0" lvl="0" indent="0" algn="ctr" defTabSz="355600">
            <a:lnSpc>
              <a:spcPct val="90000"/>
            </a:lnSpc>
            <a:spcBef>
              <a:spcPct val="0"/>
            </a:spcBef>
            <a:spcAft>
              <a:spcPts val="0"/>
            </a:spcAft>
            <a:buNone/>
          </a:pPr>
          <a:r>
            <a:rPr lang="en-GB" sz="800" kern="1200">
              <a:solidFill>
                <a:srgbClr val="5F2987"/>
              </a:solidFill>
              <a:latin typeface="Garamond" panose="02020404030301010803" pitchFamily="18" charset="0"/>
            </a:rPr>
            <a:t>(</a:t>
          </a:r>
          <a:r>
            <a:rPr lang="en-GB" sz="800" b="1" kern="1200">
              <a:solidFill>
                <a:srgbClr val="5F2987"/>
              </a:solidFill>
              <a:latin typeface="Garamond" panose="02020404030301010803" pitchFamily="18" charset="0"/>
            </a:rPr>
            <a:t>Visión de crédito</a:t>
          </a:r>
          <a:r>
            <a:rPr lang="en-GB" sz="800" kern="1200">
              <a:solidFill>
                <a:srgbClr val="5F2987"/>
              </a:solidFill>
              <a:latin typeface="Garamond" panose="02020404030301010803" pitchFamily="18" charset="0"/>
            </a:rPr>
            <a:t>)</a:t>
          </a:r>
        </a:p>
      </dsp:txBody>
      <dsp:txXfrm>
        <a:off x="1668646" y="1887492"/>
        <a:ext cx="1143762" cy="554626"/>
      </dsp:txXfrm>
    </dsp:sp>
    <dsp:sp modelId="{BC49BB80-DFF5-4ED7-87A0-5994D7811561}">
      <dsp:nvSpPr>
        <dsp:cNvPr id="0" name=""/>
        <dsp:cNvSpPr/>
      </dsp:nvSpPr>
      <dsp:spPr>
        <a:xfrm rot="19283427">
          <a:off x="2763745" y="1960053"/>
          <a:ext cx="603146" cy="33134"/>
        </a:xfrm>
        <a:custGeom>
          <a:avLst/>
          <a:gdLst/>
          <a:ahLst/>
          <a:cxnLst/>
          <a:rect l="0" t="0" r="0" b="0"/>
          <a:pathLst>
            <a:path>
              <a:moveTo>
                <a:pt x="0" y="16567"/>
              </a:moveTo>
              <a:lnTo>
                <a:pt x="603146" y="16567"/>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050239" y="1961542"/>
        <a:ext cx="30157" cy="30157"/>
      </dsp:txXfrm>
    </dsp:sp>
    <dsp:sp modelId="{67C843F9-64A5-4474-AA22-963BBCF0D10E}">
      <dsp:nvSpPr>
        <dsp:cNvPr id="0" name=""/>
        <dsp:cNvSpPr/>
      </dsp:nvSpPr>
      <dsp:spPr>
        <a:xfrm>
          <a:off x="3300972" y="1493868"/>
          <a:ext cx="1178272" cy="589136"/>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ts val="0"/>
            </a:spcAft>
            <a:buNone/>
          </a:pPr>
          <a:r>
            <a:rPr lang="en-GB" sz="800" kern="1200">
              <a:solidFill>
                <a:srgbClr val="5F2987"/>
              </a:solidFill>
              <a:latin typeface="Garamond" panose="02020404030301010803" pitchFamily="18" charset="0"/>
            </a:rPr>
            <a:t>Operan a través de efectos sobre el préstamo bancario</a:t>
          </a:r>
        </a:p>
      </dsp:txBody>
      <dsp:txXfrm>
        <a:off x="3318227" y="1511123"/>
        <a:ext cx="1143762" cy="554626"/>
      </dsp:txXfrm>
    </dsp:sp>
    <dsp:sp modelId="{25BE5593-53D9-4731-AD90-AA63CFE98091}">
      <dsp:nvSpPr>
        <dsp:cNvPr id="0" name=""/>
        <dsp:cNvSpPr/>
      </dsp:nvSpPr>
      <dsp:spPr>
        <a:xfrm>
          <a:off x="4479245" y="1771868"/>
          <a:ext cx="471308" cy="33134"/>
        </a:xfrm>
        <a:custGeom>
          <a:avLst/>
          <a:gdLst/>
          <a:ahLst/>
          <a:cxnLst/>
          <a:rect l="0" t="0" r="0" b="0"/>
          <a:pathLst>
            <a:path>
              <a:moveTo>
                <a:pt x="0" y="16567"/>
              </a:moveTo>
              <a:lnTo>
                <a:pt x="471308" y="16567"/>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703116" y="1776653"/>
        <a:ext cx="23565" cy="23565"/>
      </dsp:txXfrm>
    </dsp:sp>
    <dsp:sp modelId="{68C61B09-5712-450E-AD97-1B8A07D96BE6}">
      <dsp:nvSpPr>
        <dsp:cNvPr id="0" name=""/>
        <dsp:cNvSpPr/>
      </dsp:nvSpPr>
      <dsp:spPr>
        <a:xfrm>
          <a:off x="4950554" y="1644436"/>
          <a:ext cx="1178272" cy="287999"/>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ts val="0"/>
            </a:spcAft>
            <a:buNone/>
          </a:pPr>
          <a:r>
            <a:rPr lang="en-GB" sz="800" kern="1200">
              <a:solidFill>
                <a:srgbClr val="5F2987"/>
              </a:solidFill>
              <a:latin typeface="Garamond" panose="02020404030301010803" pitchFamily="18" charset="0"/>
            </a:rPr>
            <a:t>Canal de préstamos bancarios</a:t>
          </a:r>
        </a:p>
      </dsp:txBody>
      <dsp:txXfrm>
        <a:off x="4958989" y="1652871"/>
        <a:ext cx="1161402" cy="271129"/>
      </dsp:txXfrm>
    </dsp:sp>
    <dsp:sp modelId="{E009940A-254E-4236-B7DC-8BADD5496BED}">
      <dsp:nvSpPr>
        <dsp:cNvPr id="0" name=""/>
        <dsp:cNvSpPr/>
      </dsp:nvSpPr>
      <dsp:spPr>
        <a:xfrm rot="2316573">
          <a:off x="2763745" y="2336423"/>
          <a:ext cx="603146" cy="33134"/>
        </a:xfrm>
        <a:custGeom>
          <a:avLst/>
          <a:gdLst/>
          <a:ahLst/>
          <a:cxnLst/>
          <a:rect l="0" t="0" r="0" b="0"/>
          <a:pathLst>
            <a:path>
              <a:moveTo>
                <a:pt x="0" y="16567"/>
              </a:moveTo>
              <a:lnTo>
                <a:pt x="603146" y="16567"/>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050239" y="2337912"/>
        <a:ext cx="30157" cy="30157"/>
      </dsp:txXfrm>
    </dsp:sp>
    <dsp:sp modelId="{71F15A22-1B9C-4B59-9B51-FA1E41DC9471}">
      <dsp:nvSpPr>
        <dsp:cNvPr id="0" name=""/>
        <dsp:cNvSpPr/>
      </dsp:nvSpPr>
      <dsp:spPr>
        <a:xfrm>
          <a:off x="3300972" y="2246607"/>
          <a:ext cx="1178272" cy="589136"/>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ts val="0"/>
            </a:spcAft>
            <a:buNone/>
          </a:pPr>
          <a:r>
            <a:rPr lang="en-GB" sz="800" kern="1200">
              <a:solidFill>
                <a:srgbClr val="5F2987"/>
              </a:solidFill>
              <a:latin typeface="Garamond" panose="02020404030301010803" pitchFamily="18" charset="0"/>
            </a:rPr>
            <a:t>Operan mediante efectos sobre los balances generales de empresas e individuos</a:t>
          </a:r>
        </a:p>
      </dsp:txBody>
      <dsp:txXfrm>
        <a:off x="3318227" y="2263862"/>
        <a:ext cx="1143762" cy="554626"/>
      </dsp:txXfrm>
    </dsp:sp>
    <dsp:sp modelId="{7F27A4C4-EA04-4EE0-9664-3347F4A524DF}">
      <dsp:nvSpPr>
        <dsp:cNvPr id="0" name=""/>
        <dsp:cNvSpPr/>
      </dsp:nvSpPr>
      <dsp:spPr>
        <a:xfrm rot="19283427">
          <a:off x="4413326" y="2336423"/>
          <a:ext cx="603146" cy="33134"/>
        </a:xfrm>
        <a:custGeom>
          <a:avLst/>
          <a:gdLst/>
          <a:ahLst/>
          <a:cxnLst/>
          <a:rect l="0" t="0" r="0" b="0"/>
          <a:pathLst>
            <a:path>
              <a:moveTo>
                <a:pt x="0" y="16567"/>
              </a:moveTo>
              <a:lnTo>
                <a:pt x="603146" y="16567"/>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699820" y="2337912"/>
        <a:ext cx="30157" cy="30157"/>
      </dsp:txXfrm>
    </dsp:sp>
    <dsp:sp modelId="{0347DE98-0C36-4A45-8F88-51FF23E9CB5D}">
      <dsp:nvSpPr>
        <dsp:cNvPr id="0" name=""/>
        <dsp:cNvSpPr/>
      </dsp:nvSpPr>
      <dsp:spPr>
        <a:xfrm>
          <a:off x="4950554" y="2020806"/>
          <a:ext cx="1178272" cy="287999"/>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ts val="0"/>
            </a:spcAft>
            <a:buNone/>
          </a:pPr>
          <a:r>
            <a:rPr lang="en-GB" sz="800" kern="1200">
              <a:solidFill>
                <a:srgbClr val="5F2987"/>
              </a:solidFill>
              <a:latin typeface="Garamond" panose="02020404030301010803" pitchFamily="18" charset="0"/>
            </a:rPr>
            <a:t>Canal de balance general</a:t>
          </a:r>
        </a:p>
      </dsp:txBody>
      <dsp:txXfrm>
        <a:off x="4958989" y="2029241"/>
        <a:ext cx="1161402" cy="271129"/>
      </dsp:txXfrm>
    </dsp:sp>
    <dsp:sp modelId="{0778EAE4-0BD6-4131-A077-247AA2D5AF8F}">
      <dsp:nvSpPr>
        <dsp:cNvPr id="0" name=""/>
        <dsp:cNvSpPr/>
      </dsp:nvSpPr>
      <dsp:spPr>
        <a:xfrm>
          <a:off x="4479245" y="2524608"/>
          <a:ext cx="471308" cy="33134"/>
        </a:xfrm>
        <a:custGeom>
          <a:avLst/>
          <a:gdLst/>
          <a:ahLst/>
          <a:cxnLst/>
          <a:rect l="0" t="0" r="0" b="0"/>
          <a:pathLst>
            <a:path>
              <a:moveTo>
                <a:pt x="0" y="16567"/>
              </a:moveTo>
              <a:lnTo>
                <a:pt x="471308" y="16567"/>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703116" y="2529392"/>
        <a:ext cx="23565" cy="23565"/>
      </dsp:txXfrm>
    </dsp:sp>
    <dsp:sp modelId="{F027456B-F54A-4F47-911E-BA41F894ADB1}">
      <dsp:nvSpPr>
        <dsp:cNvPr id="0" name=""/>
        <dsp:cNvSpPr/>
      </dsp:nvSpPr>
      <dsp:spPr>
        <a:xfrm>
          <a:off x="4950554" y="2397175"/>
          <a:ext cx="1178272" cy="287999"/>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ts val="0"/>
            </a:spcAft>
            <a:buNone/>
          </a:pPr>
          <a:r>
            <a:rPr lang="en-GB" sz="800" kern="1200">
              <a:solidFill>
                <a:srgbClr val="5F2987"/>
              </a:solidFill>
              <a:latin typeface="Garamond" panose="02020404030301010803" pitchFamily="18" charset="0"/>
            </a:rPr>
            <a:t>Canal de flujo de efectivo</a:t>
          </a:r>
        </a:p>
      </dsp:txBody>
      <dsp:txXfrm>
        <a:off x="4958989" y="2405610"/>
        <a:ext cx="1161402" cy="271129"/>
      </dsp:txXfrm>
    </dsp:sp>
    <dsp:sp modelId="{36C479B2-1BC0-46B3-B2A3-52301B159495}">
      <dsp:nvSpPr>
        <dsp:cNvPr id="0" name=""/>
        <dsp:cNvSpPr/>
      </dsp:nvSpPr>
      <dsp:spPr>
        <a:xfrm rot="2316573">
          <a:off x="4413326" y="2712793"/>
          <a:ext cx="603146" cy="33134"/>
        </a:xfrm>
        <a:custGeom>
          <a:avLst/>
          <a:gdLst/>
          <a:ahLst/>
          <a:cxnLst/>
          <a:rect l="0" t="0" r="0" b="0"/>
          <a:pathLst>
            <a:path>
              <a:moveTo>
                <a:pt x="0" y="16567"/>
              </a:moveTo>
              <a:lnTo>
                <a:pt x="603146" y="16567"/>
              </a:lnTo>
            </a:path>
          </a:pathLst>
        </a:custGeom>
        <a:noFill/>
        <a:ln w="12700" cap="flat" cmpd="sng" algn="ctr">
          <a:solidFill>
            <a:srgbClr val="5F2987"/>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699820" y="2714281"/>
        <a:ext cx="30157" cy="30157"/>
      </dsp:txXfrm>
    </dsp:sp>
    <dsp:sp modelId="{5BADFBD6-B126-408E-8DC3-CFCBE1BAEED9}">
      <dsp:nvSpPr>
        <dsp:cNvPr id="0" name=""/>
        <dsp:cNvSpPr/>
      </dsp:nvSpPr>
      <dsp:spPr>
        <a:xfrm>
          <a:off x="4950554" y="2773545"/>
          <a:ext cx="1178272" cy="287999"/>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ts val="0"/>
            </a:spcAft>
            <a:buNone/>
          </a:pPr>
          <a:r>
            <a:rPr lang="en-GB" sz="800" kern="1200">
              <a:solidFill>
                <a:srgbClr val="5F2987"/>
              </a:solidFill>
              <a:latin typeface="Garamond" panose="02020404030301010803" pitchFamily="18" charset="0"/>
            </a:rPr>
            <a:t>Canal de nivel de precios no anticipado</a:t>
          </a:r>
        </a:p>
      </dsp:txBody>
      <dsp:txXfrm>
        <a:off x="4958989" y="2781980"/>
        <a:ext cx="1161402" cy="27112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D3BEAFE6B0D437282A591D19B724618"/>
        <w:category>
          <w:name w:val="General"/>
          <w:gallery w:val="placeholder"/>
        </w:category>
        <w:types>
          <w:type w:val="bbPlcHdr"/>
        </w:types>
        <w:behaviors>
          <w:behavior w:val="content"/>
        </w:behaviors>
        <w:guid w:val="{A4EA4A19-405E-472A-BA74-3EE32F5C7177}"/>
      </w:docPartPr>
      <w:docPartBody>
        <w:p w:rsidR="00B777BB" w:rsidRDefault="00820C5A">
          <w:pPr>
            <w:pStyle w:val="8D3BEAFE6B0D437282A591D19B724618"/>
          </w:pPr>
          <w:r w:rsidRPr="001B5103">
            <w:rPr>
              <w:rStyle w:val="Textodelmarcadordeposicin"/>
            </w:rPr>
            <w:t>[Title]</w:t>
          </w:r>
        </w:p>
      </w:docPartBody>
    </w:docPart>
    <w:docPart>
      <w:docPartPr>
        <w:name w:val="107D48692FA44EF3ABEE46C5960FD5BE"/>
        <w:category>
          <w:name w:val="General"/>
          <w:gallery w:val="placeholder"/>
        </w:category>
        <w:types>
          <w:type w:val="bbPlcHdr"/>
        </w:types>
        <w:behaviors>
          <w:behavior w:val="content"/>
        </w:behaviors>
        <w:guid w:val="{D3C7CC3F-9393-436E-9BBB-D7AECA5504FD}"/>
      </w:docPartPr>
      <w:docPartBody>
        <w:p w:rsidR="00B777BB" w:rsidRDefault="00820C5A">
          <w:pPr>
            <w:pStyle w:val="107D48692FA44EF3ABEE46C5960FD5BE"/>
          </w:pPr>
          <w:r w:rsidRPr="001B5103">
            <w:rPr>
              <w:rStyle w:val="Textodelmarcadordeposicin"/>
            </w:rPr>
            <w:t>[Subject]</w:t>
          </w:r>
        </w:p>
      </w:docPartBody>
    </w:docPart>
    <w:docPart>
      <w:docPartPr>
        <w:name w:val="55C17412C947413897D8E60AF7508611"/>
        <w:category>
          <w:name w:val="General"/>
          <w:gallery w:val="placeholder"/>
        </w:category>
        <w:types>
          <w:type w:val="bbPlcHdr"/>
        </w:types>
        <w:behaviors>
          <w:behavior w:val="content"/>
        </w:behaviors>
        <w:guid w:val="{EBA76CCF-CDC1-42C6-B37A-508EA4D8ED2F}"/>
      </w:docPartPr>
      <w:docPartBody>
        <w:p w:rsidR="00484EB4" w:rsidRDefault="00163B42" w:rsidP="00163B42">
          <w:pPr>
            <w:pStyle w:val="55C17412C947413897D8E60AF7508611"/>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C5A"/>
    <w:rsid w:val="001007A3"/>
    <w:rsid w:val="00163B42"/>
    <w:rsid w:val="001A130F"/>
    <w:rsid w:val="001C03B1"/>
    <w:rsid w:val="0023413D"/>
    <w:rsid w:val="0025584A"/>
    <w:rsid w:val="002E53F6"/>
    <w:rsid w:val="003943F5"/>
    <w:rsid w:val="003C3986"/>
    <w:rsid w:val="003E08CC"/>
    <w:rsid w:val="00451DCF"/>
    <w:rsid w:val="00484EB4"/>
    <w:rsid w:val="0052579C"/>
    <w:rsid w:val="0060752C"/>
    <w:rsid w:val="00670786"/>
    <w:rsid w:val="00735094"/>
    <w:rsid w:val="00776571"/>
    <w:rsid w:val="00813A28"/>
    <w:rsid w:val="00820C5A"/>
    <w:rsid w:val="0091083C"/>
    <w:rsid w:val="00937713"/>
    <w:rsid w:val="00990625"/>
    <w:rsid w:val="00A007D8"/>
    <w:rsid w:val="00A70147"/>
    <w:rsid w:val="00A817B9"/>
    <w:rsid w:val="00AA2366"/>
    <w:rsid w:val="00B17805"/>
    <w:rsid w:val="00B21CBD"/>
    <w:rsid w:val="00B777BB"/>
    <w:rsid w:val="00BC5EE1"/>
    <w:rsid w:val="00C07DE5"/>
    <w:rsid w:val="00C11502"/>
    <w:rsid w:val="00CB6C33"/>
    <w:rsid w:val="00D24905"/>
    <w:rsid w:val="00D93C13"/>
    <w:rsid w:val="00DC1BAF"/>
    <w:rsid w:val="00E62BD8"/>
    <w:rsid w:val="00E64F6A"/>
    <w:rsid w:val="00E85782"/>
    <w:rsid w:val="00EA1728"/>
    <w:rsid w:val="00F15650"/>
    <w:rsid w:val="00F753F1"/>
    <w:rsid w:val="00FF4B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15650"/>
    <w:rPr>
      <w:color w:val="808080"/>
    </w:rPr>
  </w:style>
  <w:style w:type="paragraph" w:customStyle="1" w:styleId="8D3BEAFE6B0D437282A591D19B724618">
    <w:name w:val="8D3BEAFE6B0D437282A591D19B724618"/>
  </w:style>
  <w:style w:type="paragraph" w:customStyle="1" w:styleId="107D48692FA44EF3ABEE46C5960FD5BE">
    <w:name w:val="107D48692FA44EF3ABEE46C5960FD5BE"/>
  </w:style>
  <w:style w:type="paragraph" w:customStyle="1" w:styleId="55C17412C947413897D8E60AF7508611">
    <w:name w:val="55C17412C947413897D8E60AF7508611"/>
    <w:rsid w:val="00163B42"/>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B5CE0-BA95-40B6-B7D6-9EFA98BDB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20</TotalTime>
  <Pages>1</Pages>
  <Words>16910</Words>
  <Characters>93009</Characters>
  <Application>Microsoft Office Word</Application>
  <DocSecurity>0</DocSecurity>
  <Lines>775</Lines>
  <Paragraphs>219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3.A.37</vt:lpstr>
      <vt:lpstr>3.A.36</vt:lpstr>
    </vt:vector>
  </TitlesOfParts>
  <Company/>
  <LinksUpToDate>false</LinksUpToDate>
  <CharactersWithSpaces>109700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3.A.37</dc:title>
  <dc:subject>Política monetaria (II). Los mecanismos de transmisión de la política monetaria convencional. Rigideces de precios, rigideces de salarios y fricciones financieras. Los mecanismos de transmisión de la política monetaria no convencional.</dc:subject>
  <dc:creator>Víctor Gutiérrez Marcos</dc:creator>
  <cp:keywords/>
  <dc:description/>
  <cp:lastModifiedBy>Víctor Gutiérrez Marcos</cp:lastModifiedBy>
  <dcterms:created xsi:type="dcterms:W3CDTF">2024-08-07T19:00:00Z</dcterms:created>
  <dcterms:modified xsi:type="dcterms:W3CDTF">2024-08-10T13:26:00Z</dcterms:modified>
</cp:coreProperties>
</file>