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24E18C" w14:textId="15B2FA22" w:rsidR="00307C23" w:rsidRDefault="00000000" w:rsidP="00E25DD3">
      <w:pPr>
        <w:pStyle w:val="Ttulo"/>
        <w:ind w:left="-851" w:right="-992"/>
      </w:pPr>
      <w:sdt>
        <w:sdtPr>
          <w:rPr>
            <w:i/>
            <w:iCs w:val="0"/>
            <w:u w:val="single"/>
          </w:rPr>
          <w:alias w:val="Title"/>
          <w:tag w:val=""/>
          <w:id w:val="-780801520"/>
          <w:placeholder>
            <w:docPart w:val="001948B1AF424C3A93072259E96A89C7"/>
          </w:placeholder>
          <w:dataBinding w:prefixMappings="xmlns:ns0='http://purl.org/dc/elements/1.1/' xmlns:ns1='http://schemas.openxmlformats.org/package/2006/metadata/core-properties' " w:xpath="/ns1:coreProperties[1]/ns0:title[1]" w:storeItemID="{6C3C8BC8-F283-45AE-878A-BAB7291924A1}"/>
          <w:text/>
        </w:sdtPr>
        <w:sdtContent>
          <w:r w:rsidR="00793248">
            <w:rPr>
              <w:i/>
              <w:iCs w:val="0"/>
              <w:u w:val="single"/>
            </w:rPr>
            <w:t>3.A.</w:t>
          </w:r>
          <w:r w:rsidR="00A85073">
            <w:rPr>
              <w:i/>
              <w:iCs w:val="0"/>
              <w:u w:val="single"/>
            </w:rPr>
            <w:t>30</w:t>
          </w:r>
        </w:sdtContent>
      </w:sdt>
      <w:r w:rsidR="00C81078" w:rsidRPr="004C0C34">
        <w:t xml:space="preserve">: </w:t>
      </w:r>
      <w:sdt>
        <w:sdtPr>
          <w:alias w:val="Subject"/>
          <w:tag w:val=""/>
          <w:id w:val="-1903059896"/>
          <w:placeholder>
            <w:docPart w:val="118D963C6E9747A88EF84D1E0DF02BD2"/>
          </w:placeholder>
          <w:dataBinding w:prefixMappings="xmlns:ns0='http://purl.org/dc/elements/1.1/' xmlns:ns1='http://schemas.openxmlformats.org/package/2006/metadata/core-properties' " w:xpath="/ns1:coreProperties[1]/ns0:subject[1]" w:storeItemID="{6C3C8BC8-F283-45AE-878A-BAB7291924A1}"/>
          <w:text/>
        </w:sdtPr>
        <w:sdtContent>
          <w:r w:rsidR="00793248">
            <w:t>Magnitudes macroeconómicas y contabilidad nacional</w:t>
          </w:r>
          <w:r w:rsidR="00A85073">
            <w:t>.</w:t>
          </w:r>
        </w:sdtContent>
      </w:sdt>
    </w:p>
    <w:p w14:paraId="4E963FB5" w14:textId="77777777" w:rsidR="00E11913" w:rsidRDefault="00E11913" w:rsidP="00E11913">
      <w:pPr>
        <w:pStyle w:val="Notaalopositor"/>
        <w:spacing w:after="0"/>
      </w:pPr>
      <w:bookmarkStart w:id="0" w:name="_Hlk116573156"/>
      <w:bookmarkStart w:id="1" w:name="_Hlk110242872"/>
      <w:bookmarkStart w:id="2" w:name="_Hlk134527429"/>
      <w:r>
        <w:t>Con el cambio de temario, a partir de la convocatoria de 2023 este tema pasará a ser:</w:t>
      </w:r>
    </w:p>
    <w:p w14:paraId="7516D685" w14:textId="044AEE2C" w:rsidR="00E11913" w:rsidRDefault="00E11913" w:rsidP="00E11913">
      <w:pPr>
        <w:pStyle w:val="Notaalopositor"/>
      </w:pPr>
      <w:r>
        <w:t>3.A.</w:t>
      </w:r>
      <w:r w:rsidR="00F835E7">
        <w:t>30</w:t>
      </w:r>
      <w:r>
        <w:t>: Magnitudes macroeconómicas y contabilidad nacional.</w:t>
      </w:r>
    </w:p>
    <w:p w14:paraId="0830AF5F" w14:textId="0853EDA9" w:rsidR="00E11913" w:rsidRDefault="00E11913" w:rsidP="00E11913">
      <w:pPr>
        <w:pStyle w:val="Notaalopositor"/>
        <w:jc w:val="center"/>
      </w:pPr>
      <w:r w:rsidRPr="007B1F97">
        <w:rPr>
          <w:noProof/>
        </w:rPr>
        <w:drawing>
          <wp:inline distT="0" distB="0" distL="0" distR="0" wp14:anchorId="5F21D3CB" wp14:editId="7261216B">
            <wp:extent cx="2880000" cy="3008692"/>
            <wp:effectExtent l="0" t="0" r="0" b="127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8"/>
                    <a:stretch>
                      <a:fillRect/>
                    </a:stretch>
                  </pic:blipFill>
                  <pic:spPr>
                    <a:xfrm>
                      <a:off x="0" y="0"/>
                      <a:ext cx="2880000" cy="3008692"/>
                    </a:xfrm>
                    <a:prstGeom prst="rect">
                      <a:avLst/>
                    </a:prstGeom>
                  </pic:spPr>
                </pic:pic>
              </a:graphicData>
            </a:graphic>
          </wp:inline>
        </w:drawing>
      </w:r>
    </w:p>
    <w:p w14:paraId="7BBA91EA" w14:textId="6E3EC3C4" w:rsidR="005E3C00" w:rsidRDefault="00E11913" w:rsidP="00E11913">
      <w:pPr>
        <w:pStyle w:val="Notaalopositor"/>
      </w:pPr>
      <w:r>
        <w:t>De este modo, con lo escrito en este documento</w:t>
      </w:r>
      <w:bookmarkEnd w:id="0"/>
      <w:bookmarkEnd w:id="1"/>
      <w:r>
        <w:t xml:space="preserve">, estaría </w:t>
      </w:r>
      <w:r>
        <w:rPr>
          <w:b/>
          <w:bCs/>
        </w:rPr>
        <w:t>actualizado</w:t>
      </w:r>
      <w:r>
        <w:t>.</w:t>
      </w:r>
    </w:p>
    <w:p w14:paraId="09ED6665" w14:textId="5F855687" w:rsidR="0021774E" w:rsidRPr="00B9022F" w:rsidRDefault="0021774E" w:rsidP="00B9022F">
      <w:pPr>
        <w:pStyle w:val="Introduccinyconclusin"/>
      </w:pPr>
      <w:bookmarkStart w:id="3" w:name="_Hlk58230586"/>
      <w:bookmarkStart w:id="4" w:name="_Toc55382054"/>
      <w:bookmarkStart w:id="5" w:name="_Toc55382089"/>
      <w:bookmarkStart w:id="6" w:name="_Toc55382517"/>
      <w:bookmarkStart w:id="7" w:name="_Toc55382751"/>
      <w:bookmarkEnd w:id="2"/>
      <w:bookmarkEnd w:id="3"/>
      <w:r w:rsidRPr="00B9022F">
        <w:t>I</w:t>
      </w:r>
      <w:r w:rsidRPr="00B9022F">
        <w:rPr>
          <w:rStyle w:val="IntroduccinyconclusinChar"/>
          <w:b/>
          <w:bCs/>
          <w:caps/>
          <w:shd w:val="clear" w:color="auto" w:fill="auto"/>
        </w:rPr>
        <w:t>NTRODUCCIÓN</w:t>
      </w:r>
      <w:bookmarkEnd w:id="4"/>
      <w:bookmarkEnd w:id="5"/>
      <w:bookmarkEnd w:id="6"/>
      <w:bookmarkEnd w:id="7"/>
    </w:p>
    <w:p w14:paraId="737DDC72" w14:textId="6EDD335D" w:rsidR="00B77C0F" w:rsidRDefault="001F21D6" w:rsidP="00BC549A">
      <w:pPr>
        <w:pStyle w:val="Nivel1"/>
        <w:keepNext/>
        <w:spacing w:before="0" w:after="0"/>
      </w:pPr>
      <w:r>
        <w:rPr>
          <w:noProof/>
        </w:rPr>
        <w:drawing>
          <wp:anchor distT="0" distB="0" distL="114300" distR="114300" simplePos="0" relativeHeight="251665408" behindDoc="0" locked="0" layoutInCell="1" allowOverlap="1" wp14:anchorId="5B2BAA42" wp14:editId="558134CB">
            <wp:simplePos x="0" y="0"/>
            <wp:positionH relativeFrom="column">
              <wp:posOffset>5216635</wp:posOffset>
            </wp:positionH>
            <wp:positionV relativeFrom="paragraph">
              <wp:posOffset>186028</wp:posOffset>
            </wp:positionV>
            <wp:extent cx="1398905" cy="988695"/>
            <wp:effectExtent l="0" t="0" r="0" b="1905"/>
            <wp:wrapSquare wrapText="bothSides"/>
            <wp:docPr id="1" name="Picture 1" descr="INEbase / Economía /Cuentas económicas /Contabilidad nacional trimestral de  España: principales agregados (CNTR) / Últimos da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Ebase / Economía /Cuentas económicas /Contabilidad nacional trimestral de  España: principales agregados (CNTR) / Últimos dato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8905" cy="988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7C0F" w:rsidRPr="00C80BBD">
        <w:rPr>
          <w:b/>
          <w:bCs/>
          <w:i/>
          <w:iCs/>
        </w:rPr>
        <w:t>Enganche</w:t>
      </w:r>
      <w:r w:rsidR="00B77C0F">
        <w:t>:</w:t>
      </w:r>
    </w:p>
    <w:p w14:paraId="316CAEFE" w14:textId="311ADEAC" w:rsidR="00D957F4" w:rsidRDefault="00B021BC" w:rsidP="00E93993">
      <w:pPr>
        <w:pStyle w:val="Nivel2"/>
        <w:keepNext/>
        <w:spacing w:after="0"/>
      </w:pPr>
      <w:bookmarkStart w:id="8" w:name="_Hlk103165953"/>
      <w:bookmarkStart w:id="9" w:name="_Hlk146454304"/>
      <w:r>
        <w:t>Como recita el aforismo</w:t>
      </w:r>
      <w:r w:rsidR="0047267B">
        <w:t>:</w:t>
      </w:r>
      <w:r>
        <w:t xml:space="preserve"> </w:t>
      </w:r>
      <w:r w:rsidR="0047267B" w:rsidRPr="0047267B">
        <w:rPr>
          <w:i/>
          <w:iCs/>
        </w:rPr>
        <w:t>“</w:t>
      </w:r>
      <w:r w:rsidRPr="0047267B">
        <w:rPr>
          <w:i/>
          <w:iCs/>
        </w:rPr>
        <w:t>no se puede gestionar lo que no se puede medir</w:t>
      </w:r>
      <w:r w:rsidR="0047267B" w:rsidRPr="0047267B">
        <w:rPr>
          <w:i/>
          <w:iCs/>
        </w:rPr>
        <w:t>”</w:t>
      </w:r>
      <w:r>
        <w:t>.</w:t>
      </w:r>
    </w:p>
    <w:p w14:paraId="0BA24346" w14:textId="76175D0F" w:rsidR="00B021BC" w:rsidRDefault="00B021BC" w:rsidP="00F6714C">
      <w:pPr>
        <w:pStyle w:val="Nivel3"/>
        <w:keepNext/>
      </w:pPr>
      <w:r>
        <w:t>En este sentido, si queremos estudiar el comportamiento agregado de una economía, necesitamos una forma de registrar las actividades económicas que tienen lugar dentro del propio país con el fin de extraer una serie de macromagnitudes que van a proporcionar una información relevante del estado de una economía.</w:t>
      </w:r>
    </w:p>
    <w:p w14:paraId="795A0008" w14:textId="56E3E30E" w:rsidR="009463BC" w:rsidRDefault="009463BC" w:rsidP="00F6714C">
      <w:pPr>
        <w:pStyle w:val="Nivel4"/>
      </w:pPr>
      <w:r>
        <w:t xml:space="preserve">Este es el cometido de la </w:t>
      </w:r>
      <w:r>
        <w:rPr>
          <w:i/>
          <w:iCs/>
        </w:rPr>
        <w:t>Contabilidad Nacional</w:t>
      </w:r>
      <w:r>
        <w:t>.</w:t>
      </w:r>
    </w:p>
    <w:bookmarkEnd w:id="8"/>
    <w:p w14:paraId="7F8A6760" w14:textId="7E44DDD6" w:rsidR="009463BC" w:rsidRPr="00131126" w:rsidRDefault="009463BC" w:rsidP="00D957F4">
      <w:pPr>
        <w:pStyle w:val="Nivel2"/>
      </w:pPr>
      <w:r w:rsidRPr="009463BC">
        <w:rPr>
          <w:i/>
          <w:iCs/>
          <w:u w:val="single"/>
        </w:rPr>
        <w:t>E</w:t>
      </w:r>
      <w:r>
        <w:rPr>
          <w:i/>
          <w:iCs/>
          <w:u w:val="single"/>
        </w:rPr>
        <w:t xml:space="preserve">n esta </w:t>
      </w:r>
      <w:r w:rsidRPr="009463BC">
        <w:rPr>
          <w:i/>
          <w:iCs/>
          <w:u w:val="single"/>
        </w:rPr>
        <w:t>exposición</w:t>
      </w:r>
      <w:r>
        <w:t xml:space="preserve">, </w:t>
      </w:r>
      <w:r w:rsidR="009F2DC6">
        <w:t xml:space="preserve">nos centraremos en la definición de las principales variables asociadas al ámbito macroeconómico, así como de su interrelación y presentación dentro de un sistema contable, el Sistema Europeo de Cuentas del año 2010, que nos va a permitir mostrar las macromagnitudes del país como resultantes del comportamiento de las distintas unidades institucionales en su triple vertiente de </w:t>
      </w:r>
      <w:r w:rsidR="009F2DC6">
        <w:rPr>
          <w:i/>
          <w:iCs/>
        </w:rPr>
        <w:t>productores</w:t>
      </w:r>
      <w:r w:rsidR="009F2DC6">
        <w:t xml:space="preserve">, </w:t>
      </w:r>
      <w:r w:rsidR="009F2DC6">
        <w:rPr>
          <w:i/>
          <w:iCs/>
        </w:rPr>
        <w:t>perceptores de renta</w:t>
      </w:r>
      <w:r w:rsidR="009F2DC6">
        <w:t xml:space="preserve"> y </w:t>
      </w:r>
      <w:r w:rsidR="009F2DC6">
        <w:rPr>
          <w:i/>
          <w:iCs/>
        </w:rPr>
        <w:t>agentes del gasto</w:t>
      </w:r>
      <w:r w:rsidR="009F2DC6">
        <w:t>.</w:t>
      </w:r>
    </w:p>
    <w:bookmarkEnd w:id="9"/>
    <w:p w14:paraId="2D06DA0B" w14:textId="07EACC75" w:rsidR="00B021BC" w:rsidRDefault="00B021BC" w:rsidP="00B021BC">
      <w:pPr>
        <w:pStyle w:val="Nivel1"/>
        <w:keepNext/>
        <w:spacing w:after="0"/>
      </w:pPr>
      <w:r w:rsidRPr="00B021BC">
        <w:rPr>
          <w:b/>
          <w:bCs/>
          <w:i/>
          <w:iCs/>
        </w:rPr>
        <w:t>Relev</w:t>
      </w:r>
      <w:r>
        <w:rPr>
          <w:b/>
          <w:bCs/>
          <w:i/>
          <w:iCs/>
        </w:rPr>
        <w:t>a</w:t>
      </w:r>
      <w:r w:rsidRPr="00B021BC">
        <w:rPr>
          <w:b/>
          <w:bCs/>
          <w:i/>
          <w:iCs/>
        </w:rPr>
        <w:t>ncia</w:t>
      </w:r>
      <w:r>
        <w:t>:</w:t>
      </w:r>
    </w:p>
    <w:p w14:paraId="65DECEF0" w14:textId="0A770261" w:rsidR="009463BC" w:rsidRPr="00F835E7" w:rsidRDefault="009463BC" w:rsidP="00131126">
      <w:pPr>
        <w:pStyle w:val="Nivel2"/>
        <w:keepNext/>
        <w:spacing w:after="0"/>
        <w:rPr>
          <w:spacing w:val="-2"/>
        </w:rPr>
      </w:pPr>
      <w:bookmarkStart w:id="10" w:name="_Hlk103166027"/>
      <w:r w:rsidRPr="00F835E7">
        <w:rPr>
          <w:spacing w:val="-2"/>
        </w:rPr>
        <w:t xml:space="preserve">La información estadística económica recogida en las cuentas nacionales es un instrumento básico para la adopción de decisiones en el </w:t>
      </w:r>
      <w:r w:rsidRPr="00F835E7">
        <w:rPr>
          <w:i/>
          <w:iCs/>
          <w:spacing w:val="-2"/>
        </w:rPr>
        <w:t>ámbito de la política económica</w:t>
      </w:r>
      <w:r w:rsidR="00131126" w:rsidRPr="00F835E7">
        <w:rPr>
          <w:spacing w:val="-2"/>
        </w:rPr>
        <w:t>, al permitir emitir predicciones y valorar las consecuencias de las políticas adoptadas</w:t>
      </w:r>
      <w:r w:rsidRPr="00F835E7">
        <w:rPr>
          <w:spacing w:val="-2"/>
        </w:rPr>
        <w:t>.</w:t>
      </w:r>
      <w:r w:rsidR="00131126" w:rsidRPr="00F835E7">
        <w:rPr>
          <w:spacing w:val="-2"/>
        </w:rPr>
        <w:t xml:space="preserve"> </w:t>
      </w:r>
      <w:bookmarkEnd w:id="10"/>
      <w:r w:rsidR="00131126" w:rsidRPr="00F835E7">
        <w:rPr>
          <w:spacing w:val="-2"/>
        </w:rPr>
        <w:t>De este modo:</w:t>
      </w:r>
    </w:p>
    <w:p w14:paraId="07D9E229" w14:textId="7C440A2F" w:rsidR="00B021BC" w:rsidRDefault="00131126" w:rsidP="00131126">
      <w:pPr>
        <w:pStyle w:val="Nivel3"/>
      </w:pPr>
      <w:r>
        <w:t>Algunas macromagnitudes como el PIB ofrecen una aproximación al nivel del bienestar de un país</w:t>
      </w:r>
      <w:r w:rsidR="008C6957">
        <w:t xml:space="preserve"> </w:t>
      </w:r>
      <w:r w:rsidR="008C6957" w:rsidRPr="008C6957">
        <w:rPr>
          <w:color w:val="767171" w:themeColor="background2" w:themeShade="80"/>
          <w:sz w:val="19"/>
        </w:rPr>
        <w:t>[</w:t>
      </w:r>
      <w:r w:rsidR="008C6957">
        <w:rPr>
          <w:color w:val="767171" w:themeColor="background2" w:themeShade="80"/>
          <w:sz w:val="19"/>
        </w:rPr>
        <w:t>ver Anexo</w:t>
      </w:r>
      <w:r w:rsidR="00A3243E">
        <w:rPr>
          <w:color w:val="767171" w:themeColor="background2" w:themeShade="80"/>
          <w:sz w:val="19"/>
        </w:rPr>
        <w:t> </w:t>
      </w:r>
      <w:r w:rsidR="008C6957">
        <w:rPr>
          <w:color w:val="767171" w:themeColor="background2" w:themeShade="80"/>
          <w:sz w:val="19"/>
        </w:rPr>
        <w:fldChar w:fldCharType="begin"/>
      </w:r>
      <w:r w:rsidR="008C6957">
        <w:rPr>
          <w:color w:val="767171" w:themeColor="background2" w:themeShade="80"/>
          <w:sz w:val="19"/>
        </w:rPr>
        <w:instrText xml:space="preserve"> REF _Ref103163548 \r \h </w:instrText>
      </w:r>
      <w:r w:rsidR="008C6957">
        <w:rPr>
          <w:color w:val="767171" w:themeColor="background2" w:themeShade="80"/>
          <w:sz w:val="19"/>
        </w:rPr>
      </w:r>
      <w:r w:rsidR="008C6957">
        <w:rPr>
          <w:color w:val="767171" w:themeColor="background2" w:themeShade="80"/>
          <w:sz w:val="19"/>
        </w:rPr>
        <w:fldChar w:fldCharType="separate"/>
      </w:r>
      <w:r w:rsidR="001A65F8">
        <w:rPr>
          <w:color w:val="767171" w:themeColor="background2" w:themeShade="80"/>
          <w:sz w:val="19"/>
        </w:rPr>
        <w:t>A.6</w:t>
      </w:r>
      <w:r w:rsidR="008C6957">
        <w:rPr>
          <w:color w:val="767171" w:themeColor="background2" w:themeShade="80"/>
          <w:sz w:val="19"/>
        </w:rPr>
        <w:fldChar w:fldCharType="end"/>
      </w:r>
      <w:r w:rsidR="008C6957" w:rsidRPr="008C6957">
        <w:rPr>
          <w:color w:val="767171" w:themeColor="background2" w:themeShade="80"/>
          <w:sz w:val="19"/>
        </w:rPr>
        <w:t>]</w:t>
      </w:r>
      <w:r>
        <w:t>.</w:t>
      </w:r>
    </w:p>
    <w:p w14:paraId="7C794EA2" w14:textId="18B8518F" w:rsidR="00131126" w:rsidRDefault="00131126" w:rsidP="00131126">
      <w:pPr>
        <w:pStyle w:val="Nivel3"/>
      </w:pPr>
      <w:r>
        <w:t>Otras magnitudes como el ahorro o la inversión nacional son un indicativo de que los niveles de bienestar de un país serán sostenibles en el futuro.</w:t>
      </w:r>
    </w:p>
    <w:p w14:paraId="3E7F049D" w14:textId="04A579FE" w:rsidR="00A51B24" w:rsidRPr="00C80BBD" w:rsidRDefault="00C80BBD" w:rsidP="00A80AB5">
      <w:pPr>
        <w:pStyle w:val="Nivel1"/>
        <w:keepNext/>
        <w:spacing w:after="0"/>
        <w:rPr>
          <w:b/>
          <w:bCs/>
          <w:i/>
          <w:iCs/>
        </w:rPr>
      </w:pPr>
      <w:r>
        <w:rPr>
          <w:b/>
          <w:bCs/>
          <w:i/>
          <w:iCs/>
        </w:rPr>
        <w:lastRenderedPageBreak/>
        <w:t>Contextualización</w:t>
      </w:r>
      <w:r>
        <w:t>:</w:t>
      </w:r>
    </w:p>
    <w:p w14:paraId="1CA25776" w14:textId="591D418F" w:rsidR="00F6714C" w:rsidRDefault="0047267B" w:rsidP="009F2DC6">
      <w:pPr>
        <w:pStyle w:val="Nivel2"/>
        <w:keepNext/>
        <w:spacing w:after="0"/>
      </w:pPr>
      <w:bookmarkStart w:id="11" w:name="_Hlk103166308"/>
      <w:r w:rsidRPr="005936DF">
        <w:rPr>
          <w:i/>
          <w:iCs/>
        </w:rPr>
        <w:t>Desde un punto de vista histórico</w:t>
      </w:r>
      <w:r>
        <w:t>, c</w:t>
      </w:r>
      <w:r w:rsidR="006F4AAB" w:rsidRPr="006F4AAB">
        <w:t>abe señalar que el desarrollo de las Cuentas Nacionales ha venido influenciado por</w:t>
      </w:r>
      <w:r w:rsidR="00131126">
        <w:t xml:space="preserve"> la existencia de una </w:t>
      </w:r>
      <w:r w:rsidR="00131126" w:rsidRPr="006F4AAB">
        <w:rPr>
          <w:i/>
          <w:iCs/>
        </w:rPr>
        <w:t>teoría macroeconómica</w:t>
      </w:r>
      <w:r w:rsidR="006F4AAB">
        <w:t xml:space="preserve"> (keynesiana)</w:t>
      </w:r>
      <w:r w:rsidR="006F4AAB">
        <w:rPr>
          <w:rStyle w:val="Refdenotaalpie"/>
        </w:rPr>
        <w:footnoteReference w:id="2"/>
      </w:r>
      <w:r w:rsidR="00F6714C">
        <w:t>.</w:t>
      </w:r>
    </w:p>
    <w:p w14:paraId="15E2D8F1" w14:textId="77777777" w:rsidR="00F6714C" w:rsidRPr="001D0D41" w:rsidRDefault="00F6714C" w:rsidP="00F6714C">
      <w:pPr>
        <w:pStyle w:val="Nivel3"/>
        <w:keepNext/>
        <w:rPr>
          <w:spacing w:val="-2"/>
        </w:rPr>
      </w:pPr>
      <w:r w:rsidRPr="001D0D41">
        <w:rPr>
          <w:spacing w:val="-2"/>
        </w:rPr>
        <w:t xml:space="preserve">La teoría macroeconómica </w:t>
      </w:r>
      <w:r w:rsidR="009F2DC6" w:rsidRPr="001D0D41">
        <w:rPr>
          <w:spacing w:val="-2"/>
        </w:rPr>
        <w:t xml:space="preserve">es aquella </w:t>
      </w:r>
      <w:r w:rsidRPr="001D0D41">
        <w:rPr>
          <w:spacing w:val="-2"/>
        </w:rPr>
        <w:t>rama</w:t>
      </w:r>
      <w:r w:rsidR="009F2DC6" w:rsidRPr="001D0D41">
        <w:rPr>
          <w:spacing w:val="-2"/>
        </w:rPr>
        <w:t xml:space="preserve"> de la Teoría Económica, que </w:t>
      </w:r>
      <w:r w:rsidR="00131126" w:rsidRPr="001D0D41">
        <w:rPr>
          <w:spacing w:val="-2"/>
        </w:rPr>
        <w:t>intenta explicar el comportamiento de la economía en su conjunto a partir de la construcción de modelos que permitan analizar el efecto de diferentes políticas económicas.</w:t>
      </w:r>
    </w:p>
    <w:p w14:paraId="6A767E97" w14:textId="2F84D4C2" w:rsidR="00F6714C" w:rsidRDefault="00F6714C" w:rsidP="00F6714C">
      <w:pPr>
        <w:pStyle w:val="Nivel4"/>
      </w:pPr>
      <w:r>
        <w:t>Es decir, s</w:t>
      </w:r>
      <w:r w:rsidR="00EC4D96">
        <w:t>u objeto principal es explicar la evolución de los agregados económicos</w:t>
      </w:r>
      <w:r>
        <w:t xml:space="preserve"> (p.ej. </w:t>
      </w:r>
      <w:r w:rsidR="00EC4D96">
        <w:t>volumen de producción, nivel general de precios o nivel de empleo</w:t>
      </w:r>
      <w:r>
        <w:t>)</w:t>
      </w:r>
      <w:r w:rsidR="00EC4D96">
        <w:t>. Estos agregados son el resultado de agrupar los comportamientos de distintos agentes individuales en diferentes mercados.</w:t>
      </w:r>
    </w:p>
    <w:p w14:paraId="6FF9E2AD" w14:textId="34EC7F20" w:rsidR="00131126" w:rsidRDefault="006F4AAB" w:rsidP="00F6714C">
      <w:pPr>
        <w:pStyle w:val="Nivel3"/>
        <w:keepNext/>
      </w:pPr>
      <w:r>
        <w:t>No es de extrañar</w:t>
      </w:r>
      <w:r w:rsidR="001F35F3">
        <w:t>,</w:t>
      </w:r>
      <w:r>
        <w:t xml:space="preserve"> por </w:t>
      </w:r>
      <w:r w:rsidR="00A6227E">
        <w:t xml:space="preserve">tanto, que la contabilidad nacional sea una herramienta que en su forma actual aparece en la década de 1930 de la mano de economistas como </w:t>
      </w:r>
      <w:r w:rsidR="00A6227E">
        <w:rPr>
          <w:smallCaps/>
        </w:rPr>
        <w:t>Kuznets</w:t>
      </w:r>
      <w:r w:rsidR="00A6227E">
        <w:t xml:space="preserve"> o </w:t>
      </w:r>
      <w:r w:rsidR="00A6227E">
        <w:rPr>
          <w:smallCaps/>
        </w:rPr>
        <w:t>Stone</w:t>
      </w:r>
      <w:r w:rsidR="00A6227E">
        <w:t>.</w:t>
      </w:r>
    </w:p>
    <w:p w14:paraId="1080C06C" w14:textId="34AD0AB8" w:rsidR="00131126" w:rsidRPr="00BC549A" w:rsidRDefault="00254C13" w:rsidP="00F6714C">
      <w:pPr>
        <w:pStyle w:val="Nivel4"/>
        <w:rPr>
          <w:spacing w:val="-3"/>
        </w:rPr>
      </w:pPr>
      <w:r w:rsidRPr="00BC549A">
        <w:rPr>
          <w:smallCaps/>
          <w:spacing w:val="-3"/>
        </w:rPr>
        <w:t>Simon Kuznets</w:t>
      </w:r>
      <w:r w:rsidR="00F6714C" w:rsidRPr="00BC549A">
        <w:rPr>
          <w:rStyle w:val="Refdenotaalpie"/>
          <w:spacing w:val="-3"/>
        </w:rPr>
        <w:footnoteReference w:id="3"/>
      </w:r>
      <w:r w:rsidRPr="00BC549A">
        <w:rPr>
          <w:spacing w:val="-3"/>
        </w:rPr>
        <w:t xml:space="preserve"> fue capaz de utilizar la contabilidad nacional para aconsejar al presidente de </w:t>
      </w:r>
      <w:r w:rsidR="00BC549A" w:rsidRPr="00BC549A">
        <w:rPr>
          <w:spacing w:val="-3"/>
        </w:rPr>
        <w:t xml:space="preserve">Estados Unidos </w:t>
      </w:r>
      <w:r w:rsidRPr="00BC549A">
        <w:rPr>
          <w:spacing w:val="-3"/>
        </w:rPr>
        <w:t xml:space="preserve">sobre la organización del ejército durante la </w:t>
      </w:r>
      <w:r w:rsidR="00BC549A" w:rsidRPr="00BC549A">
        <w:rPr>
          <w:spacing w:val="-3"/>
        </w:rPr>
        <w:t>2ª </w:t>
      </w:r>
      <w:r w:rsidRPr="00BC549A">
        <w:rPr>
          <w:spacing w:val="-3"/>
        </w:rPr>
        <w:t>Guerra Mundial, contribuyendo con ello de manera decisiva a la derrota del eje</w:t>
      </w:r>
      <w:r w:rsidRPr="00BC549A">
        <w:rPr>
          <w:rStyle w:val="Refdenotaalpie"/>
          <w:spacing w:val="-3"/>
        </w:rPr>
        <w:footnoteReference w:id="4"/>
      </w:r>
      <w:r w:rsidRPr="00BC549A">
        <w:rPr>
          <w:spacing w:val="-3"/>
        </w:rPr>
        <w:t>.</w:t>
      </w:r>
    </w:p>
    <w:p w14:paraId="0ED17A44" w14:textId="15839283" w:rsidR="00131126" w:rsidRPr="00410B74" w:rsidRDefault="00410B74" w:rsidP="004C6EF5">
      <w:pPr>
        <w:pStyle w:val="Nivel4"/>
      </w:pPr>
      <w:r w:rsidRPr="00410B74">
        <w:rPr>
          <w:smallCaps/>
        </w:rPr>
        <w:t>Richard Stone</w:t>
      </w:r>
      <w:r w:rsidR="00F6714C" w:rsidRPr="00A6227E">
        <w:rPr>
          <w:rStyle w:val="Refdenotaalpie"/>
        </w:rPr>
        <w:footnoteReference w:id="5"/>
      </w:r>
      <w:r w:rsidRPr="00410B74">
        <w:t xml:space="preserve">, por su parte, </w:t>
      </w:r>
      <w:r>
        <w:t>introdujo el principio contable de partida doble en el Sistema de Cuentas Nacionales (SCN) y fue el impulsor de los trabajos de normalización de las Naciones Unidas. Este proceso de homogeneización en su última versión constituye el SCN-2008 sobre el que la Unión Europea tiene aprobado el Sistema Europeo de Cuentas (</w:t>
      </w:r>
      <w:r w:rsidR="00BC549A">
        <w:t>SEC 2010</w:t>
      </w:r>
      <w:r>
        <w:t>)</w:t>
      </w:r>
      <w:r w:rsidR="00F6714C">
        <w:t>.</w:t>
      </w:r>
    </w:p>
    <w:bookmarkEnd w:id="11"/>
    <w:p w14:paraId="55A5DF29" w14:textId="6FD5B428" w:rsidR="00AA00B5" w:rsidRDefault="00B77C0F" w:rsidP="004C6EF5">
      <w:pPr>
        <w:pStyle w:val="Nivel1"/>
        <w:keepNext/>
        <w:spacing w:after="0"/>
      </w:pPr>
      <w:r w:rsidRPr="00C80BBD">
        <w:rPr>
          <w:b/>
          <w:bCs/>
          <w:i/>
          <w:iCs/>
        </w:rPr>
        <w:t>Problemática</w:t>
      </w:r>
      <w:r w:rsidR="00C80BBD" w:rsidRPr="00C80BBD">
        <w:rPr>
          <w:b/>
          <w:bCs/>
          <w:i/>
          <w:iCs/>
        </w:rPr>
        <w:t xml:space="preserve"> (</w:t>
      </w:r>
      <w:r w:rsidR="00C80BBD">
        <w:rPr>
          <w:b/>
          <w:bCs/>
          <w:i/>
          <w:iCs/>
        </w:rPr>
        <w:t>P</w:t>
      </w:r>
      <w:r w:rsidR="00C80BBD" w:rsidRPr="00C80BBD">
        <w:rPr>
          <w:b/>
          <w:bCs/>
          <w:i/>
          <w:iCs/>
        </w:rPr>
        <w:t>reguntas clave)</w:t>
      </w:r>
      <w:r w:rsidRPr="000A3137">
        <w:t>:</w:t>
      </w:r>
    </w:p>
    <w:p w14:paraId="25E2BF19" w14:textId="4B118312" w:rsidR="008417AE" w:rsidRPr="00E93993" w:rsidRDefault="008417AE" w:rsidP="00F6714C">
      <w:pPr>
        <w:pStyle w:val="Nivel2"/>
        <w:keepNext/>
        <w:spacing w:after="0"/>
        <w:rPr>
          <w:spacing w:val="-4"/>
        </w:rPr>
      </w:pPr>
      <w:r w:rsidRPr="00E93993">
        <w:rPr>
          <w:spacing w:val="-4"/>
        </w:rPr>
        <w:t>¿Qué es una macromagnitud?</w:t>
      </w:r>
      <w:r w:rsidR="00B85455" w:rsidRPr="00E93993">
        <w:rPr>
          <w:spacing w:val="-4"/>
        </w:rPr>
        <w:t xml:space="preserve"> ¿Qué información revelan las variables macroeconómicas?</w:t>
      </w:r>
    </w:p>
    <w:p w14:paraId="06C9FB53" w14:textId="2C9C8454" w:rsidR="008417AE" w:rsidRDefault="008417AE" w:rsidP="00B85455">
      <w:pPr>
        <w:pStyle w:val="Nivel3"/>
      </w:pPr>
      <w:r>
        <w:t>¿Cuáles son las principales macromagnitudes?</w:t>
      </w:r>
    </w:p>
    <w:p w14:paraId="0DBB5F72" w14:textId="22CB3BBD" w:rsidR="008417AE" w:rsidRDefault="008417AE" w:rsidP="00B85455">
      <w:pPr>
        <w:pStyle w:val="Nivel3"/>
      </w:pPr>
      <w:r>
        <w:t>¿Qué es la contabilidad nacional?</w:t>
      </w:r>
    </w:p>
    <w:p w14:paraId="6849460B" w14:textId="392D4DB5" w:rsidR="008417AE" w:rsidRDefault="008417AE" w:rsidP="00F6714C">
      <w:pPr>
        <w:pStyle w:val="Nivel2"/>
        <w:keepNext/>
        <w:spacing w:after="0"/>
      </w:pPr>
      <w:r>
        <w:t xml:space="preserve">¿Cómo se registra la información macroeconómica según el </w:t>
      </w:r>
      <w:r w:rsidR="00BC549A">
        <w:t>SEC 2010</w:t>
      </w:r>
      <w:r>
        <w:t>?</w:t>
      </w:r>
    </w:p>
    <w:p w14:paraId="5E110596" w14:textId="4340D4CC" w:rsidR="008417AE" w:rsidRDefault="008417AE" w:rsidP="00B85455">
      <w:pPr>
        <w:pStyle w:val="Nivel3"/>
      </w:pPr>
      <w:r>
        <w:t>¿Para qué sirve?</w:t>
      </w:r>
    </w:p>
    <w:p w14:paraId="23CB75ED" w14:textId="6BDFA6DA" w:rsidR="008417AE" w:rsidRDefault="008417AE" w:rsidP="00B85455">
      <w:pPr>
        <w:pStyle w:val="Nivel3"/>
      </w:pPr>
      <w:r>
        <w:t>¿Qué retos y qué problemas enfrenta la contabilidad nacional?</w:t>
      </w:r>
    </w:p>
    <w:p w14:paraId="1ED929A8" w14:textId="43005997" w:rsidR="00A42628" w:rsidRPr="000A3137" w:rsidRDefault="00C80BBD" w:rsidP="006C0834">
      <w:pPr>
        <w:pStyle w:val="Nivel1"/>
        <w:keepNext/>
        <w:spacing w:after="0"/>
      </w:pPr>
      <w:r>
        <w:rPr>
          <w:b/>
          <w:bCs/>
          <w:i/>
          <w:iCs/>
        </w:rPr>
        <w:lastRenderedPageBreak/>
        <w:t>Estructura</w:t>
      </w:r>
      <w:r w:rsidR="00B77C0F" w:rsidRPr="000A3137">
        <w:t>:</w:t>
      </w:r>
    </w:p>
    <w:tbl>
      <w:tblPr>
        <w:tblStyle w:val="Tablaconcuadrcula"/>
        <w:tblW w:w="9071" w:type="dxa"/>
        <w:tblInd w:w="846" w:type="dxa"/>
        <w:tblLook w:val="04A0" w:firstRow="1" w:lastRow="0" w:firstColumn="1" w:lastColumn="0" w:noHBand="0" w:noVBand="1"/>
      </w:tblPr>
      <w:tblGrid>
        <w:gridCol w:w="9071"/>
      </w:tblGrid>
      <w:tr w:rsidR="0021774E" w14:paraId="38F5A35D" w14:textId="77777777" w:rsidTr="00371001">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4288F6E2" w14:textId="77777777" w:rsidR="0081544B" w:rsidRPr="001F21D6" w:rsidRDefault="0081544B" w:rsidP="001F21D6">
      <w:pPr>
        <w:spacing w:after="0"/>
        <w:jc w:val="left"/>
        <w:rPr>
          <w:b/>
          <w:bCs/>
          <w:caps/>
          <w:color w:val="FFFFFF" w:themeColor="background1"/>
          <w:sz w:val="2"/>
          <w:szCs w:val="2"/>
          <w:highlight w:val="lightGray"/>
        </w:rPr>
      </w:pPr>
      <w:r w:rsidRPr="001F21D6">
        <w:rPr>
          <w:sz w:val="2"/>
          <w:szCs w:val="2"/>
          <w:highlight w:val="lightGray"/>
          <w:lang w:val="en-US"/>
        </w:rPr>
        <w:br w:type="page"/>
      </w:r>
    </w:p>
    <w:p w14:paraId="0D01A3D7" w14:textId="4821A5FF" w:rsidR="001C04D2" w:rsidRPr="001C04D2" w:rsidRDefault="001C04D2" w:rsidP="001C04D2">
      <w:pPr>
        <w:pStyle w:val="Ttulo1"/>
      </w:pPr>
      <w:bookmarkStart w:id="12" w:name="_Toc55381924"/>
      <w:bookmarkStart w:id="13" w:name="_Toc55382059"/>
      <w:bookmarkStart w:id="14" w:name="_Toc55382094"/>
      <w:bookmarkStart w:id="15" w:name="_Toc55382522"/>
      <w:bookmarkStart w:id="16" w:name="_Toc83553993"/>
      <w:bookmarkStart w:id="17" w:name="_Toc174116174"/>
      <w:bookmarkEnd w:id="12"/>
      <w:bookmarkEnd w:id="13"/>
      <w:bookmarkEnd w:id="14"/>
      <w:bookmarkEnd w:id="15"/>
      <w:r>
        <w:rPr>
          <w:caps w:val="0"/>
        </w:rPr>
        <w:lastRenderedPageBreak/>
        <w:t>CARACTERÍSTICAS GENERALES Y PRINCIPIOS FUN</w:t>
      </w:r>
      <w:r w:rsidR="00FA29F5">
        <w:rPr>
          <w:caps w:val="0"/>
        </w:rPr>
        <w:t>D</w:t>
      </w:r>
      <w:r>
        <w:rPr>
          <w:caps w:val="0"/>
        </w:rPr>
        <w:t xml:space="preserve">AMENTALES DEL </w:t>
      </w:r>
      <w:r w:rsidR="00BC549A">
        <w:rPr>
          <w:caps w:val="0"/>
        </w:rPr>
        <w:t>SEC 2010</w:t>
      </w:r>
      <w:bookmarkEnd w:id="16"/>
      <w:bookmarkEnd w:id="17"/>
    </w:p>
    <w:p w14:paraId="5D34E579" w14:textId="250559F8" w:rsidR="00AA0F29" w:rsidRDefault="001C04D2" w:rsidP="000C239E">
      <w:pPr>
        <w:pStyle w:val="Ttulo2"/>
      </w:pPr>
      <w:bookmarkStart w:id="18" w:name="_Toc83553994"/>
      <w:bookmarkStart w:id="19" w:name="_Toc174116175"/>
      <w:r>
        <w:t>C</w:t>
      </w:r>
      <w:r w:rsidR="009923E8">
        <w:t>oncepto y c</w:t>
      </w:r>
      <w:r>
        <w:t>aracterísticas generales</w:t>
      </w:r>
      <w:bookmarkStart w:id="20" w:name="_Toc83553995"/>
      <w:bookmarkEnd w:id="18"/>
      <w:r w:rsidR="00D71126">
        <w:t xml:space="preserve">: </w:t>
      </w:r>
      <w:r w:rsidR="00FD7127">
        <w:t xml:space="preserve">¿Qué es el </w:t>
      </w:r>
      <w:r w:rsidR="00BC549A">
        <w:t>SEC 2010</w:t>
      </w:r>
      <w:r w:rsidR="00FD7127">
        <w:t>?</w:t>
      </w:r>
      <w:bookmarkEnd w:id="19"/>
      <w:bookmarkEnd w:id="20"/>
    </w:p>
    <w:p w14:paraId="1069E547" w14:textId="0620AC84" w:rsidR="00D71126" w:rsidRPr="00D71126" w:rsidRDefault="00D71126" w:rsidP="00BC549A">
      <w:pPr>
        <w:pStyle w:val="Ttulo6"/>
        <w:spacing w:before="0"/>
      </w:pPr>
      <w:bookmarkStart w:id="21" w:name="_Toc174116176"/>
      <w:r>
        <w:t>Proceso de armonización internacional e importancia de un sistema de contabilidad homogéneo</w:t>
      </w:r>
      <w:bookmarkEnd w:id="21"/>
    </w:p>
    <w:p w14:paraId="7352E87C" w14:textId="4D2661D1" w:rsidR="00BC7CFD" w:rsidRDefault="00BC7CFD" w:rsidP="00BC549A">
      <w:pPr>
        <w:pStyle w:val="Nivel1SM"/>
        <w:keepNext/>
        <w:spacing w:before="0" w:after="0"/>
      </w:pPr>
      <w:r>
        <w:t xml:space="preserve">Como mencionamos a lo largo de la introducción, existe la necesidad de llevar acabo un </w:t>
      </w:r>
      <w:r w:rsidRPr="007A4A2A">
        <w:rPr>
          <w:b/>
          <w:bCs/>
        </w:rPr>
        <w:t>sistema de contabilidad homogéneo</w:t>
      </w:r>
      <w:r>
        <w:t>.</w:t>
      </w:r>
    </w:p>
    <w:p w14:paraId="4EADCA38" w14:textId="77777777" w:rsidR="00BC7CFD" w:rsidRPr="007A4A2A" w:rsidRDefault="00BC7CFD" w:rsidP="007A4A2A">
      <w:pPr>
        <w:pStyle w:val="Nivel2SM"/>
        <w:keepNext/>
        <w:spacing w:after="0"/>
        <w:rPr>
          <w:i/>
          <w:iCs/>
          <w:u w:val="single"/>
        </w:rPr>
      </w:pPr>
      <w:r w:rsidRPr="007A4A2A">
        <w:rPr>
          <w:i/>
          <w:iCs/>
          <w:u w:val="single"/>
        </w:rPr>
        <w:t>Sistema de Cuentas Nacionales</w:t>
      </w:r>
    </w:p>
    <w:p w14:paraId="489AA13C" w14:textId="77777777" w:rsidR="007A4A2A" w:rsidRDefault="00BC7CFD" w:rsidP="007A4A2A">
      <w:pPr>
        <w:pStyle w:val="Nivel3SM"/>
      </w:pPr>
      <w:r>
        <w:t>E</w:t>
      </w:r>
      <w:r w:rsidRPr="00AB250B">
        <w:t xml:space="preserve">n 1993, diversos organismos (ONU, FMI, OCDE, Banco Mundial) participan en la elaboración del </w:t>
      </w:r>
      <w:r w:rsidRPr="007A4A2A">
        <w:rPr>
          <w:i/>
          <w:iCs/>
        </w:rPr>
        <w:t>Sistema de Cuentas Nacionales (SCN)</w:t>
      </w:r>
      <w:r>
        <w:t>.</w:t>
      </w:r>
    </w:p>
    <w:p w14:paraId="7C3392D8" w14:textId="5812141E" w:rsidR="00BC7CFD" w:rsidRDefault="00BC7CFD" w:rsidP="007A4A2A">
      <w:pPr>
        <w:pStyle w:val="Nivel3SM"/>
      </w:pPr>
      <w:r>
        <w:t>En 2008 se elaboró la última versión.</w:t>
      </w:r>
    </w:p>
    <w:p w14:paraId="619553C4" w14:textId="77777777" w:rsidR="00BC7CFD" w:rsidRPr="007A4A2A" w:rsidRDefault="00BC7CFD" w:rsidP="007A4A2A">
      <w:pPr>
        <w:pStyle w:val="Nivel2SM"/>
        <w:keepNext/>
        <w:spacing w:after="0"/>
        <w:rPr>
          <w:i/>
          <w:iCs/>
          <w:u w:val="single"/>
        </w:rPr>
      </w:pPr>
      <w:r w:rsidRPr="007A4A2A">
        <w:rPr>
          <w:i/>
          <w:iCs/>
          <w:u w:val="single"/>
        </w:rPr>
        <w:t>Sistema Europeo de Cuentas</w:t>
      </w:r>
    </w:p>
    <w:p w14:paraId="38BB643D" w14:textId="547CC616" w:rsidR="00BC7CFD" w:rsidRDefault="00BC7CFD" w:rsidP="007A4A2A">
      <w:pPr>
        <w:pStyle w:val="Nivel3SM"/>
      </w:pPr>
      <w:r>
        <w:t>E</w:t>
      </w:r>
      <w:r w:rsidRPr="00AB250B">
        <w:t xml:space="preserve">n el ámbito de la UE </w:t>
      </w:r>
      <w:r>
        <w:t xml:space="preserve">se </w:t>
      </w:r>
      <w:r w:rsidRPr="00AB250B">
        <w:t xml:space="preserve">ha llevado </w:t>
      </w:r>
      <w:r>
        <w:t>a</w:t>
      </w:r>
      <w:r w:rsidR="00090516">
        <w:t xml:space="preserve"> </w:t>
      </w:r>
      <w:r>
        <w:t xml:space="preserve">cabo </w:t>
      </w:r>
      <w:r w:rsidRPr="00AB250B">
        <w:t xml:space="preserve">la elaboración del </w:t>
      </w:r>
      <w:r w:rsidRPr="007A4A2A">
        <w:rPr>
          <w:i/>
          <w:iCs/>
        </w:rPr>
        <w:t>Sistema Europeo de Cuentas (SEC)</w:t>
      </w:r>
      <w:r>
        <w:t xml:space="preserve"> en línea con el Sistema de Cuentas Nacionales </w:t>
      </w:r>
      <w:r w:rsidRPr="00AB250B">
        <w:t>que establece la</w:t>
      </w:r>
      <w:r>
        <w:t>s</w:t>
      </w:r>
      <w:r w:rsidRPr="00AB250B">
        <w:t xml:space="preserve"> estadísticas armonizadas para los estados miembros.</w:t>
      </w:r>
    </w:p>
    <w:p w14:paraId="63A1DBDE" w14:textId="58F01DB5" w:rsidR="007A4A2A" w:rsidRDefault="005071AC" w:rsidP="007A4A2A">
      <w:pPr>
        <w:pStyle w:val="Nivel3SM"/>
        <w:keepNext/>
      </w:pPr>
      <w:r>
        <w:t xml:space="preserve">El </w:t>
      </w:r>
      <w:r w:rsidR="005A4A01">
        <w:t>SEC</w:t>
      </w:r>
      <w:r>
        <w:t xml:space="preserve"> existe paralelamente al SCN debido al uso de los datos de las cuentas nacionales que se hace en la UE.</w:t>
      </w:r>
    </w:p>
    <w:p w14:paraId="0D1F69F1" w14:textId="77777777" w:rsidR="005A4A01" w:rsidRDefault="005071AC" w:rsidP="007A4A2A">
      <w:pPr>
        <w:pStyle w:val="Nivel4"/>
        <w:ind w:left="1474"/>
      </w:pPr>
      <w:r>
        <w:t>Los Estados miembros son responsables de la recogida y presentación de sus propias cuentas nacionales a fin de describir la situación económica de sus países.</w:t>
      </w:r>
    </w:p>
    <w:p w14:paraId="3215591B" w14:textId="77777777" w:rsidR="005A4A01" w:rsidRDefault="005071AC" w:rsidP="005A4A01">
      <w:pPr>
        <w:pStyle w:val="Nivel4"/>
        <w:keepNext/>
        <w:ind w:left="1474"/>
      </w:pPr>
      <w:r>
        <w:t>Los Estados miembros también compilan un conjunto completo de cuentas que se presentan a la Comisión (Eurostat) como parte de un programa reglamentario de transmisión de datos</w:t>
      </w:r>
      <w:r w:rsidR="005A4A01">
        <w:t>.</w:t>
      </w:r>
    </w:p>
    <w:p w14:paraId="5AC5E261" w14:textId="77777777" w:rsidR="005A4A01" w:rsidRDefault="005A4A01" w:rsidP="005A4A01">
      <w:pPr>
        <w:pStyle w:val="Nivel5"/>
        <w:keepNext/>
        <w:ind w:left="1871"/>
      </w:pPr>
      <w:r>
        <w:t>Estos datos, son utilizados por la UE</w:t>
      </w:r>
      <w:r w:rsidR="005071AC">
        <w:t xml:space="preserve"> en ámbitos clave de la política social, económica y </w:t>
      </w:r>
      <w:r>
        <w:t>presupuestaria de la Unión.</w:t>
      </w:r>
    </w:p>
    <w:p w14:paraId="77F808B4" w14:textId="4BFD983B" w:rsidR="005071AC" w:rsidRPr="005A4A01" w:rsidRDefault="005A4A01" w:rsidP="005A4A01">
      <w:pPr>
        <w:pStyle w:val="Nivel6"/>
        <w:ind w:left="2212"/>
        <w:rPr>
          <w:spacing w:val="-1"/>
          <w:sz w:val="19"/>
          <w:szCs w:val="19"/>
        </w:rPr>
      </w:pPr>
      <w:r w:rsidRPr="005A4A01">
        <w:rPr>
          <w:spacing w:val="-1"/>
          <w:sz w:val="19"/>
          <w:szCs w:val="19"/>
        </w:rPr>
        <w:t>Entre los usos de dichos datos cabe destacar la determinación de la contribución monetaria de los Estados miembros al presupuesto de la UE</w:t>
      </w:r>
      <w:r w:rsidR="005071AC" w:rsidRPr="005A4A01">
        <w:rPr>
          <w:spacing w:val="-1"/>
          <w:sz w:val="19"/>
          <w:szCs w:val="19"/>
        </w:rPr>
        <w:t>, denominada «cuarto recurso», la ayuda a las regiones de la UE a través de los Fondos Estructurales y la vigilancia del rendimiento económico de los Estados miembros en el marco del procedimiento aplicable en caso de déficit excesivo y del Pacto de Estabilidad y Crecimiento.</w:t>
      </w:r>
    </w:p>
    <w:p w14:paraId="0801506E" w14:textId="419642E1" w:rsidR="00BC7CFD" w:rsidRDefault="00BC7CFD" w:rsidP="005A4A01">
      <w:pPr>
        <w:pStyle w:val="Nivel3SM"/>
        <w:keepNext/>
      </w:pPr>
      <w:r w:rsidRPr="00AB250B">
        <w:t>Mediante un reglamento de la UE de 2013</w:t>
      </w:r>
      <w:r w:rsidR="007A4A2A">
        <w:t xml:space="preserve"> (Reglamento </w:t>
      </w:r>
      <w:proofErr w:type="spellStart"/>
      <w:r w:rsidR="007A4A2A">
        <w:t>nº</w:t>
      </w:r>
      <w:proofErr w:type="spellEnd"/>
      <w:r w:rsidR="00E04A1D">
        <w:t> </w:t>
      </w:r>
      <w:r w:rsidR="007A4A2A">
        <w:t>549/2013)</w:t>
      </w:r>
      <w:r w:rsidRPr="00AB250B">
        <w:t xml:space="preserve">, se ha adoptado en 2014 el sistema </w:t>
      </w:r>
      <w:r w:rsidR="00BC549A">
        <w:t>SEC 2010</w:t>
      </w:r>
      <w:r w:rsidRPr="00AB250B">
        <w:t>, por lo que este será el sistema en el que nos vamos a centrar en nuestra exposición.</w:t>
      </w:r>
    </w:p>
    <w:p w14:paraId="26EBF806" w14:textId="51D0E81A" w:rsidR="005A4A01" w:rsidRPr="005A4A01" w:rsidRDefault="005A4A01" w:rsidP="005A4A01">
      <w:pPr>
        <w:pStyle w:val="Nivel4"/>
        <w:keepNext/>
        <w:ind w:left="1474"/>
        <w:rPr>
          <w:spacing w:val="-3"/>
        </w:rPr>
      </w:pPr>
      <w:r w:rsidRPr="005A4A01">
        <w:rPr>
          <w:spacing w:val="-3"/>
        </w:rPr>
        <w:t xml:space="preserve">El </w:t>
      </w:r>
      <w:r w:rsidR="00BC549A">
        <w:rPr>
          <w:spacing w:val="-3"/>
        </w:rPr>
        <w:t>SEC 2010</w:t>
      </w:r>
      <w:r w:rsidRPr="005A4A01">
        <w:rPr>
          <w:spacing w:val="-3"/>
        </w:rPr>
        <w:t xml:space="preserve"> constituye un marco contable comparable a escala internacional cuyo fin es realizar una descripción sistemática y detallada del total de una economía (una región, un país o un grupo de países), sus componentes y sus relaciones con otras economías.</w:t>
      </w:r>
    </w:p>
    <w:p w14:paraId="588B33D7" w14:textId="34917354" w:rsidR="005A4A01" w:rsidRDefault="00090516" w:rsidP="005A4A01">
      <w:pPr>
        <w:pStyle w:val="Nivel5"/>
        <w:ind w:left="1871"/>
      </w:pPr>
      <w:r>
        <w:t>El Sistema Europeo de Cuentas Nacionales y Regionales (</w:t>
      </w:r>
      <w:r w:rsidR="00BC549A">
        <w:t>SEC 2010</w:t>
      </w:r>
      <w:r>
        <w:t>) sustituye al anterior SE</w:t>
      </w:r>
      <w:r w:rsidR="00381190">
        <w:t>C</w:t>
      </w:r>
      <w:r>
        <w:t>-95 y se constituye en el marco central de referencia para las estadísticas de síntesis económica de la Unión Europea y sus Estados miembros.</w:t>
      </w:r>
    </w:p>
    <w:p w14:paraId="2E0A586D" w14:textId="2B28ED10" w:rsidR="00090516" w:rsidRPr="005A4A01" w:rsidRDefault="00090516" w:rsidP="005A4A01">
      <w:pPr>
        <w:pStyle w:val="Nivel5"/>
        <w:ind w:left="1871"/>
      </w:pPr>
      <w:r w:rsidRPr="005A4A01">
        <w:t xml:space="preserve">De forma general, se puede considerar que la estructura y esqueleto básico del sistema apenas se ha modificado en relación al SEC-95, si bien en un segundo nivel sí que existen diferencias tanto en alcance como en conceptos </w:t>
      </w:r>
      <w:r w:rsidR="00055036" w:rsidRPr="005A4A01">
        <w:rPr>
          <w:color w:val="595959" w:themeColor="text1" w:themeTint="A6"/>
          <w:sz w:val="19"/>
          <w:szCs w:val="19"/>
        </w:rPr>
        <w:t>[</w:t>
      </w:r>
      <w:r w:rsidRPr="005A4A01">
        <w:rPr>
          <w:color w:val="595959" w:themeColor="text1" w:themeTint="A6"/>
          <w:sz w:val="19"/>
          <w:szCs w:val="19"/>
        </w:rPr>
        <w:t xml:space="preserve">ver Anexo </w:t>
      </w:r>
      <w:r w:rsidR="00055036" w:rsidRPr="005A4A01">
        <w:rPr>
          <w:color w:val="595959" w:themeColor="text1" w:themeTint="A6"/>
          <w:sz w:val="19"/>
          <w:szCs w:val="19"/>
        </w:rPr>
        <w:fldChar w:fldCharType="begin"/>
      </w:r>
      <w:r w:rsidR="00055036" w:rsidRPr="005A4A01">
        <w:rPr>
          <w:color w:val="595959" w:themeColor="text1" w:themeTint="A6"/>
          <w:sz w:val="19"/>
          <w:szCs w:val="19"/>
        </w:rPr>
        <w:instrText xml:space="preserve"> REF _Ref102983140 \r \h  \* MERGEFORMAT </w:instrText>
      </w:r>
      <w:r w:rsidR="00055036" w:rsidRPr="005A4A01">
        <w:rPr>
          <w:color w:val="595959" w:themeColor="text1" w:themeTint="A6"/>
          <w:sz w:val="19"/>
          <w:szCs w:val="19"/>
        </w:rPr>
      </w:r>
      <w:r w:rsidR="00055036" w:rsidRPr="005A4A01">
        <w:rPr>
          <w:color w:val="595959" w:themeColor="text1" w:themeTint="A6"/>
          <w:sz w:val="19"/>
          <w:szCs w:val="19"/>
        </w:rPr>
        <w:fldChar w:fldCharType="separate"/>
      </w:r>
      <w:r w:rsidR="001A65F8">
        <w:rPr>
          <w:color w:val="595959" w:themeColor="text1" w:themeTint="A6"/>
          <w:sz w:val="19"/>
          <w:szCs w:val="19"/>
        </w:rPr>
        <w:t>A.1</w:t>
      </w:r>
      <w:r w:rsidR="00055036" w:rsidRPr="005A4A01">
        <w:rPr>
          <w:color w:val="595959" w:themeColor="text1" w:themeTint="A6"/>
          <w:sz w:val="19"/>
          <w:szCs w:val="19"/>
        </w:rPr>
        <w:fldChar w:fldCharType="end"/>
      </w:r>
      <w:r w:rsidR="00055036" w:rsidRPr="005A4A01">
        <w:rPr>
          <w:color w:val="595959" w:themeColor="text1" w:themeTint="A6"/>
          <w:sz w:val="19"/>
          <w:szCs w:val="19"/>
        </w:rPr>
        <w:t>]</w:t>
      </w:r>
      <w:r w:rsidRPr="005A4A01">
        <w:t>.</w:t>
      </w:r>
    </w:p>
    <w:p w14:paraId="35773E63" w14:textId="77777777" w:rsidR="00BC7CFD" w:rsidRPr="007A4A2A" w:rsidRDefault="00BC7CFD" w:rsidP="007A4A2A">
      <w:pPr>
        <w:pStyle w:val="Nivel2SM"/>
        <w:keepNext/>
        <w:spacing w:after="0"/>
        <w:rPr>
          <w:i/>
          <w:iCs/>
          <w:u w:val="single"/>
        </w:rPr>
      </w:pPr>
      <w:r w:rsidRPr="007A4A2A">
        <w:rPr>
          <w:i/>
          <w:iCs/>
          <w:u w:val="single"/>
        </w:rPr>
        <w:t>Sistema de Cuentas Nacionales Español</w:t>
      </w:r>
    </w:p>
    <w:p w14:paraId="57014157" w14:textId="2B59C9E3" w:rsidR="00BC7CFD" w:rsidRDefault="00BC7CFD" w:rsidP="007A4A2A">
      <w:pPr>
        <w:pStyle w:val="Nivel3SM"/>
        <w:spacing w:after="100"/>
      </w:pPr>
      <w:r>
        <w:t xml:space="preserve">En España, el Sistema de Cuentas Nacionales está adaptado al </w:t>
      </w:r>
      <w:r w:rsidR="00BC549A">
        <w:t>SEC 2010</w:t>
      </w:r>
      <w:r w:rsidR="003A75BC">
        <w:t xml:space="preserve"> desde 2014</w:t>
      </w:r>
      <w:r>
        <w:t>, que siguiendo el reglamento europeo que lo introduce, ha sido aplicado de forma armonizada por todos los países miembros de la UE.</w:t>
      </w:r>
    </w:p>
    <w:p w14:paraId="6485F765" w14:textId="4F0BC709" w:rsidR="001D4AB0" w:rsidRDefault="00F014F6" w:rsidP="00055036">
      <w:pPr>
        <w:pStyle w:val="Nivel1SM"/>
        <w:keepNext/>
        <w:spacing w:after="0"/>
      </w:pPr>
      <w:r w:rsidRPr="00EF3422">
        <w:rPr>
          <w:b/>
          <w:bCs/>
        </w:rPr>
        <w:lastRenderedPageBreak/>
        <w:t xml:space="preserve">La armonización y comparabilidad </w:t>
      </w:r>
      <w:r w:rsidR="00E279FA" w:rsidRPr="00EF3422">
        <w:rPr>
          <w:b/>
          <w:bCs/>
        </w:rPr>
        <w:t>son</w:t>
      </w:r>
      <w:r w:rsidRPr="00EF3422">
        <w:rPr>
          <w:b/>
          <w:bCs/>
        </w:rPr>
        <w:t xml:space="preserve"> muy importante</w:t>
      </w:r>
      <w:r w:rsidR="00E279FA" w:rsidRPr="00EF3422">
        <w:rPr>
          <w:b/>
          <w:bCs/>
        </w:rPr>
        <w:t>s</w:t>
      </w:r>
      <w:r w:rsidR="001D4AB0">
        <w:t>.</w:t>
      </w:r>
    </w:p>
    <w:p w14:paraId="63D6C25C" w14:textId="0170B5FA" w:rsidR="00F014F6" w:rsidRDefault="001D4AB0" w:rsidP="001D4AB0">
      <w:pPr>
        <w:pStyle w:val="Nivel2SM"/>
        <w:keepNext/>
      </w:pPr>
      <w:r>
        <w:t>A nivel general, son vitales e</w:t>
      </w:r>
      <w:r w:rsidR="00F014F6">
        <w:t>n un mundo globalizado donde los capitales se mueven con relativa facilidad y libertad</w:t>
      </w:r>
      <w:r>
        <w:t>.</w:t>
      </w:r>
    </w:p>
    <w:p w14:paraId="5FECB9D3" w14:textId="08754301" w:rsidR="00F014F6" w:rsidRDefault="001D4AB0" w:rsidP="00EF3422">
      <w:pPr>
        <w:pStyle w:val="Nivel2SM"/>
        <w:keepNext/>
        <w:spacing w:after="0"/>
      </w:pPr>
      <w:r>
        <w:t>Y en particular</w:t>
      </w:r>
      <w:r w:rsidR="00F014F6">
        <w:t>, en la actual UEM, y concretamente a través del Semestre Europeo y el Pacto de Estabilidad y Crecimiento, se ve reflejada la importancia de la coordinación y el control de las políticas públicas de cara a garantizar la sostenibilidad de la moneda común.</w:t>
      </w:r>
    </w:p>
    <w:p w14:paraId="4C9BF559" w14:textId="1BAA7E5F" w:rsidR="00F014F6" w:rsidRDefault="00F014F6" w:rsidP="00EF3422">
      <w:pPr>
        <w:pStyle w:val="Nivel3SM"/>
        <w:spacing w:after="100"/>
      </w:pPr>
      <w:r>
        <w:t>Sin la armonización y homogeneización de las cuentas esto no sería posible.</w:t>
      </w:r>
    </w:p>
    <w:p w14:paraId="5AFBB3C4" w14:textId="4B40498F" w:rsidR="00D71126" w:rsidRDefault="00D71126" w:rsidP="00D71126">
      <w:pPr>
        <w:pStyle w:val="Nivel1SM"/>
        <w:keepNext/>
        <w:spacing w:after="0"/>
      </w:pPr>
      <w:r>
        <w:t xml:space="preserve">Para obtener un buen equilibrio entre la necesidad y la disponibilidad de la información, las cuentas incluidas en el </w:t>
      </w:r>
      <w:r w:rsidR="00BC549A">
        <w:t>SEC 2010</w:t>
      </w:r>
      <w:r>
        <w:t xml:space="preserve"> tienen varias </w:t>
      </w:r>
      <w:r w:rsidRPr="009B0F3E">
        <w:rPr>
          <w:b/>
          <w:bCs/>
        </w:rPr>
        <w:t>características importantes</w:t>
      </w:r>
      <w:r>
        <w:t>:</w:t>
      </w:r>
    </w:p>
    <w:p w14:paraId="052C50E8" w14:textId="4F55E270" w:rsidR="00D71126" w:rsidRDefault="00D71126">
      <w:pPr>
        <w:pStyle w:val="Nivel1"/>
        <w:numPr>
          <w:ilvl w:val="0"/>
          <w:numId w:val="12"/>
        </w:numPr>
        <w:spacing w:before="0" w:after="0"/>
        <w:ind w:left="709" w:hanging="142"/>
      </w:pPr>
      <w:r>
        <w:t xml:space="preserve">Son </w:t>
      </w:r>
      <w:r w:rsidRPr="009B0F3E">
        <w:rPr>
          <w:i/>
          <w:iCs/>
          <w:u w:val="single"/>
        </w:rPr>
        <w:t>compatibles a escala internacional</w:t>
      </w:r>
      <w:r>
        <w:t xml:space="preserve">, ya que son coherentes con el </w:t>
      </w:r>
      <w:r w:rsidR="003A75BC">
        <w:t>SCN 2008</w:t>
      </w:r>
      <w:r>
        <w:t>;</w:t>
      </w:r>
    </w:p>
    <w:p w14:paraId="10287A93" w14:textId="77777777" w:rsidR="00D71126" w:rsidRDefault="00D71126">
      <w:pPr>
        <w:pStyle w:val="Nivel1"/>
        <w:numPr>
          <w:ilvl w:val="0"/>
          <w:numId w:val="12"/>
        </w:numPr>
        <w:spacing w:before="0" w:after="0"/>
        <w:ind w:left="709" w:hanging="142"/>
      </w:pPr>
      <w:r>
        <w:t xml:space="preserve">Están </w:t>
      </w:r>
      <w:r w:rsidRPr="009B0F3E">
        <w:rPr>
          <w:i/>
          <w:iCs/>
          <w:u w:val="single"/>
        </w:rPr>
        <w:t>armonizadas con otros sistemas de estadísticas sociales y económicas</w:t>
      </w:r>
      <w:r>
        <w:t>, ya que utilizan conceptos y clasificaciones que también se utilizan para otras estadísticas económicas y sociales de los Estados miembros (además, estos conceptos y clasificaciones también están armonizados con los de las Naciones Unidas);</w:t>
      </w:r>
    </w:p>
    <w:p w14:paraId="7BF305E8" w14:textId="77777777" w:rsidR="00D71126" w:rsidRDefault="00D71126">
      <w:pPr>
        <w:pStyle w:val="Nivel1"/>
        <w:numPr>
          <w:ilvl w:val="0"/>
          <w:numId w:val="12"/>
        </w:numPr>
        <w:spacing w:before="0" w:after="0"/>
        <w:ind w:left="709" w:hanging="142"/>
      </w:pPr>
      <w:r>
        <w:t xml:space="preserve">Son </w:t>
      </w:r>
      <w:r w:rsidRPr="009B0F3E">
        <w:rPr>
          <w:i/>
          <w:iCs/>
          <w:u w:val="single"/>
        </w:rPr>
        <w:t>coherentes</w:t>
      </w:r>
      <w:r w:rsidRPr="009B0F3E">
        <w:t>,</w:t>
      </w:r>
      <w:r>
        <w:t xml:space="preserve"> permitiendo obtener estimaciones por vía residual;</w:t>
      </w:r>
    </w:p>
    <w:p w14:paraId="35369170" w14:textId="0D2BA538" w:rsidR="00D71126" w:rsidRDefault="00D71126">
      <w:pPr>
        <w:pStyle w:val="Nivel1"/>
        <w:numPr>
          <w:ilvl w:val="0"/>
          <w:numId w:val="12"/>
        </w:numPr>
        <w:spacing w:before="0" w:after="0"/>
        <w:ind w:left="709" w:hanging="142"/>
      </w:pPr>
      <w:r>
        <w:t xml:space="preserve">Son </w:t>
      </w:r>
      <w:r w:rsidRPr="009B0F3E">
        <w:rPr>
          <w:i/>
          <w:iCs/>
          <w:u w:val="single"/>
        </w:rPr>
        <w:t>operativas</w:t>
      </w:r>
      <w:r>
        <w:t xml:space="preserve">, ya que, en la práctica, pueden medirse porque los conceptos que figuran en el </w:t>
      </w:r>
      <w:r w:rsidR="00BC549A">
        <w:t>SEC 2010</w:t>
      </w:r>
      <w:r>
        <w:t xml:space="preserve"> se han definido de forma que faciliten la recogida de datos y la medición;</w:t>
      </w:r>
    </w:p>
    <w:p w14:paraId="09764EC8" w14:textId="77777777" w:rsidR="00D71126" w:rsidRDefault="00D71126">
      <w:pPr>
        <w:pStyle w:val="Nivel1"/>
        <w:numPr>
          <w:ilvl w:val="0"/>
          <w:numId w:val="12"/>
        </w:numPr>
        <w:spacing w:before="0" w:after="0"/>
        <w:ind w:left="709" w:hanging="142"/>
      </w:pPr>
      <w:r w:rsidRPr="009B0F3E">
        <w:rPr>
          <w:i/>
          <w:iCs/>
          <w:u w:val="single"/>
        </w:rPr>
        <w:t>Difieren de la mayoría de los conceptos administrativos</w:t>
      </w:r>
      <w:r>
        <w:t xml:space="preserve"> para facilitar la compatibilidad de los conceptos administrativos entre los distintos Estados y a lo largo del tiempo;</w:t>
      </w:r>
    </w:p>
    <w:p w14:paraId="1AB90103" w14:textId="08A20EFB" w:rsidR="00D71126" w:rsidRPr="00CE69F3" w:rsidRDefault="00D71126">
      <w:pPr>
        <w:pStyle w:val="Nivel1"/>
        <w:numPr>
          <w:ilvl w:val="0"/>
          <w:numId w:val="12"/>
        </w:numPr>
        <w:spacing w:before="0" w:after="0"/>
        <w:ind w:left="709" w:hanging="142"/>
      </w:pPr>
      <w:r w:rsidRPr="00304ED4">
        <w:rPr>
          <w:i/>
          <w:iCs/>
          <w:u w:val="single"/>
        </w:rPr>
        <w:t>Están reconocidas y establecidas para un largo período de tiempo</w:t>
      </w:r>
      <w:r w:rsidR="00CE69F3">
        <w:t>;</w:t>
      </w:r>
    </w:p>
    <w:p w14:paraId="466885F7" w14:textId="5476B3F1" w:rsidR="00D71126" w:rsidRDefault="00D71126">
      <w:pPr>
        <w:pStyle w:val="Nivel1"/>
        <w:numPr>
          <w:ilvl w:val="0"/>
          <w:numId w:val="12"/>
        </w:numPr>
        <w:spacing w:before="0" w:after="0"/>
        <w:ind w:left="709" w:hanging="142"/>
      </w:pPr>
      <w:r>
        <w:t xml:space="preserve">Se centran en la </w:t>
      </w:r>
      <w:r w:rsidRPr="00304ED4">
        <w:rPr>
          <w:i/>
          <w:iCs/>
          <w:u w:val="single"/>
        </w:rPr>
        <w:t>descripción del proceso económico en términos monetarios</w:t>
      </w:r>
      <w:r>
        <w:t xml:space="preserve"> y fácilmente observables</w:t>
      </w:r>
      <w:r w:rsidR="00CE69F3">
        <w:t>;</w:t>
      </w:r>
      <w:r w:rsidR="00853728">
        <w:t xml:space="preserve"> y</w:t>
      </w:r>
    </w:p>
    <w:p w14:paraId="32E81F36" w14:textId="77777777" w:rsidR="00D71126" w:rsidRDefault="00D71126">
      <w:pPr>
        <w:pStyle w:val="Nivel1"/>
        <w:keepNext/>
        <w:numPr>
          <w:ilvl w:val="0"/>
          <w:numId w:val="12"/>
        </w:numPr>
        <w:spacing w:before="0" w:after="0"/>
        <w:ind w:left="709" w:hanging="142"/>
      </w:pPr>
      <w:r>
        <w:t xml:space="preserve">Son </w:t>
      </w:r>
      <w:r w:rsidRPr="00304ED4">
        <w:rPr>
          <w:i/>
          <w:iCs/>
          <w:u w:val="single"/>
        </w:rPr>
        <w:t>aplicables en distintas situaciones y para fines diferentes</w:t>
      </w:r>
      <w:r>
        <w:t>.</w:t>
      </w:r>
    </w:p>
    <w:p w14:paraId="0E02233A" w14:textId="07882CF0" w:rsidR="00D71126" w:rsidRDefault="00D71126" w:rsidP="00D71126">
      <w:pPr>
        <w:pStyle w:val="Nivel3SM"/>
        <w:spacing w:after="100"/>
      </w:pPr>
      <w:r>
        <w:t>Estas características garantizan la calidad de los datos de las cuentas nacionales, facilitando la conexión y comparación de los datos que figuran en ellas.</w:t>
      </w:r>
    </w:p>
    <w:p w14:paraId="732BD7F6" w14:textId="1535D828" w:rsidR="00D71126" w:rsidRDefault="00D71126" w:rsidP="00D71126">
      <w:pPr>
        <w:pStyle w:val="Nivel1SM"/>
        <w:keepNext/>
        <w:spacing w:after="0"/>
      </w:pPr>
      <w:r>
        <w:t xml:space="preserve">De este modo, el marco del SEC es de gran </w:t>
      </w:r>
      <w:r w:rsidRPr="00D71126">
        <w:rPr>
          <w:b/>
          <w:bCs/>
        </w:rPr>
        <w:t>utilidad</w:t>
      </w:r>
      <w:r>
        <w:t xml:space="preserve"> para analizar y evaluar los siguientes elementos:</w:t>
      </w:r>
    </w:p>
    <w:p w14:paraId="7408F6B2" w14:textId="77777777" w:rsidR="00D71126" w:rsidRDefault="00D71126" w:rsidP="00D71126">
      <w:pPr>
        <w:pStyle w:val="Nivel2SM"/>
      </w:pPr>
      <w:r>
        <w:t xml:space="preserve">La </w:t>
      </w:r>
      <w:r w:rsidRPr="00D71126">
        <w:rPr>
          <w:i/>
          <w:iCs/>
        </w:rPr>
        <w:t>estructura del total de la economía</w:t>
      </w:r>
      <w:r>
        <w:t>.</w:t>
      </w:r>
    </w:p>
    <w:p w14:paraId="16ECEE19" w14:textId="77777777" w:rsidR="00D71126" w:rsidRDefault="00D71126" w:rsidP="00D71126">
      <w:pPr>
        <w:pStyle w:val="Nivel2SM"/>
      </w:pPr>
      <w:r w:rsidRPr="00D71126">
        <w:rPr>
          <w:i/>
          <w:iCs/>
        </w:rPr>
        <w:t>Sectores o aspectos específicos</w:t>
      </w:r>
      <w:r>
        <w:t xml:space="preserve"> de una economía.</w:t>
      </w:r>
    </w:p>
    <w:p w14:paraId="1A76EA0F" w14:textId="77777777" w:rsidR="00D71126" w:rsidRDefault="00D71126" w:rsidP="00D71126">
      <w:pPr>
        <w:pStyle w:val="Nivel2SM"/>
      </w:pPr>
      <w:r>
        <w:t xml:space="preserve">El </w:t>
      </w:r>
      <w:r w:rsidRPr="00D71126">
        <w:rPr>
          <w:i/>
          <w:iCs/>
        </w:rPr>
        <w:t>desarrollo en el tiempo</w:t>
      </w:r>
      <w:r>
        <w:t xml:space="preserve"> de una economía.</w:t>
      </w:r>
    </w:p>
    <w:p w14:paraId="5EFE0508" w14:textId="77777777" w:rsidR="00D71126" w:rsidRDefault="00D71126" w:rsidP="00D71126">
      <w:pPr>
        <w:pStyle w:val="Nivel2SM"/>
      </w:pPr>
      <w:r>
        <w:t xml:space="preserve">El </w:t>
      </w:r>
      <w:r w:rsidRPr="00D71126">
        <w:rPr>
          <w:i/>
          <w:iCs/>
        </w:rPr>
        <w:t>total de una economía en relación con otras economías</w:t>
      </w:r>
      <w:r>
        <w:t>.</w:t>
      </w:r>
    </w:p>
    <w:p w14:paraId="3533F137" w14:textId="4DB3DDDE" w:rsidR="00D71126" w:rsidRDefault="00D71126" w:rsidP="00D71126">
      <w:pPr>
        <w:pStyle w:val="Ttulo6"/>
      </w:pPr>
      <w:bookmarkStart w:id="22" w:name="_Toc174116177"/>
      <w:r>
        <w:t>Estructura general del SEC</w:t>
      </w:r>
      <w:bookmarkEnd w:id="22"/>
    </w:p>
    <w:p w14:paraId="70C8570B" w14:textId="43A235FE" w:rsidR="007118F6" w:rsidRDefault="0075734C" w:rsidP="00BC549A">
      <w:pPr>
        <w:pStyle w:val="Nivel1SM"/>
        <w:keepNext/>
        <w:spacing w:before="0" w:after="0"/>
      </w:pPr>
      <w:r>
        <w:t xml:space="preserve">El marco del </w:t>
      </w:r>
      <w:r w:rsidR="00BC549A">
        <w:t>SEC 2010</w:t>
      </w:r>
      <w:r w:rsidR="006A1F8D">
        <w:rPr>
          <w:rStyle w:val="Refdenotaalpie"/>
        </w:rPr>
        <w:footnoteReference w:id="6"/>
      </w:r>
      <w:r>
        <w:t>, está constituido por 24</w:t>
      </w:r>
      <w:r w:rsidR="00BC549A">
        <w:t> </w:t>
      </w:r>
      <w:r>
        <w:t>capítulos, en los que se describen</w:t>
      </w:r>
      <w:r w:rsidR="007118F6">
        <w:t xml:space="preserve"> </w:t>
      </w:r>
      <w:r w:rsidR="00BC549A">
        <w:rPr>
          <w:b/>
          <w:bCs/>
        </w:rPr>
        <w:t>2 </w:t>
      </w:r>
      <w:r w:rsidR="007118F6" w:rsidRPr="0075734C">
        <w:rPr>
          <w:b/>
          <w:bCs/>
        </w:rPr>
        <w:t>conjuntos principales de cuentas</w:t>
      </w:r>
      <w:r w:rsidR="007118F6">
        <w:t>:</w:t>
      </w:r>
    </w:p>
    <w:p w14:paraId="09CC03DC" w14:textId="409B777E" w:rsidR="007118F6" w:rsidRDefault="007118F6" w:rsidP="007A4A2A">
      <w:pPr>
        <w:pStyle w:val="Nivel2SM"/>
        <w:keepNext/>
      </w:pPr>
      <w:r>
        <w:t xml:space="preserve">Las </w:t>
      </w:r>
      <w:r w:rsidRPr="007A4A2A">
        <w:rPr>
          <w:i/>
          <w:iCs/>
        </w:rPr>
        <w:t>cuentas del sector institucional</w:t>
      </w:r>
      <w:r w:rsidR="00853728">
        <w:t>.</w:t>
      </w:r>
    </w:p>
    <w:p w14:paraId="77C1016D" w14:textId="26BD24B0" w:rsidR="007118F6" w:rsidRPr="007118F6" w:rsidRDefault="007118F6" w:rsidP="007A4A2A">
      <w:pPr>
        <w:pStyle w:val="Nivel2SM"/>
      </w:pPr>
      <w:r>
        <w:t xml:space="preserve">El </w:t>
      </w:r>
      <w:r w:rsidRPr="007A4A2A">
        <w:rPr>
          <w:i/>
          <w:iCs/>
        </w:rPr>
        <w:t>marco input-output</w:t>
      </w:r>
      <w:r>
        <w:t xml:space="preserve"> y las </w:t>
      </w:r>
      <w:r w:rsidRPr="007A4A2A">
        <w:rPr>
          <w:i/>
          <w:iCs/>
        </w:rPr>
        <w:t>cuentas por ramas de actividad</w:t>
      </w:r>
      <w:r w:rsidR="00EF3422">
        <w:rPr>
          <w:i/>
          <w:iCs/>
        </w:rPr>
        <w:t xml:space="preserve"> </w:t>
      </w:r>
      <w:r w:rsidR="00EF3422" w:rsidRPr="00EF3422">
        <w:rPr>
          <w:color w:val="767171" w:themeColor="background2" w:themeShade="80"/>
          <w:sz w:val="19"/>
          <w:szCs w:val="19"/>
        </w:rPr>
        <w:t>[</w:t>
      </w:r>
      <w:r w:rsidR="00EF3422">
        <w:rPr>
          <w:color w:val="767171" w:themeColor="background2" w:themeShade="80"/>
          <w:sz w:val="19"/>
          <w:szCs w:val="19"/>
        </w:rPr>
        <w:t>ver tema 3.A.</w:t>
      </w:r>
      <w:r w:rsidR="00E14C08">
        <w:rPr>
          <w:color w:val="767171" w:themeColor="background2" w:themeShade="80"/>
          <w:sz w:val="19"/>
          <w:szCs w:val="19"/>
        </w:rPr>
        <w:t>31</w:t>
      </w:r>
      <w:r w:rsidR="00EF3422" w:rsidRPr="00EF3422">
        <w:rPr>
          <w:color w:val="767171" w:themeColor="background2" w:themeShade="80"/>
          <w:sz w:val="19"/>
          <w:szCs w:val="19"/>
        </w:rPr>
        <w:t>]</w:t>
      </w:r>
      <w:r>
        <w:t>.</w:t>
      </w:r>
    </w:p>
    <w:p w14:paraId="6F21E0A0" w14:textId="7DE21FD0" w:rsidR="007118F6" w:rsidRDefault="007118F6" w:rsidP="007A4A2A">
      <w:pPr>
        <w:pStyle w:val="Nivel1SM"/>
        <w:keepNext/>
        <w:spacing w:after="0"/>
      </w:pPr>
      <w:r>
        <w:t>En est</w:t>
      </w:r>
      <w:r w:rsidR="00EF3422">
        <w:t>a exposición,</w:t>
      </w:r>
      <w:r>
        <w:t xml:space="preserve"> nos centraremos en las </w:t>
      </w:r>
      <w:r w:rsidRPr="00EF3422">
        <w:rPr>
          <w:b/>
          <w:bCs/>
        </w:rPr>
        <w:t>cuentas sectorial</w:t>
      </w:r>
      <w:r w:rsidR="002D77A8" w:rsidRPr="00EF3422">
        <w:rPr>
          <w:b/>
          <w:bCs/>
        </w:rPr>
        <w:t>es</w:t>
      </w:r>
      <w:r w:rsidR="002D77A8">
        <w:t xml:space="preserve"> </w:t>
      </w:r>
      <w:r>
        <w:t>que proporcionan para cada sector institucional una descripción sistemática de las diferentes fases del proceso económico:</w:t>
      </w:r>
    </w:p>
    <w:p w14:paraId="632AA911" w14:textId="51535F87" w:rsidR="007118F6" w:rsidRDefault="007118F6">
      <w:pPr>
        <w:pStyle w:val="Nivel3"/>
        <w:numPr>
          <w:ilvl w:val="0"/>
          <w:numId w:val="11"/>
        </w:numPr>
        <w:ind w:left="567" w:hanging="113"/>
      </w:pPr>
      <w:r>
        <w:t>Producción</w:t>
      </w:r>
    </w:p>
    <w:p w14:paraId="7EEBA927" w14:textId="0684A333" w:rsidR="007118F6" w:rsidRDefault="007118F6">
      <w:pPr>
        <w:pStyle w:val="Nivel3"/>
        <w:numPr>
          <w:ilvl w:val="0"/>
          <w:numId w:val="11"/>
        </w:numPr>
        <w:ind w:left="567" w:hanging="113"/>
      </w:pPr>
      <w:r>
        <w:t>Generación de la renta</w:t>
      </w:r>
    </w:p>
    <w:p w14:paraId="4E4A41CC" w14:textId="2975973F" w:rsidR="007118F6" w:rsidRDefault="007118F6">
      <w:pPr>
        <w:pStyle w:val="Nivel3"/>
        <w:numPr>
          <w:ilvl w:val="0"/>
          <w:numId w:val="11"/>
        </w:numPr>
        <w:ind w:left="567" w:hanging="113"/>
      </w:pPr>
      <w:r>
        <w:t>Distribución de la renta</w:t>
      </w:r>
    </w:p>
    <w:p w14:paraId="34B4349D" w14:textId="36EE6056" w:rsidR="007118F6" w:rsidRDefault="007118F6">
      <w:pPr>
        <w:pStyle w:val="Nivel3"/>
        <w:numPr>
          <w:ilvl w:val="0"/>
          <w:numId w:val="11"/>
        </w:numPr>
        <w:ind w:left="567" w:hanging="113"/>
      </w:pPr>
      <w:r>
        <w:t>Redistribución de la renta</w:t>
      </w:r>
    </w:p>
    <w:p w14:paraId="22496796" w14:textId="1794001B" w:rsidR="007118F6" w:rsidRDefault="007118F6">
      <w:pPr>
        <w:pStyle w:val="Nivel3"/>
        <w:numPr>
          <w:ilvl w:val="0"/>
          <w:numId w:val="11"/>
        </w:numPr>
        <w:ind w:left="567" w:hanging="113"/>
      </w:pPr>
      <w:r>
        <w:t>Utilización de la renta</w:t>
      </w:r>
    </w:p>
    <w:p w14:paraId="534205B8" w14:textId="51CF44EC" w:rsidR="007118F6" w:rsidRDefault="007118F6">
      <w:pPr>
        <w:pStyle w:val="Nivel3"/>
        <w:numPr>
          <w:ilvl w:val="0"/>
          <w:numId w:val="11"/>
        </w:numPr>
        <w:ind w:left="567" w:hanging="113"/>
      </w:pPr>
      <w:r>
        <w:t>Acumulación financiera</w:t>
      </w:r>
    </w:p>
    <w:p w14:paraId="25968D06" w14:textId="66DEAB49" w:rsidR="007118F6" w:rsidRDefault="007118F6">
      <w:pPr>
        <w:pStyle w:val="Nivel3"/>
        <w:numPr>
          <w:ilvl w:val="0"/>
          <w:numId w:val="11"/>
        </w:numPr>
        <w:ind w:left="567" w:hanging="113"/>
      </w:pPr>
      <w:r>
        <w:t>Acumulación no financiera</w:t>
      </w:r>
    </w:p>
    <w:p w14:paraId="3994D7A1" w14:textId="51FF9825" w:rsidR="009E2322" w:rsidRDefault="009923E8" w:rsidP="009E2322">
      <w:pPr>
        <w:pStyle w:val="Ttulo2"/>
      </w:pPr>
      <w:bookmarkStart w:id="23" w:name="_Toc83553997"/>
      <w:bookmarkStart w:id="24" w:name="_Toc174116178"/>
      <w:r>
        <w:lastRenderedPageBreak/>
        <w:t>Medición y p</w:t>
      </w:r>
      <w:r w:rsidR="009E2322">
        <w:t xml:space="preserve">rincipios fundamentales del </w:t>
      </w:r>
      <w:r w:rsidR="00BC549A">
        <w:t>SEC 2010</w:t>
      </w:r>
      <w:r w:rsidR="009E2322">
        <w:t xml:space="preserve"> como sistema</w:t>
      </w:r>
      <w:bookmarkEnd w:id="23"/>
      <w:bookmarkEnd w:id="24"/>
    </w:p>
    <w:p w14:paraId="553E1F2B" w14:textId="092ACE07" w:rsidR="009923E8" w:rsidRDefault="00ED75DC" w:rsidP="006A7F98">
      <w:pPr>
        <w:pStyle w:val="Ttulo3"/>
        <w:spacing w:before="0"/>
      </w:pPr>
      <w:bookmarkStart w:id="25" w:name="_Toc83553999"/>
      <w:bookmarkStart w:id="26" w:name="_Toc174116179"/>
      <w:bookmarkStart w:id="27" w:name="_Toc83553998"/>
      <w:r>
        <w:t>Registro de las operaciones: los</w:t>
      </w:r>
      <w:r w:rsidR="009923E8">
        <w:t xml:space="preserve"> flujos y los stocks</w:t>
      </w:r>
      <w:bookmarkEnd w:id="25"/>
      <w:bookmarkEnd w:id="26"/>
    </w:p>
    <w:p w14:paraId="4B3E91AF" w14:textId="3FBA63A5" w:rsidR="009923E8" w:rsidRDefault="009923E8" w:rsidP="006A7F98">
      <w:pPr>
        <w:pStyle w:val="Nivel1SM"/>
        <w:keepNext/>
        <w:spacing w:before="0" w:after="0"/>
      </w:pPr>
      <w:r>
        <w:t xml:space="preserve">La </w:t>
      </w:r>
      <w:r w:rsidRPr="00E7603B">
        <w:rPr>
          <w:i/>
          <w:iCs/>
        </w:rPr>
        <w:t>información estadística económica</w:t>
      </w:r>
      <w:r>
        <w:t xml:space="preserve"> queda registrada en el </w:t>
      </w:r>
      <w:r w:rsidR="00BC549A">
        <w:t>SEC 2010</w:t>
      </w:r>
      <w:r>
        <w:t xml:space="preserve"> mediante </w:t>
      </w:r>
      <w:r w:rsidR="006A7F98">
        <w:rPr>
          <w:b/>
          <w:bCs/>
        </w:rPr>
        <w:t>2 </w:t>
      </w:r>
      <w:r w:rsidRPr="00E7603B">
        <w:rPr>
          <w:b/>
          <w:bCs/>
        </w:rPr>
        <w:t>tipos de variables</w:t>
      </w:r>
      <w:r>
        <w:t>:</w:t>
      </w:r>
    </w:p>
    <w:p w14:paraId="3A67B0FB" w14:textId="77777777" w:rsidR="009923E8" w:rsidRDefault="009923E8" w:rsidP="009923E8">
      <w:pPr>
        <w:pStyle w:val="Letra"/>
        <w:spacing w:after="0"/>
        <w:ind w:left="567"/>
      </w:pPr>
      <w:r>
        <w:t xml:space="preserve">Los </w:t>
      </w:r>
      <w:r>
        <w:rPr>
          <w:i/>
          <w:iCs/>
          <w:u w:val="single"/>
        </w:rPr>
        <w:t>flujos</w:t>
      </w:r>
      <w:r>
        <w:t xml:space="preserve"> se refieren a las acciones y los resultados de los acontecimientos que tienen lugar a lo largo de un periodo determinado de tiempo.</w:t>
      </w:r>
    </w:p>
    <w:p w14:paraId="36FD4ED2" w14:textId="77777777" w:rsidR="009923E8" w:rsidRDefault="009923E8" w:rsidP="009923E8">
      <w:pPr>
        <w:pStyle w:val="Letra"/>
        <w:ind w:left="567"/>
      </w:pPr>
      <w:r>
        <w:t xml:space="preserve">Los </w:t>
      </w:r>
      <w:r w:rsidRPr="00631223">
        <w:rPr>
          <w:i/>
          <w:iCs/>
          <w:u w:val="single"/>
        </w:rPr>
        <w:t>stocks</w:t>
      </w:r>
      <w:r>
        <w:t xml:space="preserve"> se refieren a la situación en un momento concreto.</w:t>
      </w:r>
    </w:p>
    <w:p w14:paraId="2EC5ACA0" w14:textId="77777777" w:rsidR="009923E8" w:rsidRDefault="009923E8" w:rsidP="009923E8">
      <w:pPr>
        <w:pStyle w:val="Imagen"/>
      </w:pPr>
      <w:r>
        <w:drawing>
          <wp:inline distT="0" distB="0" distL="0" distR="0" wp14:anchorId="19C96395" wp14:editId="5DFE1562">
            <wp:extent cx="2218446" cy="1103323"/>
            <wp:effectExtent l="0" t="0" r="0" b="1905"/>
            <wp:docPr id="34" name="Picture 34" descr="Imagen que contiene carretilla, cocin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Imagen que contiene carretilla, cocina&#10;&#10;Descripción generada automáticamente"/>
                    <pic:cNvPicPr/>
                  </pic:nvPicPr>
                  <pic:blipFill>
                    <a:blip r:embed="rId10"/>
                    <a:stretch>
                      <a:fillRect/>
                    </a:stretch>
                  </pic:blipFill>
                  <pic:spPr>
                    <a:xfrm>
                      <a:off x="0" y="0"/>
                      <a:ext cx="2226942" cy="1107548"/>
                    </a:xfrm>
                    <a:prstGeom prst="rect">
                      <a:avLst/>
                    </a:prstGeom>
                  </pic:spPr>
                </pic:pic>
              </a:graphicData>
            </a:graphic>
          </wp:inline>
        </w:drawing>
      </w:r>
    </w:p>
    <w:p w14:paraId="707C43E6" w14:textId="77777777" w:rsidR="009923E8" w:rsidRDefault="009923E8" w:rsidP="009923E8">
      <w:pPr>
        <w:pStyle w:val="Ttulo6"/>
      </w:pPr>
      <w:bookmarkStart w:id="28" w:name="_Toc174116180"/>
      <w:r>
        <w:t>Flujos</w:t>
      </w:r>
      <w:bookmarkEnd w:id="28"/>
    </w:p>
    <w:p w14:paraId="6A45BD39" w14:textId="59B88360" w:rsidR="009923E8" w:rsidRPr="00573806" w:rsidRDefault="009923E8" w:rsidP="006A7F98">
      <w:pPr>
        <w:pStyle w:val="Nivel1SM"/>
        <w:keepNext/>
        <w:spacing w:before="0" w:after="0"/>
      </w:pPr>
      <w:r>
        <w:t xml:space="preserve">Las variables clasificadas como flujos reflejan la </w:t>
      </w:r>
      <w:r w:rsidRPr="006F2F1A">
        <w:rPr>
          <w:i/>
          <w:iCs/>
        </w:rPr>
        <w:t>creación</w:t>
      </w:r>
      <w:r>
        <w:t xml:space="preserve">, </w:t>
      </w:r>
      <w:r w:rsidRPr="006F2F1A">
        <w:rPr>
          <w:i/>
          <w:iCs/>
        </w:rPr>
        <w:t>transformación</w:t>
      </w:r>
      <w:r>
        <w:t xml:space="preserve">, </w:t>
      </w:r>
      <w:r w:rsidRPr="006F2F1A">
        <w:rPr>
          <w:i/>
          <w:iCs/>
        </w:rPr>
        <w:t>intercambio</w:t>
      </w:r>
      <w:r>
        <w:t xml:space="preserve">, </w:t>
      </w:r>
      <w:r w:rsidRPr="006F2F1A">
        <w:rPr>
          <w:i/>
          <w:iCs/>
        </w:rPr>
        <w:t>transferencia</w:t>
      </w:r>
      <w:r>
        <w:t xml:space="preserve"> o </w:t>
      </w:r>
      <w:r w:rsidRPr="006F2F1A">
        <w:rPr>
          <w:i/>
          <w:iCs/>
        </w:rPr>
        <w:t>extinción</w:t>
      </w:r>
      <w:r>
        <w:t xml:space="preserve"> de valor económico y suponen variaciones de valor de los activos o pasivos de una unidad institucional. Existen </w:t>
      </w:r>
      <w:r w:rsidR="00853728">
        <w:t>2 </w:t>
      </w:r>
      <w:r>
        <w:t>tipos de flujos económicos:</w:t>
      </w:r>
    </w:p>
    <w:p w14:paraId="1079187D" w14:textId="6AA871F6" w:rsidR="009923E8" w:rsidRDefault="009923E8" w:rsidP="009923E8">
      <w:pPr>
        <w:pStyle w:val="Nivel2SM"/>
        <w:keepNext/>
        <w:spacing w:after="0"/>
      </w:pPr>
      <w:r w:rsidRPr="00573806">
        <w:rPr>
          <w:b/>
          <w:bCs/>
        </w:rPr>
        <w:t>Operaciones</w:t>
      </w:r>
      <w:r>
        <w:t xml:space="preserve">: </w:t>
      </w:r>
      <w:r w:rsidR="00C963D8">
        <w:t>S</w:t>
      </w:r>
      <w:r>
        <w:t>on flujos económico</w:t>
      </w:r>
      <w:r w:rsidR="00C963D8">
        <w:t>s</w:t>
      </w:r>
      <w:r>
        <w:t xml:space="preserve"> que suponen la interacción entre unidades institucionales, o acciones que se realizan dentro de una misma unidad institucional y que resulta útil tratar como una operación porque la unidad desarrolla </w:t>
      </w:r>
      <w:r w:rsidR="00C963D8">
        <w:t>2 </w:t>
      </w:r>
      <w:r>
        <w:t xml:space="preserve">funciones distintas. Las operaciones se dividen en </w:t>
      </w:r>
      <w:r w:rsidR="00C963D8">
        <w:t>4 </w:t>
      </w:r>
      <w:r>
        <w:t>grupos principales:</w:t>
      </w:r>
    </w:p>
    <w:p w14:paraId="10AD32A7" w14:textId="77777777" w:rsidR="009923E8" w:rsidRDefault="009923E8">
      <w:pPr>
        <w:pStyle w:val="Letra"/>
        <w:numPr>
          <w:ilvl w:val="0"/>
          <w:numId w:val="7"/>
        </w:numPr>
        <w:spacing w:after="0"/>
        <w:ind w:left="981" w:hanging="193"/>
      </w:pPr>
      <w:r w:rsidRPr="00A439F3">
        <w:rPr>
          <w:i/>
          <w:iCs/>
          <w:u w:val="single"/>
        </w:rPr>
        <w:t>Operaciones de bienes y servicios</w:t>
      </w:r>
      <w:r>
        <w:t xml:space="preserve">: Estas operaciones describen el origen </w:t>
      </w:r>
      <w:r w:rsidRPr="00A439F3">
        <w:rPr>
          <w:sz w:val="19"/>
          <w:szCs w:val="19"/>
        </w:rPr>
        <w:t>(producción interior o importaciones)</w:t>
      </w:r>
      <w:r>
        <w:t xml:space="preserve"> y el destino </w:t>
      </w:r>
      <w:r w:rsidRPr="00A439F3">
        <w:rPr>
          <w:sz w:val="19"/>
          <w:szCs w:val="19"/>
        </w:rPr>
        <w:t>(consumo intermedio, consumo final, formación de capital –incluido el consumo de capital fijo– o exportaciones)</w:t>
      </w:r>
      <w:r>
        <w:t xml:space="preserve"> de los bienes y servicios.</w:t>
      </w:r>
    </w:p>
    <w:p w14:paraId="5F7CEFD5" w14:textId="3D190E64" w:rsidR="009923E8" w:rsidRDefault="009923E8" w:rsidP="009923E8">
      <w:pPr>
        <w:pStyle w:val="Letra"/>
        <w:spacing w:after="0"/>
        <w:ind w:left="981" w:hanging="193"/>
      </w:pPr>
      <w:r w:rsidRPr="00A439F3">
        <w:rPr>
          <w:i/>
          <w:iCs/>
          <w:u w:val="single"/>
        </w:rPr>
        <w:t>Operaciones de distribución</w:t>
      </w:r>
      <w:r>
        <w:t>: Estas operaciones describen c</w:t>
      </w:r>
      <w:r w:rsidR="004D0FF5">
        <w:t>ó</w:t>
      </w:r>
      <w:r>
        <w:t xml:space="preserve">mo se distribuye el valor añadido generado en el proceso de producción entre el factor trabajo, el capital y las administraciones públicas, así como la redistribución de la renta y la riqueza </w:t>
      </w:r>
      <w:r w:rsidRPr="00A439F3">
        <w:rPr>
          <w:sz w:val="19"/>
          <w:szCs w:val="19"/>
        </w:rPr>
        <w:t>(impuestos sobre la renta y el patrimonio, y otras transferencias)</w:t>
      </w:r>
      <w:r>
        <w:t>.</w:t>
      </w:r>
    </w:p>
    <w:p w14:paraId="57099CF0" w14:textId="7ED96C18" w:rsidR="009923E8" w:rsidRDefault="009923E8" w:rsidP="009923E8">
      <w:pPr>
        <w:pStyle w:val="Letra"/>
        <w:spacing w:after="0"/>
        <w:ind w:left="981" w:hanging="193"/>
      </w:pPr>
      <w:r w:rsidRPr="00A439F3">
        <w:rPr>
          <w:i/>
          <w:iCs/>
          <w:u w:val="single"/>
        </w:rPr>
        <w:t>Operaciones financieras</w:t>
      </w:r>
      <w:r>
        <w:t>: Estas operaciones describen la adquisición neta de activos financieros o la contracción neta de pasivos para cada tipo de instrumento financiero. Este tipo de operaciones son, por una parte, la contrapartida de operaciones no financieras y, por otra, operaciones en las que s</w:t>
      </w:r>
      <w:r w:rsidR="004D0FF5">
        <w:t>ó</w:t>
      </w:r>
      <w:r>
        <w:t>lo intervienen instrumentos financieros.</w:t>
      </w:r>
    </w:p>
    <w:p w14:paraId="26D685DF" w14:textId="77777777" w:rsidR="009923E8" w:rsidRDefault="009923E8" w:rsidP="009923E8">
      <w:pPr>
        <w:pStyle w:val="Letra"/>
        <w:spacing w:after="0"/>
        <w:ind w:left="981" w:hanging="193"/>
      </w:pPr>
      <w:r w:rsidRPr="00A439F3">
        <w:rPr>
          <w:i/>
          <w:iCs/>
          <w:u w:val="single"/>
        </w:rPr>
        <w:t>Otras operaciones</w:t>
      </w:r>
      <w:r>
        <w:t>: Se trata de adquisiciones menos cesiones de activos no financieros no producidos.</w:t>
      </w:r>
    </w:p>
    <w:p w14:paraId="0EDA77F5" w14:textId="24DF9F61" w:rsidR="009923E8" w:rsidRPr="00D5071D" w:rsidRDefault="009923E8" w:rsidP="009923E8">
      <w:pPr>
        <w:pStyle w:val="Nivel2SM"/>
        <w:keepNext/>
        <w:spacing w:after="0"/>
        <w:rPr>
          <w:b/>
          <w:bCs/>
        </w:rPr>
      </w:pPr>
      <w:r w:rsidRPr="00573806">
        <w:rPr>
          <w:b/>
          <w:bCs/>
        </w:rPr>
        <w:t>Otras variaciones de los activos no debidas a operaciones</w:t>
      </w:r>
      <w:r>
        <w:t xml:space="preserve">: </w:t>
      </w:r>
      <w:r w:rsidR="00C963D8">
        <w:t>S</w:t>
      </w:r>
      <w:r>
        <w:t>e registran las variaciones que no se deben a operaciones:</w:t>
      </w:r>
    </w:p>
    <w:p w14:paraId="6E38B177" w14:textId="77777777" w:rsidR="009923E8" w:rsidRDefault="009923E8" w:rsidP="009923E8">
      <w:pPr>
        <w:pStyle w:val="Nivel3SM"/>
        <w:keepNext/>
      </w:pPr>
      <w:r w:rsidRPr="00A439F3">
        <w:rPr>
          <w:i/>
          <w:iCs/>
          <w:u w:val="single"/>
        </w:rPr>
        <w:t>Otras variaciones del volumen de activos y pasivos</w:t>
      </w:r>
      <w:r>
        <w:t>:</w:t>
      </w:r>
    </w:p>
    <w:p w14:paraId="0FFD1CAB" w14:textId="77777777" w:rsidR="009923E8" w:rsidRPr="00A439F3" w:rsidRDefault="009923E8" w:rsidP="009923E8">
      <w:pPr>
        <w:pStyle w:val="Nivel4"/>
        <w:ind w:left="1474"/>
      </w:pPr>
      <w:r w:rsidRPr="008B677D">
        <w:rPr>
          <w:i/>
          <w:iCs/>
        </w:rPr>
        <w:t>Apariciones y desapariciones normales de activos debidas a factores distintos de las operaciones</w:t>
      </w:r>
      <w:r w:rsidRPr="00A439F3">
        <w:t>;</w:t>
      </w:r>
    </w:p>
    <w:p w14:paraId="7C41781A" w14:textId="77777777" w:rsidR="009923E8" w:rsidRDefault="009923E8" w:rsidP="009923E8">
      <w:pPr>
        <w:pStyle w:val="Nivel4"/>
        <w:ind w:left="1474"/>
      </w:pPr>
      <w:r w:rsidRPr="008B677D">
        <w:rPr>
          <w:i/>
          <w:iCs/>
        </w:rPr>
        <w:t>Variaciones de activos y pasivos debidas a acontecimientos excepcionales e imprevistos que no son de carácter económico</w:t>
      </w:r>
      <w:r>
        <w:t>; y</w:t>
      </w:r>
    </w:p>
    <w:p w14:paraId="76A96F2F" w14:textId="77777777" w:rsidR="009923E8" w:rsidRDefault="009923E8" w:rsidP="009923E8">
      <w:pPr>
        <w:pStyle w:val="Nivel4"/>
        <w:ind w:left="1474"/>
      </w:pPr>
      <w:r w:rsidRPr="008B677D">
        <w:rPr>
          <w:i/>
          <w:iCs/>
        </w:rPr>
        <w:t>Cambios de clasificación y estructura</w:t>
      </w:r>
      <w:r>
        <w:t>.</w:t>
      </w:r>
    </w:p>
    <w:p w14:paraId="5D1B5416" w14:textId="77777777" w:rsidR="009923E8" w:rsidRDefault="009923E8" w:rsidP="009923E8">
      <w:pPr>
        <w:pStyle w:val="Nivel3SM"/>
        <w:keepNext/>
      </w:pPr>
      <w:r w:rsidRPr="00A439F3">
        <w:rPr>
          <w:i/>
          <w:iCs/>
          <w:u w:val="single"/>
        </w:rPr>
        <w:t>Ganancias y pérdidas de posesión</w:t>
      </w:r>
      <w:r>
        <w:t>: Debidas a variaciones de los precios de los activos (financieros y no financieros). Las ganancias y pérdidas de posesión medidas con arreglo a los precios de mercado corrientes se denominan ganancias y pérdidas de posesión nominales y pueden ser divididas en:</w:t>
      </w:r>
    </w:p>
    <w:p w14:paraId="7C75AD20" w14:textId="77777777" w:rsidR="009923E8" w:rsidRPr="00A439F3" w:rsidRDefault="009923E8" w:rsidP="009923E8">
      <w:pPr>
        <w:pStyle w:val="Nivel4"/>
        <w:ind w:left="1474"/>
        <w:rPr>
          <w:spacing w:val="-2"/>
        </w:rPr>
      </w:pPr>
      <w:r w:rsidRPr="00020AEE">
        <w:rPr>
          <w:i/>
          <w:iCs/>
          <w:spacing w:val="-2"/>
        </w:rPr>
        <w:t>Ganancias y pérdidas de posesión neutrales</w:t>
      </w:r>
      <w:r w:rsidRPr="00A439F3">
        <w:rPr>
          <w:spacing w:val="-2"/>
        </w:rPr>
        <w:t>: Variaciones en el nivel general de precios.</w:t>
      </w:r>
    </w:p>
    <w:p w14:paraId="497F9C5C" w14:textId="77777777" w:rsidR="009923E8" w:rsidRPr="00573806" w:rsidRDefault="009923E8" w:rsidP="009923E8">
      <w:pPr>
        <w:pStyle w:val="Nivel4"/>
        <w:ind w:left="1474"/>
      </w:pPr>
      <w:r w:rsidRPr="00020AEE">
        <w:rPr>
          <w:i/>
          <w:iCs/>
        </w:rPr>
        <w:t>Ganancias y pérdidas de posesión reales</w:t>
      </w:r>
      <w:r>
        <w:t>: Variaciones de los precios de los activos aparte de las variaciones del nivel general de precios.</w:t>
      </w:r>
    </w:p>
    <w:p w14:paraId="3F9E5974" w14:textId="77777777" w:rsidR="009923E8" w:rsidRDefault="009923E8" w:rsidP="009923E8">
      <w:pPr>
        <w:pStyle w:val="Ttulo6"/>
      </w:pPr>
      <w:bookmarkStart w:id="29" w:name="_Toc174116181"/>
      <w:r>
        <w:lastRenderedPageBreak/>
        <w:t>Stocks</w:t>
      </w:r>
      <w:bookmarkEnd w:id="29"/>
    </w:p>
    <w:p w14:paraId="38DA7D6D" w14:textId="52CF0BEC" w:rsidR="009923E8" w:rsidRDefault="009923E8" w:rsidP="006A7F98">
      <w:pPr>
        <w:pStyle w:val="Nivel1SM"/>
        <w:keepNext/>
        <w:spacing w:before="0" w:after="0"/>
      </w:pPr>
      <w:r>
        <w:t>Los stocks son los activos y los pasivos que se poseen en un momento concreto. Se registran al principio y al final de cada ejercicio contable y las cuentas en que figuran este tipo de variables se denomina</w:t>
      </w:r>
      <w:r w:rsidR="00E67B52">
        <w:t>n</w:t>
      </w:r>
      <w:r>
        <w:t xml:space="preserve"> </w:t>
      </w:r>
      <w:r>
        <w:rPr>
          <w:b/>
          <w:bCs/>
        </w:rPr>
        <w:t>balances</w:t>
      </w:r>
      <w:r>
        <w:t>.</w:t>
      </w:r>
    </w:p>
    <w:p w14:paraId="310A809C" w14:textId="77777777" w:rsidR="009923E8" w:rsidRDefault="009923E8" w:rsidP="009923E8">
      <w:pPr>
        <w:pStyle w:val="Nivel2SM"/>
      </w:pPr>
      <w:r>
        <w:t>Se refieren a los activos y pasivos financieros y a los activos no financieros, sean o no resultado de un proceso de producción, y su variación se justifica por los flujos contabilizados en la sucesión de cuentas (que se verán en el siguiente apartado).</w:t>
      </w:r>
    </w:p>
    <w:p w14:paraId="7AF4BB7B" w14:textId="77777777" w:rsidR="009923E8" w:rsidRPr="00BD1FA4" w:rsidRDefault="009923E8" w:rsidP="009923E8">
      <w:pPr>
        <w:pStyle w:val="Nivel2SM"/>
      </w:pPr>
      <w:r>
        <w:t>Una particularidad es que en el sistema también se registran los stocks de población y empleo, si bien, tales stocks se contabilizan por su valor medio en el ejercicio contable.</w:t>
      </w:r>
    </w:p>
    <w:p w14:paraId="3D08A363" w14:textId="5DED3379" w:rsidR="00FD7127" w:rsidRDefault="00371001" w:rsidP="009E2322">
      <w:pPr>
        <w:pStyle w:val="Ttulo3"/>
      </w:pPr>
      <w:bookmarkStart w:id="30" w:name="_Toc174116182"/>
      <w:r>
        <w:t>¿Quién realiza las operaciones registradas en las cuentas nacionales?</w:t>
      </w:r>
      <w:r>
        <w:br/>
      </w:r>
      <w:r w:rsidR="00FD7127">
        <w:t>Las unidades estadísticas y su agrupación</w:t>
      </w:r>
      <w:bookmarkEnd w:id="27"/>
      <w:bookmarkEnd w:id="30"/>
    </w:p>
    <w:p w14:paraId="20C83A83" w14:textId="14BDB536" w:rsidR="00FD7127" w:rsidRDefault="00FD7127" w:rsidP="006A7F98">
      <w:pPr>
        <w:pStyle w:val="Nivel1SM"/>
        <w:keepNext/>
        <w:spacing w:before="0" w:after="0"/>
      </w:pPr>
      <w:r>
        <w:t xml:space="preserve">El </w:t>
      </w:r>
      <w:r w:rsidR="00BC549A">
        <w:t>SEC 2010</w:t>
      </w:r>
      <w:r>
        <w:t xml:space="preserve"> utiliza </w:t>
      </w:r>
      <w:r w:rsidR="006A7F98">
        <w:t>2 </w:t>
      </w:r>
      <w:r>
        <w:t xml:space="preserve">tipos de unidades y </w:t>
      </w:r>
      <w:r w:rsidR="006A7F98">
        <w:t>2 </w:t>
      </w:r>
      <w:r>
        <w:t>maneras correspondientes de dividir la economía, que son bastante diferentes y se utilizan con fines analíticos distintos.</w:t>
      </w:r>
    </w:p>
    <w:p w14:paraId="3C79681D" w14:textId="77777777" w:rsidR="00FD7127" w:rsidRDefault="00FD7127" w:rsidP="00D71126">
      <w:pPr>
        <w:pStyle w:val="Nivel2SM"/>
      </w:pPr>
      <w:r>
        <w:t xml:space="preserve">Para describir la renta, el gasto y los flujos financieros, y los balances, el sistema agrupa las </w:t>
      </w:r>
      <w:r w:rsidRPr="002D1F1C">
        <w:rPr>
          <w:i/>
          <w:iCs/>
          <w:u w:val="single"/>
        </w:rPr>
        <w:t>unidades institucionales por sectores</w:t>
      </w:r>
      <w:r>
        <w:t>, atendiendo a sus funciones principales, su comportamiento y sus objetivos.</w:t>
      </w:r>
    </w:p>
    <w:p w14:paraId="189C070A" w14:textId="77777777" w:rsidR="00FD7127" w:rsidRDefault="00FD7127" w:rsidP="00D71126">
      <w:pPr>
        <w:pStyle w:val="Nivel2SM"/>
      </w:pPr>
      <w:r>
        <w:t>Para la descripción de los procesos de producción y para el análisis input-output, el sistema agrupa las</w:t>
      </w:r>
      <w:r w:rsidRPr="002D1F1C">
        <w:t xml:space="preserve"> </w:t>
      </w:r>
      <w:r w:rsidRPr="002D1F1C">
        <w:rPr>
          <w:i/>
          <w:iCs/>
          <w:u w:val="single"/>
        </w:rPr>
        <w:t>unidades de actividad económica a nivel local (UAE locales) por ramas de actividad</w:t>
      </w:r>
      <w:r>
        <w:t>. Una actividad se caracteriza por unos insumos de bienes y servicios, un proceso de producción y unos productos (bienes y servicios) obtenidos.</w:t>
      </w:r>
    </w:p>
    <w:p w14:paraId="34C6D0B1" w14:textId="77777777" w:rsidR="00FD7127" w:rsidRDefault="00FD7127" w:rsidP="00687C9E">
      <w:pPr>
        <w:pStyle w:val="Ttulo6"/>
      </w:pPr>
      <w:bookmarkStart w:id="31" w:name="_Toc174116183"/>
      <w:r>
        <w:t>Unidades y sectores institucionales</w:t>
      </w:r>
      <w:bookmarkEnd w:id="31"/>
    </w:p>
    <w:p w14:paraId="4A40E9C5" w14:textId="19ECC806" w:rsidR="00FD7127" w:rsidRDefault="00FD7127" w:rsidP="006A7F98">
      <w:pPr>
        <w:pStyle w:val="Nivel1SM"/>
        <w:spacing w:before="0"/>
      </w:pPr>
      <w:r w:rsidRPr="00CE65A4">
        <w:t>Las</w:t>
      </w:r>
      <w:r>
        <w:t xml:space="preserve"> </w:t>
      </w:r>
      <w:r w:rsidRPr="006A1F8D">
        <w:rPr>
          <w:b/>
          <w:bCs/>
        </w:rPr>
        <w:t>unidades institucionales</w:t>
      </w:r>
      <w:r>
        <w:t xml:space="preserve"> son entidades económicas capaces de ser propietarias de bienes y activos, contraer pasivos y participar en actividades y operaciones económicas con otras unidades, en nombre propio.</w:t>
      </w:r>
    </w:p>
    <w:p w14:paraId="375511BE" w14:textId="18AF7FE4" w:rsidR="00FD7127" w:rsidRDefault="00FD7127" w:rsidP="00055036">
      <w:pPr>
        <w:pStyle w:val="Nivel1SM"/>
        <w:keepNext/>
        <w:spacing w:after="0"/>
      </w:pPr>
      <w:r>
        <w:t xml:space="preserve">A efectos del sistema, las unidades institucionales se agrupan en </w:t>
      </w:r>
      <w:r w:rsidR="00E67B52">
        <w:rPr>
          <w:b/>
          <w:bCs/>
        </w:rPr>
        <w:t>5 </w:t>
      </w:r>
      <w:r w:rsidRPr="006A1F8D">
        <w:rPr>
          <w:b/>
          <w:bCs/>
        </w:rPr>
        <w:t>sectores institucionales</w:t>
      </w:r>
      <w:r>
        <w:t xml:space="preserve"> nacionales mutuamente excluyentes</w:t>
      </w:r>
      <w:r w:rsidR="006A1F8D">
        <w:rPr>
          <w:rStyle w:val="Refdenotaalpie"/>
        </w:rPr>
        <w:footnoteReference w:id="7"/>
      </w:r>
      <w:r>
        <w:t>:</w:t>
      </w:r>
    </w:p>
    <w:p w14:paraId="5596846F" w14:textId="01E2C47C" w:rsidR="00FD7127" w:rsidRPr="00BA617F" w:rsidRDefault="00FD7127">
      <w:pPr>
        <w:pStyle w:val="Prrafodelista"/>
        <w:keepNext/>
        <w:numPr>
          <w:ilvl w:val="0"/>
          <w:numId w:val="22"/>
        </w:numPr>
        <w:spacing w:after="0"/>
        <w:ind w:left="567" w:hanging="113"/>
        <w:rPr>
          <w:i/>
          <w:iCs/>
          <w:u w:val="single"/>
        </w:rPr>
      </w:pPr>
      <w:r w:rsidRPr="00BA617F">
        <w:rPr>
          <w:i/>
          <w:iCs/>
          <w:u w:val="single"/>
        </w:rPr>
        <w:t>Sociedades no financieras</w:t>
      </w:r>
    </w:p>
    <w:p w14:paraId="7398849D" w14:textId="79F415DD" w:rsidR="006B0A98" w:rsidRDefault="006B0A98" w:rsidP="006A1F8D">
      <w:pPr>
        <w:pStyle w:val="Nivel3SM"/>
      </w:pPr>
      <w:r w:rsidRPr="006B0A98">
        <w:t>Su</w:t>
      </w:r>
      <w:r>
        <w:rPr>
          <w:i/>
          <w:iCs/>
        </w:rPr>
        <w:t xml:space="preserve"> función principal</w:t>
      </w:r>
      <w:r>
        <w:t xml:space="preserve"> es producir bienes y servicios no financieros de mercado</w:t>
      </w:r>
      <w:r w:rsidR="00B97998">
        <w:rPr>
          <w:rStyle w:val="Refdenotaalpie"/>
        </w:rPr>
        <w:footnoteReference w:id="8"/>
      </w:r>
      <w:r>
        <w:t>.</w:t>
      </w:r>
    </w:p>
    <w:p w14:paraId="111D8F1B" w14:textId="6D493B8C" w:rsidR="00DE54B9" w:rsidRDefault="00DE54B9" w:rsidP="006A1F8D">
      <w:pPr>
        <w:pStyle w:val="Nivel3SM"/>
      </w:pPr>
      <w:r>
        <w:t xml:space="preserve">Obtienen sus </w:t>
      </w:r>
      <w:r>
        <w:rPr>
          <w:i/>
          <w:iCs/>
        </w:rPr>
        <w:t>recursos</w:t>
      </w:r>
      <w:r>
        <w:t xml:space="preserve"> principalmente de las ventas.</w:t>
      </w:r>
    </w:p>
    <w:p w14:paraId="0A636B12" w14:textId="4B01A3A9" w:rsidR="00FD7127" w:rsidRPr="00BA617F" w:rsidRDefault="00FD7127">
      <w:pPr>
        <w:pStyle w:val="Prrafodelista"/>
        <w:keepNext/>
        <w:numPr>
          <w:ilvl w:val="0"/>
          <w:numId w:val="22"/>
        </w:numPr>
        <w:spacing w:after="0"/>
        <w:ind w:left="567" w:hanging="113"/>
        <w:rPr>
          <w:i/>
          <w:iCs/>
          <w:u w:val="single"/>
        </w:rPr>
      </w:pPr>
      <w:r w:rsidRPr="00BA617F">
        <w:rPr>
          <w:i/>
          <w:iCs/>
          <w:u w:val="single"/>
        </w:rPr>
        <w:t>Instituciones financieras</w:t>
      </w:r>
    </w:p>
    <w:p w14:paraId="317143CE" w14:textId="06715007" w:rsidR="006B0A98" w:rsidRDefault="006B0A98" w:rsidP="006A1F8D">
      <w:pPr>
        <w:pStyle w:val="Nivel3SM"/>
      </w:pPr>
      <w:r w:rsidRPr="006B0A98">
        <w:t>Su</w:t>
      </w:r>
      <w:r>
        <w:rPr>
          <w:i/>
          <w:iCs/>
        </w:rPr>
        <w:t xml:space="preserve"> función principal</w:t>
      </w:r>
      <w:r>
        <w:t xml:space="preserve"> es pr</w:t>
      </w:r>
      <w:r w:rsidR="00E34A0C">
        <w:t>estar</w:t>
      </w:r>
      <w:r>
        <w:t xml:space="preserve"> servicios financieros de mercado.</w:t>
      </w:r>
    </w:p>
    <w:p w14:paraId="6160384E" w14:textId="175C4633" w:rsidR="00DE54B9" w:rsidRDefault="00DE54B9" w:rsidP="006A1F8D">
      <w:pPr>
        <w:pStyle w:val="Nivel3SM"/>
      </w:pPr>
      <w:r>
        <w:t xml:space="preserve">Obtienen sus </w:t>
      </w:r>
      <w:r>
        <w:rPr>
          <w:i/>
          <w:iCs/>
        </w:rPr>
        <w:t>recursos</w:t>
      </w:r>
      <w:r>
        <w:t xml:space="preserve"> principalmente de las comisiones e ingresos derivados de la intermediación financiera.</w:t>
      </w:r>
    </w:p>
    <w:p w14:paraId="230F55BA" w14:textId="75677EA1" w:rsidR="00FD7127" w:rsidRPr="00BA617F" w:rsidRDefault="00FD7127">
      <w:pPr>
        <w:pStyle w:val="Prrafodelista"/>
        <w:keepNext/>
        <w:numPr>
          <w:ilvl w:val="0"/>
          <w:numId w:val="22"/>
        </w:numPr>
        <w:spacing w:after="0"/>
        <w:ind w:left="567" w:hanging="113"/>
        <w:rPr>
          <w:i/>
          <w:iCs/>
          <w:u w:val="single"/>
        </w:rPr>
      </w:pPr>
      <w:r w:rsidRPr="00BA617F">
        <w:rPr>
          <w:i/>
          <w:iCs/>
          <w:u w:val="single"/>
        </w:rPr>
        <w:t>Administraciones Públicas</w:t>
      </w:r>
    </w:p>
    <w:p w14:paraId="22C8335F" w14:textId="49FDD0B8" w:rsidR="006B0A98" w:rsidRDefault="006B0A98" w:rsidP="006A1F8D">
      <w:pPr>
        <w:pStyle w:val="Nivel3SM"/>
      </w:pPr>
      <w:r>
        <w:t xml:space="preserve">Sus </w:t>
      </w:r>
      <w:r>
        <w:rPr>
          <w:i/>
          <w:iCs/>
        </w:rPr>
        <w:t>funciones principales</w:t>
      </w:r>
      <w:r>
        <w:t xml:space="preserve"> son producir bienes y servicios no de mercado</w:t>
      </w:r>
      <w:r w:rsidR="00E34A0C">
        <w:rPr>
          <w:rStyle w:val="Refdenotaalpie"/>
        </w:rPr>
        <w:footnoteReference w:id="9"/>
      </w:r>
      <w:r>
        <w:t xml:space="preserve"> destinados a la comunidad en general o a los hogares y redistribuir el ingreso.</w:t>
      </w:r>
    </w:p>
    <w:p w14:paraId="2257E707" w14:textId="57AA8091" w:rsidR="00DE54B9" w:rsidRDefault="00DE54B9" w:rsidP="006A1F8D">
      <w:pPr>
        <w:pStyle w:val="Nivel3SM"/>
      </w:pPr>
      <w:r>
        <w:t xml:space="preserve">Obtienen sus </w:t>
      </w:r>
      <w:r>
        <w:rPr>
          <w:i/>
          <w:iCs/>
        </w:rPr>
        <w:t>recursos</w:t>
      </w:r>
      <w:r>
        <w:t xml:space="preserve"> principalmente de pagos obligatorios de los agentes económicos y de otros ingresos como la emisión de deuda.</w:t>
      </w:r>
    </w:p>
    <w:p w14:paraId="1E587F4A" w14:textId="54E3E964" w:rsidR="00FD7127" w:rsidRPr="00BA617F" w:rsidRDefault="00FD7127">
      <w:pPr>
        <w:pStyle w:val="Prrafodelista"/>
        <w:keepNext/>
        <w:numPr>
          <w:ilvl w:val="0"/>
          <w:numId w:val="22"/>
        </w:numPr>
        <w:spacing w:after="0"/>
        <w:ind w:left="567" w:hanging="113"/>
        <w:rPr>
          <w:i/>
          <w:iCs/>
          <w:u w:val="single"/>
        </w:rPr>
      </w:pPr>
      <w:r w:rsidRPr="00BA617F">
        <w:rPr>
          <w:i/>
          <w:iCs/>
          <w:u w:val="single"/>
        </w:rPr>
        <w:t>Hogares</w:t>
      </w:r>
    </w:p>
    <w:p w14:paraId="698237F3" w14:textId="7631EAF5" w:rsidR="00E34A0C" w:rsidRPr="003142F9" w:rsidRDefault="00E34A0C" w:rsidP="006A1F8D">
      <w:pPr>
        <w:pStyle w:val="Nivel3SM"/>
        <w:rPr>
          <w:spacing w:val="-4"/>
        </w:rPr>
      </w:pPr>
      <w:r w:rsidRPr="003142F9">
        <w:rPr>
          <w:spacing w:val="-4"/>
        </w:rPr>
        <w:t>Su</w:t>
      </w:r>
      <w:r w:rsidR="003142F9" w:rsidRPr="003142F9">
        <w:rPr>
          <w:spacing w:val="-4"/>
        </w:rPr>
        <w:t>s</w:t>
      </w:r>
      <w:r w:rsidRPr="003142F9">
        <w:rPr>
          <w:i/>
          <w:iCs/>
          <w:spacing w:val="-4"/>
        </w:rPr>
        <w:t xml:space="preserve"> funci</w:t>
      </w:r>
      <w:r w:rsidR="003142F9" w:rsidRPr="003142F9">
        <w:rPr>
          <w:i/>
          <w:iCs/>
          <w:spacing w:val="-4"/>
        </w:rPr>
        <w:t>o</w:t>
      </w:r>
      <w:r w:rsidRPr="003142F9">
        <w:rPr>
          <w:i/>
          <w:iCs/>
          <w:spacing w:val="-4"/>
        </w:rPr>
        <w:t>n</w:t>
      </w:r>
      <w:r w:rsidR="003142F9" w:rsidRPr="003142F9">
        <w:rPr>
          <w:i/>
          <w:iCs/>
          <w:spacing w:val="-4"/>
        </w:rPr>
        <w:t>es</w:t>
      </w:r>
      <w:r w:rsidRPr="003142F9">
        <w:rPr>
          <w:i/>
          <w:iCs/>
          <w:spacing w:val="-4"/>
        </w:rPr>
        <w:t xml:space="preserve"> principal</w:t>
      </w:r>
      <w:r w:rsidRPr="003142F9">
        <w:rPr>
          <w:spacing w:val="-4"/>
        </w:rPr>
        <w:t xml:space="preserve"> </w:t>
      </w:r>
      <w:r w:rsidR="003142F9" w:rsidRPr="003142F9">
        <w:rPr>
          <w:spacing w:val="-4"/>
        </w:rPr>
        <w:t>son</w:t>
      </w:r>
      <w:r w:rsidRPr="003142F9">
        <w:rPr>
          <w:spacing w:val="-4"/>
        </w:rPr>
        <w:t xml:space="preserve"> el consumo para uso final propio</w:t>
      </w:r>
      <w:r w:rsidR="00AB38B0" w:rsidRPr="003142F9">
        <w:rPr>
          <w:rStyle w:val="Refdenotaalpie"/>
          <w:spacing w:val="-4"/>
        </w:rPr>
        <w:footnoteReference w:id="10"/>
      </w:r>
      <w:r w:rsidR="003142F9" w:rsidRPr="003142F9">
        <w:rPr>
          <w:spacing w:val="-4"/>
        </w:rPr>
        <w:t xml:space="preserve"> y</w:t>
      </w:r>
      <w:r w:rsidRPr="003142F9">
        <w:rPr>
          <w:spacing w:val="-4"/>
        </w:rPr>
        <w:t xml:space="preserve"> proporcionar fuerza de trabajo</w:t>
      </w:r>
      <w:r w:rsidR="00AB38B0" w:rsidRPr="003142F9">
        <w:rPr>
          <w:rStyle w:val="Refdenotaalpie"/>
          <w:spacing w:val="-4"/>
        </w:rPr>
        <w:footnoteReference w:id="11"/>
      </w:r>
      <w:r w:rsidRPr="003142F9">
        <w:rPr>
          <w:spacing w:val="-4"/>
        </w:rPr>
        <w:t>.</w:t>
      </w:r>
    </w:p>
    <w:p w14:paraId="74BE4A9F" w14:textId="78208B02" w:rsidR="00DE54B9" w:rsidRDefault="00DE54B9" w:rsidP="006A1F8D">
      <w:pPr>
        <w:pStyle w:val="Nivel3SM"/>
      </w:pPr>
      <w:r>
        <w:lastRenderedPageBreak/>
        <w:t xml:space="preserve">Obtienen sus </w:t>
      </w:r>
      <w:r>
        <w:rPr>
          <w:i/>
          <w:iCs/>
        </w:rPr>
        <w:t>recursos</w:t>
      </w:r>
      <w:r>
        <w:t xml:space="preserve"> principalmente de la remuneración de los factores productivos.</w:t>
      </w:r>
    </w:p>
    <w:p w14:paraId="5A02E854" w14:textId="0491F8B1" w:rsidR="006B0A98" w:rsidRDefault="00FD7127">
      <w:pPr>
        <w:pStyle w:val="Prrafodelista"/>
        <w:keepNext/>
        <w:numPr>
          <w:ilvl w:val="0"/>
          <w:numId w:val="22"/>
        </w:numPr>
        <w:spacing w:after="0"/>
        <w:ind w:left="567" w:hanging="113"/>
      </w:pPr>
      <w:r w:rsidRPr="00BA617F">
        <w:rPr>
          <w:i/>
          <w:iCs/>
          <w:u w:val="single"/>
        </w:rPr>
        <w:t>Instituciones Sin Fines de Lucro al Servicio de los Hogares (ISFLSH)</w:t>
      </w:r>
      <w:r w:rsidR="006308DB" w:rsidRPr="006308DB">
        <w:rPr>
          <w:rStyle w:val="Refdenotaalpie"/>
        </w:rPr>
        <w:footnoteReference w:id="12"/>
      </w:r>
    </w:p>
    <w:p w14:paraId="46A817CA" w14:textId="022AFCEE" w:rsidR="00DE54B9" w:rsidRPr="003142F9" w:rsidRDefault="00DE54B9" w:rsidP="006A1F8D">
      <w:pPr>
        <w:pStyle w:val="Nivel3SM"/>
        <w:rPr>
          <w:spacing w:val="-5"/>
        </w:rPr>
      </w:pPr>
      <w:r w:rsidRPr="003142F9">
        <w:rPr>
          <w:spacing w:val="-5"/>
        </w:rPr>
        <w:t>Su</w:t>
      </w:r>
      <w:r w:rsidRPr="003142F9">
        <w:rPr>
          <w:i/>
          <w:iCs/>
          <w:spacing w:val="-5"/>
        </w:rPr>
        <w:t xml:space="preserve"> función principal</w:t>
      </w:r>
      <w:r w:rsidRPr="003142F9">
        <w:rPr>
          <w:spacing w:val="-5"/>
        </w:rPr>
        <w:t xml:space="preserve"> es proporcionar bienes y servicios no de mercado a los hogares y a la comunidad.</w:t>
      </w:r>
    </w:p>
    <w:p w14:paraId="1EA94DE2" w14:textId="78E31995" w:rsidR="00DE54B9" w:rsidRDefault="00DE54B9" w:rsidP="006A1F8D">
      <w:pPr>
        <w:pStyle w:val="Nivel3SM"/>
        <w:spacing w:after="100"/>
      </w:pPr>
      <w:r>
        <w:t xml:space="preserve">Obtienen sus </w:t>
      </w:r>
      <w:r w:rsidRPr="00DE54B9">
        <w:rPr>
          <w:i/>
          <w:iCs/>
        </w:rPr>
        <w:t>recursos</w:t>
      </w:r>
      <w:r>
        <w:t xml:space="preserve"> principalmente de contribuciones voluntarias en efectivo o en especie efectuadas por hogares, administraciones públicas.</w:t>
      </w:r>
    </w:p>
    <w:p w14:paraId="080EAEEF" w14:textId="77777777" w:rsidR="007209C6" w:rsidRDefault="00FD7127" w:rsidP="007209C6">
      <w:pPr>
        <w:pStyle w:val="Nivel1SM"/>
        <w:keepNext/>
        <w:spacing w:after="0"/>
      </w:pPr>
      <w:r>
        <w:t xml:space="preserve">El conjunto de estos </w:t>
      </w:r>
      <w:r w:rsidR="007209C6">
        <w:t>5 </w:t>
      </w:r>
      <w:r>
        <w:t xml:space="preserve">sectores constituye el </w:t>
      </w:r>
      <w:r>
        <w:rPr>
          <w:i/>
          <w:iCs/>
          <w:u w:val="single"/>
        </w:rPr>
        <w:t>total de la economía nacional</w:t>
      </w:r>
      <w:r>
        <w:t>.</w:t>
      </w:r>
    </w:p>
    <w:p w14:paraId="15DFB65D" w14:textId="77777777" w:rsidR="007209C6" w:rsidRDefault="00FD7127" w:rsidP="007209C6">
      <w:pPr>
        <w:pStyle w:val="Nivel2SM"/>
        <w:keepNext/>
        <w:spacing w:after="0"/>
      </w:pPr>
      <w:r>
        <w:t>Cada sector, está dividido a su vez en subsectores.</w:t>
      </w:r>
    </w:p>
    <w:p w14:paraId="1A15A06F" w14:textId="2599BC76" w:rsidR="007209C6" w:rsidRDefault="00FD7127" w:rsidP="007209C6">
      <w:pPr>
        <w:pStyle w:val="Nivel3SM"/>
      </w:pPr>
      <w:r>
        <w:t>El sistema permite elaborar una serie completa de cuentas de flujos y de balances para cada sector y subsector, y para el total de la economía.</w:t>
      </w:r>
    </w:p>
    <w:p w14:paraId="2D2BDE40" w14:textId="0AF019CB" w:rsidR="00FD7127" w:rsidRDefault="00FD7127" w:rsidP="007209C6">
      <w:pPr>
        <w:pStyle w:val="Nivel2SM"/>
      </w:pPr>
      <w:r>
        <w:t xml:space="preserve">Las unidades no residentes pueden interactuar con estos </w:t>
      </w:r>
      <w:r w:rsidR="007209C6">
        <w:t>5 </w:t>
      </w:r>
      <w:r>
        <w:t xml:space="preserve">sectores nacionales, </w:t>
      </w:r>
      <w:r w:rsidR="007209C6">
        <w:t xml:space="preserve">dando lugar a un </w:t>
      </w:r>
      <w:r>
        <w:t xml:space="preserve">sexto sector: </w:t>
      </w:r>
      <w:r>
        <w:rPr>
          <w:i/>
          <w:iCs/>
          <w:u w:val="single"/>
        </w:rPr>
        <w:t>el resto del mundo</w:t>
      </w:r>
      <w:r w:rsidR="00E7603B" w:rsidRPr="00E7603B">
        <w:rPr>
          <w:rStyle w:val="Refdenotaalpie"/>
        </w:rPr>
        <w:footnoteReference w:id="13"/>
      </w:r>
      <w:r>
        <w:t>.</w:t>
      </w:r>
    </w:p>
    <w:p w14:paraId="7D1BB1A0" w14:textId="3D94AD2F" w:rsidR="0070630D" w:rsidRPr="00D659C2" w:rsidRDefault="0070630D" w:rsidP="0070630D">
      <w:pPr>
        <w:pStyle w:val="Ttuloimagen"/>
        <w:rPr>
          <w:smallCaps w:val="0"/>
        </w:rPr>
      </w:pPr>
      <w:r>
        <w:t>Imagen</w:t>
      </w:r>
      <w:r w:rsidR="006A7F98">
        <w:t> </w:t>
      </w:r>
      <w:r>
        <w:fldChar w:fldCharType="begin"/>
      </w:r>
      <w:r>
        <w:instrText xml:space="preserve"> SEQ Ilustración \* ARABIC </w:instrText>
      </w:r>
      <w:r>
        <w:fldChar w:fldCharType="separate"/>
      </w:r>
      <w:r w:rsidR="001A65F8">
        <w:t>1</w:t>
      </w:r>
      <w:r>
        <w:fldChar w:fldCharType="end"/>
      </w:r>
      <w:r w:rsidR="00D659C2">
        <w:rPr>
          <w:smallCaps w:val="0"/>
        </w:rPr>
        <w:t xml:space="preserve">.– </w:t>
      </w:r>
      <w:r w:rsidR="00D659C2">
        <w:rPr>
          <w:i/>
          <w:iCs/>
          <w:smallCaps w:val="0"/>
        </w:rPr>
        <w:t>Clasificación por unidades sectoriales</w:t>
      </w:r>
    </w:p>
    <w:p w14:paraId="06FA11D9" w14:textId="2D50500C" w:rsidR="00FD7127" w:rsidRDefault="00FD7127" w:rsidP="00FD7127">
      <w:pPr>
        <w:pStyle w:val="Imagen"/>
      </w:pPr>
      <w:r>
        <w:drawing>
          <wp:inline distT="0" distB="0" distL="0" distR="0" wp14:anchorId="01E8C227" wp14:editId="03C0E72B">
            <wp:extent cx="3311894" cy="3600000"/>
            <wp:effectExtent l="0" t="0" r="3175" b="635"/>
            <wp:docPr id="33" name="Picture 3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agrama&#10;&#10;Descripción generada automáticamente"/>
                    <pic:cNvPicPr/>
                  </pic:nvPicPr>
                  <pic:blipFill rotWithShape="1">
                    <a:blip r:embed="rId11">
                      <a:extLst>
                        <a:ext uri="{28A0092B-C50C-407E-A947-70E740481C1C}">
                          <a14:useLocalDpi xmlns:a14="http://schemas.microsoft.com/office/drawing/2010/main" val="0"/>
                        </a:ext>
                      </a:extLst>
                    </a:blip>
                    <a:srcRect l="2615" t="1476" r="2853" b="18258"/>
                    <a:stretch/>
                  </pic:blipFill>
                  <pic:spPr bwMode="auto">
                    <a:xfrm>
                      <a:off x="0" y="0"/>
                      <a:ext cx="3311894" cy="3600000"/>
                    </a:xfrm>
                    <a:prstGeom prst="rect">
                      <a:avLst/>
                    </a:prstGeom>
                    <a:ln>
                      <a:noFill/>
                    </a:ln>
                    <a:extLst>
                      <a:ext uri="{53640926-AAD7-44D8-BBD7-CCE9431645EC}">
                        <a14:shadowObscured xmlns:a14="http://schemas.microsoft.com/office/drawing/2010/main"/>
                      </a:ext>
                    </a:extLst>
                  </pic:spPr>
                </pic:pic>
              </a:graphicData>
            </a:graphic>
          </wp:inline>
        </w:drawing>
      </w:r>
    </w:p>
    <w:p w14:paraId="428B6815" w14:textId="62764684" w:rsidR="00FD7127" w:rsidRPr="00534DF7" w:rsidRDefault="00FD7127" w:rsidP="00B12D00">
      <w:pPr>
        <w:pStyle w:val="PiedeImagen"/>
      </w:pPr>
      <w:r>
        <w:t>Fuente</w:t>
      </w:r>
      <w:r w:rsidRPr="00B12D00">
        <w:rPr>
          <w:i w:val="0"/>
          <w:iCs/>
        </w:rPr>
        <w:t xml:space="preserve">: </w:t>
      </w:r>
      <w:r w:rsidR="003A75BC">
        <w:rPr>
          <w:i w:val="0"/>
          <w:iCs/>
        </w:rPr>
        <w:t>SCN 2008</w:t>
      </w:r>
    </w:p>
    <w:p w14:paraId="7924B495" w14:textId="5A401337" w:rsidR="00FD7127" w:rsidRDefault="00FD7127" w:rsidP="00687C9E">
      <w:pPr>
        <w:pStyle w:val="Ttulo6"/>
        <w:rPr>
          <w:b w:val="0"/>
          <w:bCs/>
          <w:color w:val="767171" w:themeColor="background2" w:themeShade="80"/>
          <w:sz w:val="19"/>
          <w:szCs w:val="19"/>
          <w:highlight w:val="yellow"/>
          <w:u w:val="none"/>
        </w:rPr>
      </w:pPr>
      <w:bookmarkStart w:id="32" w:name="_Toc174116184"/>
      <w:r w:rsidRPr="00E7603B">
        <w:rPr>
          <w:highlight w:val="yellow"/>
        </w:rPr>
        <w:t>Unidades de actividad económica a nivel local y ramas de actividad</w:t>
      </w:r>
      <w:r w:rsidR="00B97998" w:rsidRPr="00E7603B">
        <w:rPr>
          <w:b w:val="0"/>
          <w:bCs/>
          <w:highlight w:val="yellow"/>
          <w:u w:val="none"/>
        </w:rPr>
        <w:t xml:space="preserve"> </w:t>
      </w:r>
      <w:r w:rsidR="00B97998" w:rsidRPr="00E7603B">
        <w:rPr>
          <w:b w:val="0"/>
          <w:bCs/>
          <w:color w:val="767171" w:themeColor="background2" w:themeShade="80"/>
          <w:sz w:val="19"/>
          <w:szCs w:val="19"/>
          <w:highlight w:val="yellow"/>
          <w:u w:val="none"/>
        </w:rPr>
        <w:t>[Relevante en 3.A.</w:t>
      </w:r>
      <w:r w:rsidR="00E14C08">
        <w:rPr>
          <w:b w:val="0"/>
          <w:bCs/>
          <w:color w:val="767171" w:themeColor="background2" w:themeShade="80"/>
          <w:sz w:val="19"/>
          <w:szCs w:val="19"/>
          <w:highlight w:val="yellow"/>
          <w:u w:val="none"/>
        </w:rPr>
        <w:t>31</w:t>
      </w:r>
      <w:r w:rsidR="00B97998" w:rsidRPr="00E7603B">
        <w:rPr>
          <w:b w:val="0"/>
          <w:bCs/>
          <w:color w:val="767171" w:themeColor="background2" w:themeShade="80"/>
          <w:sz w:val="19"/>
          <w:szCs w:val="19"/>
          <w:highlight w:val="yellow"/>
          <w:u w:val="none"/>
        </w:rPr>
        <w:t>]</w:t>
      </w:r>
      <w:bookmarkEnd w:id="32"/>
    </w:p>
    <w:p w14:paraId="1030B8DC" w14:textId="315802C7" w:rsidR="00FD7127" w:rsidRPr="00E7603B" w:rsidRDefault="00FD7127" w:rsidP="006A7F98">
      <w:pPr>
        <w:pStyle w:val="Nivel1SM"/>
        <w:keepNext/>
        <w:spacing w:before="0" w:after="0"/>
        <w:rPr>
          <w:highlight w:val="yellow"/>
        </w:rPr>
      </w:pPr>
      <w:r w:rsidRPr="00E7603B">
        <w:rPr>
          <w:highlight w:val="yellow"/>
        </w:rPr>
        <w:t xml:space="preserve">Cuando las unidades institucionales desarrollan más de una actividad, es preciso dividirlas </w:t>
      </w:r>
      <w:r w:rsidRPr="00E7603B">
        <w:rPr>
          <w:b/>
          <w:bCs/>
          <w:highlight w:val="yellow"/>
        </w:rPr>
        <w:t>según el tipo de actividad</w:t>
      </w:r>
      <w:r w:rsidRPr="00E7603B">
        <w:rPr>
          <w:highlight w:val="yellow"/>
        </w:rPr>
        <w:t>. Las unidades de actividad económica a nivel local permiten realizar esa presentación.</w:t>
      </w:r>
    </w:p>
    <w:p w14:paraId="383085CC" w14:textId="08D4A4C7" w:rsidR="00FD7127" w:rsidRPr="00E7603B" w:rsidRDefault="00FD7127" w:rsidP="00E7603B">
      <w:pPr>
        <w:pStyle w:val="Nivel2SM"/>
        <w:rPr>
          <w:highlight w:val="yellow"/>
        </w:rPr>
      </w:pPr>
      <w:r w:rsidRPr="00E7603B">
        <w:rPr>
          <w:highlight w:val="yellow"/>
        </w:rPr>
        <w:t>Una UAE local agrupa todas las partes de una unidad institucional en su condición de productora que están situadas en una única localización o en emplazamientos próximos y que concurren al ejercicio de una actividad del nivel de clase (</w:t>
      </w:r>
      <w:r w:rsidR="00EC0692">
        <w:rPr>
          <w:highlight w:val="yellow"/>
        </w:rPr>
        <w:t>4 </w:t>
      </w:r>
      <w:r w:rsidRPr="00E7603B">
        <w:rPr>
          <w:highlight w:val="yellow"/>
        </w:rPr>
        <w:t>cifras) de la NACE Rev.</w:t>
      </w:r>
      <w:r w:rsidR="00071AC4">
        <w:rPr>
          <w:highlight w:val="yellow"/>
        </w:rPr>
        <w:t> </w:t>
      </w:r>
      <w:r w:rsidRPr="00E7603B">
        <w:rPr>
          <w:highlight w:val="yellow"/>
        </w:rPr>
        <w:t>2.</w:t>
      </w:r>
    </w:p>
    <w:p w14:paraId="3889AD97" w14:textId="24B9306F" w:rsidR="00FD7127" w:rsidRPr="00E7603B" w:rsidRDefault="00FD7127" w:rsidP="00E7603B">
      <w:pPr>
        <w:pStyle w:val="Nivel2SM"/>
        <w:keepNext/>
        <w:spacing w:after="0"/>
        <w:rPr>
          <w:highlight w:val="yellow"/>
        </w:rPr>
      </w:pPr>
      <w:r w:rsidRPr="00E7603B">
        <w:rPr>
          <w:highlight w:val="yellow"/>
        </w:rPr>
        <w:t xml:space="preserve">Las UAE locales que desarrollan la misma actividad económica u otra similar constituyen una </w:t>
      </w:r>
      <w:r w:rsidRPr="00E7603B">
        <w:rPr>
          <w:i/>
          <w:iCs/>
          <w:highlight w:val="yellow"/>
          <w:u w:val="single"/>
        </w:rPr>
        <w:t>rama de actividad</w:t>
      </w:r>
      <w:r w:rsidRPr="00E7603B">
        <w:rPr>
          <w:highlight w:val="yellow"/>
        </w:rPr>
        <w:t>.</w:t>
      </w:r>
    </w:p>
    <w:p w14:paraId="14D54277" w14:textId="3523AC03" w:rsidR="00FD7127" w:rsidRPr="00E7603B" w:rsidRDefault="00E7603B" w:rsidP="00E7603B">
      <w:pPr>
        <w:pStyle w:val="Nivel3SM"/>
        <w:rPr>
          <w:highlight w:val="yellow"/>
        </w:rPr>
      </w:pPr>
      <w:r w:rsidRPr="00E7603B">
        <w:rPr>
          <w:highlight w:val="yellow"/>
        </w:rPr>
        <w:t xml:space="preserve">Las unidades de actividad económica a nivel local se registran para actividad secundaria; no obstante, si no se dispone de los documentos contables necesarios para describir por </w:t>
      </w:r>
      <w:r w:rsidRPr="00E7603B">
        <w:rPr>
          <w:highlight w:val="yellow"/>
        </w:rPr>
        <w:lastRenderedPageBreak/>
        <w:t>separado cada una de ellas, las UAE locales abarcarán varias actividades secundarias. Es decir, u</w:t>
      </w:r>
      <w:r w:rsidR="00FD7127" w:rsidRPr="00E7603B">
        <w:rPr>
          <w:highlight w:val="yellow"/>
        </w:rPr>
        <w:t>na unidad institucional incluye una o varias UAE locales; una UAE local pertenece a una sola unidad institucional.</w:t>
      </w:r>
    </w:p>
    <w:p w14:paraId="791CA0F6" w14:textId="4164B06A" w:rsidR="00FD7127" w:rsidRPr="00E7603B" w:rsidRDefault="00FD7127" w:rsidP="00E7603B">
      <w:pPr>
        <w:pStyle w:val="Nivel2SM"/>
        <w:rPr>
          <w:highlight w:val="yellow"/>
        </w:rPr>
      </w:pPr>
      <w:r w:rsidRPr="00E7603B">
        <w:rPr>
          <w:highlight w:val="yellow"/>
        </w:rPr>
        <w:t xml:space="preserve">Para analizar el proceso de producción se utiliza una </w:t>
      </w:r>
      <w:r w:rsidRPr="00E7603B">
        <w:rPr>
          <w:i/>
          <w:iCs/>
          <w:highlight w:val="yellow"/>
          <w:u w:val="single"/>
        </w:rPr>
        <w:t>unidad analítica de producción</w:t>
      </w:r>
      <w:r w:rsidRPr="00E7603B">
        <w:rPr>
          <w:highlight w:val="yellow"/>
        </w:rPr>
        <w:t>. Esta unidad s</w:t>
      </w:r>
      <w:r w:rsidR="00EC0692">
        <w:rPr>
          <w:highlight w:val="yellow"/>
        </w:rPr>
        <w:t>ó</w:t>
      </w:r>
      <w:r w:rsidRPr="00E7603B">
        <w:rPr>
          <w:highlight w:val="yellow"/>
        </w:rPr>
        <w:t>lo es observable cuando una UAE local produce un tipo de producto, sin actividades secundarias. Esta unidad se denomina unidad de producción homogénea. Los grupos de dichas unidades constituyen ramas homogéneas.</w:t>
      </w:r>
    </w:p>
    <w:p w14:paraId="5ACC1183" w14:textId="29C14149" w:rsidR="009E2322" w:rsidRDefault="009923E8" w:rsidP="009E2322">
      <w:pPr>
        <w:pStyle w:val="Ttulo3"/>
      </w:pPr>
      <w:bookmarkStart w:id="33" w:name="_Toc174116185"/>
      <w:r>
        <w:t>Principios contables</w:t>
      </w:r>
      <w:bookmarkEnd w:id="33"/>
    </w:p>
    <w:p w14:paraId="6E8813E3" w14:textId="77777777" w:rsidR="004D3C9C" w:rsidRDefault="00750059" w:rsidP="006A7F98">
      <w:pPr>
        <w:pStyle w:val="Nivel1SM"/>
        <w:keepNext/>
        <w:spacing w:before="0" w:after="0"/>
      </w:pPr>
      <w:r>
        <w:t xml:space="preserve">Una </w:t>
      </w:r>
      <w:r w:rsidRPr="004D3C9C">
        <w:rPr>
          <w:b/>
          <w:bCs/>
        </w:rPr>
        <w:t>cuenta</w:t>
      </w:r>
      <w:r>
        <w:t xml:space="preserve"> registra las </w:t>
      </w:r>
      <w:r w:rsidRPr="004D3C9C">
        <w:rPr>
          <w:i/>
          <w:iCs/>
        </w:rPr>
        <w:t xml:space="preserve">variaciones del </w:t>
      </w:r>
      <w:r w:rsidR="004D3C9C" w:rsidRPr="004D3C9C">
        <w:rPr>
          <w:i/>
          <w:iCs/>
        </w:rPr>
        <w:t>v</w:t>
      </w:r>
      <w:r w:rsidRPr="004D3C9C">
        <w:rPr>
          <w:i/>
          <w:iCs/>
        </w:rPr>
        <w:t>alor de una unidad o un sector</w:t>
      </w:r>
      <w:r>
        <w:t xml:space="preserve"> de acuerdo con la naturaleza de los flujos económicos a que se refiere la cuenta.</w:t>
      </w:r>
    </w:p>
    <w:p w14:paraId="064EFB89" w14:textId="77777777" w:rsidR="004D3C9C" w:rsidRDefault="00750059" w:rsidP="004D3C9C">
      <w:pPr>
        <w:pStyle w:val="Nivel2SM"/>
      </w:pPr>
      <w:r>
        <w:t>Las cuentas corrientes son aquellas que muestran la producción, la generación y la asignación de la renta, la distribución y la redistribución de la renta y su utilización.</w:t>
      </w:r>
    </w:p>
    <w:p w14:paraId="5A0C51B5" w14:textId="6AE211ED" w:rsidR="00750059" w:rsidRDefault="00750059" w:rsidP="004D3C9C">
      <w:pPr>
        <w:pStyle w:val="Nivel2SM"/>
      </w:pPr>
      <w:r>
        <w:t>Las cuentas de acumulación son las cuentas de capital y financiera, y las cuentas de otras variaciones del volumen de activos.</w:t>
      </w:r>
    </w:p>
    <w:p w14:paraId="7DD699D8" w14:textId="3D092463" w:rsidR="00343DF0" w:rsidRPr="00343DF0" w:rsidRDefault="00343DF0" w:rsidP="00343DF0">
      <w:pPr>
        <w:pStyle w:val="Ttulo6"/>
        <w:rPr>
          <w:sz w:val="19"/>
          <w:szCs w:val="19"/>
        </w:rPr>
      </w:pPr>
      <w:bookmarkStart w:id="34" w:name="_Toc174116186"/>
      <w:r>
        <w:t>Principio de partida doble</w:t>
      </w:r>
      <w:r w:rsidRPr="00343DF0">
        <w:rPr>
          <w:sz w:val="19"/>
          <w:szCs w:val="19"/>
          <w:u w:val="none"/>
        </w:rPr>
        <w:t xml:space="preserve"> (Método de contabilidad por partida cuádruple)</w:t>
      </w:r>
      <w:bookmarkEnd w:id="34"/>
    </w:p>
    <w:p w14:paraId="6C3CBB3F" w14:textId="26FAF1AD" w:rsidR="009E2322" w:rsidRPr="00917013" w:rsidRDefault="009E2322" w:rsidP="006A7F98">
      <w:pPr>
        <w:pStyle w:val="Nivel1SM"/>
        <w:keepNext/>
        <w:spacing w:before="0" w:after="0"/>
      </w:pPr>
      <w:r w:rsidRPr="004D3C9C">
        <w:rPr>
          <w:i/>
          <w:iCs/>
          <w:u w:val="single"/>
        </w:rPr>
        <w:t>Principio de la partida</w:t>
      </w:r>
      <w:r w:rsidR="004A424F" w:rsidRPr="004D3C9C">
        <w:rPr>
          <w:i/>
          <w:iCs/>
          <w:u w:val="single"/>
        </w:rPr>
        <w:t xml:space="preserve"> doble/partida cuádruple</w:t>
      </w:r>
      <w:r w:rsidRPr="00917013">
        <w:t>:</w:t>
      </w:r>
    </w:p>
    <w:p w14:paraId="186A15D6" w14:textId="7CD40EA7" w:rsidR="004E752A" w:rsidRDefault="004A424F" w:rsidP="004D3C9C">
      <w:pPr>
        <w:pStyle w:val="Nivel2SM"/>
        <w:keepNext/>
        <w:spacing w:after="0"/>
      </w:pPr>
      <w:r w:rsidRPr="00246176">
        <w:rPr>
          <w:rStyle w:val="Nivel2Car"/>
        </w:rPr>
        <w:t>Para cada unidad o sector, c</w:t>
      </w:r>
      <w:r w:rsidR="009E2322" w:rsidRPr="00246176">
        <w:rPr>
          <w:rStyle w:val="Nivel2Car"/>
        </w:rPr>
        <w:t>ada operación debe registrarse con el mismo valor dos veces</w:t>
      </w:r>
      <w:r>
        <w:t xml:space="preserve"> (</w:t>
      </w:r>
      <w:r w:rsidRPr="004A424F">
        <w:rPr>
          <w:b/>
          <w:bCs/>
        </w:rPr>
        <w:t>principio de la partida doble</w:t>
      </w:r>
      <w:r>
        <w:t>)</w:t>
      </w:r>
      <w:r w:rsidR="004E752A">
        <w:t>:</w:t>
      </w:r>
    </w:p>
    <w:p w14:paraId="41FA3545" w14:textId="77777777" w:rsidR="00EC71A9" w:rsidRDefault="00EC71A9" w:rsidP="00EC71A9">
      <w:pPr>
        <w:pStyle w:val="Nivel3SM"/>
        <w:keepNext/>
      </w:pPr>
      <w:r w:rsidRPr="00246176">
        <w:rPr>
          <w:rStyle w:val="Nivel4Car"/>
        </w:rPr>
        <w:t xml:space="preserve">En las </w:t>
      </w:r>
      <w:r w:rsidRPr="00C15DA7">
        <w:rPr>
          <w:rStyle w:val="Nivel4Car"/>
          <w:i/>
          <w:iCs/>
        </w:rPr>
        <w:t>cuentas corrientes</w:t>
      </w:r>
      <w:r>
        <w:t>:</w:t>
      </w:r>
    </w:p>
    <w:p w14:paraId="36DA8251" w14:textId="77777777" w:rsidR="00EC71A9" w:rsidRDefault="00EC71A9" w:rsidP="00EC71A9">
      <w:pPr>
        <w:pStyle w:val="Nivel4"/>
        <w:ind w:left="1474"/>
      </w:pPr>
      <w:r>
        <w:t xml:space="preserve">En el lado izquierdo </w:t>
      </w:r>
      <w:r w:rsidRPr="004E752A">
        <w:rPr>
          <w:i/>
          <w:iCs/>
        </w:rPr>
        <w:t>empleos</w:t>
      </w:r>
      <w:r>
        <w:t>: Operaciones que reducen el valor económico de una unidad o sector.</w:t>
      </w:r>
    </w:p>
    <w:p w14:paraId="77C626A1" w14:textId="77777777" w:rsidR="00EC71A9" w:rsidRDefault="00EC71A9" w:rsidP="00EC71A9">
      <w:pPr>
        <w:pStyle w:val="Nivel4"/>
        <w:ind w:left="1474"/>
      </w:pPr>
      <w:r>
        <w:t xml:space="preserve">En el lado derecho </w:t>
      </w:r>
      <w:r w:rsidRPr="004E752A">
        <w:rPr>
          <w:i/>
          <w:iCs/>
        </w:rPr>
        <w:t>recursos</w:t>
      </w:r>
      <w:r>
        <w:t>: Operaciones que incrementan el valor económico de una unidad o sector.</w:t>
      </w:r>
    </w:p>
    <w:p w14:paraId="07C4DA17" w14:textId="77777777" w:rsidR="00EC71A9" w:rsidRDefault="00EC71A9" w:rsidP="00EC71A9">
      <w:pPr>
        <w:pStyle w:val="Nivel3SM"/>
        <w:keepNext/>
      </w:pPr>
      <w:r w:rsidRPr="00246176">
        <w:rPr>
          <w:rStyle w:val="Nivel4Car"/>
        </w:rPr>
        <w:t xml:space="preserve">En las </w:t>
      </w:r>
      <w:r w:rsidRPr="00C15DA7">
        <w:rPr>
          <w:rStyle w:val="Nivel4Car"/>
          <w:i/>
          <w:iCs/>
        </w:rPr>
        <w:t>cuentas</w:t>
      </w:r>
      <w:r w:rsidRPr="00C15DA7">
        <w:rPr>
          <w:i/>
          <w:iCs/>
        </w:rPr>
        <w:t xml:space="preserve"> de acumulación</w:t>
      </w:r>
      <w:r>
        <w:t>:</w:t>
      </w:r>
    </w:p>
    <w:p w14:paraId="25EF518A" w14:textId="77777777" w:rsidR="00EC71A9" w:rsidRDefault="00EC71A9" w:rsidP="00EC71A9">
      <w:pPr>
        <w:pStyle w:val="Nivel4"/>
        <w:ind w:left="1474"/>
      </w:pPr>
      <w:r>
        <w:t xml:space="preserve">En el lado izquierdo </w:t>
      </w:r>
      <w:r w:rsidRPr="004D3C9C">
        <w:rPr>
          <w:i/>
          <w:iCs/>
        </w:rPr>
        <w:t>variación de activos</w:t>
      </w:r>
      <w:r>
        <w:t>.</w:t>
      </w:r>
    </w:p>
    <w:p w14:paraId="6917E2E9" w14:textId="77777777" w:rsidR="00EC71A9" w:rsidRDefault="00EC71A9" w:rsidP="00EC71A9">
      <w:pPr>
        <w:pStyle w:val="Nivel4"/>
        <w:ind w:left="1474"/>
      </w:pPr>
      <w:r>
        <w:t xml:space="preserve">En el lado derecho </w:t>
      </w:r>
      <w:r w:rsidRPr="004D3C9C">
        <w:rPr>
          <w:i/>
          <w:iCs/>
        </w:rPr>
        <w:t>variación de pasivos y del patrimonio neto</w:t>
      </w:r>
      <w:r>
        <w:t>.</w:t>
      </w:r>
    </w:p>
    <w:p w14:paraId="5469054C" w14:textId="77777777" w:rsidR="00EC71A9" w:rsidRDefault="00EC71A9" w:rsidP="00EC71A9">
      <w:pPr>
        <w:pStyle w:val="Nivel3SM"/>
        <w:keepNext/>
      </w:pPr>
      <w:r>
        <w:t>E</w:t>
      </w:r>
      <w:r w:rsidRPr="00246176">
        <w:rPr>
          <w:rStyle w:val="Nivel4Car"/>
        </w:rPr>
        <w:t>n los</w:t>
      </w:r>
      <w:r>
        <w:t xml:space="preserve"> </w:t>
      </w:r>
      <w:r w:rsidRPr="00C15DA7">
        <w:rPr>
          <w:i/>
          <w:iCs/>
        </w:rPr>
        <w:t>balances</w:t>
      </w:r>
      <w:r>
        <w:t>:</w:t>
      </w:r>
    </w:p>
    <w:p w14:paraId="5BFD09BA" w14:textId="77777777" w:rsidR="00EC71A9" w:rsidRDefault="00EC71A9" w:rsidP="00EC71A9">
      <w:pPr>
        <w:pStyle w:val="Nivel4"/>
        <w:ind w:left="1474"/>
      </w:pPr>
      <w:r>
        <w:t xml:space="preserve">En el lado izquierdo </w:t>
      </w:r>
      <w:r w:rsidRPr="004D3C9C">
        <w:rPr>
          <w:i/>
          <w:iCs/>
        </w:rPr>
        <w:t>activos</w:t>
      </w:r>
      <w:r>
        <w:t>.</w:t>
      </w:r>
    </w:p>
    <w:p w14:paraId="156B0B9A" w14:textId="77777777" w:rsidR="00EC71A9" w:rsidRPr="00917013" w:rsidRDefault="00EC71A9" w:rsidP="00EC71A9">
      <w:pPr>
        <w:pStyle w:val="Nivel4"/>
        <w:ind w:left="1474"/>
      </w:pPr>
      <w:r>
        <w:t xml:space="preserve">En el lado </w:t>
      </w:r>
      <w:r w:rsidRPr="000B747D">
        <w:t>derecho</w:t>
      </w:r>
      <w:r w:rsidRPr="004D3C9C">
        <w:rPr>
          <w:i/>
          <w:iCs/>
        </w:rPr>
        <w:t xml:space="preserve"> pasivos y patrimonio neto</w:t>
      </w:r>
      <w:r>
        <w:t>.</w:t>
      </w:r>
    </w:p>
    <w:p w14:paraId="0DD891BA" w14:textId="1BABC3C8" w:rsidR="009E2322" w:rsidRPr="004D3C9C" w:rsidRDefault="009E2322" w:rsidP="004D3C9C">
      <w:pPr>
        <w:pStyle w:val="Nivel2SM"/>
        <w:rPr>
          <w:spacing w:val="-2"/>
          <w:kern w:val="22"/>
        </w:rPr>
      </w:pPr>
      <w:r w:rsidRPr="004D3C9C">
        <w:rPr>
          <w:spacing w:val="-2"/>
          <w:kern w:val="22"/>
        </w:rPr>
        <w:t xml:space="preserve">La diferencia entre la suma de </w:t>
      </w:r>
      <w:r w:rsidR="004D3C9C" w:rsidRPr="004D3C9C">
        <w:rPr>
          <w:spacing w:val="-2"/>
          <w:kern w:val="22"/>
        </w:rPr>
        <w:t>ambos lados</w:t>
      </w:r>
      <w:r w:rsidRPr="004D3C9C">
        <w:rPr>
          <w:spacing w:val="-2"/>
          <w:kern w:val="22"/>
        </w:rPr>
        <w:t xml:space="preserve"> de una cuenta será lo que constituya su </w:t>
      </w:r>
      <w:r w:rsidRPr="004D3C9C">
        <w:rPr>
          <w:i/>
          <w:iCs/>
          <w:spacing w:val="-2"/>
          <w:kern w:val="22"/>
        </w:rPr>
        <w:t>saldo</w:t>
      </w:r>
      <w:r w:rsidR="004D3C9C" w:rsidRPr="004D3C9C">
        <w:rPr>
          <w:i/>
          <w:iCs/>
          <w:spacing w:val="-2"/>
          <w:kern w:val="22"/>
        </w:rPr>
        <w:t xml:space="preserve"> contable</w:t>
      </w:r>
      <w:r w:rsidRPr="004D3C9C">
        <w:rPr>
          <w:spacing w:val="-2"/>
          <w:kern w:val="22"/>
        </w:rPr>
        <w:t>.</w:t>
      </w:r>
    </w:p>
    <w:p w14:paraId="499BC549" w14:textId="1DDA2485" w:rsidR="004E752A" w:rsidRDefault="004E752A" w:rsidP="004D3C9C">
      <w:pPr>
        <w:pStyle w:val="Nivel2SM"/>
      </w:pPr>
      <w:r>
        <w:t>Este principio</w:t>
      </w:r>
      <w:r w:rsidRPr="00917013">
        <w:t xml:space="preserve"> permite comprobar la consistencia y el equilibrio de las cuentas.</w:t>
      </w:r>
    </w:p>
    <w:p w14:paraId="36442823" w14:textId="3C251F6D" w:rsidR="004A424F" w:rsidRPr="000B747D" w:rsidRDefault="004A424F" w:rsidP="004D3C9C">
      <w:pPr>
        <w:pStyle w:val="Nivel2SM"/>
        <w:rPr>
          <w:spacing w:val="-1"/>
          <w:highlight w:val="yellow"/>
        </w:rPr>
      </w:pPr>
      <w:r w:rsidRPr="000B747D">
        <w:rPr>
          <w:spacing w:val="-1"/>
          <w:highlight w:val="yellow"/>
        </w:rPr>
        <w:t xml:space="preserve">Las cuentas nacionales –con todas las unidades y todos los sectores– se basarán en el </w:t>
      </w:r>
      <w:r w:rsidRPr="000B747D">
        <w:rPr>
          <w:b/>
          <w:bCs/>
          <w:spacing w:val="-1"/>
          <w:highlight w:val="yellow"/>
        </w:rPr>
        <w:t>principio de la partida cuádruple</w:t>
      </w:r>
      <w:r w:rsidRPr="000B747D">
        <w:rPr>
          <w:spacing w:val="-1"/>
          <w:highlight w:val="yellow"/>
        </w:rPr>
        <w:t xml:space="preserve">, ya que en la mayoría de las operaciones intervienen </w:t>
      </w:r>
      <w:r w:rsidR="000B747D" w:rsidRPr="000B747D">
        <w:rPr>
          <w:spacing w:val="-1"/>
          <w:highlight w:val="yellow"/>
        </w:rPr>
        <w:t>2 </w:t>
      </w:r>
      <w:r w:rsidRPr="000B747D">
        <w:rPr>
          <w:spacing w:val="-1"/>
          <w:highlight w:val="yellow"/>
        </w:rPr>
        <w:t>unidades institucionales. Por ejemplo, una prestación social en efectivo pagada por una unidad de las administraciones públicas a un hogar se registra en las cuentas de las administraciones públicas como un empleo en la rúbrica transferencias y como una adquisición negativa de activos en la partida efectivo y depósitos; en las cuentas del sector hogares se registra como un recurso en la rúbrica transferencias y como una adquisición de activos en la partida efectivo y depósitos.</w:t>
      </w:r>
    </w:p>
    <w:p w14:paraId="04C4D15B" w14:textId="0CD91E89" w:rsidR="00DF0CE9" w:rsidRPr="00343DF0" w:rsidRDefault="00DF0CE9" w:rsidP="004D3C9C">
      <w:pPr>
        <w:pStyle w:val="Nivel2SM"/>
        <w:rPr>
          <w:highlight w:val="yellow"/>
        </w:rPr>
      </w:pPr>
      <w:r w:rsidRPr="00343DF0">
        <w:rPr>
          <w:highlight w:val="yellow"/>
        </w:rPr>
        <w:t>Para operaciones internas (como el consumo de producción propia por la misma unidad que la produce) s</w:t>
      </w:r>
      <w:r w:rsidR="000B747D">
        <w:rPr>
          <w:highlight w:val="yellow"/>
        </w:rPr>
        <w:t>ó</w:t>
      </w:r>
      <w:r w:rsidRPr="00343DF0">
        <w:rPr>
          <w:highlight w:val="yellow"/>
        </w:rPr>
        <w:t xml:space="preserve">lo se necesitan </w:t>
      </w:r>
      <w:r w:rsidR="000B747D">
        <w:rPr>
          <w:highlight w:val="yellow"/>
        </w:rPr>
        <w:t>2 </w:t>
      </w:r>
      <w:r w:rsidRPr="00343DF0">
        <w:rPr>
          <w:highlight w:val="yellow"/>
        </w:rPr>
        <w:t>partidas, cuyos valores han de estimarse.</w:t>
      </w:r>
    </w:p>
    <w:p w14:paraId="3778A96B" w14:textId="695C4716" w:rsidR="00343DF0" w:rsidRPr="00B14235" w:rsidRDefault="00343DF0" w:rsidP="00343DF0">
      <w:pPr>
        <w:pStyle w:val="Ttulo6"/>
        <w:spacing w:after="0"/>
      </w:pPr>
      <w:bookmarkStart w:id="35" w:name="_Toc174116187"/>
      <w:r>
        <w:t>Principio de devengo</w:t>
      </w:r>
      <w:r w:rsidRPr="00343DF0">
        <w:rPr>
          <w:u w:val="none"/>
        </w:rPr>
        <w:t xml:space="preserve"> </w:t>
      </w:r>
      <w:r w:rsidRPr="00343DF0">
        <w:rPr>
          <w:sz w:val="19"/>
          <w:szCs w:val="19"/>
          <w:u w:val="none"/>
        </w:rPr>
        <w:t>(</w:t>
      </w:r>
      <w:r>
        <w:rPr>
          <w:sz w:val="19"/>
          <w:szCs w:val="19"/>
          <w:u w:val="none"/>
        </w:rPr>
        <w:t>M</w:t>
      </w:r>
      <w:r w:rsidRPr="00343DF0">
        <w:rPr>
          <w:sz w:val="19"/>
          <w:szCs w:val="19"/>
          <w:u w:val="none"/>
        </w:rPr>
        <w:t>omento del registro)</w:t>
      </w:r>
      <w:bookmarkEnd w:id="35"/>
    </w:p>
    <w:p w14:paraId="2B083115" w14:textId="77777777" w:rsidR="00343DF0" w:rsidRPr="00771564" w:rsidRDefault="00343DF0" w:rsidP="006A7F98">
      <w:pPr>
        <w:pStyle w:val="Nivel1SM"/>
        <w:keepNext/>
        <w:spacing w:before="0" w:after="0"/>
      </w:pPr>
      <w:r w:rsidRPr="00343DF0">
        <w:rPr>
          <w:i/>
          <w:iCs/>
          <w:u w:val="single"/>
        </w:rPr>
        <w:t>Principio de devengo</w:t>
      </w:r>
      <w:r w:rsidRPr="00CD0A05">
        <w:t>:</w:t>
      </w:r>
    </w:p>
    <w:p w14:paraId="744FC9D8" w14:textId="77777777" w:rsidR="00343DF0" w:rsidRDefault="00343DF0" w:rsidP="00343DF0">
      <w:pPr>
        <w:pStyle w:val="Nivel2SM"/>
      </w:pPr>
      <w:r>
        <w:t>Se reconoce cuando se realiza el ingreso o gasto, no cuando se recibe o se transfiere el efectivo de dicha operación.</w:t>
      </w:r>
    </w:p>
    <w:p w14:paraId="33FF4DCB" w14:textId="77777777" w:rsidR="00343DF0" w:rsidRDefault="00343DF0" w:rsidP="00343DF0">
      <w:pPr>
        <w:pStyle w:val="Nivel2SM"/>
        <w:keepNext/>
        <w:spacing w:after="0"/>
      </w:pPr>
      <w:r>
        <w:rPr>
          <w:i/>
          <w:iCs/>
        </w:rPr>
        <w:t>Ejemplos:</w:t>
      </w:r>
    </w:p>
    <w:p w14:paraId="645834FE" w14:textId="77777777" w:rsidR="00343DF0" w:rsidRDefault="00343DF0" w:rsidP="00343DF0">
      <w:pPr>
        <w:pStyle w:val="Nivel3SM"/>
      </w:pPr>
      <w:r>
        <w:t>La producción ha de registrarse cuando se obtiene y no cuando se vende.</w:t>
      </w:r>
    </w:p>
    <w:p w14:paraId="26F5E2B8" w14:textId="77777777" w:rsidR="00343DF0" w:rsidRDefault="00343DF0" w:rsidP="00343DF0">
      <w:pPr>
        <w:pStyle w:val="Nivel3SM"/>
      </w:pPr>
      <w:r>
        <w:lastRenderedPageBreak/>
        <w:t xml:space="preserve">En el caso de la venta de un activo, la operación se registra cuando se transfiere la propiedad </w:t>
      </w:r>
      <w:proofErr w:type="gramStart"/>
      <w:r>
        <w:t>del mismo</w:t>
      </w:r>
      <w:proofErr w:type="gramEnd"/>
      <w:r>
        <w:t>, y no cuando se efectúa el pago correspondiente.</w:t>
      </w:r>
    </w:p>
    <w:p w14:paraId="42077CA5" w14:textId="77777777" w:rsidR="00343DF0" w:rsidRDefault="00343DF0" w:rsidP="00343DF0">
      <w:pPr>
        <w:pStyle w:val="Nivel3SM"/>
      </w:pPr>
      <w:r>
        <w:t>Los intereses se registran en el ejercicio contable en que se devengan, independientemente de que se paguen o no durante dicho ejercicio.</w:t>
      </w:r>
    </w:p>
    <w:p w14:paraId="34458A94" w14:textId="77777777" w:rsidR="00343DF0" w:rsidRDefault="00343DF0" w:rsidP="00343DF0">
      <w:pPr>
        <w:pStyle w:val="Nivel2SM"/>
      </w:pPr>
      <w:r w:rsidRPr="00246176">
        <w:rPr>
          <w:rStyle w:val="Nivel2Car"/>
        </w:rPr>
        <w:t xml:space="preserve">No </w:t>
      </w:r>
      <w:r w:rsidRPr="00343DF0">
        <w:rPr>
          <w:rStyle w:val="Nivel2Car"/>
        </w:rPr>
        <w:t>obstante</w:t>
      </w:r>
      <w:r w:rsidRPr="00246176">
        <w:rPr>
          <w:rStyle w:val="Nivel2Car"/>
        </w:rPr>
        <w:t xml:space="preserve">, se reconoce que este criterio puede no ser apropiado para determinadas operaciones. Es el caso de los impuestos y otros flujos en los que intervienen las </w:t>
      </w:r>
      <w:r w:rsidRPr="00343DF0">
        <w:t>administraciones</w:t>
      </w:r>
      <w:r>
        <w:t xml:space="preserve"> públicas, que se registran a menudo según el </w:t>
      </w:r>
      <w:r w:rsidRPr="005508D2">
        <w:rPr>
          <w:i/>
          <w:iCs/>
        </w:rPr>
        <w:t>criterio de caja</w:t>
      </w:r>
      <w:r>
        <w:t xml:space="preserve"> (momento en que se ingresa el impuesto).</w:t>
      </w:r>
    </w:p>
    <w:p w14:paraId="485B4584" w14:textId="6D80477D" w:rsidR="009E2322" w:rsidRPr="00665367" w:rsidRDefault="00343DF0" w:rsidP="009E2322">
      <w:pPr>
        <w:pStyle w:val="Ttulo6"/>
      </w:pPr>
      <w:bookmarkStart w:id="36" w:name="_Toc174116188"/>
      <w:r>
        <w:t>Principio de v</w:t>
      </w:r>
      <w:r w:rsidR="009E2322">
        <w:t>aloración</w:t>
      </w:r>
      <w:bookmarkEnd w:id="36"/>
    </w:p>
    <w:p w14:paraId="7086B496" w14:textId="609BD272" w:rsidR="009E2322" w:rsidRPr="00BB1854" w:rsidRDefault="009E2322" w:rsidP="006A7F98">
      <w:pPr>
        <w:pStyle w:val="Ttulo7"/>
        <w:spacing w:before="0"/>
      </w:pPr>
      <w:r>
        <w:t>Criterios generales</w:t>
      </w:r>
      <w:r w:rsidR="00FD60CA">
        <w:t xml:space="preserve"> (Valoración en términos monetarios a precios de mercado)</w:t>
      </w:r>
    </w:p>
    <w:p w14:paraId="5DA09B59" w14:textId="7A17E1C3" w:rsidR="005E5189" w:rsidRDefault="009E2322" w:rsidP="005E5189">
      <w:pPr>
        <w:pStyle w:val="Nivel1SM"/>
        <w:keepNext/>
        <w:spacing w:before="0" w:after="0"/>
      </w:pPr>
      <w:r w:rsidRPr="00343DF0">
        <w:rPr>
          <w:i/>
          <w:iCs/>
          <w:u w:val="single"/>
        </w:rPr>
        <w:t>Valoración en términos monetarios</w:t>
      </w:r>
      <w:r w:rsidRPr="002C5A3D">
        <w:t>:</w:t>
      </w:r>
      <w:r>
        <w:t xml:space="preserve"> </w:t>
      </w:r>
      <w:r w:rsidR="00030271">
        <w:t>E</w:t>
      </w:r>
      <w:r>
        <w:t xml:space="preserve">n el </w:t>
      </w:r>
      <w:r w:rsidR="00BC549A">
        <w:t>SEC 2010</w:t>
      </w:r>
      <w:r>
        <w:t xml:space="preserve"> se reflejan los flujos y stocks en términos monetarios (salvo algunas variables relativas a la población y a la mano de obra).</w:t>
      </w:r>
      <w:r w:rsidR="00343DF0">
        <w:t xml:space="preserve"> </w:t>
      </w:r>
      <w:r w:rsidRPr="008C6740">
        <w:t>Es decir</w:t>
      </w:r>
      <w:r>
        <w:t>, se medirán con arreglo al valor al que los flujos y stocks se cambian o podrían cambiarse por efectivo</w:t>
      </w:r>
      <w:r w:rsidR="00DF0CE9">
        <w:t xml:space="preserve">. </w:t>
      </w:r>
      <w:r>
        <w:t>Por lo tanto</w:t>
      </w:r>
      <w:r w:rsidR="00945144">
        <w:t xml:space="preserve"> y por orden de preferencia</w:t>
      </w:r>
      <w:r w:rsidR="005E5189">
        <w:t>:</w:t>
      </w:r>
    </w:p>
    <w:p w14:paraId="54A5BAC9" w14:textId="3981695A" w:rsidR="009E2322" w:rsidRDefault="005E5189">
      <w:pPr>
        <w:pStyle w:val="Prrafodelista"/>
        <w:numPr>
          <w:ilvl w:val="0"/>
          <w:numId w:val="23"/>
        </w:numPr>
        <w:spacing w:after="100"/>
        <w:ind w:left="567" w:hanging="113"/>
      </w:pPr>
      <w:r>
        <w:t>L</w:t>
      </w:r>
      <w:r w:rsidR="009E2322">
        <w:t xml:space="preserve">os </w:t>
      </w:r>
      <w:r w:rsidR="009E2322" w:rsidRPr="005E5189">
        <w:rPr>
          <w:i/>
          <w:iCs/>
        </w:rPr>
        <w:t xml:space="preserve">precios de </w:t>
      </w:r>
      <w:r w:rsidR="00753A23" w:rsidRPr="005E5189">
        <w:rPr>
          <w:i/>
          <w:iCs/>
        </w:rPr>
        <w:t>mercado</w:t>
      </w:r>
      <w:r w:rsidR="009E2322">
        <w:t xml:space="preserve"> son la referencia del SEC para la valoración.</w:t>
      </w:r>
    </w:p>
    <w:p w14:paraId="74FB963F" w14:textId="49C7BFA1" w:rsidR="009E2322" w:rsidRDefault="009E2322">
      <w:pPr>
        <w:pStyle w:val="Prrafodelista"/>
        <w:numPr>
          <w:ilvl w:val="0"/>
          <w:numId w:val="23"/>
        </w:numPr>
        <w:spacing w:after="100"/>
        <w:ind w:left="567" w:hanging="113"/>
      </w:pPr>
      <w:r>
        <w:t xml:space="preserve">Cuando la operación no se realice en el mercado el mejor método de valoración se establece por referencia a los </w:t>
      </w:r>
      <w:r w:rsidRPr="005E5189">
        <w:rPr>
          <w:i/>
          <w:iCs/>
        </w:rPr>
        <w:t>precios de mercado de bienes, servicios o activos análogos</w:t>
      </w:r>
      <w:r>
        <w:t xml:space="preserve"> (e.g. trueques o servicios de alquiler de viviendas ocupadas por sus propietarios)</w:t>
      </w:r>
      <w:r w:rsidR="00AF0047">
        <w:rPr>
          <w:rStyle w:val="Refdenotaalpie"/>
        </w:rPr>
        <w:footnoteReference w:id="14"/>
      </w:r>
      <w:r>
        <w:t>.</w:t>
      </w:r>
    </w:p>
    <w:p w14:paraId="72BFD7EF" w14:textId="256EB0CB" w:rsidR="009E2322" w:rsidRDefault="00DE1BDD">
      <w:pPr>
        <w:pStyle w:val="Prrafodelista"/>
        <w:numPr>
          <w:ilvl w:val="0"/>
          <w:numId w:val="23"/>
        </w:numPr>
        <w:spacing w:after="100"/>
        <w:ind w:left="567" w:hanging="113"/>
      </w:pPr>
      <w:r>
        <w:t>C</w:t>
      </w:r>
      <w:r w:rsidR="009E2322">
        <w:t>uando no se dispone de precios de mercado de productos análogos (e.g. servicios no de mercado producidos por las administraciones públicas), la valoración se realiza según los costes de producción.</w:t>
      </w:r>
    </w:p>
    <w:p w14:paraId="689009D3" w14:textId="31D32467" w:rsidR="00DE1BDD" w:rsidRDefault="00DE1BDD">
      <w:pPr>
        <w:pStyle w:val="Prrafodelista"/>
        <w:numPr>
          <w:ilvl w:val="0"/>
          <w:numId w:val="23"/>
        </w:numPr>
        <w:spacing w:after="100"/>
        <w:ind w:left="567" w:hanging="113"/>
      </w:pPr>
      <w:r>
        <w:t xml:space="preserve">Finalmente, cuando no se dispone de los precios de mercado y se desconocen los costes, es posible valorar los stocks y los flujos al </w:t>
      </w:r>
      <w:r w:rsidRPr="005E5189">
        <w:rPr>
          <w:i/>
          <w:iCs/>
        </w:rPr>
        <w:t>valor actual de los rendimientos futuros esperados</w:t>
      </w:r>
      <w:r>
        <w:t>. Este último método s</w:t>
      </w:r>
      <w:r w:rsidR="006A7F98">
        <w:t>ó</w:t>
      </w:r>
      <w:r>
        <w:t>lo debe utilizarse como último recurso.</w:t>
      </w:r>
    </w:p>
    <w:p w14:paraId="06552819" w14:textId="73BFC11A" w:rsidR="006F34E5" w:rsidRDefault="006F34E5" w:rsidP="00AF0047">
      <w:pPr>
        <w:pStyle w:val="Nivel1SM"/>
      </w:pPr>
      <w:r>
        <w:t>Los stocks se valoran a los precios corrientes en el momento al que se refiere el balance y no en el momento de la producción o adquisición de los bienes o activos que los componen. Es preciso valorar los stocks por una estimación de su valor contable corriente de adquisición o por sus costes de producción.</w:t>
      </w:r>
    </w:p>
    <w:p w14:paraId="289ADCE5" w14:textId="77777777" w:rsidR="00FD60CA" w:rsidRDefault="00FD60CA" w:rsidP="00FD60CA">
      <w:pPr>
        <w:pStyle w:val="Ttulo7"/>
      </w:pPr>
      <w:r>
        <w:t>Valoración a precios constantes</w:t>
      </w:r>
    </w:p>
    <w:p w14:paraId="58191528" w14:textId="77777777" w:rsidR="00FD60CA" w:rsidRDefault="00FD60CA" w:rsidP="006A7F98">
      <w:pPr>
        <w:pStyle w:val="Nivel1SM"/>
        <w:keepNext/>
        <w:spacing w:before="0" w:after="0"/>
      </w:pPr>
      <w:r w:rsidRPr="00C24C7A">
        <w:rPr>
          <w:i/>
          <w:iCs/>
          <w:u w:val="single"/>
        </w:rPr>
        <w:t>Valoración a precios constantes</w:t>
      </w:r>
      <w:r>
        <w:t>:</w:t>
      </w:r>
    </w:p>
    <w:p w14:paraId="554D82CF" w14:textId="77777777" w:rsidR="00FD60CA" w:rsidRDefault="00FD60CA" w:rsidP="00FD60CA">
      <w:pPr>
        <w:pStyle w:val="Nivel2SM"/>
      </w:pPr>
      <w:r>
        <w:t>Significa que los flujos y los stocks en un ejercicio contable se valoran a los precios vigentes en un ejercicio anterior fijado como base.</w:t>
      </w:r>
    </w:p>
    <w:p w14:paraId="19A032E4" w14:textId="39AC9C85" w:rsidR="00FD60CA" w:rsidRDefault="00FD60CA" w:rsidP="00FD60CA">
      <w:pPr>
        <w:pStyle w:val="Nivel2SM"/>
      </w:pPr>
      <w:r>
        <w:t xml:space="preserve">Su utilidad reside en que se pueden descomponer las variaciones a lo largo del tiempo de los valores de los flujos y stocks en </w:t>
      </w:r>
      <w:r w:rsidRPr="005C3232">
        <w:rPr>
          <w:i/>
          <w:iCs/>
        </w:rPr>
        <w:t>variaciones de precios</w:t>
      </w:r>
      <w:r>
        <w:t xml:space="preserve"> y </w:t>
      </w:r>
      <w:r w:rsidRPr="005C3232">
        <w:rPr>
          <w:i/>
          <w:iCs/>
        </w:rPr>
        <w:t>variaciones de volumen</w:t>
      </w:r>
      <w:r>
        <w:t xml:space="preserve">. Se dice que los flujos y stocks a precios constantes se expresan </w:t>
      </w:r>
      <w:r w:rsidRPr="005C3232">
        <w:rPr>
          <w:i/>
          <w:iCs/>
        </w:rPr>
        <w:t>en términos de volumen</w:t>
      </w:r>
      <w:r w:rsidR="00A318D2" w:rsidRPr="00B26EEE">
        <w:rPr>
          <w:rStyle w:val="Refdenotaalpie"/>
        </w:rPr>
        <w:footnoteReference w:id="15"/>
      </w:r>
      <w:r>
        <w:t>.</w:t>
      </w:r>
    </w:p>
    <w:p w14:paraId="44CBDF24" w14:textId="4AC5A512" w:rsidR="009E2322" w:rsidRDefault="009E2322" w:rsidP="009E2322">
      <w:pPr>
        <w:pStyle w:val="Ttulo7"/>
      </w:pPr>
      <w:r>
        <w:t>Valoraciones especiales de los bienes y servicios</w:t>
      </w:r>
      <w:r w:rsidR="00FD60CA">
        <w:t xml:space="preserve"> (precios de adquisición vs precios básicos y FOB)</w:t>
      </w:r>
    </w:p>
    <w:p w14:paraId="5C3C3088" w14:textId="6B81F1FE" w:rsidR="009E2322" w:rsidRPr="00A37913" w:rsidRDefault="009E2322" w:rsidP="006A7F98">
      <w:pPr>
        <w:pStyle w:val="Nivel1SM"/>
        <w:keepNext/>
        <w:spacing w:before="0" w:after="0"/>
      </w:pPr>
      <w:r w:rsidRPr="00C24C7A">
        <w:rPr>
          <w:i/>
          <w:iCs/>
          <w:u w:val="single"/>
        </w:rPr>
        <w:t>Valoración a precios de adquisición</w:t>
      </w:r>
      <w:r w:rsidR="00FD60CA">
        <w:rPr>
          <w:i/>
          <w:iCs/>
          <w:u w:val="single"/>
        </w:rPr>
        <w:t xml:space="preserve"> vs precios básicos</w:t>
      </w:r>
      <w:r>
        <w:t>:</w:t>
      </w:r>
    </w:p>
    <w:p w14:paraId="0C1EC40D" w14:textId="4B6DDAC3" w:rsidR="009E2322" w:rsidRDefault="009E2322" w:rsidP="00C24C7A">
      <w:pPr>
        <w:pStyle w:val="Nivel2SM"/>
        <w:keepNext/>
        <w:spacing w:after="0"/>
      </w:pPr>
      <w:r>
        <w:t>Debido a los gastos de transporte, márgenes comerciales y los impuestos y su</w:t>
      </w:r>
      <w:r w:rsidRPr="00246176">
        <w:rPr>
          <w:rStyle w:val="Nivel2Car"/>
        </w:rPr>
        <w:t xml:space="preserve">bvenciones sobre los productos, normalmente, el productor y el consumidor de un bien o servicio determinado </w:t>
      </w:r>
      <w:r w:rsidRPr="00246176">
        <w:rPr>
          <w:rStyle w:val="Nivel2Car"/>
        </w:rPr>
        <w:lastRenderedPageBreak/>
        <w:t>perciben su valor de forma diferente. Para respetar</w:t>
      </w:r>
      <w:r>
        <w:t xml:space="preserve"> en la mayor medida posible esta </w:t>
      </w:r>
      <w:r w:rsidRPr="00A37913">
        <w:rPr>
          <w:i/>
          <w:iCs/>
        </w:rPr>
        <w:t>diferencia de pe</w:t>
      </w:r>
      <w:r w:rsidR="00C628C2">
        <w:rPr>
          <w:i/>
          <w:iCs/>
        </w:rPr>
        <w:t>r</w:t>
      </w:r>
      <w:r w:rsidRPr="00A37913">
        <w:rPr>
          <w:i/>
          <w:iCs/>
        </w:rPr>
        <w:t>cepción</w:t>
      </w:r>
      <w:r>
        <w:t xml:space="preserve">, en el sistema </w:t>
      </w:r>
      <w:r w:rsidR="00BC549A">
        <w:t>SEC 2010</w:t>
      </w:r>
    </w:p>
    <w:p w14:paraId="1353D6C1" w14:textId="5DE5F6D7" w:rsidR="009E2322" w:rsidRDefault="00246176" w:rsidP="00E66124">
      <w:pPr>
        <w:pStyle w:val="Nivel3SM"/>
        <w:keepNext/>
      </w:pPr>
      <w:r>
        <w:t>S</w:t>
      </w:r>
      <w:r w:rsidR="009E2322">
        <w:t xml:space="preserve">e registran todos los empleos </w:t>
      </w:r>
      <w:r w:rsidR="009E2322" w:rsidRPr="00A37913">
        <w:rPr>
          <w:i/>
          <w:iCs/>
        </w:rPr>
        <w:t>a precios de adquisición</w:t>
      </w:r>
      <w:r w:rsidR="009E2322">
        <w:t xml:space="preserve"> (i.e. incluyendo estos elementos)</w:t>
      </w:r>
      <w:r w:rsidR="00C24C7A">
        <w:t>.</w:t>
      </w:r>
    </w:p>
    <w:p w14:paraId="5A3B6E98" w14:textId="58568716" w:rsidR="00E66124" w:rsidRDefault="00870280" w:rsidP="00E66124">
      <w:pPr>
        <w:pStyle w:val="Nivel4"/>
        <w:ind w:left="1474"/>
      </w:pPr>
      <w:r>
        <w:t>Es decir, el precio que el comprador paga efectivamente por los productos.</w:t>
      </w:r>
    </w:p>
    <w:p w14:paraId="12626E27" w14:textId="723C96C5" w:rsidR="009E2322" w:rsidRDefault="00C24C7A" w:rsidP="00E66124">
      <w:pPr>
        <w:pStyle w:val="Nivel3SM"/>
        <w:keepNext/>
      </w:pPr>
      <w:r>
        <w:t>Los recursos, en cambio,</w:t>
      </w:r>
      <w:r w:rsidR="009E2322">
        <w:t xml:space="preserve"> se registra a </w:t>
      </w:r>
      <w:r w:rsidR="009E2322" w:rsidRPr="00C628C2">
        <w:rPr>
          <w:i/>
          <w:iCs/>
        </w:rPr>
        <w:t xml:space="preserve">precios básicos </w:t>
      </w:r>
      <w:r w:rsidR="009E2322">
        <w:t>(i.e. sin considerarlos).</w:t>
      </w:r>
    </w:p>
    <w:p w14:paraId="1970EAF8" w14:textId="7F903F3F" w:rsidR="00E66124" w:rsidRDefault="00E66124" w:rsidP="00E66124">
      <w:pPr>
        <w:pStyle w:val="Nivel4"/>
        <w:ind w:left="1474"/>
      </w:pPr>
      <w:r>
        <w:t>Es decir, al precio que los productores reciben excluyendo cualquier impuesto o subvención sobre los productos (además de los impuestos sobre la producción gastos de transporte y los márgenes comerciales).</w:t>
      </w:r>
    </w:p>
    <w:p w14:paraId="15846487" w14:textId="53D2AFA6" w:rsidR="009E2322" w:rsidRPr="00B14235" w:rsidRDefault="009E2322" w:rsidP="00C628C2">
      <w:pPr>
        <w:pStyle w:val="Imagen"/>
      </w:pPr>
      <w:r>
        <w:drawing>
          <wp:inline distT="0" distB="0" distL="0" distR="0" wp14:anchorId="73CA58FB" wp14:editId="31705FAF">
            <wp:extent cx="2019032" cy="2202872"/>
            <wp:effectExtent l="0" t="0" r="635"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19032" cy="2202872"/>
                    </a:xfrm>
                    <a:prstGeom prst="rect">
                      <a:avLst/>
                    </a:prstGeom>
                  </pic:spPr>
                </pic:pic>
              </a:graphicData>
            </a:graphic>
          </wp:inline>
        </w:drawing>
      </w:r>
    </w:p>
    <w:p w14:paraId="13114020" w14:textId="61B8F008" w:rsidR="009E2322" w:rsidRDefault="00FD60CA" w:rsidP="00FD60CA">
      <w:pPr>
        <w:pStyle w:val="Nivel1SM"/>
        <w:keepNext/>
        <w:spacing w:after="0"/>
      </w:pPr>
      <w:r>
        <w:rPr>
          <w:i/>
          <w:iCs/>
          <w:u w:val="single"/>
        </w:rPr>
        <w:t xml:space="preserve">Valoración de importaciones y exportaciones </w:t>
      </w:r>
      <w:r w:rsidR="009E2322" w:rsidRPr="00C24C7A">
        <w:rPr>
          <w:i/>
          <w:iCs/>
          <w:u w:val="single"/>
        </w:rPr>
        <w:t xml:space="preserve">Free </w:t>
      </w:r>
      <w:proofErr w:type="spellStart"/>
      <w:r w:rsidR="009E2322" w:rsidRPr="00C24C7A">
        <w:rPr>
          <w:i/>
          <w:iCs/>
          <w:u w:val="single"/>
        </w:rPr>
        <w:t>on</w:t>
      </w:r>
      <w:proofErr w:type="spellEnd"/>
      <w:r w:rsidR="009E2322" w:rsidRPr="00C24C7A">
        <w:rPr>
          <w:i/>
          <w:iCs/>
          <w:u w:val="single"/>
        </w:rPr>
        <w:t xml:space="preserve"> </w:t>
      </w:r>
      <w:proofErr w:type="spellStart"/>
      <w:r w:rsidR="009E2322" w:rsidRPr="00C24C7A">
        <w:rPr>
          <w:i/>
          <w:iCs/>
          <w:u w:val="single"/>
        </w:rPr>
        <w:t>Board</w:t>
      </w:r>
      <w:proofErr w:type="spellEnd"/>
      <w:r w:rsidR="009E2322" w:rsidRPr="00C24C7A">
        <w:rPr>
          <w:i/>
          <w:iCs/>
          <w:u w:val="single"/>
        </w:rPr>
        <w:t xml:space="preserve"> (</w:t>
      </w:r>
      <w:r w:rsidR="00155905" w:rsidRPr="00C24C7A">
        <w:rPr>
          <w:i/>
          <w:iCs/>
          <w:u w:val="single"/>
        </w:rPr>
        <w:t>FOB</w:t>
      </w:r>
      <w:r w:rsidR="009E2322" w:rsidRPr="00C24C7A">
        <w:rPr>
          <w:i/>
          <w:iCs/>
          <w:u w:val="single"/>
        </w:rPr>
        <w:t>)</w:t>
      </w:r>
      <w:r w:rsidR="009E2322">
        <w:t>:</w:t>
      </w:r>
    </w:p>
    <w:p w14:paraId="7DEBBBCC" w14:textId="2B7CF69B" w:rsidR="009E2322" w:rsidRDefault="009E2322" w:rsidP="00FD60CA">
      <w:pPr>
        <w:pStyle w:val="Nivel2SM"/>
      </w:pPr>
      <w:r>
        <w:rPr>
          <w:noProof/>
        </w:rPr>
        <w:drawing>
          <wp:anchor distT="0" distB="0" distL="114300" distR="114300" simplePos="0" relativeHeight="251683840" behindDoc="1" locked="0" layoutInCell="1" allowOverlap="1" wp14:anchorId="74FFC492" wp14:editId="2FF945E1">
            <wp:simplePos x="0" y="0"/>
            <wp:positionH relativeFrom="margin">
              <wp:posOffset>4741333</wp:posOffset>
            </wp:positionH>
            <wp:positionV relativeFrom="paragraph">
              <wp:posOffset>102870</wp:posOffset>
            </wp:positionV>
            <wp:extent cx="1624965" cy="1097280"/>
            <wp:effectExtent l="0" t="0" r="0" b="7620"/>
            <wp:wrapTight wrapText="bothSides">
              <wp:wrapPolygon edited="0">
                <wp:start x="0" y="0"/>
                <wp:lineTo x="0" y="21375"/>
                <wp:lineTo x="21271" y="21375"/>
                <wp:lineTo x="21271" y="0"/>
                <wp:lineTo x="0" y="0"/>
              </wp:wrapPolygon>
            </wp:wrapTight>
            <wp:docPr id="16" name="Picture 16" descr="CIF vs. FOB: What's the Dif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F vs. FOB: What's the Differenc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0000"/>
                    <a:stretch/>
                  </pic:blipFill>
                  <pic:spPr bwMode="auto">
                    <a:xfrm>
                      <a:off x="0" y="0"/>
                      <a:ext cx="1624965" cy="1097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Para el caso de las importaciones y exportaciones de bienes y servicios se registran por su valor en la frontera. Las imp</w:t>
      </w:r>
      <w:r w:rsidRPr="00246176">
        <w:rPr>
          <w:rStyle w:val="Nivel2Car"/>
        </w:rPr>
        <w:t>ortacio</w:t>
      </w:r>
      <w:r>
        <w:t xml:space="preserve">nes y las exportaciones totales se valoran franco a bordo en la frontera aduanera del país exportador. Los servicios </w:t>
      </w:r>
      <w:r w:rsidRPr="00C24C7A">
        <w:t>de</w:t>
      </w:r>
      <w:r>
        <w:t xml:space="preserve"> transporte exterior y de seguros entre las fronteras del exportador y el importador no se incluyen en el valor de los bienes, sino que se registran como servicios.</w:t>
      </w:r>
    </w:p>
    <w:p w14:paraId="31B315B3" w14:textId="77777777" w:rsidR="00343DF0" w:rsidRPr="00FD60CA" w:rsidRDefault="00343DF0" w:rsidP="00FA6AEF">
      <w:pPr>
        <w:pStyle w:val="Cajadeanotaciones"/>
        <w:keepNext/>
        <w:spacing w:before="120" w:after="60"/>
        <w:jc w:val="center"/>
        <w:rPr>
          <w:b/>
          <w:bCs/>
          <w:i/>
          <w:iCs/>
        </w:rPr>
      </w:pPr>
      <w:r w:rsidRPr="00FD60CA">
        <w:rPr>
          <w:b/>
          <w:bCs/>
          <w:i/>
          <w:iCs/>
        </w:rPr>
        <w:t>Impuestos y subvenciones sobre la producción</w:t>
      </w:r>
    </w:p>
    <w:p w14:paraId="47256838" w14:textId="07641340" w:rsidR="00343DF0" w:rsidRDefault="00343DF0" w:rsidP="00FD60CA">
      <w:pPr>
        <w:pStyle w:val="Cajadeanotaciones"/>
        <w:keepNext/>
        <w:jc w:val="center"/>
      </w:pPr>
      <w:r>
        <w:rPr>
          <w:noProof/>
        </w:rPr>
        <w:drawing>
          <wp:inline distT="0" distB="0" distL="0" distR="0" wp14:anchorId="34B3A7CA" wp14:editId="76E425BE">
            <wp:extent cx="5494020" cy="2014779"/>
            <wp:effectExtent l="0" t="0" r="11430" b="0"/>
            <wp:docPr id="36" name="Diagram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11C159F" w14:textId="1AAA1B5D" w:rsidR="00343DF0" w:rsidRDefault="00FD60CA" w:rsidP="00FD60CA">
      <w:pPr>
        <w:pStyle w:val="Cajadeanotaciones"/>
        <w:keepNext/>
        <w:spacing w:after="0"/>
      </w:pPr>
      <w:r>
        <w:rPr>
          <w:rFonts w:ascii="Times New Roman" w:hAnsi="Times New Roman" w:cs="Times New Roman"/>
        </w:rPr>
        <w:t xml:space="preserve">▪ </w:t>
      </w:r>
      <w:r w:rsidR="00343DF0">
        <w:t>De esta forma, cabe distinguir entre:</w:t>
      </w:r>
    </w:p>
    <w:p w14:paraId="2D76301B" w14:textId="7EA566B3" w:rsidR="00343DF0" w:rsidRDefault="00FD60CA" w:rsidP="00FD60CA">
      <w:pPr>
        <w:pStyle w:val="Cajadeanotaciones"/>
        <w:spacing w:after="0"/>
      </w:pPr>
      <w:r w:rsidRPr="00FD60CA">
        <w:rPr>
          <w:i/>
          <w:iCs/>
        </w:rPr>
        <w:t xml:space="preserve">     </w:t>
      </w:r>
      <w:r>
        <w:rPr>
          <w:rFonts w:ascii="Times New Roman" w:hAnsi="Times New Roman" w:cs="Times New Roman"/>
        </w:rPr>
        <w:t xml:space="preserve">− </w:t>
      </w:r>
      <w:r w:rsidR="00343DF0" w:rsidRPr="00982DA2">
        <w:rPr>
          <w:i/>
          <w:iCs/>
          <w:u w:val="single"/>
        </w:rPr>
        <w:t>Precios básicos</w:t>
      </w:r>
      <w:r w:rsidR="00343DF0">
        <w:t xml:space="preserve">: Son los precios al salir de las unidades productivas y, por convención, incluyen los costes estrictos (consumos intermedios, remuneración de salariados y excedente o renta mixta), además de </w:t>
      </w:r>
      <w:r w:rsidR="00343DF0">
        <w:rPr>
          <w:i/>
          <w:iCs/>
        </w:rPr>
        <w:t>otros impuestos netos sobre la producción</w:t>
      </w:r>
      <w:r w:rsidR="00343DF0">
        <w:t>.</w:t>
      </w:r>
    </w:p>
    <w:p w14:paraId="2A205041" w14:textId="25432C7C" w:rsidR="00343DF0" w:rsidRDefault="00FD60CA" w:rsidP="00FD60CA">
      <w:pPr>
        <w:pStyle w:val="Cajadeanotaciones"/>
      </w:pPr>
      <w:r w:rsidRPr="00FD60CA">
        <w:rPr>
          <w:i/>
          <w:iCs/>
        </w:rPr>
        <w:t xml:space="preserve">     </w:t>
      </w:r>
      <w:r>
        <w:rPr>
          <w:rFonts w:ascii="Times New Roman" w:hAnsi="Times New Roman" w:cs="Times New Roman"/>
        </w:rPr>
        <w:t xml:space="preserve">− </w:t>
      </w:r>
      <w:r w:rsidR="00343DF0" w:rsidRPr="00982DA2">
        <w:rPr>
          <w:i/>
          <w:iCs/>
          <w:u w:val="single"/>
        </w:rPr>
        <w:t>Precios de adquisición</w:t>
      </w:r>
      <w:r w:rsidR="00343DF0">
        <w:t>: Son los que pagan los compradores al adquirir los productos, por lo que llevarán incorporado, además de cualquier margen (comercial o de transporte), todos los impuestos netos sobre la producción y la importación.</w:t>
      </w:r>
    </w:p>
    <w:p w14:paraId="1D0E474C" w14:textId="47D1F591" w:rsidR="00FD60CA" w:rsidRPr="009E2322" w:rsidRDefault="00FD60CA" w:rsidP="00FD60CA">
      <w:pPr>
        <w:pStyle w:val="Cajadeanotaciones"/>
        <w:jc w:val="center"/>
      </w:pPr>
      <w:r>
        <w:rPr>
          <w:noProof/>
        </w:rPr>
        <w:lastRenderedPageBreak/>
        <w:drawing>
          <wp:inline distT="0" distB="0" distL="0" distR="0" wp14:anchorId="5CC6960A" wp14:editId="4976D9B8">
            <wp:extent cx="4351470" cy="2170330"/>
            <wp:effectExtent l="0" t="0" r="0" b="1905"/>
            <wp:docPr id="38" name="Picture 38"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abla&#10;&#10;Descripción generada automáticamente"/>
                    <pic:cNvPicPr/>
                  </pic:nvPicPr>
                  <pic:blipFill>
                    <a:blip r:embed="rId19"/>
                    <a:stretch>
                      <a:fillRect/>
                    </a:stretch>
                  </pic:blipFill>
                  <pic:spPr>
                    <a:xfrm>
                      <a:off x="0" y="0"/>
                      <a:ext cx="4417222" cy="2203124"/>
                    </a:xfrm>
                    <a:prstGeom prst="rect">
                      <a:avLst/>
                    </a:prstGeom>
                  </pic:spPr>
                </pic:pic>
              </a:graphicData>
            </a:graphic>
          </wp:inline>
        </w:drawing>
      </w:r>
    </w:p>
    <w:p w14:paraId="7FF07BAD" w14:textId="77777777" w:rsidR="00ED75DC" w:rsidRDefault="00ED75DC" w:rsidP="00ED75DC">
      <w:pPr>
        <w:pStyle w:val="Ttulo6"/>
      </w:pPr>
      <w:bookmarkStart w:id="37" w:name="_Toc174116189"/>
      <w:r>
        <w:t>Principio de residencia</w:t>
      </w:r>
      <w:bookmarkEnd w:id="37"/>
    </w:p>
    <w:p w14:paraId="47C59E4C" w14:textId="77777777" w:rsidR="00ED75DC" w:rsidRPr="00DF32D1" w:rsidRDefault="00ED75DC" w:rsidP="00FA6AEF">
      <w:pPr>
        <w:pStyle w:val="Nivel1SM"/>
        <w:keepNext/>
        <w:spacing w:before="0" w:after="40"/>
        <w:rPr>
          <w:highlight w:val="yellow"/>
        </w:rPr>
      </w:pPr>
      <w:r w:rsidRPr="00DF32D1">
        <w:rPr>
          <w:highlight w:val="yellow"/>
        </w:rPr>
        <w:t xml:space="preserve">Una unidad es residente en un país cuando su </w:t>
      </w:r>
      <w:r w:rsidRPr="00DF32D1">
        <w:rPr>
          <w:i/>
          <w:iCs/>
          <w:highlight w:val="yellow"/>
        </w:rPr>
        <w:t>“centro de interés económico predominante”</w:t>
      </w:r>
      <w:r w:rsidRPr="00DF32D1">
        <w:rPr>
          <w:highlight w:val="yellow"/>
        </w:rPr>
        <w:t xml:space="preserve"> está localizado en el territorio económico de ese país, es decir, cuando existe una vivienda o un lugar de producción desde el cual dicha unidad realiza actividades económicas y transacciones.</w:t>
      </w:r>
    </w:p>
    <w:p w14:paraId="0356AC98" w14:textId="77777777" w:rsidR="00ED75DC" w:rsidRPr="00DF32D1" w:rsidRDefault="00ED75DC" w:rsidP="00ED75DC">
      <w:pPr>
        <w:pStyle w:val="Nivel2SM"/>
        <w:keepNext/>
        <w:spacing w:after="0"/>
        <w:contextualSpacing w:val="0"/>
        <w:rPr>
          <w:highlight w:val="yellow"/>
        </w:rPr>
      </w:pPr>
      <w:r w:rsidRPr="00DF32D1">
        <w:rPr>
          <w:highlight w:val="yellow"/>
        </w:rPr>
        <w:t xml:space="preserve">Para las </w:t>
      </w:r>
      <w:r w:rsidRPr="00DF32D1">
        <w:rPr>
          <w:b/>
          <w:bCs/>
          <w:highlight w:val="yellow"/>
        </w:rPr>
        <w:t>familias</w:t>
      </w:r>
      <w:r w:rsidRPr="00DF32D1">
        <w:rPr>
          <w:highlight w:val="yellow"/>
        </w:rPr>
        <w:t>, su lugar de residencia es el territorio donde tengan su domicilio habitual.</w:t>
      </w:r>
    </w:p>
    <w:p w14:paraId="2F27F4AC" w14:textId="77777777" w:rsidR="00ED75DC" w:rsidRPr="00DF32D1" w:rsidRDefault="00ED75DC" w:rsidP="00ED75DC">
      <w:pPr>
        <w:pStyle w:val="Nivel3SM"/>
        <w:spacing w:after="40"/>
        <w:rPr>
          <w:highlight w:val="yellow"/>
        </w:rPr>
      </w:pPr>
      <w:r w:rsidRPr="00DF32D1">
        <w:rPr>
          <w:highlight w:val="yellow"/>
        </w:rPr>
        <w:t>En caso de duda, se atiende a la duración de la estancia en un territorio</w:t>
      </w:r>
      <w:r w:rsidRPr="00DF32D1">
        <w:rPr>
          <w:rStyle w:val="Refdenotaalpie"/>
          <w:highlight w:val="yellow"/>
        </w:rPr>
        <w:footnoteReference w:id="16"/>
      </w:r>
      <w:r w:rsidRPr="00DF32D1">
        <w:rPr>
          <w:highlight w:val="yellow"/>
        </w:rPr>
        <w:t>. Hay numerosas excepciones referidas a turistas, estudiantes, pacientes, funcionarios, trabajadores de instituciones internacionales, tripulaciones o trabajadores de empresas no residentes.</w:t>
      </w:r>
    </w:p>
    <w:p w14:paraId="2AE23FD4" w14:textId="77777777" w:rsidR="00ED75DC" w:rsidRPr="00DF32D1" w:rsidRDefault="00ED75DC" w:rsidP="00ED75DC">
      <w:pPr>
        <w:pStyle w:val="Nivel2SM"/>
        <w:keepNext/>
        <w:spacing w:after="0"/>
        <w:contextualSpacing w:val="0"/>
        <w:rPr>
          <w:highlight w:val="yellow"/>
        </w:rPr>
      </w:pPr>
      <w:r w:rsidRPr="00DF32D1">
        <w:rPr>
          <w:highlight w:val="yellow"/>
        </w:rPr>
        <w:t xml:space="preserve">En general, una </w:t>
      </w:r>
      <w:r w:rsidRPr="00DF32D1">
        <w:rPr>
          <w:b/>
          <w:bCs/>
          <w:highlight w:val="yellow"/>
        </w:rPr>
        <w:t>empresa</w:t>
      </w:r>
      <w:r w:rsidRPr="00DF32D1">
        <w:rPr>
          <w:highlight w:val="yellow"/>
        </w:rPr>
        <w:t xml:space="preserve"> es residente donde realiza una cantidad significativa de su producción de bienes y servicios, normalmente por un período superior a un año.</w:t>
      </w:r>
    </w:p>
    <w:p w14:paraId="44B77D95" w14:textId="77777777" w:rsidR="00ED75DC" w:rsidRPr="00DF32D1" w:rsidRDefault="00ED75DC" w:rsidP="00ED75DC">
      <w:pPr>
        <w:pStyle w:val="Nivel3SM"/>
        <w:spacing w:after="100"/>
        <w:rPr>
          <w:highlight w:val="yellow"/>
        </w:rPr>
      </w:pPr>
      <w:r w:rsidRPr="00DF32D1">
        <w:rPr>
          <w:highlight w:val="yellow"/>
        </w:rPr>
        <w:t>Existen otros criterios complementarios como el de la jurisdicción de la legislación usada para la creación y existencia de la empresa o la base de operaciones (cuando los servicios prestados en una determinada ubicación no tienen entidad suficiente).</w:t>
      </w:r>
    </w:p>
    <w:p w14:paraId="4E59A79A" w14:textId="77777777" w:rsidR="00ED75DC" w:rsidRPr="00DF32D1" w:rsidRDefault="00ED75DC" w:rsidP="00ED75DC">
      <w:pPr>
        <w:pStyle w:val="Nivel3SM"/>
        <w:spacing w:after="100"/>
        <w:rPr>
          <w:highlight w:val="yellow"/>
        </w:rPr>
      </w:pPr>
      <w:r w:rsidRPr="00DF32D1">
        <w:rPr>
          <w:highlight w:val="yellow"/>
        </w:rPr>
        <w:t>Las filiales son unidades institucionales independientes residentes en el lugar donde prestan sus servicios.</w:t>
      </w:r>
    </w:p>
    <w:p w14:paraId="607F9D0E" w14:textId="6948BF88" w:rsidR="00ED75DC" w:rsidRPr="00DF32D1" w:rsidRDefault="00ED75DC" w:rsidP="00ED75DC">
      <w:pPr>
        <w:pStyle w:val="Nivel3SM"/>
        <w:spacing w:after="40"/>
        <w:rPr>
          <w:spacing w:val="-2"/>
          <w:highlight w:val="yellow"/>
        </w:rPr>
      </w:pPr>
      <w:r w:rsidRPr="00DF32D1">
        <w:rPr>
          <w:spacing w:val="-2"/>
          <w:highlight w:val="yellow"/>
        </w:rPr>
        <w:t>Las sucursales s</w:t>
      </w:r>
      <w:r w:rsidR="007C40D7">
        <w:rPr>
          <w:spacing w:val="-2"/>
          <w:highlight w:val="yellow"/>
        </w:rPr>
        <w:t>ó</w:t>
      </w:r>
      <w:r w:rsidRPr="00DF32D1">
        <w:rPr>
          <w:spacing w:val="-2"/>
          <w:highlight w:val="yellow"/>
        </w:rPr>
        <w:t>lo pueden ser consideradas unidades independientes excepcionalmente, si desarrollan una parte substancial de la producción y llevan una contabilidad independiente.</w:t>
      </w:r>
    </w:p>
    <w:p w14:paraId="1AB90153" w14:textId="77777777" w:rsidR="00ED75DC" w:rsidRDefault="00ED75DC" w:rsidP="00ED75DC">
      <w:pPr>
        <w:pStyle w:val="Nivel2SM"/>
        <w:rPr>
          <w:highlight w:val="yellow"/>
        </w:rPr>
      </w:pPr>
      <w:r w:rsidRPr="00DF32D1">
        <w:rPr>
          <w:highlight w:val="yellow"/>
        </w:rPr>
        <w:t xml:space="preserve">En cuanto a las </w:t>
      </w:r>
      <w:r w:rsidRPr="00DF32D1">
        <w:rPr>
          <w:b/>
          <w:bCs/>
          <w:highlight w:val="yellow"/>
        </w:rPr>
        <w:t>Administraciones Públicas (AAPP)</w:t>
      </w:r>
      <w:r w:rsidRPr="00DF32D1">
        <w:rPr>
          <w:highlight w:val="yellow"/>
        </w:rPr>
        <w:t xml:space="preserve">, se consideran residentes todos sus organismos, incluidas embajadas, consulados y bases militares. Sin embargo, </w:t>
      </w:r>
      <w:r w:rsidRPr="00DF32D1">
        <w:rPr>
          <w:i/>
          <w:iCs/>
          <w:highlight w:val="yellow"/>
        </w:rPr>
        <w:t>no se incluyen los organismos internacionales</w:t>
      </w:r>
      <w:r w:rsidRPr="00DF32D1">
        <w:rPr>
          <w:highlight w:val="yellow"/>
        </w:rPr>
        <w:t xml:space="preserve"> ubicados en ese país, que son un territorio económico en sí mismos.</w:t>
      </w:r>
    </w:p>
    <w:p w14:paraId="46747B75" w14:textId="40145EBE" w:rsidR="00ED75DC" w:rsidRPr="00DF32D1" w:rsidRDefault="00ED75DC" w:rsidP="00ED75DC">
      <w:pPr>
        <w:pStyle w:val="Nivel2SM"/>
        <w:rPr>
          <w:color w:val="FF0000"/>
          <w:sz w:val="19"/>
          <w:szCs w:val="19"/>
          <w:highlight w:val="yellow"/>
        </w:rPr>
      </w:pPr>
      <w:r w:rsidRPr="00DF32D1">
        <w:rPr>
          <w:color w:val="FF0000"/>
          <w:sz w:val="19"/>
          <w:szCs w:val="19"/>
          <w:highlight w:val="yellow"/>
        </w:rPr>
        <w:t>[Esto de arriba está copiado tal cual del tema 3.B.1</w:t>
      </w:r>
      <w:r w:rsidR="00D41E30">
        <w:rPr>
          <w:color w:val="FF0000"/>
          <w:sz w:val="19"/>
          <w:szCs w:val="19"/>
          <w:highlight w:val="yellow"/>
        </w:rPr>
        <w:t>1</w:t>
      </w:r>
      <w:r w:rsidRPr="00DF32D1">
        <w:rPr>
          <w:color w:val="FF0000"/>
          <w:sz w:val="19"/>
          <w:szCs w:val="19"/>
          <w:highlight w:val="yellow"/>
        </w:rPr>
        <w:t xml:space="preserve"> y no </w:t>
      </w:r>
      <w:r w:rsidR="001F21D6">
        <w:rPr>
          <w:color w:val="FF0000"/>
          <w:sz w:val="19"/>
          <w:szCs w:val="19"/>
          <w:highlight w:val="yellow"/>
        </w:rPr>
        <w:t xml:space="preserve">estoy seguro </w:t>
      </w:r>
      <w:r w:rsidRPr="00DF32D1">
        <w:rPr>
          <w:color w:val="FF0000"/>
          <w:sz w:val="19"/>
          <w:szCs w:val="19"/>
          <w:highlight w:val="yellow"/>
        </w:rPr>
        <w:t xml:space="preserve">si en el </w:t>
      </w:r>
      <w:r w:rsidR="00BC549A">
        <w:rPr>
          <w:color w:val="FF0000"/>
          <w:sz w:val="19"/>
          <w:szCs w:val="19"/>
          <w:highlight w:val="yellow"/>
        </w:rPr>
        <w:t>SEC 2010</w:t>
      </w:r>
      <w:r w:rsidRPr="00DF32D1">
        <w:rPr>
          <w:color w:val="FF0000"/>
          <w:sz w:val="19"/>
          <w:szCs w:val="19"/>
          <w:highlight w:val="yellow"/>
        </w:rPr>
        <w:t xml:space="preserve"> es igual, creo que sí]</w:t>
      </w:r>
    </w:p>
    <w:p w14:paraId="6245BC97" w14:textId="334C0E46" w:rsidR="00592177" w:rsidRDefault="001C04D2" w:rsidP="001C04D2">
      <w:pPr>
        <w:pStyle w:val="Ttulo1"/>
      </w:pPr>
      <w:bookmarkStart w:id="38" w:name="_Toc83554001"/>
      <w:bookmarkStart w:id="39" w:name="_Toc174116190"/>
      <w:r>
        <w:rPr>
          <w:caps w:val="0"/>
        </w:rPr>
        <w:t>LA SUCESIÓN DE CUENTAS</w:t>
      </w:r>
      <w:bookmarkEnd w:id="38"/>
      <w:bookmarkEnd w:id="39"/>
    </w:p>
    <w:p w14:paraId="30C34AFF" w14:textId="1068F72F" w:rsidR="00EF538D" w:rsidRPr="00EF538D" w:rsidRDefault="00EF538D" w:rsidP="00EF538D">
      <w:pPr>
        <w:pStyle w:val="Notaalopositor"/>
      </w:pPr>
      <w:bookmarkStart w:id="40" w:name="_Hlk72694676"/>
      <w:r>
        <w:t>Dar intuiciones de los agregados macroeconómicos al hacer cada cuenta para hacer respuesta al título del tema (ver documento ANEXO A – Eurostat Página 315 – Agregados macroeconómicos. Viene sintetizado.</w:t>
      </w:r>
    </w:p>
    <w:bookmarkEnd w:id="40"/>
    <w:p w14:paraId="4696BE02" w14:textId="56A16A65" w:rsidR="00EF538D" w:rsidRDefault="00EF538D" w:rsidP="00FA6AEF">
      <w:pPr>
        <w:pStyle w:val="Nivel1SM"/>
        <w:keepNext/>
        <w:spacing w:before="0" w:after="0"/>
      </w:pPr>
      <w:r>
        <w:t xml:space="preserve">En este apartado vamos a ver la </w:t>
      </w:r>
      <w:r w:rsidRPr="00CD4D38">
        <w:rPr>
          <w:b/>
          <w:bCs/>
        </w:rPr>
        <w:t>sucesión de las cuentas nacionales</w:t>
      </w:r>
      <w:r w:rsidR="00CD4D38">
        <w:t xml:space="preserve"> haciendo hincapié</w:t>
      </w:r>
      <w:r>
        <w:t xml:space="preserve"> en la explicación de los distintos agregados macroeconómicos.</w:t>
      </w:r>
    </w:p>
    <w:p w14:paraId="4CB8E1DA" w14:textId="5A09D755" w:rsidR="00EF538D" w:rsidRDefault="00EF538D" w:rsidP="00CD4D38">
      <w:pPr>
        <w:pStyle w:val="Nivel2SM"/>
      </w:pPr>
      <w:r>
        <w:t xml:space="preserve">Los </w:t>
      </w:r>
      <w:r w:rsidRPr="00EF538D">
        <w:rPr>
          <w:i/>
          <w:iCs/>
          <w:u w:val="single"/>
        </w:rPr>
        <w:t>agregados</w:t>
      </w:r>
      <w:r>
        <w:t xml:space="preserve"> son indicadores que sintetizan el resultado de la actividad del total de la economía y constituyen magnitudes esenciales para realizar análisis macroeconómicos y comparaciones en el tiempo y el espacio.</w:t>
      </w:r>
    </w:p>
    <w:p w14:paraId="7237A832" w14:textId="063F7D5C" w:rsidR="00873AEF" w:rsidRPr="00873AEF" w:rsidRDefault="00873AEF" w:rsidP="00873AEF">
      <w:pPr>
        <w:jc w:val="center"/>
      </w:pPr>
      <w:r>
        <w:rPr>
          <w:noProof/>
        </w:rPr>
        <w:lastRenderedPageBreak/>
        <w:drawing>
          <wp:inline distT="0" distB="0" distL="0" distR="0" wp14:anchorId="18DED731" wp14:editId="6DB3FEFC">
            <wp:extent cx="2770293" cy="3675891"/>
            <wp:effectExtent l="0" t="0" r="0" b="1270"/>
            <wp:docPr id="37" name="Imagen 3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Texto&#10;&#10;Descripción generada automáticamente"/>
                    <pic:cNvPicPr/>
                  </pic:nvPicPr>
                  <pic:blipFill rotWithShape="1">
                    <a:blip r:embed="rId20" cstate="print">
                      <a:extLst>
                        <a:ext uri="{BEBA8EAE-BF5A-486C-A8C5-ECC9F3942E4B}">
                          <a14:imgProps xmlns:a14="http://schemas.microsoft.com/office/drawing/2010/main">
                            <a14:imgLayer r:embed="rId21">
                              <a14:imgEffect>
                                <a14:brightnessContrast bright="40000" contrast="-40000"/>
                              </a14:imgEffect>
                            </a14:imgLayer>
                          </a14:imgProps>
                        </a:ext>
                        <a:ext uri="{28A0092B-C50C-407E-A947-70E740481C1C}">
                          <a14:useLocalDpi xmlns:a14="http://schemas.microsoft.com/office/drawing/2010/main" val="0"/>
                        </a:ext>
                      </a:extLst>
                    </a:blip>
                    <a:srcRect l="1" r="2394" b="2868"/>
                    <a:stretch/>
                  </pic:blipFill>
                  <pic:spPr bwMode="auto">
                    <a:xfrm>
                      <a:off x="0" y="0"/>
                      <a:ext cx="2794208" cy="3707623"/>
                    </a:xfrm>
                    <a:prstGeom prst="rect">
                      <a:avLst/>
                    </a:prstGeom>
                    <a:ln>
                      <a:noFill/>
                    </a:ln>
                    <a:effectLst>
                      <a:softEdge rad="31750"/>
                    </a:effectLst>
                    <a:extLst>
                      <a:ext uri="{53640926-AAD7-44D8-BBD7-CCE9431645EC}">
                        <a14:shadowObscured xmlns:a14="http://schemas.microsoft.com/office/drawing/2010/main"/>
                      </a:ext>
                    </a:extLst>
                  </pic:spPr>
                </pic:pic>
              </a:graphicData>
            </a:graphic>
          </wp:inline>
        </w:drawing>
      </w:r>
    </w:p>
    <w:p w14:paraId="1C8B4D26" w14:textId="166BA389" w:rsidR="00387530" w:rsidRDefault="002B27AC" w:rsidP="00CD4D38">
      <w:pPr>
        <w:pStyle w:val="Nivel1SM"/>
        <w:keepNext/>
        <w:spacing w:after="0"/>
      </w:pPr>
      <w:r>
        <w:t xml:space="preserve">El </w:t>
      </w:r>
      <w:r w:rsidR="00BC549A">
        <w:t>SEC 2010</w:t>
      </w:r>
      <w:r>
        <w:t xml:space="preserve"> sigue a grandes rasgos la siguiente estructura</w:t>
      </w:r>
      <w:r w:rsidR="00B425BC">
        <w:t xml:space="preserve"> </w:t>
      </w:r>
      <w:r w:rsidR="00B425BC" w:rsidRPr="00B425BC">
        <w:rPr>
          <w:color w:val="767171" w:themeColor="background2" w:themeShade="80"/>
          <w:sz w:val="19"/>
        </w:rPr>
        <w:t>[</w:t>
      </w:r>
      <w:r w:rsidR="00B425BC">
        <w:rPr>
          <w:color w:val="767171" w:themeColor="background2" w:themeShade="80"/>
          <w:sz w:val="19"/>
        </w:rPr>
        <w:t xml:space="preserve">ver anexo </w:t>
      </w:r>
      <w:r w:rsidR="00B425BC">
        <w:rPr>
          <w:color w:val="767171" w:themeColor="background2" w:themeShade="80"/>
          <w:sz w:val="19"/>
        </w:rPr>
        <w:fldChar w:fldCharType="begin"/>
      </w:r>
      <w:r w:rsidR="00B425BC">
        <w:rPr>
          <w:color w:val="767171" w:themeColor="background2" w:themeShade="80"/>
          <w:sz w:val="19"/>
        </w:rPr>
        <w:instrText xml:space="preserve"> REF _Ref103164407 \r \h </w:instrText>
      </w:r>
      <w:r w:rsidR="00B425BC">
        <w:rPr>
          <w:color w:val="767171" w:themeColor="background2" w:themeShade="80"/>
          <w:sz w:val="19"/>
        </w:rPr>
      </w:r>
      <w:r w:rsidR="00B425BC">
        <w:rPr>
          <w:color w:val="767171" w:themeColor="background2" w:themeShade="80"/>
          <w:sz w:val="19"/>
        </w:rPr>
        <w:fldChar w:fldCharType="separate"/>
      </w:r>
      <w:r w:rsidR="001A65F8">
        <w:rPr>
          <w:color w:val="767171" w:themeColor="background2" w:themeShade="80"/>
          <w:sz w:val="19"/>
        </w:rPr>
        <w:t>A.8</w:t>
      </w:r>
      <w:r w:rsidR="00B425BC">
        <w:rPr>
          <w:color w:val="767171" w:themeColor="background2" w:themeShade="80"/>
          <w:sz w:val="19"/>
        </w:rPr>
        <w:fldChar w:fldCharType="end"/>
      </w:r>
      <w:r w:rsidR="00B425BC" w:rsidRPr="00B425BC">
        <w:rPr>
          <w:color w:val="767171" w:themeColor="background2" w:themeShade="80"/>
          <w:sz w:val="19"/>
        </w:rPr>
        <w:t>]</w:t>
      </w:r>
      <w:r w:rsidR="00387530">
        <w:t>:</w:t>
      </w:r>
    </w:p>
    <w:p w14:paraId="1E4C4CCB" w14:textId="1F84E7F4" w:rsidR="00164226" w:rsidRPr="00CD4D38" w:rsidRDefault="00164226" w:rsidP="00CD4D38">
      <w:pPr>
        <w:pStyle w:val="Nivel2SM"/>
        <w:rPr>
          <w:i/>
          <w:iCs/>
        </w:rPr>
      </w:pPr>
      <w:r w:rsidRPr="00CD4D38">
        <w:rPr>
          <w:i/>
          <w:iCs/>
        </w:rPr>
        <w:t>Cuenta de bienes y servicios</w:t>
      </w:r>
    </w:p>
    <w:p w14:paraId="4EA684ED" w14:textId="291ED959" w:rsidR="00387530" w:rsidRPr="00CD4D38" w:rsidRDefault="00387530" w:rsidP="00CD4D38">
      <w:pPr>
        <w:pStyle w:val="Nivel2SM"/>
        <w:rPr>
          <w:i/>
          <w:iCs/>
        </w:rPr>
      </w:pPr>
      <w:r w:rsidRPr="00CD4D38">
        <w:rPr>
          <w:i/>
          <w:iCs/>
        </w:rPr>
        <w:t>Cuentas corrientes</w:t>
      </w:r>
    </w:p>
    <w:p w14:paraId="1632178A" w14:textId="1F054B1A" w:rsidR="00387530" w:rsidRPr="00CD4D38" w:rsidRDefault="00387530" w:rsidP="00CD4D38">
      <w:pPr>
        <w:pStyle w:val="Nivel2SM"/>
        <w:rPr>
          <w:i/>
          <w:iCs/>
        </w:rPr>
      </w:pPr>
      <w:r w:rsidRPr="00CD4D38">
        <w:rPr>
          <w:i/>
          <w:iCs/>
        </w:rPr>
        <w:t>Cuentas de acumulación</w:t>
      </w:r>
    </w:p>
    <w:p w14:paraId="1035C07F" w14:textId="4C84D5A7" w:rsidR="00387530" w:rsidRPr="00CD4D38" w:rsidRDefault="00387530" w:rsidP="00CD4D38">
      <w:pPr>
        <w:pStyle w:val="Nivel2SM"/>
        <w:rPr>
          <w:i/>
          <w:iCs/>
        </w:rPr>
      </w:pPr>
      <w:r w:rsidRPr="00CD4D38">
        <w:rPr>
          <w:i/>
          <w:iCs/>
        </w:rPr>
        <w:t>Balances</w:t>
      </w:r>
    </w:p>
    <w:p w14:paraId="32184E7C" w14:textId="3BDA9B4E" w:rsidR="00164226" w:rsidRPr="00CD4D38" w:rsidRDefault="00164226" w:rsidP="00CD4D38">
      <w:pPr>
        <w:pStyle w:val="Nivel2SM"/>
        <w:rPr>
          <w:i/>
          <w:iCs/>
        </w:rPr>
      </w:pPr>
      <w:r w:rsidRPr="00CD4D38">
        <w:rPr>
          <w:i/>
          <w:iCs/>
        </w:rPr>
        <w:t>Cuentas del resto del mundo</w:t>
      </w:r>
    </w:p>
    <w:p w14:paraId="6CBD2A00" w14:textId="0E2E15BF" w:rsidR="00B425BC" w:rsidRDefault="00B425BC" w:rsidP="00B425BC">
      <w:pPr>
        <w:pStyle w:val="Ttuloimagen"/>
      </w:pPr>
      <w:r>
        <w:t>Imagen</w:t>
      </w:r>
      <w:r w:rsidR="00887D70">
        <w:t> </w:t>
      </w:r>
      <w:r>
        <w:fldChar w:fldCharType="begin"/>
      </w:r>
      <w:r>
        <w:instrText xml:space="preserve"> SEQ Ilustración \* ARABIC </w:instrText>
      </w:r>
      <w:r>
        <w:fldChar w:fldCharType="separate"/>
      </w:r>
      <w:r w:rsidR="001A65F8">
        <w:t>2</w:t>
      </w:r>
      <w:r>
        <w:fldChar w:fldCharType="end"/>
      </w:r>
      <w:r w:rsidRPr="00B425BC">
        <w:rPr>
          <w:smallCaps w:val="0"/>
        </w:rPr>
        <w:t xml:space="preserve">.– </w:t>
      </w:r>
      <w:r w:rsidRPr="00B425BC">
        <w:rPr>
          <w:i/>
          <w:smallCaps w:val="0"/>
        </w:rPr>
        <w:t>Esquema de sucesión de cuentas</w:t>
      </w:r>
    </w:p>
    <w:p w14:paraId="583E2473" w14:textId="6FA066A7" w:rsidR="00CB4392" w:rsidRDefault="001D0D41" w:rsidP="008A7782">
      <w:pPr>
        <w:pStyle w:val="Imagen"/>
      </w:pPr>
      <w:r>
        <mc:AlternateContent>
          <mc:Choice Requires="wps">
            <w:drawing>
              <wp:anchor distT="0" distB="0" distL="114300" distR="114300" simplePos="0" relativeHeight="251660288" behindDoc="0" locked="0" layoutInCell="1" allowOverlap="1" wp14:anchorId="10CC0441" wp14:editId="0B5C511C">
                <wp:simplePos x="0" y="0"/>
                <wp:positionH relativeFrom="column">
                  <wp:posOffset>2877820</wp:posOffset>
                </wp:positionH>
                <wp:positionV relativeFrom="paragraph">
                  <wp:posOffset>1320165</wp:posOffset>
                </wp:positionV>
                <wp:extent cx="995680" cy="418465"/>
                <wp:effectExtent l="19050" t="19050" r="13970" b="19685"/>
                <wp:wrapNone/>
                <wp:docPr id="2050290368" name="Forma lib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5680" cy="418465"/>
                        </a:xfrm>
                        <a:custGeom>
                          <a:avLst/>
                          <a:gdLst>
                            <a:gd name="connsiteX0" fmla="*/ 0 w 996215"/>
                            <a:gd name="connsiteY0" fmla="*/ 86628 h 418699"/>
                            <a:gd name="connsiteX1" fmla="*/ 19251 w 996215"/>
                            <a:gd name="connsiteY1" fmla="*/ 158817 h 418699"/>
                            <a:gd name="connsiteX2" fmla="*/ 866274 w 996215"/>
                            <a:gd name="connsiteY2" fmla="*/ 418699 h 418699"/>
                            <a:gd name="connsiteX3" fmla="*/ 996215 w 996215"/>
                            <a:gd name="connsiteY3" fmla="*/ 413887 h 418699"/>
                            <a:gd name="connsiteX4" fmla="*/ 919213 w 996215"/>
                            <a:gd name="connsiteY4" fmla="*/ 0 h 418699"/>
                            <a:gd name="connsiteX5" fmla="*/ 0 w 996215"/>
                            <a:gd name="connsiteY5" fmla="*/ 86628 h 4186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96215" h="418699">
                              <a:moveTo>
                                <a:pt x="0" y="86628"/>
                              </a:moveTo>
                              <a:lnTo>
                                <a:pt x="19251" y="158817"/>
                              </a:lnTo>
                              <a:lnTo>
                                <a:pt x="866274" y="418699"/>
                              </a:lnTo>
                              <a:lnTo>
                                <a:pt x="996215" y="413887"/>
                              </a:lnTo>
                              <a:lnTo>
                                <a:pt x="919213" y="0"/>
                              </a:lnTo>
                              <a:lnTo>
                                <a:pt x="0" y="86628"/>
                              </a:lnTo>
                              <a:close/>
                            </a:path>
                          </a:pathLst>
                        </a:cu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9ED838E" id="Forma libre: forma 15" o:spid="_x0000_s1026" style="position:absolute;margin-left:226.6pt;margin-top:103.95pt;width:78.4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996215,418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" path="m,86628r19251,72189l866274,418699r129941,-4812l919213,,,86628xe" fillcolor="white [3212]" strokecolor="white [3212]" strokeweight="1pt">
                <v:stroke joinstyle="miter"/>
                <v:path arrowok="t" o:connecttype="custom" o:connectlocs="0,86580;19241,158728;865809,418465;995680,413656;918719,0;0,86580" o:connectangles="0,0,0,0,0,0"/>
              </v:shape>
            </w:pict>
          </mc:Fallback>
        </mc:AlternateContent>
      </w:r>
      <w:r>
        <mc:AlternateContent>
          <mc:Choice Requires="wps">
            <w:drawing>
              <wp:anchor distT="4294967295" distB="4294967295" distL="114300" distR="114300" simplePos="0" relativeHeight="251659264" behindDoc="0" locked="0" layoutInCell="1" allowOverlap="1" wp14:anchorId="241579C2" wp14:editId="58531C0F">
                <wp:simplePos x="0" y="0"/>
                <wp:positionH relativeFrom="column">
                  <wp:posOffset>2941320</wp:posOffset>
                </wp:positionH>
                <wp:positionV relativeFrom="paragraph">
                  <wp:posOffset>1957069</wp:posOffset>
                </wp:positionV>
                <wp:extent cx="307975" cy="0"/>
                <wp:effectExtent l="0" t="57150" r="15875" b="57150"/>
                <wp:wrapNone/>
                <wp:docPr id="509338625" name="Conector recto de flecha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975" cy="0"/>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995572B" id="_x0000_t32" coordsize="21600,21600" o:spt="32" o:oned="t" path="m,l21600,21600e" filled="f">
                <v:path arrowok="t" fillok="f" o:connecttype="none"/>
                <o:lock v:ext="edit" shapetype="t"/>
              </v:shapetype>
              <v:shape id="Conector recto de flecha 14" o:spid="_x0000_s1026" type="#_x0000_t32" style="position:absolute;margin-left:231.6pt;margin-top:154.1pt;width:24.2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" strokecolor="black [3213]" strokeweight=".5pt">
                <v:stroke endarrow="block" endarrowwidth="narrow" endarrowlength="short" joinstyle="miter"/>
                <o:lock v:ext="edit" shapetype="f"/>
              </v:shape>
            </w:pict>
          </mc:Fallback>
        </mc:AlternateContent>
      </w:r>
      <w:r w:rsidR="00D474BC">
        <w:drawing>
          <wp:inline distT="0" distB="0" distL="0" distR="0" wp14:anchorId="1D4F7DE1" wp14:editId="5FD139D3">
            <wp:extent cx="3283527" cy="444270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rotWithShape="1">
                    <a:blip r:embed="rId22">
                      <a:extLst>
                        <a:ext uri="{28A0092B-C50C-407E-A947-70E740481C1C}">
                          <a14:useLocalDpi xmlns:a14="http://schemas.microsoft.com/office/drawing/2010/main" val="0"/>
                        </a:ext>
                      </a:extLst>
                    </a:blip>
                    <a:srcRect l="9649" r="2702" b="3148"/>
                    <a:stretch/>
                  </pic:blipFill>
                  <pic:spPr bwMode="auto">
                    <a:xfrm>
                      <a:off x="0" y="0"/>
                      <a:ext cx="3283527" cy="4442703"/>
                    </a:xfrm>
                    <a:prstGeom prst="rect">
                      <a:avLst/>
                    </a:prstGeom>
                    <a:noFill/>
                    <a:ln>
                      <a:noFill/>
                    </a:ln>
                    <a:extLst>
                      <a:ext uri="{53640926-AAD7-44D8-BBD7-CCE9431645EC}">
                        <a14:shadowObscured xmlns:a14="http://schemas.microsoft.com/office/drawing/2010/main"/>
                      </a:ext>
                    </a:extLst>
                  </pic:spPr>
                </pic:pic>
              </a:graphicData>
            </a:graphic>
          </wp:inline>
        </w:drawing>
      </w:r>
    </w:p>
    <w:p w14:paraId="1BE506C7" w14:textId="2813587E" w:rsidR="009E6795" w:rsidRDefault="00CB4392" w:rsidP="008A7782">
      <w:pPr>
        <w:pStyle w:val="PiedeImagen"/>
        <w:rPr>
          <w:i w:val="0"/>
          <w:iCs/>
        </w:rPr>
      </w:pPr>
      <w:r>
        <w:t>Fuente</w:t>
      </w:r>
      <w:r w:rsidRPr="008A7782">
        <w:t>:</w:t>
      </w:r>
      <w:r w:rsidRPr="008A7782">
        <w:rPr>
          <w:i w:val="0"/>
          <w:iCs/>
        </w:rPr>
        <w:t xml:space="preserve"> </w:t>
      </w:r>
      <w:r w:rsidR="00B425BC">
        <w:rPr>
          <w:i w:val="0"/>
          <w:iCs/>
        </w:rPr>
        <w:t xml:space="preserve">Adaptado de </w:t>
      </w:r>
      <w:r w:rsidRPr="008A7782">
        <w:rPr>
          <w:i w:val="0"/>
          <w:iCs/>
        </w:rPr>
        <w:t>Eurostat</w:t>
      </w:r>
    </w:p>
    <w:p w14:paraId="0936957F" w14:textId="43975209" w:rsidR="00614953" w:rsidRPr="00614953" w:rsidRDefault="00614953" w:rsidP="00614953">
      <w:pPr>
        <w:pStyle w:val="Ttuloimagen"/>
        <w:rPr>
          <w:smallCaps w:val="0"/>
        </w:rPr>
      </w:pPr>
      <w:r>
        <w:lastRenderedPageBreak/>
        <w:t>Imagen</w:t>
      </w:r>
      <w:r w:rsidR="00FA6AEF">
        <w:t> </w:t>
      </w:r>
      <w:r>
        <w:fldChar w:fldCharType="begin"/>
      </w:r>
      <w:r>
        <w:instrText xml:space="preserve"> SEQ Ilustración \* ARABIC </w:instrText>
      </w:r>
      <w:r>
        <w:fldChar w:fldCharType="separate"/>
      </w:r>
      <w:r w:rsidR="001A65F8">
        <w:t>3</w:t>
      </w:r>
      <w:r>
        <w:fldChar w:fldCharType="end"/>
      </w:r>
      <w:r>
        <w:rPr>
          <w:smallCaps w:val="0"/>
        </w:rPr>
        <w:t xml:space="preserve">.– </w:t>
      </w:r>
      <w:r w:rsidRPr="00614953">
        <w:rPr>
          <w:i/>
          <w:iCs/>
          <w:smallCaps w:val="0"/>
        </w:rPr>
        <w:t>Las tras vías de cálculo del PIB (SEC-2010)</w:t>
      </w:r>
    </w:p>
    <w:p w14:paraId="33FAD23D" w14:textId="42966443" w:rsidR="00614953" w:rsidRDefault="00614953" w:rsidP="00614953">
      <w:pPr>
        <w:pStyle w:val="Imagen"/>
      </w:pPr>
      <w:r w:rsidRPr="00614953">
        <w:drawing>
          <wp:inline distT="0" distB="0" distL="0" distR="0" wp14:anchorId="1E912F44" wp14:editId="1D9AD923">
            <wp:extent cx="5598453" cy="2878806"/>
            <wp:effectExtent l="0" t="0" r="2540" b="0"/>
            <wp:docPr id="6" name="Imagen 6" descr="Interfaz de usuario gráfica,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terfaz de usuario gráfica, Tabla&#10;&#10;Descripción generada automáticamente"/>
                    <pic:cNvPicPr/>
                  </pic:nvPicPr>
                  <pic:blipFill>
                    <a:blip r:embed="rId23"/>
                    <a:stretch>
                      <a:fillRect/>
                    </a:stretch>
                  </pic:blipFill>
                  <pic:spPr>
                    <a:xfrm>
                      <a:off x="0" y="0"/>
                      <a:ext cx="5606707" cy="2883051"/>
                    </a:xfrm>
                    <a:prstGeom prst="rect">
                      <a:avLst/>
                    </a:prstGeom>
                  </pic:spPr>
                </pic:pic>
              </a:graphicData>
            </a:graphic>
          </wp:inline>
        </w:drawing>
      </w:r>
    </w:p>
    <w:p w14:paraId="5EB190F3" w14:textId="39BDB898" w:rsidR="00614953" w:rsidRPr="00614953" w:rsidRDefault="00614953" w:rsidP="00614953">
      <w:pPr>
        <w:pStyle w:val="PiedeImagen"/>
        <w:tabs>
          <w:tab w:val="center" w:pos="4819"/>
          <w:tab w:val="left" w:pos="5560"/>
        </w:tabs>
        <w:rPr>
          <w:i w:val="0"/>
          <w:iCs/>
        </w:rPr>
      </w:pPr>
      <w:r>
        <w:t>Fuente</w:t>
      </w:r>
      <w:r>
        <w:rPr>
          <w:i w:val="0"/>
          <w:iCs/>
        </w:rPr>
        <w:t xml:space="preserve">: Gutiérrez Hernández, P. (2021) </w:t>
      </w:r>
      <w:r>
        <w:t>Cuentas Nacionales</w:t>
      </w:r>
      <w:r>
        <w:rPr>
          <w:i w:val="0"/>
          <w:iCs/>
        </w:rPr>
        <w:t>. Facultad de Economía, Empresa y Turismo (Deparamento de Economía Aplicada y Métodos Cuantitativos). Universidad de La Laguna.</w:t>
      </w:r>
    </w:p>
    <w:p w14:paraId="61062899" w14:textId="4FA17291" w:rsidR="00592177" w:rsidRDefault="007C252C" w:rsidP="00304ED4">
      <w:pPr>
        <w:pStyle w:val="Ttulo2"/>
      </w:pPr>
      <w:bookmarkStart w:id="41" w:name="_Toc83554003"/>
      <w:bookmarkStart w:id="42" w:name="_Toc174116191"/>
      <w:r>
        <w:t>C</w:t>
      </w:r>
      <w:r w:rsidR="00592177">
        <w:t>uenta de bienes y servicios (C.0)</w:t>
      </w:r>
      <w:bookmarkEnd w:id="41"/>
      <w:bookmarkEnd w:id="42"/>
    </w:p>
    <w:p w14:paraId="6BCAB5FC" w14:textId="448C79C3" w:rsidR="009E6795" w:rsidRDefault="0061006A" w:rsidP="001B306B">
      <w:pPr>
        <w:pStyle w:val="Nivel1SM"/>
        <w:spacing w:before="0"/>
      </w:pPr>
      <w:r>
        <w:t xml:space="preserve">La </w:t>
      </w:r>
      <w:r w:rsidRPr="001B306B">
        <w:rPr>
          <w:i/>
          <w:iCs/>
        </w:rPr>
        <w:t>cuenta de bienes y servicios</w:t>
      </w:r>
      <w:r>
        <w:t xml:space="preserve"> muestra el total de </w:t>
      </w:r>
      <w:r w:rsidRPr="00A14D32">
        <w:rPr>
          <w:b/>
          <w:bCs/>
        </w:rPr>
        <w:t>recursos</w:t>
      </w:r>
      <w:r>
        <w:t xml:space="preserve"> en términos de producción e importaciones y los </w:t>
      </w:r>
      <w:r w:rsidRPr="00A14D32">
        <w:rPr>
          <w:b/>
          <w:bCs/>
        </w:rPr>
        <w:t>usos</w:t>
      </w:r>
      <w:r>
        <w:t xml:space="preserve"> de bienes y servicios en términos de consumo intermedio, consumo final, formación bruta de capital fijo, variaciones de existencias y exportaciones para la economía en su conjunto y para grupos de productos.</w:t>
      </w:r>
    </w:p>
    <w:p w14:paraId="5C27F518" w14:textId="4FCAB530" w:rsidR="00164226" w:rsidRDefault="00164226" w:rsidP="001B306B">
      <w:pPr>
        <w:pStyle w:val="Nivel1SM"/>
      </w:pPr>
      <w:r>
        <w:t xml:space="preserve">Supone una </w:t>
      </w:r>
      <w:r w:rsidRPr="00164226">
        <w:rPr>
          <w:b/>
          <w:bCs/>
        </w:rPr>
        <w:t>igualdad contable</w:t>
      </w:r>
      <w:r>
        <w:t xml:space="preserve"> que refleja la igualdad entre el PIB desde el punto de vista de la producción y el PIB desde el punto de vista del gasto.</w:t>
      </w: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20"/>
        <w:gridCol w:w="4818"/>
      </w:tblGrid>
      <w:tr w:rsidR="00AA77FA" w14:paraId="770D607B" w14:textId="77777777" w:rsidTr="00B164F8">
        <w:trPr>
          <w:jc w:val="center"/>
        </w:trPr>
        <w:tc>
          <w:tcPr>
            <w:tcW w:w="10204" w:type="dxa"/>
            <w:gridSpan w:val="2"/>
            <w:tcBorders>
              <w:bottom w:val="single" w:sz="2" w:space="0" w:color="FFFFFF" w:themeColor="background1"/>
            </w:tcBorders>
          </w:tcPr>
          <w:p w14:paraId="6A5FC4CA" w14:textId="3807EF2F" w:rsidR="00AA77FA" w:rsidRPr="00C572A3" w:rsidRDefault="00AA77FA" w:rsidP="00E97E64">
            <w:pPr>
              <w:keepNext/>
              <w:keepLines/>
              <w:spacing w:after="0"/>
              <w:jc w:val="center"/>
              <w:rPr>
                <w:i/>
                <w:iCs/>
              </w:rPr>
            </w:pPr>
            <w:r>
              <w:rPr>
                <w:i/>
                <w:iCs/>
              </w:rPr>
              <w:t>C.0.</w:t>
            </w:r>
            <w:r w:rsidR="00FA6AEF">
              <w:rPr>
                <w:i/>
                <w:iCs/>
              </w:rPr>
              <w:t> </w:t>
            </w:r>
            <w:r>
              <w:rPr>
                <w:i/>
                <w:iCs/>
              </w:rPr>
              <w:t>Cuenta de bienes y servicios</w:t>
            </w:r>
          </w:p>
        </w:tc>
      </w:tr>
      <w:tr w:rsidR="004F4693" w14:paraId="5DBE1E4C" w14:textId="77777777" w:rsidTr="00AA77FA">
        <w:trPr>
          <w:jc w:val="center"/>
        </w:trPr>
        <w:tc>
          <w:tcPr>
            <w:tcW w:w="5102" w:type="dxa"/>
            <w:tcBorders>
              <w:top w:val="single" w:sz="2" w:space="0" w:color="FFFFFF" w:themeColor="background1"/>
              <w:right w:val="single" w:sz="2" w:space="0" w:color="FFFFFF" w:themeColor="background1"/>
            </w:tcBorders>
          </w:tcPr>
          <w:p w14:paraId="094F6122" w14:textId="03E1F3D2" w:rsidR="004F4693" w:rsidRPr="00C572A3" w:rsidRDefault="00C572A3" w:rsidP="00E97E64">
            <w:pPr>
              <w:keepNext/>
              <w:keepLines/>
              <w:spacing w:after="0"/>
              <w:jc w:val="center"/>
              <w:rPr>
                <w:i/>
                <w:iCs/>
              </w:rPr>
            </w:pPr>
            <w:r w:rsidRPr="00C572A3">
              <w:rPr>
                <w:i/>
                <w:iCs/>
              </w:rPr>
              <w:t>Recursos</w:t>
            </w:r>
          </w:p>
        </w:tc>
        <w:tc>
          <w:tcPr>
            <w:tcW w:w="5102" w:type="dxa"/>
            <w:tcBorders>
              <w:top w:val="single" w:sz="2" w:space="0" w:color="FFFFFF" w:themeColor="background1"/>
              <w:left w:val="single" w:sz="2" w:space="0" w:color="FFFFFF" w:themeColor="background1"/>
            </w:tcBorders>
          </w:tcPr>
          <w:p w14:paraId="454E090D" w14:textId="3E8ED909" w:rsidR="004F4693" w:rsidRPr="00C572A3" w:rsidRDefault="00C572A3" w:rsidP="00E97E64">
            <w:pPr>
              <w:keepNext/>
              <w:keepLines/>
              <w:spacing w:after="0"/>
              <w:jc w:val="center"/>
              <w:rPr>
                <w:i/>
                <w:iCs/>
              </w:rPr>
            </w:pPr>
            <w:r w:rsidRPr="00C572A3">
              <w:rPr>
                <w:i/>
                <w:iCs/>
              </w:rPr>
              <w:t>Empleos</w:t>
            </w:r>
          </w:p>
        </w:tc>
      </w:tr>
      <w:tr w:rsidR="004F4693" w14:paraId="12F955E3" w14:textId="77777777" w:rsidTr="00AA77FA">
        <w:trPr>
          <w:jc w:val="center"/>
        </w:trPr>
        <w:tc>
          <w:tcPr>
            <w:tcW w:w="5102" w:type="dxa"/>
          </w:tcPr>
          <w:p w14:paraId="4ED271A0" w14:textId="4F6FBB71" w:rsidR="004F4693" w:rsidRPr="00631150" w:rsidRDefault="00BB18EB" w:rsidP="00F451A1">
            <w:pPr>
              <w:pStyle w:val="Nivel2SM"/>
              <w:keepNext/>
              <w:keepLines/>
              <w:spacing w:after="60"/>
              <w:ind w:left="113"/>
              <w:contextualSpacing w:val="0"/>
              <w:jc w:val="left"/>
            </w:pPr>
            <w:r>
              <w:t>Producción</w:t>
            </w:r>
            <w:r w:rsidR="00877E2A">
              <w:t xml:space="preserve"> </w:t>
            </w:r>
            <w:r w:rsidR="00AA77FA" w:rsidRPr="002E2388">
              <w:rPr>
                <w:color w:val="595959" w:themeColor="text1" w:themeTint="A6"/>
                <w:sz w:val="16"/>
                <w:szCs w:val="18"/>
              </w:rPr>
              <w:t>(a precios básicos)</w:t>
            </w:r>
          </w:p>
          <w:p w14:paraId="5BDB9BD6" w14:textId="77777777" w:rsidR="002E2388" w:rsidRDefault="005A48A7" w:rsidP="00F451A1">
            <w:pPr>
              <w:pStyle w:val="Nivel2SM"/>
              <w:keepNext/>
              <w:keepLines/>
              <w:spacing w:after="0"/>
              <w:ind w:left="113"/>
              <w:contextualSpacing w:val="0"/>
              <w:jc w:val="left"/>
            </w:pPr>
            <w:r>
              <w:t>Importaciones de bienes y servicios</w:t>
            </w:r>
          </w:p>
          <w:p w14:paraId="47BD45A3" w14:textId="25E4F6C5" w:rsidR="005A48A7" w:rsidRDefault="00AA77FA" w:rsidP="00F451A1">
            <w:pPr>
              <w:pStyle w:val="Nivel2SM"/>
              <w:keepNext/>
              <w:keepLines/>
              <w:numPr>
                <w:ilvl w:val="0"/>
                <w:numId w:val="0"/>
              </w:numPr>
              <w:spacing w:after="60"/>
              <w:ind w:left="113"/>
              <w:contextualSpacing w:val="0"/>
              <w:jc w:val="left"/>
            </w:pPr>
            <w:r w:rsidRPr="002E2388">
              <w:rPr>
                <w:color w:val="595959" w:themeColor="text1" w:themeTint="A6"/>
                <w:sz w:val="16"/>
                <w:szCs w:val="16"/>
              </w:rPr>
              <w:t>(en términos fob)</w:t>
            </w:r>
          </w:p>
          <w:p w14:paraId="619D3CFF" w14:textId="1DF8AF3B" w:rsidR="005A48A7" w:rsidRDefault="005A48A7" w:rsidP="00F451A1">
            <w:pPr>
              <w:pStyle w:val="Nivel2SM"/>
              <w:keepNext/>
              <w:keepLines/>
              <w:spacing w:after="60"/>
              <w:ind w:left="113"/>
              <w:contextualSpacing w:val="0"/>
              <w:jc w:val="left"/>
            </w:pPr>
            <w:r>
              <w:t>Impuestos menos subvenciones sobre los productos</w:t>
            </w:r>
          </w:p>
        </w:tc>
        <w:tc>
          <w:tcPr>
            <w:tcW w:w="5102" w:type="dxa"/>
          </w:tcPr>
          <w:p w14:paraId="70877667" w14:textId="29FCDE5F" w:rsidR="004F4693" w:rsidRDefault="005A48A7" w:rsidP="00F451A1">
            <w:pPr>
              <w:pStyle w:val="Nivel2SM"/>
              <w:keepNext/>
              <w:keepLines/>
              <w:spacing w:after="60"/>
              <w:ind w:left="113"/>
              <w:contextualSpacing w:val="0"/>
              <w:jc w:val="left"/>
            </w:pPr>
            <w:r>
              <w:t>Consumos intermedios</w:t>
            </w:r>
            <w:r w:rsidR="00AA77FA">
              <w:t xml:space="preserve"> </w:t>
            </w:r>
            <w:r w:rsidR="00AA77FA" w:rsidRPr="002E2388">
              <w:rPr>
                <w:color w:val="595959" w:themeColor="text1" w:themeTint="A6"/>
                <w:sz w:val="16"/>
                <w:szCs w:val="18"/>
              </w:rPr>
              <w:t>(a precios de adquisición)</w:t>
            </w:r>
          </w:p>
          <w:p w14:paraId="47D6AE24" w14:textId="4F7B9AD4" w:rsidR="005A48A7" w:rsidRDefault="005A48A7" w:rsidP="00F451A1">
            <w:pPr>
              <w:pStyle w:val="Nivel2SM"/>
              <w:keepNext/>
              <w:keepLines/>
              <w:spacing w:after="60"/>
              <w:ind w:left="113"/>
              <w:contextualSpacing w:val="0"/>
              <w:jc w:val="left"/>
            </w:pPr>
            <w:r>
              <w:t>Gasto en consumo final</w:t>
            </w:r>
            <w:r w:rsidR="00AA77FA">
              <w:t xml:space="preserve"> </w:t>
            </w:r>
            <w:r w:rsidR="00AA77FA" w:rsidRPr="002E2388">
              <w:rPr>
                <w:color w:val="595959" w:themeColor="text1" w:themeTint="A6"/>
                <w:sz w:val="16"/>
                <w:szCs w:val="18"/>
              </w:rPr>
              <w:t>(a precios de adquisición)</w:t>
            </w:r>
          </w:p>
          <w:p w14:paraId="435088E5" w14:textId="77777777" w:rsidR="002E2388" w:rsidRPr="006B4314" w:rsidRDefault="005A48A7" w:rsidP="00F451A1">
            <w:pPr>
              <w:pStyle w:val="Nivel2SM"/>
              <w:keepNext/>
              <w:keepLines/>
              <w:spacing w:after="0"/>
              <w:ind w:left="113"/>
              <w:contextualSpacing w:val="0"/>
              <w:jc w:val="left"/>
            </w:pPr>
            <w:r>
              <w:t>Formación bruta de capital fijo</w:t>
            </w:r>
          </w:p>
          <w:p w14:paraId="6D73D4D8" w14:textId="19F0BB5C" w:rsidR="005A48A7" w:rsidRPr="006B4314" w:rsidRDefault="00AA77FA" w:rsidP="00F451A1">
            <w:pPr>
              <w:pStyle w:val="Nivel2SM"/>
              <w:keepNext/>
              <w:keepLines/>
              <w:numPr>
                <w:ilvl w:val="0"/>
                <w:numId w:val="0"/>
              </w:numPr>
              <w:spacing w:after="60"/>
              <w:ind w:left="113"/>
              <w:contextualSpacing w:val="0"/>
              <w:jc w:val="left"/>
            </w:pPr>
            <w:r w:rsidRPr="002E2388">
              <w:rPr>
                <w:color w:val="595959" w:themeColor="text1" w:themeTint="A6"/>
                <w:sz w:val="16"/>
                <w:szCs w:val="16"/>
              </w:rPr>
              <w:t>(a precios de adquisición)</w:t>
            </w:r>
          </w:p>
          <w:p w14:paraId="68EB213B" w14:textId="09FBB540" w:rsidR="005A48A7" w:rsidRDefault="005A48A7" w:rsidP="00F451A1">
            <w:pPr>
              <w:pStyle w:val="Nivel2SM"/>
              <w:keepNext/>
              <w:keepLines/>
              <w:spacing w:after="60"/>
              <w:ind w:left="113"/>
              <w:contextualSpacing w:val="0"/>
              <w:jc w:val="left"/>
            </w:pPr>
            <w:r>
              <w:t>Variación de existencias</w:t>
            </w:r>
            <w:r w:rsidR="00AA77FA">
              <w:t xml:space="preserve"> </w:t>
            </w:r>
            <w:r w:rsidR="00AA77FA" w:rsidRPr="002E2388">
              <w:rPr>
                <w:color w:val="595959" w:themeColor="text1" w:themeTint="A6"/>
                <w:sz w:val="16"/>
                <w:szCs w:val="16"/>
              </w:rPr>
              <w:t>(a precios de adquisición)</w:t>
            </w:r>
          </w:p>
          <w:p w14:paraId="0FF06E40" w14:textId="77777777" w:rsidR="002E2388" w:rsidRDefault="005A48A7" w:rsidP="00F451A1">
            <w:pPr>
              <w:pStyle w:val="Nivel2SM"/>
              <w:keepNext/>
              <w:keepLines/>
              <w:spacing w:after="0"/>
              <w:ind w:left="113"/>
              <w:contextualSpacing w:val="0"/>
              <w:jc w:val="left"/>
            </w:pPr>
            <w:r>
              <w:t>Exportaciones de bienes y servicios</w:t>
            </w:r>
          </w:p>
          <w:p w14:paraId="6839F859" w14:textId="51D5BE40" w:rsidR="005A48A7" w:rsidRDefault="00AA77FA" w:rsidP="002E2388">
            <w:pPr>
              <w:pStyle w:val="Nivel2SM"/>
              <w:keepNext/>
              <w:keepLines/>
              <w:numPr>
                <w:ilvl w:val="0"/>
                <w:numId w:val="0"/>
              </w:numPr>
              <w:spacing w:after="60"/>
              <w:ind w:left="142"/>
              <w:contextualSpacing w:val="0"/>
              <w:jc w:val="left"/>
            </w:pPr>
            <w:r w:rsidRPr="002E2388">
              <w:rPr>
                <w:color w:val="595959" w:themeColor="text1" w:themeTint="A6"/>
                <w:sz w:val="16"/>
                <w:szCs w:val="16"/>
              </w:rPr>
              <w:t>(a precios de adquisición)</w:t>
            </w:r>
          </w:p>
        </w:tc>
      </w:tr>
    </w:tbl>
    <w:p w14:paraId="3809CE94" w14:textId="70934D35" w:rsidR="004F4693" w:rsidRPr="009E6795" w:rsidRDefault="001B2491" w:rsidP="001B306B">
      <w:pPr>
        <w:pStyle w:val="Nivel1SM"/>
      </w:pPr>
      <w:r>
        <w:t xml:space="preserve">Cabe definir los </w:t>
      </w:r>
      <w:r w:rsidRPr="00430462">
        <w:rPr>
          <w:i/>
          <w:iCs/>
        </w:rPr>
        <w:t>consumos intermedios</w:t>
      </w:r>
      <w:r>
        <w:t xml:space="preserve"> como los gastos corrientes de explotación, es decir, los bienes y servicios consumidos en el proceso productivo excluidos los activos fijos (p.ej. suministros, marketing, contabilidad, transporte, alquiler de activos fijos…)</w:t>
      </w:r>
      <w:r>
        <w:rPr>
          <w:rStyle w:val="Refdenotaalpie"/>
        </w:rPr>
        <w:footnoteReference w:id="17"/>
      </w:r>
      <w:r>
        <w:t>.</w:t>
      </w:r>
    </w:p>
    <w:p w14:paraId="4F71EE03" w14:textId="1DACE459" w:rsidR="00304ED4" w:rsidRDefault="00304ED4">
      <w:pPr>
        <w:pStyle w:val="Ttulo2"/>
        <w:numPr>
          <w:ilvl w:val="1"/>
          <w:numId w:val="13"/>
        </w:numPr>
      </w:pPr>
      <w:bookmarkStart w:id="43" w:name="_Toc83554002"/>
      <w:bookmarkStart w:id="44" w:name="_Toc174116192"/>
      <w:bookmarkStart w:id="45" w:name="_Toc83554004"/>
      <w:r>
        <w:t>Cuentas corrientes</w:t>
      </w:r>
      <w:bookmarkEnd w:id="43"/>
      <w:bookmarkEnd w:id="44"/>
    </w:p>
    <w:p w14:paraId="0CC0F9FC" w14:textId="7855CBD6" w:rsidR="00430462" w:rsidRDefault="00430462" w:rsidP="00FA6AEF">
      <w:pPr>
        <w:pStyle w:val="Nivel1SM"/>
        <w:keepNext/>
        <w:spacing w:before="0" w:after="0"/>
      </w:pPr>
      <w:r>
        <w:t xml:space="preserve">Las </w:t>
      </w:r>
      <w:r w:rsidRPr="007D1D96">
        <w:rPr>
          <w:b/>
          <w:bCs/>
        </w:rPr>
        <w:t>cuentas corrientes</w:t>
      </w:r>
      <w:r>
        <w:t xml:space="preserve"> comprenden las operaciones no financieras relativas a la producción, generación de rentas, distribución de rentas, redistribución de rentas y utilización final de las rentas.</w:t>
      </w:r>
    </w:p>
    <w:p w14:paraId="0E79D226" w14:textId="7DC06506" w:rsidR="00430462" w:rsidRDefault="00430462" w:rsidP="007D1D96">
      <w:pPr>
        <w:pStyle w:val="Nivel2SM"/>
      </w:pPr>
      <w:r>
        <w:t>Se trata de una sucesión de cuentas donde se parte de la producción, ya que la producción es el recurso germinal a partir del cual se puede financiar a toda la economía.</w:t>
      </w:r>
    </w:p>
    <w:p w14:paraId="58F09F2C" w14:textId="4E7FE70C" w:rsidR="006A1C11" w:rsidRDefault="006A1C11" w:rsidP="006A1C11">
      <w:pPr>
        <w:pStyle w:val="Ttuloimagen"/>
        <w:rPr>
          <w:i/>
          <w:iCs/>
          <w:smallCaps w:val="0"/>
        </w:rPr>
      </w:pPr>
      <w:bookmarkStart w:id="46" w:name="_Hlk146455921"/>
      <w:r>
        <w:lastRenderedPageBreak/>
        <w:t>Imagen</w:t>
      </w:r>
      <w:r w:rsidR="00FA6AEF">
        <w:t> </w:t>
      </w:r>
      <w:r>
        <w:fldChar w:fldCharType="begin"/>
      </w:r>
      <w:r>
        <w:instrText xml:space="preserve"> SEQ Ilustración \* ARABIC </w:instrText>
      </w:r>
      <w:r>
        <w:fldChar w:fldCharType="separate"/>
      </w:r>
      <w:r w:rsidR="001A65F8">
        <w:t>4</w:t>
      </w:r>
      <w:r>
        <w:fldChar w:fldCharType="end"/>
      </w:r>
      <w:r w:rsidRPr="006A1C11">
        <w:rPr>
          <w:smallCaps w:val="0"/>
        </w:rPr>
        <w:t xml:space="preserve">.– </w:t>
      </w:r>
      <w:r>
        <w:rPr>
          <w:i/>
          <w:iCs/>
          <w:smallCaps w:val="0"/>
        </w:rPr>
        <w:t>Sucesión de cuentas corrientes</w:t>
      </w:r>
    </w:p>
    <w:tbl>
      <w:tblPr>
        <w:tblStyle w:val="Tablaconcuadrcul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06"/>
        <w:gridCol w:w="5100"/>
      </w:tblGrid>
      <w:tr w:rsidR="00F76973" w14:paraId="62F92DA5" w14:textId="77777777" w:rsidTr="007C40D7">
        <w:trPr>
          <w:jc w:val="center"/>
          <w:hidden/>
        </w:trPr>
        <w:tc>
          <w:tcPr>
            <w:tcW w:w="5696" w:type="dxa"/>
            <w:vAlign w:val="center"/>
          </w:tcPr>
        </w:tc>
        <w:tc>
          <w:tcPr>
            <w:tcW w:w="4510" w:type="dxa"/>
            <w:vAlign w:val="center"/>
          </w:tcPr>
          <w:p w14:paraId="42E4EA31" w14:textId="35418E97" w:rsidR="0071326D" w:rsidRDefault="0071326D" w:rsidP="0071326D">
            <w:pPr>
              <w:pStyle w:val="Imagen"/>
            </w:pPr>
            <w:r>
              <w:drawing>
                <wp:inline distT="0" distB="0" distL="0" distR="0" wp14:anchorId="2F080575" wp14:editId="7454C78D">
                  <wp:extent cx="3235036" cy="4139565"/>
                  <wp:effectExtent l="0" t="0" r="381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25"/>
                          <a:srcRect l="28326" r="27716"/>
                          <a:stretch/>
                        </pic:blipFill>
                        <pic:spPr bwMode="auto">
                          <a:xfrm>
                            <a:off x="0" y="0"/>
                            <a:ext cx="3235376" cy="414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5E5566BF" w14:textId="6F810700" w:rsidR="006A1C11" w:rsidRPr="006A1C11" w:rsidRDefault="006A1C11" w:rsidP="006A1C11">
      <w:pPr>
        <w:pStyle w:val="PiedeImagen"/>
        <w:rPr>
          <w:i w:val="0"/>
          <w:iCs/>
        </w:rPr>
      </w:pPr>
      <w:r>
        <w:t>Fuente</w:t>
      </w:r>
      <w:r>
        <w:rPr>
          <w:i w:val="0"/>
          <w:iCs/>
        </w:rPr>
        <w:t>: Elaboración propia</w:t>
      </w:r>
    </w:p>
    <w:p w14:paraId="5AD94078" w14:textId="344C3D12" w:rsidR="00592177" w:rsidRDefault="007C252C" w:rsidP="001251F3">
      <w:pPr>
        <w:pStyle w:val="Ttulo3"/>
      </w:pPr>
      <w:bookmarkStart w:id="47" w:name="_Toc174116193"/>
      <w:bookmarkEnd w:id="46"/>
      <w:r>
        <w:t>C</w:t>
      </w:r>
      <w:r w:rsidR="00592177">
        <w:t>uenta de producción (C.I)</w:t>
      </w:r>
      <w:bookmarkEnd w:id="45"/>
      <w:bookmarkEnd w:id="47"/>
    </w:p>
    <w:p w14:paraId="6C6972CA" w14:textId="7B289D69" w:rsidR="00CD6B89" w:rsidRDefault="00CD6B89" w:rsidP="00FA6AEF">
      <w:pPr>
        <w:pStyle w:val="Ttulo6"/>
        <w:spacing w:before="0"/>
      </w:pPr>
      <w:bookmarkStart w:id="48" w:name="_Toc174116194"/>
      <w:r>
        <w:t>Definición</w:t>
      </w:r>
      <w:bookmarkEnd w:id="48"/>
    </w:p>
    <w:p w14:paraId="602BCAAA" w14:textId="405D4BC4" w:rsidR="00CD6B89" w:rsidRPr="00CD6B89" w:rsidRDefault="00CD6B89" w:rsidP="00FA6AEF">
      <w:pPr>
        <w:pStyle w:val="Nivel1SM"/>
        <w:spacing w:before="0"/>
      </w:pPr>
      <w:r>
        <w:t xml:space="preserve">La </w:t>
      </w:r>
      <w:r>
        <w:rPr>
          <w:i/>
          <w:iCs/>
        </w:rPr>
        <w:t>cuenta de producción</w:t>
      </w:r>
      <w:r>
        <w:t xml:space="preserve"> registra cómo el proceso de producción</w:t>
      </w:r>
      <w:r w:rsidR="003E5F35">
        <w:t>,</w:t>
      </w:r>
      <w:r>
        <w:t xml:space="preserve"> caracterizado por emplear consumos intermedios</w:t>
      </w:r>
      <w:r w:rsidR="003E5F35">
        <w:t>,</w:t>
      </w:r>
      <w:r>
        <w:t xml:space="preserve"> determina la magnitud del PIB de la economía.</w:t>
      </w:r>
    </w:p>
    <w:p w14:paraId="08EE3C1E" w14:textId="77777777" w:rsidR="00CD6B89" w:rsidRDefault="00CD6B89" w:rsidP="00CD6B89">
      <w:pPr>
        <w:pStyle w:val="Ttulo6"/>
      </w:pPr>
      <w:bookmarkStart w:id="49" w:name="_Toc174116195"/>
      <w:r>
        <w:t>Empleos y recursos</w:t>
      </w:r>
      <w:bookmarkEnd w:id="49"/>
    </w:p>
    <w:p w14:paraId="1F573AF2" w14:textId="0BB726E1" w:rsidR="000922F5" w:rsidRDefault="000922F5" w:rsidP="00FA6AEF">
      <w:pPr>
        <w:pStyle w:val="Nivel1SM"/>
        <w:spacing w:before="0"/>
      </w:pPr>
      <w:r>
        <w:t xml:space="preserve">En el lado de los </w:t>
      </w:r>
      <w:r w:rsidRPr="00E85A8A">
        <w:rPr>
          <w:b/>
          <w:bCs/>
        </w:rPr>
        <w:t>empleos</w:t>
      </w:r>
      <w:r>
        <w:t xml:space="preserve">, se contabilizan los consumos intermedios </w:t>
      </w:r>
      <w:r w:rsidRPr="000922F5">
        <w:rPr>
          <w:sz w:val="19"/>
          <w:szCs w:val="19"/>
        </w:rPr>
        <w:t>(a precios de adquisición)</w:t>
      </w:r>
      <w:r>
        <w:t>, consistentes en los gastos corrientes de explotación (i.e. los bienes y servicios consumidos en el proceso productivo, excluidos los activos fijos)</w:t>
      </w:r>
      <w:r w:rsidR="009F4FCC">
        <w:rPr>
          <w:rStyle w:val="Refdenotaalpie"/>
        </w:rPr>
        <w:footnoteReference w:id="18"/>
      </w:r>
      <w:r>
        <w:t>.</w:t>
      </w:r>
    </w:p>
    <w:p w14:paraId="26BA1541" w14:textId="4D9AE9B6" w:rsidR="00E85A8A" w:rsidRDefault="000922F5" w:rsidP="00CD6B89">
      <w:pPr>
        <w:pStyle w:val="Nivel1SM"/>
      </w:pPr>
      <w:r>
        <w:t xml:space="preserve">En el lado de los </w:t>
      </w:r>
      <w:r w:rsidRPr="000922F5">
        <w:rPr>
          <w:b/>
          <w:bCs/>
        </w:rPr>
        <w:t>recursos</w:t>
      </w:r>
      <w:r>
        <w:t>, s</w:t>
      </w:r>
      <w:r w:rsidR="00E85A8A">
        <w:t>e parte de la producción</w:t>
      </w:r>
      <w:r>
        <w:t xml:space="preserve"> </w:t>
      </w:r>
      <w:r w:rsidRPr="000922F5">
        <w:rPr>
          <w:sz w:val="19"/>
          <w:szCs w:val="19"/>
        </w:rPr>
        <w:t xml:space="preserve">(a precios </w:t>
      </w:r>
      <w:r>
        <w:rPr>
          <w:sz w:val="19"/>
          <w:szCs w:val="19"/>
        </w:rPr>
        <w:t>básicos</w:t>
      </w:r>
      <w:r w:rsidRPr="000922F5">
        <w:rPr>
          <w:sz w:val="19"/>
          <w:szCs w:val="19"/>
        </w:rPr>
        <w:t>)</w:t>
      </w:r>
      <w:r>
        <w:t>, siendo necesario incluir</w:t>
      </w:r>
      <w:r w:rsidR="00E85A8A">
        <w:t xml:space="preserve"> los impuestos menos las subvenciones sobre los productos</w:t>
      </w:r>
      <w:r>
        <w:t xml:space="preserve"> para igualar la valoración de los recursos a la de los empleos</w:t>
      </w:r>
      <w:r w:rsidR="00E85A8A">
        <w:t>.</w:t>
      </w: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49"/>
        <w:gridCol w:w="4649"/>
      </w:tblGrid>
      <w:tr w:rsidR="00AA77FA" w:rsidRPr="00C572A3" w14:paraId="6EBC6704" w14:textId="77777777" w:rsidTr="00FF7E4C">
        <w:trPr>
          <w:jc w:val="center"/>
        </w:trPr>
        <w:tc>
          <w:tcPr>
            <w:tcW w:w="9298" w:type="dxa"/>
            <w:gridSpan w:val="2"/>
            <w:tcBorders>
              <w:bottom w:val="single" w:sz="2" w:space="0" w:color="FFFFFF" w:themeColor="background1"/>
            </w:tcBorders>
          </w:tcPr>
          <w:p w14:paraId="0CFD5BEE" w14:textId="67333A76" w:rsidR="00AA77FA" w:rsidRPr="00C572A3" w:rsidRDefault="00AA77FA" w:rsidP="00E97E64">
            <w:pPr>
              <w:keepNext/>
              <w:keepLines/>
              <w:spacing w:after="0"/>
              <w:jc w:val="center"/>
              <w:rPr>
                <w:i/>
                <w:iCs/>
              </w:rPr>
            </w:pPr>
            <w:r>
              <w:rPr>
                <w:i/>
                <w:iCs/>
              </w:rPr>
              <w:lastRenderedPageBreak/>
              <w:t>C.I.</w:t>
            </w:r>
            <w:r w:rsidR="00FA6AEF">
              <w:rPr>
                <w:i/>
                <w:iCs/>
              </w:rPr>
              <w:t> </w:t>
            </w:r>
            <w:r>
              <w:rPr>
                <w:i/>
                <w:iCs/>
              </w:rPr>
              <w:t>Cuenta de producción</w:t>
            </w:r>
          </w:p>
        </w:tc>
      </w:tr>
      <w:tr w:rsidR="00AA77FA" w:rsidRPr="00C572A3" w14:paraId="3A3CFC24" w14:textId="77777777" w:rsidTr="00FF7E4C">
        <w:trPr>
          <w:jc w:val="center"/>
        </w:trPr>
        <w:tc>
          <w:tcPr>
            <w:tcW w:w="4649" w:type="dxa"/>
            <w:tcBorders>
              <w:top w:val="single" w:sz="2" w:space="0" w:color="FFFFFF" w:themeColor="background1"/>
              <w:right w:val="single" w:sz="2" w:space="0" w:color="FFFFFF" w:themeColor="background1"/>
            </w:tcBorders>
          </w:tcPr>
          <w:p w14:paraId="4CC8EF13" w14:textId="7307F216" w:rsidR="00AA77FA" w:rsidRPr="00C572A3" w:rsidRDefault="00AA77FA" w:rsidP="00E97E64">
            <w:pPr>
              <w:keepNext/>
              <w:keepLines/>
              <w:spacing w:after="0"/>
              <w:jc w:val="center"/>
              <w:rPr>
                <w:i/>
                <w:iCs/>
              </w:rPr>
            </w:pPr>
            <w:r>
              <w:rPr>
                <w:i/>
                <w:iCs/>
              </w:rPr>
              <w:t>Empleos</w:t>
            </w:r>
          </w:p>
        </w:tc>
        <w:tc>
          <w:tcPr>
            <w:tcW w:w="4649" w:type="dxa"/>
            <w:tcBorders>
              <w:top w:val="single" w:sz="2" w:space="0" w:color="FFFFFF" w:themeColor="background1"/>
              <w:left w:val="single" w:sz="2" w:space="0" w:color="FFFFFF" w:themeColor="background1"/>
            </w:tcBorders>
          </w:tcPr>
          <w:p w14:paraId="53889806" w14:textId="693053D9" w:rsidR="00AA77FA" w:rsidRPr="00C572A3" w:rsidRDefault="00AA77FA" w:rsidP="00E97E64">
            <w:pPr>
              <w:keepNext/>
              <w:keepLines/>
              <w:spacing w:after="0"/>
              <w:jc w:val="center"/>
              <w:rPr>
                <w:i/>
                <w:iCs/>
              </w:rPr>
            </w:pPr>
            <w:r>
              <w:rPr>
                <w:i/>
                <w:iCs/>
              </w:rPr>
              <w:t>Recurs</w:t>
            </w:r>
            <w:r w:rsidRPr="00C572A3">
              <w:rPr>
                <w:i/>
                <w:iCs/>
              </w:rPr>
              <w:t>os</w:t>
            </w:r>
          </w:p>
        </w:tc>
      </w:tr>
      <w:tr w:rsidR="00AA77FA" w14:paraId="3824D7C9" w14:textId="77777777" w:rsidTr="00FF7E4C">
        <w:trPr>
          <w:jc w:val="center"/>
        </w:trPr>
        <w:tc>
          <w:tcPr>
            <w:tcW w:w="4649" w:type="dxa"/>
          </w:tcPr>
          <w:p w14:paraId="1117F0FF" w14:textId="77777777" w:rsidR="000809BC" w:rsidRDefault="00AA77FA" w:rsidP="00F451A1">
            <w:pPr>
              <w:pStyle w:val="Nivel2SM"/>
              <w:keepNext/>
              <w:keepLines/>
              <w:spacing w:after="0"/>
              <w:ind w:left="113"/>
              <w:jc w:val="left"/>
            </w:pPr>
            <w:r>
              <w:t>Consumos intermedios</w:t>
            </w:r>
          </w:p>
          <w:p w14:paraId="747B65B5" w14:textId="228B22A3" w:rsidR="00AA77FA" w:rsidRDefault="00AA77FA" w:rsidP="00F451A1">
            <w:pPr>
              <w:pStyle w:val="Nivel2SM"/>
              <w:keepNext/>
              <w:keepLines/>
              <w:numPr>
                <w:ilvl w:val="0"/>
                <w:numId w:val="0"/>
              </w:numPr>
              <w:ind w:left="113" w:hanging="198"/>
              <w:jc w:val="left"/>
              <w:rPr>
                <w:color w:val="595959" w:themeColor="text1" w:themeTint="A6"/>
                <w:sz w:val="16"/>
                <w:szCs w:val="18"/>
              </w:rPr>
            </w:pPr>
            <w:r w:rsidRPr="002E2388">
              <w:rPr>
                <w:color w:val="595959" w:themeColor="text1" w:themeTint="A6"/>
                <w:sz w:val="16"/>
                <w:szCs w:val="18"/>
              </w:rPr>
              <w:t>(a precios de adquisición)</w:t>
            </w:r>
          </w:p>
          <w:p w14:paraId="4EBC9690" w14:textId="33E8F9DD" w:rsidR="00F451A1" w:rsidRDefault="00F451A1" w:rsidP="00F451A1">
            <w:pPr>
              <w:pStyle w:val="Nivel2SM"/>
              <w:keepNext/>
              <w:keepLines/>
              <w:numPr>
                <w:ilvl w:val="0"/>
                <w:numId w:val="0"/>
              </w:numPr>
              <w:ind w:left="113" w:hanging="198"/>
              <w:jc w:val="left"/>
            </w:pPr>
          </w:p>
          <w:p w14:paraId="0BC66E2D" w14:textId="77777777" w:rsidR="00F451A1" w:rsidRDefault="00F451A1" w:rsidP="00F451A1">
            <w:pPr>
              <w:pStyle w:val="Nivel2SM"/>
              <w:keepNext/>
              <w:keepLines/>
              <w:numPr>
                <w:ilvl w:val="0"/>
                <w:numId w:val="0"/>
              </w:numPr>
              <w:ind w:left="113" w:hanging="198"/>
              <w:jc w:val="left"/>
            </w:pPr>
          </w:p>
          <w:p w14:paraId="7325F79A" w14:textId="0D2CC18C" w:rsidR="00AA77FA" w:rsidRPr="002E2388" w:rsidRDefault="00AA77FA" w:rsidP="00AB69F4">
            <w:pPr>
              <w:pStyle w:val="Nivel2SM"/>
              <w:keepNext/>
              <w:keepLines/>
              <w:numPr>
                <w:ilvl w:val="0"/>
                <w:numId w:val="0"/>
              </w:numPr>
              <w:ind w:left="1"/>
              <w:rPr>
                <w:color w:val="595959" w:themeColor="text1" w:themeTint="A6"/>
                <w:sz w:val="16"/>
                <w:szCs w:val="18"/>
              </w:rPr>
            </w:pPr>
            <w:r w:rsidRPr="0087450F">
              <w:rPr>
                <w:b/>
                <w:bCs/>
                <w:spacing w:val="-3"/>
              </w:rPr>
              <w:t>V</w:t>
            </w:r>
            <w:r w:rsidR="00675B95" w:rsidRPr="0087450F">
              <w:rPr>
                <w:b/>
                <w:bCs/>
                <w:spacing w:val="-3"/>
              </w:rPr>
              <w:t xml:space="preserve">alor </w:t>
            </w:r>
            <w:r w:rsidRPr="0087450F">
              <w:rPr>
                <w:b/>
                <w:bCs/>
                <w:spacing w:val="-3"/>
              </w:rPr>
              <w:t>A</w:t>
            </w:r>
            <w:r w:rsidR="00675B95" w:rsidRPr="0087450F">
              <w:rPr>
                <w:b/>
                <w:bCs/>
                <w:spacing w:val="-3"/>
              </w:rPr>
              <w:t xml:space="preserve">ñadido </w:t>
            </w:r>
            <w:r w:rsidRPr="0087450F">
              <w:rPr>
                <w:b/>
                <w:bCs/>
                <w:spacing w:val="-3"/>
              </w:rPr>
              <w:t>B</w:t>
            </w:r>
            <w:r w:rsidR="00675B95" w:rsidRPr="0087450F">
              <w:rPr>
                <w:b/>
                <w:bCs/>
                <w:spacing w:val="-3"/>
              </w:rPr>
              <w:t xml:space="preserve">ruto </w:t>
            </w:r>
            <w:r w:rsidRPr="0087450F">
              <w:rPr>
                <w:b/>
                <w:bCs/>
                <w:spacing w:val="-3"/>
              </w:rPr>
              <w:t>/</w:t>
            </w:r>
            <w:r w:rsidR="0087450F" w:rsidRPr="0087450F">
              <w:rPr>
                <w:b/>
                <w:bCs/>
                <w:spacing w:val="-3"/>
              </w:rPr>
              <w:t xml:space="preserve"> </w:t>
            </w:r>
            <w:r w:rsidRPr="0087450F">
              <w:rPr>
                <w:b/>
                <w:bCs/>
                <w:spacing w:val="-3"/>
              </w:rPr>
              <w:t>P</w:t>
            </w:r>
            <w:r w:rsidR="00675B95" w:rsidRPr="0087450F">
              <w:rPr>
                <w:b/>
                <w:bCs/>
                <w:spacing w:val="-3"/>
              </w:rPr>
              <w:t xml:space="preserve">roducto </w:t>
            </w:r>
            <w:r w:rsidRPr="0087450F">
              <w:rPr>
                <w:b/>
                <w:bCs/>
                <w:spacing w:val="-3"/>
              </w:rPr>
              <w:t>I</w:t>
            </w:r>
            <w:r w:rsidR="00675B95" w:rsidRPr="0087450F">
              <w:rPr>
                <w:b/>
                <w:bCs/>
                <w:spacing w:val="-3"/>
              </w:rPr>
              <w:t xml:space="preserve">nterior </w:t>
            </w:r>
            <w:r w:rsidRPr="0087450F">
              <w:rPr>
                <w:b/>
                <w:bCs/>
                <w:spacing w:val="-3"/>
              </w:rPr>
              <w:t>B</w:t>
            </w:r>
            <w:r w:rsidR="00675B95" w:rsidRPr="0087450F">
              <w:rPr>
                <w:b/>
                <w:bCs/>
                <w:spacing w:val="-3"/>
              </w:rPr>
              <w:t>ruto</w:t>
            </w:r>
            <w:r>
              <w:rPr>
                <w:b/>
                <w:bCs/>
              </w:rPr>
              <w:t xml:space="preserve"> </w:t>
            </w:r>
            <w:r w:rsidRPr="002E2388">
              <w:rPr>
                <w:color w:val="595959" w:themeColor="text1" w:themeTint="A6"/>
                <w:sz w:val="16"/>
                <w:szCs w:val="18"/>
              </w:rPr>
              <w:t>(a precios de adquisición)</w:t>
            </w:r>
          </w:p>
          <w:p w14:paraId="2694404C" w14:textId="1DDBA8C5" w:rsidR="000809BC" w:rsidRPr="00E97E64" w:rsidRDefault="001D0D41" w:rsidP="000809BC">
            <w:pPr>
              <w:pStyle w:val="Nivel2SM"/>
              <w:keepNext/>
              <w:keepLines/>
              <w:numPr>
                <w:ilvl w:val="0"/>
                <w:numId w:val="0"/>
              </w:numPr>
              <w:ind w:left="142" w:hanging="142"/>
            </w:pPr>
            <w:r>
              <w:rPr>
                <w:noProof/>
              </w:rPr>
              <mc:AlternateContent>
                <mc:Choice Requires="wps">
                  <w:drawing>
                    <wp:anchor distT="4294967295" distB="4294967295" distL="114300" distR="114300" simplePos="0" relativeHeight="251681792" behindDoc="0" locked="0" layoutInCell="1" allowOverlap="1" wp14:anchorId="2DD82C92" wp14:editId="762C5592">
                      <wp:simplePos x="0" y="0"/>
                      <wp:positionH relativeFrom="column">
                        <wp:posOffset>-25400</wp:posOffset>
                      </wp:positionH>
                      <wp:positionV relativeFrom="paragraph">
                        <wp:posOffset>156844</wp:posOffset>
                      </wp:positionV>
                      <wp:extent cx="1403985" cy="0"/>
                      <wp:effectExtent l="0" t="0" r="0" b="0"/>
                      <wp:wrapNone/>
                      <wp:docPr id="1697370712" name="Conector recto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039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A50A447" id="Conector recto 13"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pt,12.35pt" to="108.5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" strokecolor="black [3213]" strokeweight=".5pt">
                      <v:stroke joinstyle="miter"/>
                      <o:lock v:ext="edit" shapetype="f"/>
                    </v:line>
                  </w:pict>
                </mc:Fallback>
              </mc:AlternateContent>
            </w:r>
            <w:r w:rsidR="000809BC" w:rsidRPr="00E97E64">
              <w:rPr>
                <w:rFonts w:ascii="Times New Roman" w:hAnsi="Times New Roman" w:cs="Times New Roman"/>
                <w:sz w:val="16"/>
                <w:szCs w:val="16"/>
              </w:rPr>
              <w:t>−</w:t>
            </w:r>
            <w:r w:rsidR="000809BC" w:rsidRPr="00E97E64">
              <w:rPr>
                <w:sz w:val="16"/>
                <w:szCs w:val="16"/>
              </w:rPr>
              <w:t xml:space="preserve"> Consumo de capital fijo</w:t>
            </w:r>
          </w:p>
          <w:p w14:paraId="78A636D9" w14:textId="77A3CBC2" w:rsidR="00AA77FA" w:rsidRPr="008573FF" w:rsidRDefault="000809BC" w:rsidP="009B15E8">
            <w:pPr>
              <w:pStyle w:val="Nivel2SM"/>
              <w:keepLines/>
              <w:numPr>
                <w:ilvl w:val="0"/>
                <w:numId w:val="0"/>
              </w:numPr>
              <w:rPr>
                <w:i/>
                <w:iCs/>
              </w:rPr>
            </w:pPr>
            <w:r w:rsidRPr="008573FF">
              <w:rPr>
                <w:i/>
                <w:iCs/>
              </w:rPr>
              <w:t>VAN/PIN</w:t>
            </w:r>
          </w:p>
        </w:tc>
        <w:tc>
          <w:tcPr>
            <w:tcW w:w="4649" w:type="dxa"/>
          </w:tcPr>
          <w:p w14:paraId="4BDFD038" w14:textId="389DD3B1" w:rsidR="00AA77FA" w:rsidRPr="002E2388" w:rsidRDefault="00AA77FA" w:rsidP="00F451A1">
            <w:pPr>
              <w:pStyle w:val="Nivel2SM"/>
              <w:keepNext/>
              <w:keepLines/>
              <w:spacing w:after="60"/>
              <w:ind w:left="113"/>
              <w:contextualSpacing w:val="0"/>
              <w:rPr>
                <w:sz w:val="20"/>
                <w:szCs w:val="20"/>
              </w:rPr>
            </w:pPr>
            <w:r>
              <w:t xml:space="preserve">Producción </w:t>
            </w:r>
            <w:r w:rsidRPr="002E2388">
              <w:rPr>
                <w:color w:val="595959" w:themeColor="text1" w:themeTint="A6"/>
                <w:sz w:val="16"/>
                <w:szCs w:val="18"/>
              </w:rPr>
              <w:t>(a precios básicos)</w:t>
            </w:r>
          </w:p>
          <w:p w14:paraId="16F7B699" w14:textId="2FE9EE6E" w:rsidR="00AA77FA" w:rsidRDefault="00AA77FA" w:rsidP="009B15E8">
            <w:pPr>
              <w:pStyle w:val="Nivel2SM"/>
              <w:keepLines/>
              <w:spacing w:after="60"/>
              <w:ind w:left="113"/>
              <w:contextualSpacing w:val="0"/>
              <w:jc w:val="left"/>
            </w:pPr>
            <w:r>
              <w:t>Impuestos menos subvenciones sobre los productos</w:t>
            </w:r>
          </w:p>
        </w:tc>
      </w:tr>
    </w:tbl>
    <w:p w14:paraId="38D952BB" w14:textId="03B6ACB5" w:rsidR="00CD6B89" w:rsidRDefault="00CD6B89" w:rsidP="00CD6B89">
      <w:pPr>
        <w:pStyle w:val="Ttulo6"/>
        <w:spacing w:before="240"/>
      </w:pPr>
      <w:bookmarkStart w:id="50" w:name="_Toc174116196"/>
      <w:r>
        <w:t>Saldo y macromagnitudes relevantes</w:t>
      </w:r>
      <w:bookmarkEnd w:id="50"/>
    </w:p>
    <w:p w14:paraId="5C8B1A57" w14:textId="79FC55D3" w:rsidR="000922F5" w:rsidRDefault="000922F5" w:rsidP="00FA6AEF">
      <w:pPr>
        <w:pStyle w:val="Nivel1SM"/>
        <w:keepNext/>
        <w:spacing w:before="0" w:after="0"/>
      </w:pPr>
      <w:r>
        <w:t xml:space="preserve">De esta forma, como </w:t>
      </w:r>
      <w:r>
        <w:rPr>
          <w:i/>
          <w:iCs/>
        </w:rPr>
        <w:t>saldo contable</w:t>
      </w:r>
      <w:r>
        <w:t xml:space="preserve"> obtenemos el </w:t>
      </w:r>
      <w:r>
        <w:rPr>
          <w:b/>
          <w:bCs/>
          <w:i/>
          <w:iCs/>
        </w:rPr>
        <w:t>V</w:t>
      </w:r>
      <w:r w:rsidRPr="000922F5">
        <w:rPr>
          <w:b/>
          <w:bCs/>
          <w:i/>
          <w:iCs/>
        </w:rPr>
        <w:t xml:space="preserve">alor </w:t>
      </w:r>
      <w:r>
        <w:rPr>
          <w:b/>
          <w:bCs/>
          <w:i/>
          <w:iCs/>
        </w:rPr>
        <w:t>A</w:t>
      </w:r>
      <w:r w:rsidRPr="000922F5">
        <w:rPr>
          <w:b/>
          <w:bCs/>
          <w:i/>
          <w:iCs/>
        </w:rPr>
        <w:t xml:space="preserve">ñadido </w:t>
      </w:r>
      <w:r>
        <w:rPr>
          <w:b/>
          <w:bCs/>
          <w:i/>
          <w:iCs/>
        </w:rPr>
        <w:t>B</w:t>
      </w:r>
      <w:r w:rsidRPr="000922F5">
        <w:rPr>
          <w:b/>
          <w:bCs/>
          <w:i/>
          <w:iCs/>
        </w:rPr>
        <w:t>ruto</w:t>
      </w:r>
      <w:r w:rsidRPr="000922F5">
        <w:rPr>
          <w:i/>
          <w:iCs/>
        </w:rPr>
        <w:t xml:space="preserve"> (</w:t>
      </w:r>
      <w:r>
        <w:rPr>
          <w:i/>
          <w:iCs/>
        </w:rPr>
        <w:t>VAB</w:t>
      </w:r>
      <w:r w:rsidRPr="000922F5">
        <w:rPr>
          <w:i/>
          <w:iCs/>
        </w:rPr>
        <w:t>)</w:t>
      </w:r>
      <w:r>
        <w:t>.</w:t>
      </w:r>
    </w:p>
    <w:p w14:paraId="5ED8F71A" w14:textId="581335BF" w:rsidR="00164226" w:rsidRDefault="000922F5" w:rsidP="000922F5">
      <w:pPr>
        <w:pStyle w:val="Nivel2SM"/>
      </w:pPr>
      <w:r>
        <w:t>Es decir, e</w:t>
      </w:r>
      <w:r w:rsidR="00263A1B">
        <w:t xml:space="preserve">l </w:t>
      </w:r>
      <w:r w:rsidR="00263A1B" w:rsidRPr="000922F5">
        <w:rPr>
          <w:i/>
          <w:iCs/>
        </w:rPr>
        <w:t>Valor Añadido Bruto</w:t>
      </w:r>
      <w:r w:rsidR="00263A1B">
        <w:t xml:space="preserve"> es la diferencia entre la producción y los consumos intermedios.</w:t>
      </w:r>
    </w:p>
    <w:p w14:paraId="0F3F67F4" w14:textId="77777777" w:rsidR="008B140D" w:rsidRDefault="008B140D" w:rsidP="000922F5">
      <w:pPr>
        <w:pStyle w:val="Nivel2SM"/>
      </w:pPr>
      <w:r>
        <w:t>El VAB mide el valor creado por la producción. Representa la contribución de la mano de obra y el capital al proceso de producción.</w:t>
      </w:r>
    </w:p>
    <w:p w14:paraId="7401D858" w14:textId="6B71FE8D" w:rsidR="008B140D" w:rsidRPr="00263A1B" w:rsidRDefault="008B140D" w:rsidP="000922F5">
      <w:pPr>
        <w:pStyle w:val="Nivel2SM"/>
      </w:pPr>
      <w:r>
        <w:t>Sin embargo, no nos dice lo que se lleva en remuneraciones la mano de obra y el capital porque tienen que pagar impuestos y recibir subvenciones.</w:t>
      </w:r>
    </w:p>
    <w:p w14:paraId="134A266F" w14:textId="3CE7D1A7" w:rsidR="000922F5" w:rsidRDefault="00C72D0A" w:rsidP="000922F5">
      <w:pPr>
        <w:pStyle w:val="Nivel1SM"/>
        <w:keepNext/>
        <w:spacing w:after="0"/>
      </w:pPr>
      <w:r>
        <w:t xml:space="preserve">A nivel agregado, </w:t>
      </w:r>
      <w:r w:rsidRPr="00C72D0A">
        <w:t>la suma de los</w:t>
      </w:r>
      <w:r w:rsidRPr="00C72D0A">
        <w:rPr>
          <w:i/>
          <w:iCs/>
        </w:rPr>
        <w:t xml:space="preserve"> valores añadidos brutos</w:t>
      </w:r>
      <w:r>
        <w:rPr>
          <w:i/>
          <w:iCs/>
        </w:rPr>
        <w:t xml:space="preserve"> de todos los sectores institucionales</w:t>
      </w:r>
      <w:r w:rsidR="008B140D">
        <w:rPr>
          <w:i/>
          <w:iCs/>
        </w:rPr>
        <w:t xml:space="preserve"> más los impuestos menos las subvenciones sobre los productos</w:t>
      </w:r>
      <w:r w:rsidRPr="00C72D0A">
        <w:rPr>
          <w:i/>
          <w:iCs/>
        </w:rPr>
        <w:t xml:space="preserve"> </w:t>
      </w:r>
      <w:r w:rsidRPr="00C72D0A">
        <w:t>da lugar al</w:t>
      </w:r>
      <w:r w:rsidRPr="00C72D0A">
        <w:rPr>
          <w:i/>
          <w:iCs/>
        </w:rPr>
        <w:t xml:space="preserve"> </w:t>
      </w:r>
      <w:r w:rsidRPr="000922F5">
        <w:rPr>
          <w:b/>
          <w:bCs/>
          <w:i/>
          <w:iCs/>
        </w:rPr>
        <w:t>Producto Interior Bruto</w:t>
      </w:r>
      <w:r w:rsidRPr="00C72D0A">
        <w:rPr>
          <w:i/>
          <w:iCs/>
        </w:rPr>
        <w:t xml:space="preserve"> (PIB)</w:t>
      </w:r>
      <w:r w:rsidR="006E0E52" w:rsidRPr="0022499B">
        <w:rPr>
          <w:rStyle w:val="Refdenotaalpie"/>
        </w:rPr>
        <w:footnoteReference w:id="19"/>
      </w:r>
      <w:r w:rsidRPr="0022499B">
        <w:t>.</w:t>
      </w:r>
    </w:p>
    <w:p w14:paraId="36CC9FBB" w14:textId="77777777" w:rsidR="000922F5" w:rsidRDefault="00FF7E4C" w:rsidP="000922F5">
      <w:pPr>
        <w:pStyle w:val="Nivel2SM"/>
      </w:pPr>
      <w:r>
        <w:t xml:space="preserve">El </w:t>
      </w:r>
      <w:r w:rsidR="00987AC8" w:rsidRPr="000922F5">
        <w:rPr>
          <w:i/>
          <w:iCs/>
        </w:rPr>
        <w:t>P</w:t>
      </w:r>
      <w:r w:rsidRPr="000922F5">
        <w:rPr>
          <w:i/>
          <w:iCs/>
        </w:rPr>
        <w:t xml:space="preserve">roducto </w:t>
      </w:r>
      <w:r w:rsidR="00987AC8" w:rsidRPr="000922F5">
        <w:rPr>
          <w:i/>
          <w:iCs/>
        </w:rPr>
        <w:t>I</w:t>
      </w:r>
      <w:r w:rsidRPr="000922F5">
        <w:rPr>
          <w:i/>
          <w:iCs/>
        </w:rPr>
        <w:t xml:space="preserve">nterior </w:t>
      </w:r>
      <w:r w:rsidR="00987AC8" w:rsidRPr="000922F5">
        <w:rPr>
          <w:i/>
          <w:iCs/>
        </w:rPr>
        <w:t>B</w:t>
      </w:r>
      <w:r w:rsidRPr="000922F5">
        <w:rPr>
          <w:i/>
          <w:iCs/>
        </w:rPr>
        <w:t>ruto</w:t>
      </w:r>
      <w:r w:rsidR="00D63261">
        <w:rPr>
          <w:rStyle w:val="Refdenotaalpie"/>
        </w:rPr>
        <w:footnoteReference w:id="20"/>
      </w:r>
      <w:r>
        <w:t xml:space="preserve"> </w:t>
      </w:r>
      <w:r w:rsidR="00D63261">
        <w:t>es el indicador de la contabilidad nacional más frecuentemente utilizado. Se encuentra en el corazón de todo el sistema de contabilidad nacional.</w:t>
      </w:r>
    </w:p>
    <w:p w14:paraId="5320C5AD" w14:textId="584A55DB" w:rsidR="00D63261" w:rsidRDefault="00D63261" w:rsidP="000922F5">
      <w:pPr>
        <w:pStyle w:val="Nivel2SM"/>
      </w:pPr>
      <w:r>
        <w:t>El PIB combina en una sola cifra y sin duplicaciones, toda la producción (o el producto) obtenida por todas las empresas, las instituciones sin ánimo de lucro, las entidades gubernamentales y los hogares de un país determinado, en un periodo definido, independientemente del tipo de bienes y servicios producidos, siempre y cuando la producción tenga lugar dentro del territorio económico del país.</w:t>
      </w:r>
    </w:p>
    <w:p w14:paraId="51C9BCA3" w14:textId="7A1E4A95" w:rsidR="00FF7E4C" w:rsidRDefault="00D63261" w:rsidP="000922F5">
      <w:pPr>
        <w:pStyle w:val="Nivel1SM"/>
        <w:keepNext/>
        <w:spacing w:after="0"/>
      </w:pPr>
      <w:r>
        <w:t>Por lo tanto, el PIB a</w:t>
      </w:r>
      <w:r w:rsidR="00FF7E4C">
        <w:t xml:space="preserve"> precios de mercado </w:t>
      </w:r>
      <w:r w:rsidR="00987AC8">
        <w:t>es uno de los agregados clave del SEC. E</w:t>
      </w:r>
      <w:r w:rsidR="00FF7E4C">
        <w:t>s el resultado final de la actividad productiva de las unidades de producción residentes</w:t>
      </w:r>
      <w:r w:rsidR="00987AC8">
        <w:t xml:space="preserve"> en un territorio económico</w:t>
      </w:r>
      <w:r w:rsidR="00FF7E4C">
        <w:t xml:space="preserve">. Puede definirse de </w:t>
      </w:r>
      <w:r w:rsidR="00FA6AEF">
        <w:t>3 </w:t>
      </w:r>
      <w:r w:rsidR="00FF7E4C">
        <w:t>formas:</w:t>
      </w:r>
    </w:p>
    <w:p w14:paraId="1DFC2BF3" w14:textId="5BCE20D4" w:rsidR="00024225" w:rsidRDefault="00CD4D38">
      <w:pPr>
        <w:pStyle w:val="Letra"/>
        <w:keepNext/>
        <w:numPr>
          <w:ilvl w:val="0"/>
          <w:numId w:val="10"/>
        </w:numPr>
        <w:spacing w:after="0"/>
        <w:ind w:left="567" w:hanging="198"/>
      </w:pPr>
      <w:r>
        <w:t>E</w:t>
      </w:r>
      <w:r w:rsidR="00024225">
        <w:t xml:space="preserve">l </w:t>
      </w:r>
      <w:r w:rsidR="00024225" w:rsidRPr="00024225">
        <w:rPr>
          <w:i/>
          <w:iCs/>
          <w:u w:val="single"/>
        </w:rPr>
        <w:t>enfoque del gasto</w:t>
      </w:r>
      <w:r w:rsidR="00024225">
        <w:t xml:space="preserve">: </w:t>
      </w:r>
      <w:r w:rsidR="000C30A1">
        <w:t>E</w:t>
      </w:r>
      <w:r w:rsidR="00024225">
        <w:t>l PIB es igual a la suma de los empleos finales de bienes y servicios de las unidades institucionales residentes (consumo final y formación bruta de capital), más las exportaciones y menos las importaciones de bienes y servicios;</w:t>
      </w:r>
    </w:p>
    <w:p w14:paraId="6E2EC2F8" w14:textId="77777777" w:rsidR="00024225" w:rsidRDefault="00000000" w:rsidP="000C30A1">
      <w:pPr>
        <w:pStyle w:val="Letra"/>
        <w:numPr>
          <w:ilvl w:val="0"/>
          <w:numId w:val="0"/>
        </w:numPr>
        <w:spacing w:after="0"/>
        <w:ind w:left="567"/>
      </w:pPr>
      <m:oMathPara>
        <m:oMath>
          <m:sSub>
            <m:sSubPr>
              <m:ctrlPr>
                <w:rPr>
                  <w:rFonts w:ascii="Cambria Math" w:hAnsi="Cambria Math"/>
                  <w:i/>
                </w:rPr>
              </m:ctrlPr>
            </m:sSubPr>
            <m:e>
              <m:r>
                <m:rPr>
                  <m:nor/>
                </m:rPr>
                <w:rPr>
                  <w:i/>
                  <w:lang w:val="en-US"/>
                </w:rPr>
                <m:t>PIB</m:t>
              </m:r>
            </m:e>
            <m:sub>
              <m:r>
                <m:rPr>
                  <m:nor/>
                </m:rPr>
                <w:rPr>
                  <w:i/>
                  <w:lang w:val="en-US"/>
                </w:rPr>
                <m:t>Gasto</m:t>
              </m:r>
            </m:sub>
          </m:sSub>
          <m:r>
            <w:rPr>
              <w:rFonts w:ascii="Cambria Math" w:hAnsi="Cambria Math"/>
              <w:lang w:val="en-US"/>
            </w:rPr>
            <m:t>=</m:t>
          </m:r>
          <m:r>
            <m:rPr>
              <m:nor/>
            </m:rPr>
            <w:rPr>
              <w:i/>
            </w:rPr>
            <m:t>C</m:t>
          </m:r>
          <m:r>
            <w:rPr>
              <w:rFonts w:ascii="Cambria Math" w:hAnsi="Cambria Math"/>
            </w:rPr>
            <m:t>+</m:t>
          </m:r>
          <m:r>
            <m:rPr>
              <m:nor/>
            </m:rPr>
            <w:rPr>
              <w:i/>
            </w:rPr>
            <m:t>I</m:t>
          </m:r>
          <m:r>
            <w:rPr>
              <w:rFonts w:ascii="Cambria Math" w:hAnsi="Cambria Math"/>
            </w:rPr>
            <m:t>+</m:t>
          </m:r>
          <m:r>
            <m:rPr>
              <m:nor/>
            </m:rPr>
            <w:rPr>
              <w:i/>
            </w:rPr>
            <m:t>G</m:t>
          </m:r>
          <m:r>
            <w:rPr>
              <w:rFonts w:ascii="Cambria Math" w:hAnsi="Cambria Math"/>
            </w:rPr>
            <m:t>+</m:t>
          </m:r>
          <m:d>
            <m:dPr>
              <m:ctrlPr>
                <w:rPr>
                  <w:rFonts w:ascii="Cambria Math" w:hAnsi="Cambria Math"/>
                  <w:i/>
                </w:rPr>
              </m:ctrlPr>
            </m:dPr>
            <m:e>
              <m:r>
                <m:rPr>
                  <m:nor/>
                </m:rPr>
                <w:rPr>
                  <w:i/>
                </w:rPr>
                <m:t>X</m:t>
              </m:r>
              <m:r>
                <w:rPr>
                  <w:rFonts w:ascii="Cambria Math" w:hAnsi="Cambria Math"/>
                </w:rPr>
                <m:t>-</m:t>
              </m:r>
              <m:r>
                <m:rPr>
                  <m:nor/>
                </m:rPr>
                <w:rPr>
                  <w:i/>
                </w:rPr>
                <m:t>M</m:t>
              </m:r>
            </m:e>
          </m:d>
        </m:oMath>
      </m:oMathPara>
    </w:p>
    <w:p w14:paraId="1C8C1D1F" w14:textId="3F88F5F6" w:rsidR="00FF7E4C" w:rsidRDefault="00CD4D38">
      <w:pPr>
        <w:pStyle w:val="Letra"/>
        <w:keepNext/>
        <w:numPr>
          <w:ilvl w:val="0"/>
          <w:numId w:val="10"/>
        </w:numPr>
        <w:spacing w:after="0"/>
        <w:ind w:left="567" w:hanging="198"/>
      </w:pPr>
      <w:r>
        <w:t>E</w:t>
      </w:r>
      <w:r w:rsidR="00FF7E4C">
        <w:t xml:space="preserve">l </w:t>
      </w:r>
      <w:r w:rsidR="00FF7E4C" w:rsidRPr="00FF7E4C">
        <w:rPr>
          <w:i/>
          <w:iCs/>
          <w:u w:val="single"/>
        </w:rPr>
        <w:t>enfoque de la producción</w:t>
      </w:r>
      <w:r w:rsidR="00FF7E4C">
        <w:t xml:space="preserve">: </w:t>
      </w:r>
      <w:r w:rsidR="000C30A1">
        <w:t>E</w:t>
      </w:r>
      <w:r w:rsidR="00FF7E4C">
        <w:t>l PIB es igual a la suma de los valores añadidos brutos de los diversos sectores institucionales o de las diferentes ramas de actividad, más los impuestos sobre los productos y menos las subvenciones a los productos (que no se asignan a los sectores y a las ramas de actividad). También es igual al saldo de la cuenta de producción del total de la economía</w:t>
      </w:r>
      <w:r w:rsidR="00EC0A62">
        <w:rPr>
          <w:rStyle w:val="Refdenotaalpie"/>
        </w:rPr>
        <w:footnoteReference w:id="21"/>
      </w:r>
      <w:r w:rsidR="00FF7E4C">
        <w:t>;</w:t>
      </w:r>
    </w:p>
    <w:p w14:paraId="4D956DA4" w14:textId="415669A3" w:rsidR="00430462" w:rsidRDefault="00000000" w:rsidP="000C30A1">
      <w:pPr>
        <w:pStyle w:val="Letra"/>
        <w:numPr>
          <w:ilvl w:val="0"/>
          <w:numId w:val="0"/>
        </w:numPr>
        <w:spacing w:after="0"/>
        <w:ind w:left="567"/>
      </w:pPr>
      <m:oMathPara>
        <m:oMath>
          <m:sSub>
            <m:sSubPr>
              <m:ctrlPr>
                <w:rPr>
                  <w:rFonts w:ascii="Cambria Math" w:hAnsi="Cambria Math"/>
                  <w:i/>
                </w:rPr>
              </m:ctrlPr>
            </m:sSubPr>
            <m:e>
              <m:r>
                <m:rPr>
                  <m:nor/>
                </m:rPr>
                <w:rPr>
                  <w:i/>
                </w:rPr>
                <m:t>PIB</m:t>
              </m:r>
            </m:e>
            <m:sub>
              <m:r>
                <m:rPr>
                  <m:nor/>
                </m:rPr>
                <w:rPr>
                  <w:i/>
                </w:rPr>
                <m:t>Prod.</m:t>
              </m:r>
            </m:sub>
          </m:sSub>
          <m:r>
            <w:rPr>
              <w:rFonts w:ascii="Cambria Math" w:hAnsi="Cambria Math"/>
            </w:rPr>
            <m:t>=</m:t>
          </m:r>
          <m:nary>
            <m:naryPr>
              <m:chr m:val="∑"/>
              <m:limLoc m:val="undOvr"/>
              <m:subHide m:val="1"/>
              <m:supHide m:val="1"/>
              <m:ctrlPr>
                <w:rPr>
                  <w:rFonts w:ascii="Cambria Math" w:hAnsi="Cambria Math"/>
                  <w:i/>
                </w:rPr>
              </m:ctrlPr>
            </m:naryPr>
            <m:sub/>
            <m:sup/>
            <m:e>
              <m:r>
                <m:rPr>
                  <m:nor/>
                </m:rPr>
                <w:rPr>
                  <w:i/>
                </w:rPr>
                <m:t>VAB</m:t>
              </m:r>
            </m:e>
          </m:nary>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Impuestos</m:t>
                  </m:r>
                </m:e>
                <m:sub>
                  <m:r>
                    <m:rPr>
                      <m:nor/>
                    </m:rPr>
                    <w:rPr>
                      <w:i/>
                    </w:rPr>
                    <m:t>Productos</m:t>
                  </m:r>
                </m:sub>
              </m:sSub>
              <m:r>
                <w:rPr>
                  <w:rFonts w:ascii="Cambria Math" w:hAnsi="Cambria Math"/>
                </w:rPr>
                <m:t>-</m:t>
              </m:r>
              <m:sSub>
                <m:sSubPr>
                  <m:ctrlPr>
                    <w:rPr>
                      <w:rFonts w:ascii="Cambria Math" w:hAnsi="Cambria Math"/>
                      <w:i/>
                    </w:rPr>
                  </m:ctrlPr>
                </m:sSubPr>
                <m:e>
                  <m:r>
                    <m:rPr>
                      <m:nor/>
                    </m:rPr>
                    <w:rPr>
                      <w:i/>
                    </w:rPr>
                    <m:t>Subvenciones</m:t>
                  </m:r>
                </m:e>
                <m:sub>
                  <m:r>
                    <m:rPr>
                      <m:nor/>
                    </m:rPr>
                    <w:rPr>
                      <w:i/>
                    </w:rPr>
                    <m:t>Productos</m:t>
                  </m:r>
                </m:sub>
              </m:sSub>
            </m:e>
          </m:d>
        </m:oMath>
      </m:oMathPara>
    </w:p>
    <w:p w14:paraId="4B9C9EA4" w14:textId="3F958378" w:rsidR="00FF7E4C" w:rsidRDefault="00CD4D38" w:rsidP="00C16444">
      <w:pPr>
        <w:pStyle w:val="Letra"/>
        <w:keepNext/>
        <w:spacing w:after="0"/>
        <w:ind w:left="567" w:hanging="198"/>
      </w:pPr>
      <w:r>
        <w:lastRenderedPageBreak/>
        <w:t>E</w:t>
      </w:r>
      <w:r w:rsidR="00FF7E4C">
        <w:t xml:space="preserve">l </w:t>
      </w:r>
      <w:r w:rsidR="00FF7E4C" w:rsidRPr="00FF7E4C">
        <w:rPr>
          <w:i/>
          <w:iCs/>
          <w:u w:val="single"/>
        </w:rPr>
        <w:t>enfoque de la renta</w:t>
      </w:r>
      <w:r w:rsidR="00FF7E4C">
        <w:t xml:space="preserve">: </w:t>
      </w:r>
      <w:r w:rsidR="000C30A1">
        <w:t>E</w:t>
      </w:r>
      <w:r w:rsidR="00FF7E4C">
        <w:t>l PIB es igual a la suma de los empleos de la cuenta de explotación del total de la economía (remuneración de los asalariados, impuestos menos subvenciones a la producción y las importaciones, excedente de explotación bruto y renta mixta bruta del total de la economía).</w:t>
      </w:r>
    </w:p>
    <w:bookmarkStart w:id="51" w:name="_Hlk102030150"/>
    <w:p w14:paraId="2F98B8F7" w14:textId="57DC3DEB" w:rsidR="00430462" w:rsidRPr="00430462" w:rsidRDefault="00000000" w:rsidP="000C30A1">
      <w:pPr>
        <w:pStyle w:val="Letra"/>
        <w:numPr>
          <w:ilvl w:val="0"/>
          <w:numId w:val="0"/>
        </w:numPr>
        <w:spacing w:after="0"/>
        <w:ind w:left="788"/>
        <w:rPr>
          <w:i/>
          <w:iCs/>
        </w:rPr>
      </w:pPr>
      <m:oMathPara>
        <m:oMath>
          <m:sSub>
            <m:sSubPr>
              <m:ctrlPr>
                <w:rPr>
                  <w:rFonts w:ascii="Cambria Math" w:hAnsi="Cambria Math"/>
                  <w:i/>
                  <w:iCs/>
                </w:rPr>
              </m:ctrlPr>
            </m:sSubPr>
            <m:e>
              <m:r>
                <m:rPr>
                  <m:nor/>
                </m:rPr>
                <w:rPr>
                  <w:i/>
                  <w:iCs/>
                </w:rPr>
                <m:t>PIB</m:t>
              </m:r>
            </m:e>
            <m:sub>
              <m:r>
                <m:rPr>
                  <m:nor/>
                </m:rPr>
                <w:rPr>
                  <w:i/>
                  <w:iCs/>
                </w:rPr>
                <m:t>Renta</m:t>
              </m:r>
            </m:sub>
          </m:sSub>
          <m:r>
            <w:rPr>
              <w:rFonts w:ascii="Cambria Math" w:hAnsi="Cambria Math"/>
            </w:rPr>
            <m:t>=</m:t>
          </m:r>
          <m:r>
            <m:rPr>
              <m:nor/>
            </m:rPr>
            <w:rPr>
              <w:i/>
              <w:iCs/>
            </w:rPr>
            <m:t>Salarios</m:t>
          </m:r>
          <m:r>
            <m:rPr>
              <m:nor/>
            </m:rPr>
            <w:rPr>
              <w:rFonts w:ascii="Cambria Math"/>
              <w:i/>
              <w:iCs/>
            </w:rPr>
            <m:t xml:space="preserve"> </m:t>
          </m:r>
          <m:r>
            <m:rPr>
              <m:nor/>
            </m:rPr>
            <w:rPr>
              <w:i/>
              <w:iCs/>
            </w:rPr>
            <m:t>(W)</m:t>
          </m:r>
          <m:r>
            <w:rPr>
              <w:rFonts w:ascii="Cambria Math" w:hAnsi="Cambria Math"/>
            </w:rPr>
            <m:t>+</m:t>
          </m:r>
          <m:r>
            <m:rPr>
              <m:nor/>
            </m:rPr>
            <w:rPr>
              <w:i/>
              <w:iCs/>
            </w:rPr>
            <m:t>Rentas</m:t>
          </m:r>
          <m:r>
            <m:rPr>
              <m:nor/>
            </m:rPr>
            <w:rPr>
              <w:rFonts w:ascii="Cambria Math"/>
              <w:i/>
              <w:iCs/>
            </w:rPr>
            <m:t xml:space="preserve"> </m:t>
          </m:r>
          <m:r>
            <m:rPr>
              <m:nor/>
            </m:rPr>
            <w:rPr>
              <w:i/>
              <w:iCs/>
            </w:rPr>
            <m:t>(O.I.P.)</m:t>
          </m:r>
          <m:r>
            <w:rPr>
              <w:rFonts w:ascii="Cambria Math" w:hAnsi="Cambria Math"/>
            </w:rPr>
            <m:t>+</m:t>
          </m:r>
          <m:r>
            <m:rPr>
              <m:nor/>
            </m:rPr>
            <w:rPr>
              <w:i/>
              <w:iCs/>
            </w:rPr>
            <m:t>Beneficios</m:t>
          </m:r>
          <m:r>
            <m:rPr>
              <m:nor/>
            </m:rPr>
            <w:rPr>
              <w:rFonts w:ascii="Cambria Math"/>
              <w:i/>
              <w:iCs/>
            </w:rPr>
            <m:t xml:space="preserve"> </m:t>
          </m:r>
          <m:r>
            <m:rPr>
              <m:nor/>
            </m:rPr>
            <w:rPr>
              <w:i/>
              <w:iCs/>
            </w:rPr>
            <m:t>(EBE/RMB)</m:t>
          </m:r>
          <w:bookmarkEnd w:id="51"/>
          <m:r>
            <m:rPr>
              <m:nor/>
            </m:rPr>
            <w:rPr>
              <w:rFonts w:ascii="Cambria Math"/>
              <w:i/>
              <w:iCs/>
            </w:rPr>
            <w:br/>
          </m:r>
        </m:oMath>
        <m:oMath>
          <m:r>
            <m:rPr>
              <m:nor/>
            </m:rPr>
            <w:rPr>
              <w:i/>
              <w:iCs/>
            </w:rPr>
            <m:t>RNB</m:t>
          </m:r>
          <m:r>
            <w:rPr>
              <w:rFonts w:ascii="Cambria Math" w:hAnsi="Cambria Math"/>
            </w:rPr>
            <m:t>=</m:t>
          </m:r>
          <m:sSub>
            <m:sSubPr>
              <m:ctrlPr>
                <w:rPr>
                  <w:rFonts w:ascii="Cambria Math" w:hAnsi="Cambria Math"/>
                  <w:i/>
                  <w:iCs/>
                </w:rPr>
              </m:ctrlPr>
            </m:sSubPr>
            <m:e>
              <m:r>
                <m:rPr>
                  <m:nor/>
                </m:rPr>
                <w:rPr>
                  <w:i/>
                  <w:iCs/>
                </w:rPr>
                <m:t>PIB</m:t>
              </m:r>
            </m:e>
            <m:sub>
              <m:r>
                <m:rPr>
                  <m:nor/>
                </m:rPr>
                <w:rPr>
                  <w:i/>
                  <w:iCs/>
                </w:rPr>
                <m:t>Renta</m:t>
              </m:r>
            </m:sub>
          </m:sSub>
          <m:r>
            <w:rPr>
              <w:rFonts w:ascii="Cambria Math" w:hAnsi="Cambria Math"/>
            </w:rPr>
            <m:t>+</m:t>
          </m:r>
          <m:r>
            <m:rPr>
              <m:nor/>
            </m:rPr>
            <w:rPr>
              <w:i/>
              <w:iCs/>
            </w:rPr>
            <m:t>RP</m:t>
          </m:r>
          <m:r>
            <m:rPr>
              <m:nor/>
            </m:rPr>
            <w:rPr>
              <w:rFonts w:ascii="Cambria Math"/>
              <w:i/>
              <w:iCs/>
            </w:rPr>
            <w:br/>
          </m:r>
        </m:oMath>
        <m:oMath>
          <m:r>
            <m:rPr>
              <m:nor/>
            </m:rPr>
            <w:rPr>
              <w:i/>
              <w:iCs/>
            </w:rPr>
            <m:t>RNDB</m:t>
          </m:r>
          <m:r>
            <w:rPr>
              <w:rFonts w:ascii="Cambria Math" w:hAnsi="Cambria Math"/>
            </w:rPr>
            <m:t>=</m:t>
          </m:r>
          <m:r>
            <m:rPr>
              <m:nor/>
            </m:rPr>
            <w:rPr>
              <w:i/>
              <w:iCs/>
            </w:rPr>
            <m:t>RNB</m:t>
          </m:r>
          <m:r>
            <w:rPr>
              <w:rFonts w:ascii="Cambria Math" w:hAnsi="Cambria Math"/>
            </w:rPr>
            <m:t>+</m:t>
          </m:r>
          <m:r>
            <m:rPr>
              <m:nor/>
            </m:rPr>
            <w:rPr>
              <w:i/>
              <w:iCs/>
            </w:rPr>
            <m:t>RS</m:t>
          </m:r>
        </m:oMath>
      </m:oMathPara>
    </w:p>
    <w:p w14:paraId="2ED00917" w14:textId="38452928" w:rsidR="00A85DAE" w:rsidRDefault="00A85DAE" w:rsidP="002C54C0">
      <w:pPr>
        <w:pStyle w:val="Nivel1SM"/>
        <w:keepNext/>
        <w:spacing w:after="0"/>
      </w:pPr>
      <w:r>
        <w:t xml:space="preserve">Estos </w:t>
      </w:r>
      <w:r w:rsidR="000C30A1">
        <w:t>3 </w:t>
      </w:r>
      <w:r>
        <w:t>enfoques para medir el PIB también reflejan las distintas formas de analizar el PIB en términos de componentes.</w:t>
      </w:r>
    </w:p>
    <w:p w14:paraId="025F8CA3" w14:textId="02CDB27D" w:rsidR="002C54C0" w:rsidRDefault="000E6C58" w:rsidP="002C54C0">
      <w:pPr>
        <w:pStyle w:val="Nivel2SM"/>
      </w:pPr>
      <w:r>
        <w:t xml:space="preserve">Para obtener la mejor estimación del PIB, constituye una práctica adecuada introducir los elementos de esos </w:t>
      </w:r>
      <w:r w:rsidR="00FA6AEF">
        <w:t>3 </w:t>
      </w:r>
      <w:r>
        <w:t>enfoques en un marco de origen y destino, lo cual permite concilia</w:t>
      </w:r>
      <w:r w:rsidR="00263A1B">
        <w:t>r</w:t>
      </w:r>
      <w:r>
        <w:t xml:space="preserve"> las estimaciones del valor añadido y de la renta por rama de actividad, así como equilibrar la oferta y la demanda por productos</w:t>
      </w:r>
      <w:r w:rsidR="00ED5569">
        <w:t xml:space="preserve"> </w:t>
      </w:r>
      <w:r w:rsidR="00ED5569" w:rsidRPr="00ED5569">
        <w:rPr>
          <w:color w:val="767171" w:themeColor="background2" w:themeShade="80"/>
          <w:sz w:val="19"/>
          <w:szCs w:val="19"/>
        </w:rPr>
        <w:t>[</w:t>
      </w:r>
      <w:r w:rsidR="00ED5569">
        <w:rPr>
          <w:color w:val="767171" w:themeColor="background2" w:themeShade="80"/>
          <w:sz w:val="19"/>
          <w:szCs w:val="19"/>
        </w:rPr>
        <w:t>ver tema 3.A.</w:t>
      </w:r>
      <w:r w:rsidR="00E14C08">
        <w:rPr>
          <w:color w:val="767171" w:themeColor="background2" w:themeShade="80"/>
          <w:sz w:val="19"/>
          <w:szCs w:val="19"/>
        </w:rPr>
        <w:t>31</w:t>
      </w:r>
      <w:r w:rsidR="00ED5569" w:rsidRPr="00ED5569">
        <w:rPr>
          <w:color w:val="767171" w:themeColor="background2" w:themeShade="80"/>
          <w:sz w:val="19"/>
          <w:szCs w:val="19"/>
        </w:rPr>
        <w:t>]</w:t>
      </w:r>
      <w:r>
        <w:t>.</w:t>
      </w:r>
    </w:p>
    <w:p w14:paraId="6F7BE47F" w14:textId="27B95C8F" w:rsidR="002C54C0" w:rsidRDefault="000E6C58" w:rsidP="002C54C0">
      <w:pPr>
        <w:pStyle w:val="Nivel2SM"/>
      </w:pPr>
      <w:r>
        <w:t>Este enfoque integrado garantiza la coherencia entre los componentes del PIB, y permite obtener una mejor estimación del nivel del PIB que con solamente uno de los tres enfoques.</w:t>
      </w:r>
    </w:p>
    <w:p w14:paraId="306F0291" w14:textId="2CE63C75" w:rsidR="002C54C0" w:rsidRDefault="002C54C0" w:rsidP="002C54C0">
      <w:pPr>
        <w:pStyle w:val="Nivel1SM"/>
        <w:keepNext/>
        <w:spacing w:after="0"/>
      </w:pPr>
      <w:r>
        <w:t xml:space="preserve">Hay que señalar que además de medirse el PIB en términos </w:t>
      </w:r>
      <w:r w:rsidRPr="002C54C0">
        <w:rPr>
          <w:i/>
          <w:iCs/>
        </w:rPr>
        <w:t>nominales</w:t>
      </w:r>
      <w:r>
        <w:t xml:space="preserve"> </w:t>
      </w:r>
      <w:r w:rsidR="00C16444">
        <w:t xml:space="preserve">(PIB a precios corrientes) </w:t>
      </w:r>
      <w:r>
        <w:t xml:space="preserve">suele representarse también en términos </w:t>
      </w:r>
      <w:r>
        <w:rPr>
          <w:i/>
          <w:iCs/>
        </w:rPr>
        <w:t>reales</w:t>
      </w:r>
      <w:r w:rsidR="00C16444">
        <w:t xml:space="preserve"> (PIB a precios constantes)</w:t>
      </w:r>
      <w:r>
        <w:t>.</w:t>
      </w:r>
    </w:p>
    <w:p w14:paraId="5446FEEB" w14:textId="77777777" w:rsidR="00C16444" w:rsidRDefault="002C54C0" w:rsidP="00C16444">
      <w:pPr>
        <w:pStyle w:val="Nivel2SM"/>
        <w:keepNext/>
        <w:spacing w:after="0"/>
      </w:pPr>
      <w:r>
        <w:t>Para su obtención se aplica un deflactor a los términos nominales con objeto de eliminar el componente inflacionista, averiguando así cuánto ha aumentado la producción material del país en el período de referencia.</w:t>
      </w:r>
    </w:p>
    <w:p w14:paraId="2B0E132C" w14:textId="335B6539" w:rsidR="00C16444" w:rsidRDefault="002C54C0" w:rsidP="00C16444">
      <w:pPr>
        <w:pStyle w:val="Nivel3SM"/>
      </w:pPr>
      <w:r>
        <w:t>Es decir, se tiene en cuenta la tasa de variación del nivel de precios (i.e. inflación).</w:t>
      </w:r>
    </w:p>
    <w:p w14:paraId="633045B1" w14:textId="17296B82" w:rsidR="002C54C0" w:rsidRDefault="002C54C0" w:rsidP="002C54C0">
      <w:pPr>
        <w:pStyle w:val="Nivel2SM"/>
      </w:pPr>
      <w:r>
        <w:t>El PIB a precios corrientes</w:t>
      </w:r>
      <w:r w:rsidR="00C16444">
        <w:t xml:space="preserve"> </w:t>
      </w:r>
      <w:r>
        <w:t>es, sin embargo, usado como denominador para estandarizar importantes agregados como el déficit público.</w:t>
      </w:r>
    </w:p>
    <w:p w14:paraId="30526E89" w14:textId="2478952F" w:rsidR="002C54C0" w:rsidRDefault="002C54C0" w:rsidP="002C54C0">
      <w:pPr>
        <w:pStyle w:val="Nivel1SM"/>
      </w:pPr>
      <w:r>
        <w:t xml:space="preserve">También se puede registrar el PIB en términos </w:t>
      </w:r>
      <w:r>
        <w:rPr>
          <w:i/>
          <w:iCs/>
        </w:rPr>
        <w:t>per cápita</w:t>
      </w:r>
      <w:r>
        <w:t xml:space="preserve"> dividiendo el PIB entre la población total.</w:t>
      </w:r>
    </w:p>
    <w:p w14:paraId="635D3223" w14:textId="0489AAED" w:rsidR="002C54C0" w:rsidRDefault="00FF7E4C" w:rsidP="002C54C0">
      <w:pPr>
        <w:pStyle w:val="Nivel1SM"/>
        <w:keepNext/>
        <w:spacing w:after="0"/>
      </w:pPr>
      <w:r>
        <w:t xml:space="preserve">Si </w:t>
      </w:r>
      <w:r w:rsidR="002C54C0">
        <w:t xml:space="preserve">al PIB </w:t>
      </w:r>
      <w:r>
        <w:t>se</w:t>
      </w:r>
      <w:r w:rsidR="002C54C0">
        <w:t xml:space="preserve"> le</w:t>
      </w:r>
      <w:r>
        <w:t xml:space="preserve"> resta el </w:t>
      </w:r>
      <w:r w:rsidRPr="002C54C0">
        <w:rPr>
          <w:i/>
          <w:iCs/>
        </w:rPr>
        <w:t>consumo de capital fijo</w:t>
      </w:r>
      <w:r w:rsidR="002C54C0">
        <w:t xml:space="preserve"> (que representa el montante de los activos fijos consumidos como consecuencia del desgaste y la obsolescencia)</w:t>
      </w:r>
      <w:r>
        <w:t xml:space="preserve"> se obtiene el </w:t>
      </w:r>
      <w:r w:rsidR="002C54C0" w:rsidRPr="002C54C0">
        <w:rPr>
          <w:b/>
          <w:bCs/>
          <w:i/>
          <w:iCs/>
        </w:rPr>
        <w:t>P</w:t>
      </w:r>
      <w:r w:rsidRPr="002C54C0">
        <w:rPr>
          <w:b/>
          <w:bCs/>
          <w:i/>
          <w:iCs/>
        </w:rPr>
        <w:t xml:space="preserve">roducto </w:t>
      </w:r>
      <w:r w:rsidR="002C54C0" w:rsidRPr="002C54C0">
        <w:rPr>
          <w:b/>
          <w:bCs/>
          <w:i/>
          <w:iCs/>
        </w:rPr>
        <w:t>I</w:t>
      </w:r>
      <w:r w:rsidRPr="002C54C0">
        <w:rPr>
          <w:b/>
          <w:bCs/>
          <w:i/>
          <w:iCs/>
        </w:rPr>
        <w:t xml:space="preserve">nterior </w:t>
      </w:r>
      <w:r w:rsidR="002C54C0" w:rsidRPr="002C54C0">
        <w:rPr>
          <w:b/>
          <w:bCs/>
          <w:i/>
          <w:iCs/>
        </w:rPr>
        <w:t>N</w:t>
      </w:r>
      <w:r w:rsidRPr="002C54C0">
        <w:rPr>
          <w:b/>
          <w:bCs/>
          <w:i/>
          <w:iCs/>
        </w:rPr>
        <w:t>eto</w:t>
      </w:r>
      <w:r>
        <w:t xml:space="preserve"> a precios de mercado (PIN).</w:t>
      </w:r>
    </w:p>
    <w:p w14:paraId="3CA269AA" w14:textId="37C6DEC6" w:rsidR="00BB18EB" w:rsidRPr="00BB18EB" w:rsidRDefault="00024225" w:rsidP="002C54C0">
      <w:pPr>
        <w:pStyle w:val="Nivel2SM"/>
      </w:pPr>
      <w:r>
        <w:t>No obstante, se suele utilizar el PIB ante la dificultad de medición del consumo de capital fijo</w:t>
      </w:r>
      <w:r>
        <w:rPr>
          <w:rStyle w:val="Refdenotaalpie"/>
        </w:rPr>
        <w:footnoteReference w:id="22"/>
      </w:r>
      <w:r>
        <w:t>.</w:t>
      </w:r>
    </w:p>
    <w:p w14:paraId="72A06EB5" w14:textId="120C5D9E" w:rsidR="00592177" w:rsidRDefault="007C252C" w:rsidP="001251F3">
      <w:pPr>
        <w:pStyle w:val="Ttulo3"/>
      </w:pPr>
      <w:bookmarkStart w:id="52" w:name="_Toc83554005"/>
      <w:bookmarkStart w:id="53" w:name="_Toc174116197"/>
      <w:r>
        <w:t>C</w:t>
      </w:r>
      <w:r w:rsidR="00592177" w:rsidRPr="001251F3">
        <w:t>uenta de explotación</w:t>
      </w:r>
      <w:r w:rsidR="00592177">
        <w:t xml:space="preserve"> (C.II.1.1)</w:t>
      </w:r>
      <w:bookmarkEnd w:id="52"/>
      <w:bookmarkEnd w:id="53"/>
    </w:p>
    <w:p w14:paraId="64C879F7" w14:textId="2A5D7640" w:rsidR="00CD6B89" w:rsidRDefault="00CD6B89" w:rsidP="00FA6AEF">
      <w:pPr>
        <w:pStyle w:val="Ttulo6"/>
        <w:spacing w:before="0"/>
      </w:pPr>
      <w:bookmarkStart w:id="54" w:name="_Toc174116198"/>
      <w:r>
        <w:t>Definición</w:t>
      </w:r>
      <w:bookmarkEnd w:id="54"/>
    </w:p>
    <w:p w14:paraId="5E8E365C" w14:textId="71BFEC02" w:rsidR="00CD6B89" w:rsidRPr="00CD6B89" w:rsidRDefault="002244C1" w:rsidP="00FA6AEF">
      <w:pPr>
        <w:pStyle w:val="Nivel1SM"/>
        <w:spacing w:before="0"/>
      </w:pPr>
      <w:r>
        <w:t xml:space="preserve">La </w:t>
      </w:r>
      <w:r w:rsidRPr="002244C1">
        <w:rPr>
          <w:i/>
          <w:iCs/>
        </w:rPr>
        <w:t>cuenta de explotación</w:t>
      </w:r>
      <w:r>
        <w:t xml:space="preserve"> registra la generación de la renta a partir de la contribución a la producción de los factores productivos, así como los impuestos menos subvenciones sobre la producción y las importaciones adeudados a las administraciones públicas (p.ej. IVA, derechos sobre importaciones…). Es decir, analiza en qué medida el valor añadido engloba la remuneración de asalariados nacional y otros impuestos a la producción.</w:t>
      </w:r>
    </w:p>
    <w:p w14:paraId="52393E1E" w14:textId="77777777" w:rsidR="00CD6B89" w:rsidRDefault="00CD6B89" w:rsidP="00CD6B89">
      <w:pPr>
        <w:pStyle w:val="Ttulo6"/>
      </w:pPr>
      <w:bookmarkStart w:id="55" w:name="_Toc174116199"/>
      <w:r>
        <w:t>Empleos y recursos</w:t>
      </w:r>
      <w:bookmarkEnd w:id="55"/>
    </w:p>
    <w:p w14:paraId="62657660" w14:textId="77777777" w:rsidR="00102DBE" w:rsidRDefault="00102DBE" w:rsidP="00FA6AEF">
      <w:pPr>
        <w:pStyle w:val="Nivel1SM"/>
        <w:spacing w:before="0"/>
      </w:pPr>
      <w:r>
        <w:t xml:space="preserve">Se parte del saldo de la cuenta de producción (i.e. del </w:t>
      </w:r>
      <w:r>
        <w:rPr>
          <w:i/>
          <w:iCs/>
        </w:rPr>
        <w:t>VAB</w:t>
      </w:r>
      <w:r>
        <w:t xml:space="preserve">), que se registra en </w:t>
      </w:r>
      <w:r w:rsidRPr="00E85A8A">
        <w:rPr>
          <w:b/>
          <w:bCs/>
        </w:rPr>
        <w:t>recursos</w:t>
      </w:r>
      <w:r>
        <w:t>.</w:t>
      </w:r>
    </w:p>
    <w:p w14:paraId="2BCC6F57" w14:textId="5749CE32" w:rsidR="00102DBE" w:rsidRDefault="00E85A8A" w:rsidP="00CD6B89">
      <w:pPr>
        <w:pStyle w:val="Nivel1SM"/>
        <w:keepNext/>
        <w:spacing w:after="0"/>
      </w:pPr>
      <w:r>
        <w:t xml:space="preserve">Por el lado de los </w:t>
      </w:r>
      <w:r w:rsidRPr="00E85A8A">
        <w:rPr>
          <w:b/>
          <w:bCs/>
        </w:rPr>
        <w:t>empleos</w:t>
      </w:r>
      <w:r>
        <w:t>, e</w:t>
      </w:r>
      <w:r w:rsidR="00102DBE">
        <w:t>sta cuenta registra la generación de la renta a partir de la contribución a la producción de los factores productivos, así como los impuestos menos subvenciones sobre la producción y las importaciones adeudadas a las administraciones públicas (IVA, derechos sobre importaciones). Es decir, analiza en qué medida el valor añadido engloba la remuneración de asalariados nacional y otros impuestos a la producción.</w:t>
      </w:r>
    </w:p>
    <w:p w14:paraId="3171BE96" w14:textId="77777777" w:rsidR="00CD6B89" w:rsidRPr="006118E2" w:rsidRDefault="00CD6B89" w:rsidP="00CD6B89">
      <w:pPr>
        <w:pStyle w:val="Nivel2SM"/>
      </w:pPr>
      <w:r>
        <w:t xml:space="preserve">La </w:t>
      </w:r>
      <w:r w:rsidRPr="001E0B53">
        <w:rPr>
          <w:i/>
          <w:iCs/>
        </w:rPr>
        <w:t>remuneración de asalariados</w:t>
      </w:r>
      <w:r>
        <w:t xml:space="preserve"> se define como la remuneración total, en dinero o en especie, a pagar por una empresa a un asalariado en contraprestación del trabajo realizado por este </w:t>
      </w:r>
      <w:r>
        <w:lastRenderedPageBreak/>
        <w:t>durante el período contable (no incluye solo sueldos y salarios</w:t>
      </w:r>
      <w:r>
        <w:rPr>
          <w:rStyle w:val="Refdenotaalpie"/>
        </w:rPr>
        <w:footnoteReference w:id="23"/>
      </w:r>
      <w:r>
        <w:t xml:space="preserve"> sino también cotizaciones sociales a cargo de los empleadores).</w:t>
      </w: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714"/>
        <w:gridCol w:w="4584"/>
      </w:tblGrid>
      <w:tr w:rsidR="002A26D5" w:rsidRPr="00C572A3" w14:paraId="0D79B53C" w14:textId="77777777" w:rsidTr="00FF7E4C">
        <w:trPr>
          <w:jc w:val="center"/>
        </w:trPr>
        <w:tc>
          <w:tcPr>
            <w:tcW w:w="9298" w:type="dxa"/>
            <w:gridSpan w:val="2"/>
            <w:tcBorders>
              <w:bottom w:val="single" w:sz="2" w:space="0" w:color="FFFFFF" w:themeColor="background1"/>
            </w:tcBorders>
          </w:tcPr>
          <w:p w14:paraId="5521D1C7" w14:textId="42FDED5D" w:rsidR="002A26D5" w:rsidRPr="00C572A3" w:rsidRDefault="002A26D5" w:rsidP="00E97E64">
            <w:pPr>
              <w:keepNext/>
              <w:keepLines/>
              <w:spacing w:after="0"/>
              <w:jc w:val="center"/>
              <w:rPr>
                <w:i/>
                <w:iCs/>
              </w:rPr>
            </w:pPr>
            <w:r>
              <w:rPr>
                <w:i/>
                <w:iCs/>
              </w:rPr>
              <w:t>C.II.1.1.</w:t>
            </w:r>
            <w:r w:rsidR="00FA6AEF">
              <w:rPr>
                <w:i/>
                <w:iCs/>
              </w:rPr>
              <w:t> </w:t>
            </w:r>
            <w:r>
              <w:rPr>
                <w:i/>
                <w:iCs/>
              </w:rPr>
              <w:t>Cuenta de explotación</w:t>
            </w:r>
          </w:p>
        </w:tc>
      </w:tr>
      <w:tr w:rsidR="002A26D5" w:rsidRPr="00C572A3" w14:paraId="3CFF454D" w14:textId="77777777" w:rsidTr="00FF7E4C">
        <w:trPr>
          <w:jc w:val="center"/>
        </w:trPr>
        <w:tc>
          <w:tcPr>
            <w:tcW w:w="4714" w:type="dxa"/>
            <w:tcBorders>
              <w:top w:val="single" w:sz="2" w:space="0" w:color="FFFFFF" w:themeColor="background1"/>
              <w:right w:val="single" w:sz="2" w:space="0" w:color="FFFFFF" w:themeColor="background1"/>
            </w:tcBorders>
          </w:tcPr>
          <w:p w14:paraId="112A6E88" w14:textId="77777777" w:rsidR="002A26D5" w:rsidRPr="00C572A3" w:rsidRDefault="002A26D5" w:rsidP="00E97E64">
            <w:pPr>
              <w:keepNext/>
              <w:keepLines/>
              <w:spacing w:after="0"/>
              <w:jc w:val="center"/>
              <w:rPr>
                <w:i/>
                <w:iCs/>
              </w:rPr>
            </w:pPr>
            <w:r>
              <w:rPr>
                <w:i/>
                <w:iCs/>
              </w:rPr>
              <w:t>Empleos</w:t>
            </w:r>
          </w:p>
        </w:tc>
        <w:tc>
          <w:tcPr>
            <w:tcW w:w="4584" w:type="dxa"/>
            <w:tcBorders>
              <w:top w:val="single" w:sz="2" w:space="0" w:color="FFFFFF" w:themeColor="background1"/>
              <w:left w:val="single" w:sz="2" w:space="0" w:color="FFFFFF" w:themeColor="background1"/>
            </w:tcBorders>
          </w:tcPr>
          <w:p w14:paraId="23DEFF92" w14:textId="77777777" w:rsidR="002A26D5" w:rsidRPr="00C572A3" w:rsidRDefault="002A26D5" w:rsidP="00E97E64">
            <w:pPr>
              <w:keepNext/>
              <w:keepLines/>
              <w:spacing w:after="0"/>
              <w:jc w:val="center"/>
              <w:rPr>
                <w:i/>
                <w:iCs/>
              </w:rPr>
            </w:pPr>
            <w:r>
              <w:rPr>
                <w:i/>
                <w:iCs/>
              </w:rPr>
              <w:t>Recurs</w:t>
            </w:r>
            <w:r w:rsidRPr="00C572A3">
              <w:rPr>
                <w:i/>
                <w:iCs/>
              </w:rPr>
              <w:t>os</w:t>
            </w:r>
          </w:p>
        </w:tc>
      </w:tr>
      <w:tr w:rsidR="002A26D5" w14:paraId="499A0D2C" w14:textId="77777777" w:rsidTr="00FF7E4C">
        <w:trPr>
          <w:jc w:val="center"/>
        </w:trPr>
        <w:tc>
          <w:tcPr>
            <w:tcW w:w="4714" w:type="dxa"/>
          </w:tcPr>
          <w:p w14:paraId="797AD019" w14:textId="5FC79086" w:rsidR="002A26D5" w:rsidRPr="002A26D5" w:rsidRDefault="002A26D5" w:rsidP="00F451A1">
            <w:pPr>
              <w:pStyle w:val="Nivel2SM"/>
              <w:keepNext/>
              <w:keepLines/>
              <w:ind w:left="113"/>
              <w:contextualSpacing w:val="0"/>
            </w:pPr>
            <w:r>
              <w:t xml:space="preserve">Remuneración de asalariados </w:t>
            </w:r>
            <w:r w:rsidRPr="000F5CB6">
              <w:rPr>
                <w:color w:val="595959" w:themeColor="text1" w:themeTint="A6"/>
                <w:sz w:val="16"/>
                <w:szCs w:val="18"/>
              </w:rPr>
              <w:t>(interior)</w:t>
            </w:r>
          </w:p>
          <w:p w14:paraId="684BB365" w14:textId="4DB1505D" w:rsidR="002A26D5" w:rsidRDefault="002A26D5" w:rsidP="00F451A1">
            <w:pPr>
              <w:pStyle w:val="Nivel2SM"/>
              <w:keepNext/>
              <w:keepLines/>
              <w:spacing w:after="0"/>
              <w:ind w:left="113"/>
              <w:jc w:val="left"/>
            </w:pPr>
            <w:r>
              <w:t>Impuestos menos subvenciones sobre la producción:</w:t>
            </w:r>
          </w:p>
          <w:p w14:paraId="2664EA2F" w14:textId="1E9FB1DA" w:rsidR="002A26D5" w:rsidRPr="00135239" w:rsidRDefault="002A26D5" w:rsidP="00FA6AEF">
            <w:pPr>
              <w:pStyle w:val="Nivel1"/>
              <w:keepNext/>
              <w:keepLines/>
              <w:spacing w:before="0" w:after="0"/>
              <w:jc w:val="left"/>
              <w:rPr>
                <w:sz w:val="20"/>
                <w:szCs w:val="20"/>
              </w:rPr>
            </w:pPr>
            <w:r w:rsidRPr="00135239">
              <w:rPr>
                <w:sz w:val="20"/>
                <w:szCs w:val="20"/>
              </w:rPr>
              <w:t>Impuestos menos subvenciones sobre los productos y las importaciones.</w:t>
            </w:r>
          </w:p>
          <w:p w14:paraId="67093555" w14:textId="2164445F" w:rsidR="002A26D5" w:rsidRPr="00135239" w:rsidRDefault="002A26D5" w:rsidP="00FA6AEF">
            <w:pPr>
              <w:pStyle w:val="Nivel1"/>
              <w:keepNext/>
              <w:keepLines/>
              <w:spacing w:before="0" w:after="0"/>
              <w:jc w:val="left"/>
              <w:rPr>
                <w:sz w:val="20"/>
                <w:szCs w:val="20"/>
              </w:rPr>
            </w:pPr>
            <w:r w:rsidRPr="00135239">
              <w:rPr>
                <w:sz w:val="20"/>
                <w:szCs w:val="20"/>
              </w:rPr>
              <w:t>Otros impuestos menos subvenciones sobre la producción.</w:t>
            </w:r>
          </w:p>
          <w:p w14:paraId="7221895B" w14:textId="0337DEFA" w:rsidR="002A26D5" w:rsidRPr="000A035B" w:rsidRDefault="002A26D5" w:rsidP="00AB69F4">
            <w:pPr>
              <w:pStyle w:val="Nivel2SM"/>
              <w:keepNext/>
              <w:keepLines/>
              <w:numPr>
                <w:ilvl w:val="0"/>
                <w:numId w:val="0"/>
              </w:numPr>
              <w:ind w:left="142" w:hanging="141"/>
              <w:rPr>
                <w:sz w:val="16"/>
                <w:szCs w:val="16"/>
              </w:rPr>
            </w:pPr>
          </w:p>
          <w:p w14:paraId="5E7052F6" w14:textId="77777777" w:rsidR="002A26D5" w:rsidRDefault="002A26D5" w:rsidP="00AB69F4">
            <w:pPr>
              <w:pStyle w:val="Nivel2SM"/>
              <w:keepNext/>
              <w:keepLines/>
              <w:numPr>
                <w:ilvl w:val="0"/>
                <w:numId w:val="0"/>
              </w:numPr>
              <w:ind w:left="1"/>
              <w:rPr>
                <w:b/>
                <w:bCs/>
              </w:rPr>
            </w:pPr>
            <w:r>
              <w:rPr>
                <w:b/>
                <w:bCs/>
              </w:rPr>
              <w:t>Excedente Bruto de Explotación</w:t>
            </w:r>
          </w:p>
          <w:p w14:paraId="0B9F60FF" w14:textId="39393C68" w:rsidR="002A26D5" w:rsidRPr="00AA77FA" w:rsidRDefault="002A26D5" w:rsidP="009B15E8">
            <w:pPr>
              <w:pStyle w:val="Nivel2SM"/>
              <w:keepLines/>
              <w:numPr>
                <w:ilvl w:val="0"/>
                <w:numId w:val="0"/>
              </w:numPr>
              <w:rPr>
                <w:b/>
                <w:bCs/>
              </w:rPr>
            </w:pPr>
            <w:r>
              <w:rPr>
                <w:b/>
                <w:bCs/>
              </w:rPr>
              <w:t>Renta Mixta Bruta</w:t>
            </w:r>
            <w:r w:rsidR="00204665">
              <w:rPr>
                <w:b/>
                <w:bCs/>
              </w:rPr>
              <w:t xml:space="preserve"> </w:t>
            </w:r>
            <w:r w:rsidR="00204665" w:rsidRPr="00135239">
              <w:rPr>
                <w:color w:val="595959" w:themeColor="text1" w:themeTint="A6"/>
                <w:sz w:val="16"/>
                <w:szCs w:val="18"/>
              </w:rPr>
              <w:t>(en el caso de los hogares)</w:t>
            </w:r>
          </w:p>
        </w:tc>
        <w:tc>
          <w:tcPr>
            <w:tcW w:w="4584" w:type="dxa"/>
          </w:tcPr>
          <w:p w14:paraId="764B80D3" w14:textId="5DB230EE" w:rsidR="002A26D5" w:rsidRDefault="002A26D5" w:rsidP="009B15E8">
            <w:pPr>
              <w:pStyle w:val="Nivel2SM"/>
              <w:keepLines/>
              <w:ind w:left="113"/>
            </w:pPr>
            <w:r>
              <w:rPr>
                <w:b/>
                <w:bCs/>
              </w:rPr>
              <w:t xml:space="preserve">VAB/PIB </w:t>
            </w:r>
            <w:r w:rsidRPr="000F5CB6">
              <w:rPr>
                <w:color w:val="595959" w:themeColor="text1" w:themeTint="A6"/>
                <w:sz w:val="16"/>
                <w:szCs w:val="18"/>
              </w:rPr>
              <w:t>(a precios de adquisición)</w:t>
            </w:r>
          </w:p>
        </w:tc>
      </w:tr>
    </w:tbl>
    <w:p w14:paraId="7BCD2927" w14:textId="77777777" w:rsidR="00CD6B89" w:rsidRDefault="00CD6B89" w:rsidP="00CD6B89">
      <w:pPr>
        <w:pStyle w:val="Ttulo6"/>
      </w:pPr>
      <w:bookmarkStart w:id="56" w:name="_Toc174116200"/>
      <w:r>
        <w:t>Saldo y macromagnitudes relevantes</w:t>
      </w:r>
      <w:bookmarkEnd w:id="56"/>
    </w:p>
    <w:p w14:paraId="12C8378F" w14:textId="2A458683" w:rsidR="004A1307" w:rsidRDefault="006118E2" w:rsidP="00FA6AEF">
      <w:pPr>
        <w:pStyle w:val="Nivel1SM"/>
        <w:keepNext/>
        <w:spacing w:before="0" w:after="0"/>
      </w:pPr>
      <w:r>
        <w:t xml:space="preserve">De este modo, se obtiene como saldo contable el </w:t>
      </w:r>
      <w:r w:rsidR="00675B95" w:rsidRPr="00C16444">
        <w:rPr>
          <w:b/>
          <w:bCs/>
          <w:i/>
          <w:iCs/>
        </w:rPr>
        <w:t>E</w:t>
      </w:r>
      <w:r w:rsidRPr="00C16444">
        <w:rPr>
          <w:b/>
          <w:bCs/>
          <w:i/>
          <w:iCs/>
        </w:rPr>
        <w:t xml:space="preserve">xcedente </w:t>
      </w:r>
      <w:r w:rsidR="00675B95" w:rsidRPr="00C16444">
        <w:rPr>
          <w:b/>
          <w:bCs/>
          <w:i/>
          <w:iCs/>
        </w:rPr>
        <w:t>B</w:t>
      </w:r>
      <w:r w:rsidRPr="00C16444">
        <w:rPr>
          <w:b/>
          <w:bCs/>
          <w:i/>
          <w:iCs/>
        </w:rPr>
        <w:t>ruto de Explotación</w:t>
      </w:r>
      <w:r>
        <w:t xml:space="preserve"> (</w:t>
      </w:r>
      <w:r w:rsidRPr="004A1307">
        <w:rPr>
          <w:i/>
          <w:iCs/>
        </w:rPr>
        <w:t>EBE</w:t>
      </w:r>
      <w:r>
        <w:t>)</w:t>
      </w:r>
      <w:r w:rsidR="001E0B53">
        <w:t xml:space="preserve"> que mide el excedente generado</w:t>
      </w:r>
      <w:r w:rsidR="00675B95">
        <w:t xml:space="preserve"> de la producción resultante de deducir del valor de la producción los empleos en concepto de consumos intermedios, remuneración de los asalariados e impuestos menos subvenciones a productos</w:t>
      </w:r>
      <w:r w:rsidR="004A1307">
        <w:t xml:space="preserve"> y</w:t>
      </w:r>
      <w:r w:rsidR="00675B95">
        <w:t xml:space="preserve"> antes de considerar tanto cobros o pagos por la propiedad de activos financieros y de activos no financieros no producidos.</w:t>
      </w:r>
    </w:p>
    <w:p w14:paraId="5AB8BD00" w14:textId="0031D515" w:rsidR="006118E2" w:rsidRDefault="00675B95" w:rsidP="004A1307">
      <w:pPr>
        <w:pStyle w:val="Nivel2SM"/>
      </w:pPr>
      <w:r>
        <w:t xml:space="preserve">En el caso de los hogares se denomina </w:t>
      </w:r>
      <w:r w:rsidRPr="00C16444">
        <w:rPr>
          <w:b/>
          <w:bCs/>
          <w:i/>
          <w:iCs/>
        </w:rPr>
        <w:t>Renta Mixta Bruta</w:t>
      </w:r>
      <w:r>
        <w:t xml:space="preserve"> (</w:t>
      </w:r>
      <w:r>
        <w:rPr>
          <w:i/>
          <w:iCs/>
        </w:rPr>
        <w:t>RMB</w:t>
      </w:r>
      <w:r>
        <w:t>)</w:t>
      </w:r>
      <w:r w:rsidR="00C60B65">
        <w:rPr>
          <w:rStyle w:val="Refdenotaalpie"/>
        </w:rPr>
        <w:footnoteReference w:id="24"/>
      </w:r>
      <w:r>
        <w:t>.</w:t>
      </w:r>
    </w:p>
    <w:p w14:paraId="632F2301" w14:textId="246B3BE7" w:rsidR="00675B95" w:rsidRDefault="00675B95" w:rsidP="002244C1">
      <w:pPr>
        <w:pStyle w:val="Nivel1SM"/>
        <w:keepNext/>
        <w:spacing w:after="0"/>
      </w:pPr>
      <w:r w:rsidRPr="0022499B">
        <w:t>Además, si con las cuentas vistas hasta ahora podíamos obtener la producción desde el punto de vista del gasto y</w:t>
      </w:r>
      <w:r>
        <w:t xml:space="preserve"> de la producción, con esta cuenta podemos obtener </w:t>
      </w:r>
      <w:r w:rsidR="00024225">
        <w:t xml:space="preserve">también el </w:t>
      </w:r>
      <w:r w:rsidR="00024225" w:rsidRPr="00024225">
        <w:rPr>
          <w:i/>
          <w:iCs/>
        </w:rPr>
        <w:t xml:space="preserve">PIB desde el </w:t>
      </w:r>
      <w:r w:rsidR="00024225">
        <w:rPr>
          <w:i/>
          <w:iCs/>
        </w:rPr>
        <w:t>enfoque</w:t>
      </w:r>
      <w:r w:rsidR="00024225" w:rsidRPr="00024225">
        <w:rPr>
          <w:i/>
          <w:iCs/>
        </w:rPr>
        <w:t xml:space="preserve"> de la renta</w:t>
      </w:r>
      <w:r w:rsidR="00024225">
        <w:t>.</w:t>
      </w:r>
    </w:p>
    <w:p w14:paraId="40E5DB38" w14:textId="6428382D" w:rsidR="002244C1" w:rsidRDefault="002244C1" w:rsidP="0078048D">
      <w:pPr>
        <w:pStyle w:val="Nivel2SM"/>
        <w:keepNext/>
        <w:spacing w:after="0"/>
      </w:pPr>
      <w:r>
        <w:t xml:space="preserve">El </w:t>
      </w:r>
      <w:r w:rsidRPr="00024225">
        <w:rPr>
          <w:i/>
          <w:iCs/>
        </w:rPr>
        <w:t xml:space="preserve">PIB desde el </w:t>
      </w:r>
      <w:r>
        <w:rPr>
          <w:i/>
          <w:iCs/>
        </w:rPr>
        <w:t>enfoque</w:t>
      </w:r>
      <w:r w:rsidRPr="00024225">
        <w:rPr>
          <w:i/>
          <w:iCs/>
        </w:rPr>
        <w:t xml:space="preserve"> de la renta</w:t>
      </w:r>
      <w:r>
        <w:t xml:space="preserve"> queda definido como el total de todas las rentas obtenidas en el proceso de producción de bienes y servicios más los impuestos sobre la producción y las importaciones menos las subvenciones:</w:t>
      </w:r>
    </w:p>
    <w:p w14:paraId="135F7B2D" w14:textId="1C6914F1" w:rsidR="00E77522" w:rsidRPr="0078048D" w:rsidRDefault="00000000" w:rsidP="006118E2">
      <m:oMathPara>
        <m:oMath>
          <m:sSub>
            <m:sSubPr>
              <m:ctrlPr>
                <w:rPr>
                  <w:rFonts w:ascii="Cambria Math" w:hAnsi="Cambria Math"/>
                  <w:i/>
                  <w:iCs/>
                </w:rPr>
              </m:ctrlPr>
            </m:sSubPr>
            <m:e>
              <m:r>
                <m:rPr>
                  <m:nor/>
                </m:rPr>
                <w:rPr>
                  <w:i/>
                  <w:iCs/>
                </w:rPr>
                <m:t>PIB</m:t>
              </m:r>
            </m:e>
            <m:sub>
              <m:r>
                <m:rPr>
                  <m:nor/>
                </m:rPr>
                <w:rPr>
                  <w:i/>
                  <w:iCs/>
                </w:rPr>
                <m:t>Renta</m:t>
              </m:r>
            </m:sub>
          </m:sSub>
          <m:r>
            <w:rPr>
              <w:rFonts w:ascii="Cambria Math" w:hAnsi="Cambria Math"/>
            </w:rPr>
            <m:t>=</m:t>
          </m:r>
          <m:r>
            <m:rPr>
              <m:nor/>
            </m:rPr>
            <w:rPr>
              <w:i/>
              <w:iCs/>
            </w:rPr>
            <m:t>Remuneración de asalariados</m:t>
          </m:r>
          <m:r>
            <w:rPr>
              <w:rFonts w:ascii="Cambria Math" w:hAnsi="Cambria Math"/>
            </w:rPr>
            <m:t>+</m:t>
          </m:r>
          <m:r>
            <m:rPr>
              <m:nor/>
            </m:rPr>
            <w:rPr>
              <w:i/>
              <w:iCs/>
            </w:rPr>
            <m:t>EBE/RMB</m:t>
          </m:r>
          <m:r>
            <w:rPr>
              <w:rFonts w:ascii="Cambria Math" w:eastAsiaTheme="minorEastAsia" w:hAnsi="Cambria Math"/>
            </w:rPr>
            <m:t>+</m:t>
          </m:r>
          <m:d>
            <m:dPr>
              <m:ctrlPr>
                <w:rPr>
                  <w:rFonts w:ascii="Cambria Math" w:hAnsi="Cambria Math"/>
                  <w:i/>
                </w:rPr>
              </m:ctrlPr>
            </m:dPr>
            <m:e>
              <m:sSub>
                <m:sSubPr>
                  <m:ctrlPr>
                    <w:rPr>
                      <w:rFonts w:ascii="Cambria Math" w:hAnsi="Cambria Math"/>
                      <w:i/>
                    </w:rPr>
                  </m:ctrlPr>
                </m:sSubPr>
                <m:e>
                  <m:r>
                    <m:rPr>
                      <m:nor/>
                    </m:rPr>
                    <w:rPr>
                      <w:i/>
                    </w:rPr>
                    <m:t>Impuestos</m:t>
                  </m:r>
                </m:e>
                <m:sub>
                  <m:r>
                    <m:rPr>
                      <m:nor/>
                    </m:rPr>
                    <w:rPr>
                      <w:i/>
                    </w:rPr>
                    <m:t>Producción</m:t>
                  </m:r>
                </m:sub>
              </m:sSub>
              <m:r>
                <w:rPr>
                  <w:rFonts w:ascii="Cambria Math" w:hAnsi="Cambria Math"/>
                </w:rPr>
                <m:t>-</m:t>
              </m:r>
              <m:sSub>
                <m:sSubPr>
                  <m:ctrlPr>
                    <w:rPr>
                      <w:rFonts w:ascii="Cambria Math" w:hAnsi="Cambria Math"/>
                      <w:i/>
                    </w:rPr>
                  </m:ctrlPr>
                </m:sSubPr>
                <m:e>
                  <m:r>
                    <m:rPr>
                      <m:nor/>
                    </m:rPr>
                    <w:rPr>
                      <w:i/>
                    </w:rPr>
                    <m:t>Subvenciones</m:t>
                  </m:r>
                </m:e>
                <m:sub>
                  <m:r>
                    <m:rPr>
                      <m:nor/>
                    </m:rPr>
                    <w:rPr>
                      <w:i/>
                    </w:rPr>
                    <m:t>Producción</m:t>
                  </m:r>
                </m:sub>
              </m:sSub>
            </m:e>
          </m:d>
        </m:oMath>
      </m:oMathPara>
    </w:p>
    <w:p w14:paraId="72D64BA7" w14:textId="305E38F5" w:rsidR="00592177" w:rsidRDefault="007C252C" w:rsidP="00592177">
      <w:pPr>
        <w:pStyle w:val="Ttulo3"/>
      </w:pPr>
      <w:bookmarkStart w:id="57" w:name="_Toc83554006"/>
      <w:bookmarkStart w:id="58" w:name="_Toc174116201"/>
      <w:r>
        <w:t>C</w:t>
      </w:r>
      <w:r w:rsidR="00592177">
        <w:t>uenta de asignación de la renta primaria (C.II.1.2)</w:t>
      </w:r>
      <w:bookmarkEnd w:id="57"/>
      <w:bookmarkEnd w:id="58"/>
    </w:p>
    <w:p w14:paraId="25E0FAAC" w14:textId="48462708" w:rsidR="00CD6B89" w:rsidRDefault="00CD6B89" w:rsidP="00FA6AEF">
      <w:pPr>
        <w:pStyle w:val="Ttulo6"/>
        <w:spacing w:before="0"/>
      </w:pPr>
      <w:bookmarkStart w:id="59" w:name="_Toc174116202"/>
      <w:r>
        <w:t>Definición</w:t>
      </w:r>
      <w:bookmarkEnd w:id="59"/>
    </w:p>
    <w:p w14:paraId="3DB96497" w14:textId="0C54CE2C" w:rsidR="00F94534" w:rsidRPr="004A1307" w:rsidRDefault="00F94534" w:rsidP="00FA6AEF">
      <w:pPr>
        <w:pStyle w:val="Nivel1SM"/>
        <w:spacing w:before="0"/>
      </w:pPr>
      <w:r>
        <w:t xml:space="preserve">A diferencia de la cuenta de explotación, que se centra en la condición de productores cuyas actividades generan unas remuneraciones, la </w:t>
      </w:r>
      <w:r w:rsidRPr="00F94534">
        <w:rPr>
          <w:i/>
          <w:iCs/>
        </w:rPr>
        <w:t>cuenta de asignación de la renta primaria</w:t>
      </w:r>
      <w:r>
        <w:t xml:space="preserve"> se centra en la concepción de unidades institucionales como perceptores de ingresos primarios (siendo los ingresos primarios un concepto más amplio de remuneraciones y no necesariamente ligado con los ingresos de la producción).</w:t>
      </w:r>
    </w:p>
    <w:p w14:paraId="29BBD4D7" w14:textId="1EB91BA2" w:rsidR="00CD6B89" w:rsidRPr="00CD6B89" w:rsidRDefault="00CD6B89" w:rsidP="00CD6B89">
      <w:pPr>
        <w:pStyle w:val="Ttulo6"/>
      </w:pPr>
      <w:bookmarkStart w:id="60" w:name="_Toc174116203"/>
      <w:r>
        <w:t>Empleos y recursos</w:t>
      </w:r>
      <w:bookmarkEnd w:id="60"/>
    </w:p>
    <w:p w14:paraId="7F9F6C07" w14:textId="112C0654" w:rsidR="00E77522" w:rsidRDefault="00E77522" w:rsidP="00FA6AEF">
      <w:pPr>
        <w:pStyle w:val="Nivel1SM"/>
        <w:spacing w:before="0"/>
      </w:pPr>
      <w:r>
        <w:t>Se parte de la ecuación anterior, es decir, del PIB desagregado en remuneración de asalariados, excedente bruto de explotación, renta mixta bruta</w:t>
      </w:r>
      <w:r w:rsidR="00E85A8A">
        <w:t xml:space="preserve"> e impuestos menos subvenciones sobre la producción, que se representa en </w:t>
      </w:r>
      <w:r w:rsidR="00E85A8A" w:rsidRPr="00A14D32">
        <w:rPr>
          <w:b/>
          <w:bCs/>
        </w:rPr>
        <w:t>recursos</w:t>
      </w:r>
      <w:r w:rsidR="00E85A8A">
        <w:t>.</w:t>
      </w:r>
      <w:r w:rsidR="0015484B">
        <w:t xml:space="preserve"> En este lado se añaden también la remuneración de asalariados y las rentas de la propiedad recibidas del resto del mundo.</w:t>
      </w:r>
    </w:p>
    <w:p w14:paraId="0333E12B" w14:textId="1677E689" w:rsidR="00E14BF7" w:rsidRPr="00E77522" w:rsidRDefault="00A14D32" w:rsidP="00E77522">
      <w:pPr>
        <w:pStyle w:val="Nivel1SM"/>
      </w:pPr>
      <w:r>
        <w:t xml:space="preserve">Por el lado de los </w:t>
      </w:r>
      <w:r w:rsidRPr="0015484B">
        <w:rPr>
          <w:b/>
          <w:bCs/>
        </w:rPr>
        <w:t>empleos</w:t>
      </w:r>
      <w:r>
        <w:t xml:space="preserve">, </w:t>
      </w:r>
      <w:r w:rsidR="0015484B">
        <w:t>se descuentan la remuneración de asalariados</w:t>
      </w:r>
      <w:r w:rsidR="00E14BF7">
        <w:t xml:space="preserve"> y las rentas de la propiedad</w:t>
      </w:r>
      <w:r w:rsidR="0015484B">
        <w:t xml:space="preserve"> pagad</w:t>
      </w:r>
      <w:r w:rsidR="00E14BF7">
        <w:t>a</w:t>
      </w:r>
      <w:r w:rsidR="0015484B">
        <w:t xml:space="preserve">s </w:t>
      </w:r>
      <w:r w:rsidR="00E14BF7">
        <w:t>al resto del mundo.</w:t>
      </w: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15"/>
        <w:gridCol w:w="4683"/>
      </w:tblGrid>
      <w:tr w:rsidR="00B164F8" w:rsidRPr="00C572A3" w14:paraId="51F14FE2" w14:textId="77777777" w:rsidTr="00E370A1">
        <w:trPr>
          <w:jc w:val="center"/>
        </w:trPr>
        <w:tc>
          <w:tcPr>
            <w:tcW w:w="9298" w:type="dxa"/>
            <w:gridSpan w:val="2"/>
            <w:tcBorders>
              <w:bottom w:val="single" w:sz="2" w:space="0" w:color="FFFFFF" w:themeColor="background1"/>
            </w:tcBorders>
          </w:tcPr>
          <w:p w14:paraId="15ED76C0" w14:textId="70EE1E55" w:rsidR="00B164F8" w:rsidRPr="00C572A3" w:rsidRDefault="00B164F8" w:rsidP="00E97E64">
            <w:pPr>
              <w:keepNext/>
              <w:keepLines/>
              <w:spacing w:after="0"/>
              <w:jc w:val="center"/>
              <w:rPr>
                <w:i/>
                <w:iCs/>
              </w:rPr>
            </w:pPr>
            <w:r>
              <w:rPr>
                <w:i/>
                <w:iCs/>
              </w:rPr>
              <w:lastRenderedPageBreak/>
              <w:t>C.II.1.2.</w:t>
            </w:r>
            <w:r w:rsidR="00FA6AEF">
              <w:rPr>
                <w:i/>
                <w:iCs/>
              </w:rPr>
              <w:t> </w:t>
            </w:r>
            <w:r>
              <w:rPr>
                <w:i/>
                <w:iCs/>
              </w:rPr>
              <w:t>Cuenta de asignación de la renta primaria</w:t>
            </w:r>
          </w:p>
        </w:tc>
      </w:tr>
      <w:tr w:rsidR="00B164F8" w:rsidRPr="00C572A3" w14:paraId="55A08BDC" w14:textId="77777777" w:rsidTr="00E370A1">
        <w:trPr>
          <w:jc w:val="center"/>
        </w:trPr>
        <w:tc>
          <w:tcPr>
            <w:tcW w:w="4615" w:type="dxa"/>
            <w:tcBorders>
              <w:top w:val="single" w:sz="2" w:space="0" w:color="FFFFFF" w:themeColor="background1"/>
              <w:right w:val="single" w:sz="2" w:space="0" w:color="FFFFFF" w:themeColor="background1"/>
            </w:tcBorders>
          </w:tcPr>
          <w:p w14:paraId="31926A6B" w14:textId="77777777" w:rsidR="00B164F8" w:rsidRPr="00C572A3" w:rsidRDefault="00B164F8" w:rsidP="00E97E64">
            <w:pPr>
              <w:keepNext/>
              <w:keepLines/>
              <w:spacing w:after="0"/>
              <w:jc w:val="center"/>
              <w:rPr>
                <w:i/>
                <w:iCs/>
              </w:rPr>
            </w:pPr>
            <w:r>
              <w:rPr>
                <w:i/>
                <w:iCs/>
              </w:rPr>
              <w:t>Empleos</w:t>
            </w:r>
          </w:p>
        </w:tc>
        <w:tc>
          <w:tcPr>
            <w:tcW w:w="4683" w:type="dxa"/>
            <w:tcBorders>
              <w:top w:val="single" w:sz="2" w:space="0" w:color="FFFFFF" w:themeColor="background1"/>
              <w:left w:val="single" w:sz="2" w:space="0" w:color="FFFFFF" w:themeColor="background1"/>
            </w:tcBorders>
          </w:tcPr>
          <w:p w14:paraId="59095220" w14:textId="77777777" w:rsidR="00B164F8" w:rsidRPr="00C572A3" w:rsidRDefault="00B164F8" w:rsidP="00E97E64">
            <w:pPr>
              <w:keepNext/>
              <w:keepLines/>
              <w:spacing w:after="0"/>
              <w:jc w:val="center"/>
              <w:rPr>
                <w:i/>
                <w:iCs/>
              </w:rPr>
            </w:pPr>
            <w:r>
              <w:rPr>
                <w:i/>
                <w:iCs/>
              </w:rPr>
              <w:t>Recurs</w:t>
            </w:r>
            <w:r w:rsidRPr="00C572A3">
              <w:rPr>
                <w:i/>
                <w:iCs/>
              </w:rPr>
              <w:t>os</w:t>
            </w:r>
          </w:p>
        </w:tc>
      </w:tr>
      <w:tr w:rsidR="00B164F8" w14:paraId="386821F6" w14:textId="77777777" w:rsidTr="00E370A1">
        <w:trPr>
          <w:jc w:val="center"/>
        </w:trPr>
        <w:tc>
          <w:tcPr>
            <w:tcW w:w="4615" w:type="dxa"/>
          </w:tcPr>
          <w:p w14:paraId="0B2268E4" w14:textId="4B2DD590" w:rsidR="00B164F8" w:rsidRPr="002A26D5" w:rsidRDefault="00B164F8" w:rsidP="009B15E8">
            <w:pPr>
              <w:pStyle w:val="Nivel2SM"/>
              <w:keepLines/>
              <w:ind w:left="113"/>
              <w:contextualSpacing w:val="0"/>
              <w:jc w:val="left"/>
            </w:pPr>
            <w:r>
              <w:t xml:space="preserve">Remuneración de asalariados </w:t>
            </w:r>
            <w:r w:rsidR="00155802">
              <w:t>pagad</w:t>
            </w:r>
            <w:r w:rsidR="00E14BF7">
              <w:t>a</w:t>
            </w:r>
            <w:r w:rsidR="00155802">
              <w:t xml:space="preserve"> al resto del mundo</w:t>
            </w:r>
          </w:p>
          <w:p w14:paraId="1E0597B7" w14:textId="540F1816" w:rsidR="00B164F8" w:rsidRDefault="00B164F8" w:rsidP="009B15E8">
            <w:pPr>
              <w:pStyle w:val="Nivel2SM"/>
              <w:keepNext/>
              <w:keepLines/>
              <w:tabs>
                <w:tab w:val="left" w:pos="924"/>
              </w:tabs>
              <w:ind w:left="113"/>
              <w:contextualSpacing w:val="0"/>
              <w:jc w:val="left"/>
            </w:pPr>
            <w:r>
              <w:t>Rentas de la propiedad pagadas al resto del mundo</w:t>
            </w:r>
          </w:p>
          <w:p w14:paraId="2FA25FB7" w14:textId="64D688AE" w:rsidR="00B164F8" w:rsidRDefault="00B164F8" w:rsidP="009B15E8">
            <w:pPr>
              <w:pStyle w:val="Nivel2SM"/>
              <w:keepNext/>
              <w:keepLines/>
              <w:numPr>
                <w:ilvl w:val="0"/>
                <w:numId w:val="0"/>
              </w:numPr>
              <w:jc w:val="left"/>
              <w:rPr>
                <w:b/>
                <w:bCs/>
              </w:rPr>
            </w:pPr>
          </w:p>
          <w:p w14:paraId="1546658A" w14:textId="48B208F1" w:rsidR="003F5B96" w:rsidRDefault="003F5B96" w:rsidP="009B15E8">
            <w:pPr>
              <w:pStyle w:val="Nivel2SM"/>
              <w:keepNext/>
              <w:keepLines/>
              <w:numPr>
                <w:ilvl w:val="0"/>
                <w:numId w:val="0"/>
              </w:numPr>
              <w:jc w:val="left"/>
              <w:rPr>
                <w:b/>
                <w:bCs/>
              </w:rPr>
            </w:pPr>
          </w:p>
          <w:p w14:paraId="710DED06" w14:textId="3E4AF977" w:rsidR="003F5B96" w:rsidRDefault="003F5B96" w:rsidP="009B15E8">
            <w:pPr>
              <w:pStyle w:val="Nivel2SM"/>
              <w:keepNext/>
              <w:keepLines/>
              <w:numPr>
                <w:ilvl w:val="0"/>
                <w:numId w:val="0"/>
              </w:numPr>
              <w:jc w:val="left"/>
              <w:rPr>
                <w:b/>
                <w:bCs/>
              </w:rPr>
            </w:pPr>
          </w:p>
          <w:p w14:paraId="5D510E7D" w14:textId="09A5BD76" w:rsidR="003F5B96" w:rsidRDefault="003F5B96" w:rsidP="009B15E8">
            <w:pPr>
              <w:pStyle w:val="Nivel2SM"/>
              <w:keepNext/>
              <w:keepLines/>
              <w:numPr>
                <w:ilvl w:val="0"/>
                <w:numId w:val="0"/>
              </w:numPr>
              <w:jc w:val="left"/>
              <w:rPr>
                <w:b/>
                <w:bCs/>
              </w:rPr>
            </w:pPr>
          </w:p>
          <w:p w14:paraId="3662087F" w14:textId="56FF662E" w:rsidR="003F5B96" w:rsidRDefault="003F5B96" w:rsidP="009B15E8">
            <w:pPr>
              <w:pStyle w:val="Nivel2SM"/>
              <w:keepNext/>
              <w:keepLines/>
              <w:numPr>
                <w:ilvl w:val="0"/>
                <w:numId w:val="0"/>
              </w:numPr>
              <w:jc w:val="left"/>
              <w:rPr>
                <w:b/>
                <w:bCs/>
              </w:rPr>
            </w:pPr>
          </w:p>
          <w:p w14:paraId="1EFFDD56" w14:textId="58DAF1ED" w:rsidR="00135239" w:rsidRDefault="00135239" w:rsidP="009B15E8">
            <w:pPr>
              <w:pStyle w:val="Nivel2SM"/>
              <w:keepNext/>
              <w:keepLines/>
              <w:numPr>
                <w:ilvl w:val="0"/>
                <w:numId w:val="0"/>
              </w:numPr>
              <w:jc w:val="left"/>
              <w:rPr>
                <w:b/>
                <w:bCs/>
              </w:rPr>
            </w:pPr>
          </w:p>
          <w:p w14:paraId="627FE816" w14:textId="5FF78FC6" w:rsidR="00135239" w:rsidRDefault="00135239" w:rsidP="009B15E8">
            <w:pPr>
              <w:pStyle w:val="Nivel2SM"/>
              <w:keepNext/>
              <w:keepLines/>
              <w:numPr>
                <w:ilvl w:val="0"/>
                <w:numId w:val="0"/>
              </w:numPr>
              <w:jc w:val="left"/>
              <w:rPr>
                <w:b/>
                <w:bCs/>
              </w:rPr>
            </w:pPr>
          </w:p>
          <w:p w14:paraId="37537B78" w14:textId="18B46A96" w:rsidR="00135239" w:rsidRDefault="00135239" w:rsidP="009B15E8">
            <w:pPr>
              <w:pStyle w:val="Nivel2SM"/>
              <w:keepNext/>
              <w:keepLines/>
              <w:numPr>
                <w:ilvl w:val="0"/>
                <w:numId w:val="0"/>
              </w:numPr>
              <w:jc w:val="left"/>
              <w:rPr>
                <w:b/>
                <w:bCs/>
              </w:rPr>
            </w:pPr>
          </w:p>
          <w:p w14:paraId="5C69B49D" w14:textId="5E42C6BF" w:rsidR="00135239" w:rsidRDefault="00135239" w:rsidP="009B15E8">
            <w:pPr>
              <w:pStyle w:val="Nivel2SM"/>
              <w:keepNext/>
              <w:keepLines/>
              <w:numPr>
                <w:ilvl w:val="0"/>
                <w:numId w:val="0"/>
              </w:numPr>
              <w:jc w:val="left"/>
              <w:rPr>
                <w:b/>
                <w:bCs/>
              </w:rPr>
            </w:pPr>
          </w:p>
          <w:p w14:paraId="77CACA8D" w14:textId="77777777" w:rsidR="00B164F8" w:rsidRDefault="003B5583" w:rsidP="009B15E8">
            <w:pPr>
              <w:pStyle w:val="Nivel2SM"/>
              <w:keepNext/>
              <w:keepLines/>
              <w:numPr>
                <w:ilvl w:val="0"/>
                <w:numId w:val="0"/>
              </w:numPr>
              <w:jc w:val="left"/>
              <w:rPr>
                <w:b/>
                <w:bCs/>
              </w:rPr>
            </w:pPr>
            <w:r>
              <w:rPr>
                <w:b/>
                <w:bCs/>
              </w:rPr>
              <w:t>Renta Bruta</w:t>
            </w:r>
            <w:r w:rsidR="0087450F">
              <w:rPr>
                <w:b/>
                <w:bCs/>
              </w:rPr>
              <w:t xml:space="preserve"> </w:t>
            </w:r>
            <w:r>
              <w:rPr>
                <w:b/>
                <w:bCs/>
              </w:rPr>
              <w:t>/</w:t>
            </w:r>
            <w:r w:rsidR="0087450F">
              <w:rPr>
                <w:b/>
                <w:bCs/>
              </w:rPr>
              <w:t xml:space="preserve"> </w:t>
            </w:r>
            <w:r w:rsidR="00B164F8">
              <w:rPr>
                <w:b/>
                <w:bCs/>
              </w:rPr>
              <w:t>Renta Nacional Bruta</w:t>
            </w:r>
          </w:p>
          <w:p w14:paraId="39C98AC5" w14:textId="10A454D8" w:rsidR="009B15E8" w:rsidRPr="00E97E64" w:rsidRDefault="001D0D41" w:rsidP="009B15E8">
            <w:pPr>
              <w:pStyle w:val="Nivel2SM"/>
              <w:keepNext/>
              <w:keepLines/>
              <w:numPr>
                <w:ilvl w:val="0"/>
                <w:numId w:val="0"/>
              </w:numPr>
              <w:ind w:left="142" w:hanging="142"/>
            </w:pPr>
            <w:r>
              <w:rPr>
                <w:noProof/>
              </w:rPr>
              <mc:AlternateContent>
                <mc:Choice Requires="wps">
                  <w:drawing>
                    <wp:anchor distT="4294967295" distB="4294967295" distL="114300" distR="114300" simplePos="0" relativeHeight="251685888" behindDoc="0" locked="0" layoutInCell="1" allowOverlap="1" wp14:anchorId="718BED5C" wp14:editId="67144B94">
                      <wp:simplePos x="0" y="0"/>
                      <wp:positionH relativeFrom="column">
                        <wp:posOffset>-25400</wp:posOffset>
                      </wp:positionH>
                      <wp:positionV relativeFrom="paragraph">
                        <wp:posOffset>156844</wp:posOffset>
                      </wp:positionV>
                      <wp:extent cx="1403985" cy="0"/>
                      <wp:effectExtent l="0" t="0" r="0" b="0"/>
                      <wp:wrapNone/>
                      <wp:docPr id="979151070" name="Conector recto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039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6B7E7CA" id="Conector recto 12"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pt,12.35pt" to="108.5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" strokecolor="black [3213]" strokeweight=".5pt">
                      <v:stroke joinstyle="miter"/>
                      <o:lock v:ext="edit" shapetype="f"/>
                    </v:line>
                  </w:pict>
                </mc:Fallback>
              </mc:AlternateContent>
            </w:r>
            <w:r w:rsidR="009B15E8" w:rsidRPr="00E97E64">
              <w:rPr>
                <w:rFonts w:ascii="Times New Roman" w:hAnsi="Times New Roman" w:cs="Times New Roman"/>
                <w:sz w:val="16"/>
                <w:szCs w:val="16"/>
              </w:rPr>
              <w:t>−</w:t>
            </w:r>
            <w:r w:rsidR="009B15E8" w:rsidRPr="00E97E64">
              <w:rPr>
                <w:sz w:val="16"/>
                <w:szCs w:val="16"/>
              </w:rPr>
              <w:t xml:space="preserve"> Consumo de capital fijo</w:t>
            </w:r>
          </w:p>
          <w:p w14:paraId="4D340D06" w14:textId="0E7F7730" w:rsidR="009B15E8" w:rsidRPr="00AA77FA" w:rsidRDefault="009B15E8" w:rsidP="009B15E8">
            <w:pPr>
              <w:pStyle w:val="Nivel2SM"/>
              <w:keepLines/>
              <w:numPr>
                <w:ilvl w:val="0"/>
                <w:numId w:val="0"/>
              </w:numPr>
              <w:jc w:val="left"/>
              <w:rPr>
                <w:b/>
                <w:bCs/>
              </w:rPr>
            </w:pPr>
            <w:r>
              <w:rPr>
                <w:i/>
                <w:iCs/>
              </w:rPr>
              <w:t>R</w:t>
            </w:r>
            <w:r w:rsidRPr="008573FF">
              <w:rPr>
                <w:i/>
                <w:iCs/>
              </w:rPr>
              <w:t>N/</w:t>
            </w:r>
            <w:r>
              <w:rPr>
                <w:i/>
                <w:iCs/>
              </w:rPr>
              <w:t>RN</w:t>
            </w:r>
            <w:r w:rsidRPr="008573FF">
              <w:rPr>
                <w:i/>
                <w:iCs/>
              </w:rPr>
              <w:t>N</w:t>
            </w:r>
          </w:p>
        </w:tc>
        <w:tc>
          <w:tcPr>
            <w:tcW w:w="4683" w:type="dxa"/>
          </w:tcPr>
          <w:p w14:paraId="70452517" w14:textId="77777777" w:rsidR="00B164F8" w:rsidRPr="00B164F8" w:rsidRDefault="00B164F8" w:rsidP="009B15E8">
            <w:pPr>
              <w:pStyle w:val="Nivel2SM"/>
              <w:keepNext/>
              <w:keepLines/>
              <w:ind w:left="113"/>
              <w:contextualSpacing w:val="0"/>
              <w:jc w:val="left"/>
              <w:rPr>
                <w:b/>
                <w:bCs/>
              </w:rPr>
            </w:pPr>
            <w:r w:rsidRPr="00B164F8">
              <w:rPr>
                <w:b/>
                <w:bCs/>
              </w:rPr>
              <w:t>Excedente Bruto de Explotación</w:t>
            </w:r>
          </w:p>
          <w:p w14:paraId="4E87185E" w14:textId="77777777" w:rsidR="00B164F8" w:rsidRPr="00B164F8" w:rsidRDefault="00B164F8" w:rsidP="00F451A1">
            <w:pPr>
              <w:pStyle w:val="Nivel2SM"/>
              <w:keepNext/>
              <w:keepLines/>
              <w:ind w:left="113"/>
              <w:contextualSpacing w:val="0"/>
              <w:jc w:val="left"/>
            </w:pPr>
            <w:r>
              <w:rPr>
                <w:b/>
                <w:bCs/>
              </w:rPr>
              <w:t xml:space="preserve">Renta Mixta Bruta </w:t>
            </w:r>
            <w:r w:rsidRPr="00135239">
              <w:rPr>
                <w:color w:val="595959" w:themeColor="text1" w:themeTint="A6"/>
                <w:sz w:val="16"/>
                <w:szCs w:val="18"/>
              </w:rPr>
              <w:t>(en el caso de los hogares)</w:t>
            </w:r>
          </w:p>
          <w:p w14:paraId="6B5149BD" w14:textId="77777777" w:rsidR="00B164F8" w:rsidRDefault="00B164F8" w:rsidP="00F451A1">
            <w:pPr>
              <w:pStyle w:val="Nivel2SM"/>
              <w:keepNext/>
              <w:keepLines/>
              <w:ind w:left="113"/>
              <w:contextualSpacing w:val="0"/>
              <w:jc w:val="left"/>
            </w:pPr>
            <w:r>
              <w:t xml:space="preserve">Remuneración de asalariados </w:t>
            </w:r>
            <w:r w:rsidRPr="00135239">
              <w:rPr>
                <w:color w:val="595959" w:themeColor="text1" w:themeTint="A6"/>
                <w:sz w:val="16"/>
                <w:szCs w:val="18"/>
              </w:rPr>
              <w:t>(interior)</w:t>
            </w:r>
          </w:p>
          <w:p w14:paraId="0BE57444" w14:textId="7CEA61C6" w:rsidR="00B164F8" w:rsidRDefault="00B164F8" w:rsidP="00F451A1">
            <w:pPr>
              <w:pStyle w:val="Nivel2SM"/>
              <w:keepNext/>
              <w:keepLines/>
              <w:ind w:left="113"/>
              <w:contextualSpacing w:val="0"/>
              <w:jc w:val="left"/>
            </w:pPr>
            <w:r>
              <w:t>Remuneración de asalariados recibida del re</w:t>
            </w:r>
            <w:r w:rsidR="0015484B">
              <w:t>s</w:t>
            </w:r>
            <w:r>
              <w:t>to del mundo</w:t>
            </w:r>
          </w:p>
          <w:p w14:paraId="1665D2FB" w14:textId="77777777" w:rsidR="00B164F8" w:rsidRDefault="00B164F8" w:rsidP="00F451A1">
            <w:pPr>
              <w:pStyle w:val="Nivel2SM"/>
              <w:keepNext/>
              <w:keepLines/>
              <w:ind w:left="113"/>
              <w:contextualSpacing w:val="0"/>
              <w:jc w:val="left"/>
            </w:pPr>
            <w:r>
              <w:t>Rentas de la propiedad recibidas del resto del mundo</w:t>
            </w:r>
          </w:p>
          <w:p w14:paraId="6FBB061B" w14:textId="77777777" w:rsidR="00B164F8" w:rsidRDefault="00B164F8" w:rsidP="00F451A1">
            <w:pPr>
              <w:pStyle w:val="Nivel2SM"/>
              <w:keepNext/>
              <w:keepLines/>
              <w:spacing w:after="0"/>
              <w:ind w:left="113"/>
              <w:contextualSpacing w:val="0"/>
              <w:jc w:val="left"/>
            </w:pPr>
            <w:r>
              <w:t>Impuestos menos subvenciones sobre la producción</w:t>
            </w:r>
            <w:r w:rsidR="00135239">
              <w:t>:</w:t>
            </w:r>
          </w:p>
          <w:p w14:paraId="74E63E34" w14:textId="77777777" w:rsidR="00135239" w:rsidRPr="00135239" w:rsidRDefault="00135239" w:rsidP="00FA6AEF">
            <w:pPr>
              <w:pStyle w:val="Nivel1"/>
              <w:keepNext/>
              <w:keepLines/>
              <w:spacing w:before="0" w:after="0" w:line="259" w:lineRule="auto"/>
              <w:jc w:val="left"/>
              <w:rPr>
                <w:sz w:val="20"/>
                <w:szCs w:val="20"/>
              </w:rPr>
            </w:pPr>
            <w:r w:rsidRPr="00135239">
              <w:rPr>
                <w:sz w:val="20"/>
                <w:szCs w:val="20"/>
              </w:rPr>
              <w:t>Impuestos menos subvenciones sobre los productos y las importaciones.</w:t>
            </w:r>
          </w:p>
          <w:p w14:paraId="60E47BA4" w14:textId="0D4CD120" w:rsidR="00135239" w:rsidRDefault="00135239" w:rsidP="00FA6AEF">
            <w:pPr>
              <w:pStyle w:val="Nivel1"/>
              <w:keepLines/>
              <w:spacing w:before="0" w:after="0" w:line="259" w:lineRule="auto"/>
              <w:jc w:val="left"/>
            </w:pPr>
            <w:r w:rsidRPr="00135239">
              <w:rPr>
                <w:sz w:val="20"/>
                <w:szCs w:val="20"/>
              </w:rPr>
              <w:t>Otros impuestos menos subvenciones sobre la producción.</w:t>
            </w:r>
          </w:p>
        </w:tc>
      </w:tr>
    </w:tbl>
    <w:p w14:paraId="668C97C6" w14:textId="26B02BEF" w:rsidR="00CD6B89" w:rsidRDefault="00CD6B89" w:rsidP="00402A32">
      <w:pPr>
        <w:pStyle w:val="Ttulo6"/>
        <w:spacing w:before="240"/>
      </w:pPr>
      <w:bookmarkStart w:id="61" w:name="_Toc174116204"/>
      <w:r>
        <w:t>Saldo y macromagnitudes relevantes</w:t>
      </w:r>
      <w:bookmarkEnd w:id="61"/>
    </w:p>
    <w:p w14:paraId="523B3F29" w14:textId="77777777" w:rsidR="00541F96" w:rsidRDefault="00E14BF7" w:rsidP="00FA6AEF">
      <w:pPr>
        <w:pStyle w:val="Nivel1SM"/>
        <w:keepNext/>
        <w:spacing w:before="0" w:after="0"/>
      </w:pPr>
      <w:r>
        <w:t xml:space="preserve">Como saldo contable obtenemos la </w:t>
      </w:r>
      <w:r w:rsidRPr="00541F96">
        <w:rPr>
          <w:b/>
          <w:bCs/>
          <w:i/>
          <w:iCs/>
        </w:rPr>
        <w:t>Renta Nacional Bruta</w:t>
      </w:r>
      <w:r>
        <w:t>.</w:t>
      </w:r>
    </w:p>
    <w:p w14:paraId="13E57749" w14:textId="4B0C17F8" w:rsidR="00E370A1" w:rsidRDefault="00E370A1" w:rsidP="009B15E8">
      <w:pPr>
        <w:pStyle w:val="Nivel2SM"/>
        <w:keepLines/>
      </w:pPr>
      <w:r>
        <w:t xml:space="preserve">La </w:t>
      </w:r>
      <w:r w:rsidR="00E14BF7" w:rsidRPr="00541F96">
        <w:rPr>
          <w:i/>
          <w:iCs/>
        </w:rPr>
        <w:t>R</w:t>
      </w:r>
      <w:r w:rsidRPr="00541F96">
        <w:rPr>
          <w:i/>
          <w:iCs/>
        </w:rPr>
        <w:t xml:space="preserve">enta </w:t>
      </w:r>
      <w:r w:rsidR="00E14BF7" w:rsidRPr="00541F96">
        <w:rPr>
          <w:i/>
          <w:iCs/>
        </w:rPr>
        <w:t>N</w:t>
      </w:r>
      <w:r w:rsidRPr="00541F96">
        <w:rPr>
          <w:i/>
          <w:iCs/>
        </w:rPr>
        <w:t xml:space="preserve">acional </w:t>
      </w:r>
      <w:r w:rsidR="00E14BF7" w:rsidRPr="00541F96">
        <w:rPr>
          <w:i/>
          <w:iCs/>
        </w:rPr>
        <w:t>B</w:t>
      </w:r>
      <w:r w:rsidRPr="00541F96">
        <w:rPr>
          <w:i/>
          <w:iCs/>
        </w:rPr>
        <w:t>ruta</w:t>
      </w:r>
      <w:r w:rsidRPr="00541F96">
        <w:t xml:space="preserve"> </w:t>
      </w:r>
      <w:r>
        <w:t xml:space="preserve">(a precios de mercado) representa la </w:t>
      </w:r>
      <w:r w:rsidRPr="009038A1">
        <w:rPr>
          <w:u w:val="single"/>
        </w:rPr>
        <w:t>renta primaria total a cobrar por las unidades institucionales residentes</w:t>
      </w:r>
      <w:r w:rsidR="009B15E8" w:rsidRPr="009B15E8">
        <w:rPr>
          <w:rStyle w:val="Refdenotaalpie"/>
        </w:rPr>
        <w:footnoteReference w:id="25"/>
      </w:r>
      <w:r>
        <w:t xml:space="preserve">: remuneración de los asalariados, impuestos menos subvenciones a la producción y las importaciones, rentas de la propiedad (la diferencia entre las rentas a cobrar y a pagar), excedente </w:t>
      </w:r>
      <w:r w:rsidR="000E3A35">
        <w:t xml:space="preserve">bruto </w:t>
      </w:r>
      <w:r>
        <w:t>de explotación y renta mixta bruta.</w:t>
      </w:r>
    </w:p>
    <w:p w14:paraId="16C9A4DA" w14:textId="44A53F28" w:rsidR="00E370A1" w:rsidRDefault="00E370A1" w:rsidP="007D1D96">
      <w:pPr>
        <w:pStyle w:val="Nivel1SM"/>
        <w:keepNext/>
        <w:spacing w:after="0"/>
      </w:pPr>
      <w:r>
        <w:t xml:space="preserve">La </w:t>
      </w:r>
      <w:r w:rsidR="00541F96">
        <w:t>R</w:t>
      </w:r>
      <w:r>
        <w:t xml:space="preserve">enta </w:t>
      </w:r>
      <w:r w:rsidR="00541F96">
        <w:t>N</w:t>
      </w:r>
      <w:r>
        <w:t xml:space="preserve">acional </w:t>
      </w:r>
      <w:r w:rsidR="00541F96">
        <w:t>B</w:t>
      </w:r>
      <w:r>
        <w:t>ruta (a precios de mercado) es igual al PIB, menos las rentas primarias a pagar por las unidades institucionales residentes a unidades institucionales no residentes, más las rentas primarias del resto del mundo a cobrar por las unidades institucionales residentes.</w:t>
      </w:r>
    </w:p>
    <w:p w14:paraId="231FCC4D" w14:textId="28B000F5" w:rsidR="00B164F8" w:rsidRPr="00B164F8" w:rsidRDefault="00E370A1" w:rsidP="007D1D96">
      <w:pPr>
        <w:pStyle w:val="Nivel2SM"/>
      </w:pPr>
      <w:r>
        <w:t xml:space="preserve">La </w:t>
      </w:r>
      <w:r w:rsidR="007D1D96">
        <w:t>R</w:t>
      </w:r>
      <w:r>
        <w:t xml:space="preserve">enta </w:t>
      </w:r>
      <w:r w:rsidR="007D1D96">
        <w:t>N</w:t>
      </w:r>
      <w:r>
        <w:t>acional no es un concepto de producción sino un concepto de renta, que resulta más significativo si se expresa en términos netos, es decir, después de deducir el consumo de capital fijo.</w:t>
      </w:r>
    </w:p>
    <w:p w14:paraId="5F16AF10" w14:textId="457759FE" w:rsidR="00592177" w:rsidRDefault="007C252C" w:rsidP="00592177">
      <w:pPr>
        <w:pStyle w:val="Ttulo3"/>
      </w:pPr>
      <w:bookmarkStart w:id="62" w:name="_Toc83554007"/>
      <w:bookmarkStart w:id="63" w:name="_Toc174116205"/>
      <w:r>
        <w:t>C</w:t>
      </w:r>
      <w:r w:rsidR="00592177">
        <w:t>uenta de distribución secundaria de renta (C.II.2)</w:t>
      </w:r>
      <w:bookmarkEnd w:id="62"/>
      <w:bookmarkEnd w:id="63"/>
    </w:p>
    <w:p w14:paraId="3AB84D14" w14:textId="77777777" w:rsidR="007D1D96" w:rsidRDefault="007D1D96" w:rsidP="00FA6AEF">
      <w:pPr>
        <w:pStyle w:val="Ttulo6"/>
        <w:spacing w:before="0"/>
      </w:pPr>
      <w:bookmarkStart w:id="64" w:name="_Toc174116206"/>
      <w:r>
        <w:t>Definición</w:t>
      </w:r>
      <w:bookmarkEnd w:id="64"/>
    </w:p>
    <w:p w14:paraId="6710C11C" w14:textId="77777777" w:rsidR="009B15E8" w:rsidRDefault="00CA2EC7" w:rsidP="00FA6AEF">
      <w:pPr>
        <w:pStyle w:val="Nivel1SM"/>
        <w:keepNext/>
        <w:spacing w:before="0" w:after="0"/>
      </w:pPr>
      <w:r w:rsidRPr="00CA2EC7">
        <w:t xml:space="preserve">Hay otros intercambios de renta que no responden, como en los casos anteriores, a un </w:t>
      </w:r>
      <w:r w:rsidRPr="00CA2EC7">
        <w:rPr>
          <w:i/>
          <w:iCs/>
        </w:rPr>
        <w:t>quid pro quo</w:t>
      </w:r>
      <w:r w:rsidRPr="00CA2EC7">
        <w:t xml:space="preserve"> (renta frente a producto o frente a servicios de factores) sino a una transferencia de rentas de un sector (o país) a otro, bien por obligación (el gobierno recauda impuestos de los hogares o entrega rentas a colectivos como los pensionistas) o bien porque se producen transferencias en el ámbito interior o internacional, como las que tienen lugar entre particulares o en el marco de la Unión Europea.</w:t>
      </w:r>
    </w:p>
    <w:p w14:paraId="0975B36C" w14:textId="5F85C5E8" w:rsidR="00922541" w:rsidRDefault="00922541" w:rsidP="00922541">
      <w:pPr>
        <w:pStyle w:val="Nivel2SM"/>
      </w:pPr>
      <w:r>
        <w:t xml:space="preserve">Estas transferencias de redistribución de las rentas primarias se registran en la </w:t>
      </w:r>
      <w:r>
        <w:rPr>
          <w:i/>
          <w:iCs/>
        </w:rPr>
        <w:t xml:space="preserve">cuenta de distribución secundaria de la </w:t>
      </w:r>
      <w:r w:rsidRPr="00922541">
        <w:rPr>
          <w:i/>
          <w:iCs/>
        </w:rPr>
        <w:t>renta</w:t>
      </w:r>
      <w:r>
        <w:t>.</w:t>
      </w:r>
    </w:p>
    <w:p w14:paraId="457D87D3" w14:textId="27CCE83D" w:rsidR="00CA2EC7" w:rsidRDefault="00CA2EC7" w:rsidP="00922541">
      <w:pPr>
        <w:pStyle w:val="Nivel2SM"/>
      </w:pPr>
      <w:r w:rsidRPr="00922541">
        <w:t>Estas</w:t>
      </w:r>
      <w:r w:rsidRPr="00CA2EC7">
        <w:t xml:space="preserve"> transferencias permiten que </w:t>
      </w:r>
      <w:r w:rsidR="00B3209E">
        <w:t xml:space="preserve">la renta de la que dispone </w:t>
      </w:r>
      <w:r w:rsidRPr="00CA2EC7">
        <w:t xml:space="preserve">un sector difiera de su generación de renta, o que parte de las rentas generadas en un país se transfieran a otros. Por lo que de la RNB se pasa a la </w:t>
      </w:r>
      <w:r w:rsidRPr="00155802">
        <w:rPr>
          <w:i/>
          <w:iCs/>
        </w:rPr>
        <w:t>renta nacional disponible bruta</w:t>
      </w:r>
      <w:r w:rsidRPr="00CA2EC7">
        <w:t xml:space="preserve"> (RNDB).</w:t>
      </w:r>
    </w:p>
    <w:p w14:paraId="326442BE" w14:textId="7D158081" w:rsidR="000E3A35" w:rsidRDefault="009B15E8" w:rsidP="009B15E8">
      <w:pPr>
        <w:pStyle w:val="Nivel1SM"/>
        <w:keepNext/>
        <w:spacing w:after="0"/>
      </w:pPr>
      <w:r>
        <w:lastRenderedPageBreak/>
        <w:t>E</w:t>
      </w:r>
      <w:r w:rsidR="000E3A35">
        <w:t>n esta cuenta juegan un papel importante las administraciones públicas como perceptores de impuestos y como donantes de transferencias a los hogares.</w:t>
      </w:r>
    </w:p>
    <w:p w14:paraId="35DDA0E0" w14:textId="562E4847" w:rsidR="000E3A35" w:rsidRDefault="000E3A35" w:rsidP="009B15E8">
      <w:pPr>
        <w:pStyle w:val="Nivel2SM"/>
        <w:keepNext/>
        <w:spacing w:after="0"/>
      </w:pPr>
      <w:r>
        <w:t>De este modo, las partidas relevantes en la distribución son:</w:t>
      </w:r>
    </w:p>
    <w:p w14:paraId="4897B79D" w14:textId="51EB4A27" w:rsidR="000E3A35" w:rsidRPr="009B15E8" w:rsidRDefault="000E3A35" w:rsidP="009B15E8">
      <w:pPr>
        <w:pStyle w:val="Nivel3SM"/>
        <w:rPr>
          <w:spacing w:val="-2"/>
        </w:rPr>
      </w:pPr>
      <w:r w:rsidRPr="009B15E8">
        <w:rPr>
          <w:i/>
          <w:iCs/>
          <w:spacing w:val="-2"/>
        </w:rPr>
        <w:t>Impuestos corrientes sobre la renta y el patrimonio</w:t>
      </w:r>
      <w:r w:rsidR="000259BD" w:rsidRPr="009B15E8">
        <w:rPr>
          <w:spacing w:val="-2"/>
        </w:rPr>
        <w:t xml:space="preserve"> (impuestos directos)</w:t>
      </w:r>
      <w:r w:rsidRPr="009B15E8">
        <w:rPr>
          <w:spacing w:val="-2"/>
        </w:rPr>
        <w:t xml:space="preserve">: </w:t>
      </w:r>
      <w:r w:rsidR="00B3209E">
        <w:rPr>
          <w:spacing w:val="-2"/>
        </w:rPr>
        <w:t>P</w:t>
      </w:r>
      <w:r w:rsidRPr="009B15E8">
        <w:rPr>
          <w:spacing w:val="-2"/>
        </w:rPr>
        <w:t>agos obligatorios sin contrapartida directa realizados por las uni</w:t>
      </w:r>
      <w:r w:rsidR="000259BD" w:rsidRPr="009B15E8">
        <w:rPr>
          <w:spacing w:val="-2"/>
        </w:rPr>
        <w:t>dades institucionales a las administraciones públicas. Constituyen, por lo general, la mayor parte de los ingresos de las administraciones públicas. Se introducen en esta cuenta porque tienen finalidad redistributiva.</w:t>
      </w:r>
    </w:p>
    <w:p w14:paraId="3EA08E9D" w14:textId="52479DEF" w:rsidR="000259BD" w:rsidRDefault="000259BD" w:rsidP="009B15E8">
      <w:pPr>
        <w:pStyle w:val="Nivel3SM"/>
      </w:pPr>
      <w:r>
        <w:rPr>
          <w:i/>
          <w:iCs/>
        </w:rPr>
        <w:t>Cotizaciones sociales</w:t>
      </w:r>
      <w:r w:rsidRPr="000259BD">
        <w:t>:</w:t>
      </w:r>
      <w:r>
        <w:t xml:space="preserve"> </w:t>
      </w:r>
      <w:r w:rsidR="00B3209E">
        <w:t>P</w:t>
      </w:r>
      <w:r>
        <w:t>agos de los hogares a los sistemas sociales con el fin de asegurar el pago de prestaciones sociales. Comprenden cotizaciones a cargo de los empleadores y cotizaciones a cargo de los hogares.</w:t>
      </w:r>
    </w:p>
    <w:p w14:paraId="0C91C311" w14:textId="13A8DB67" w:rsidR="000259BD" w:rsidRPr="009B15E8" w:rsidRDefault="000259BD" w:rsidP="009B15E8">
      <w:pPr>
        <w:pStyle w:val="Nivel3SM"/>
        <w:rPr>
          <w:spacing w:val="-1"/>
        </w:rPr>
      </w:pPr>
      <w:r w:rsidRPr="009B15E8">
        <w:rPr>
          <w:i/>
          <w:iCs/>
          <w:spacing w:val="-1"/>
        </w:rPr>
        <w:t>Cotizaciones imputadas</w:t>
      </w:r>
      <w:r w:rsidRPr="009B15E8">
        <w:rPr>
          <w:spacing w:val="-1"/>
        </w:rPr>
        <w:t>: Cuando el empleador es la propia administración pública se imputan las cotizaciones sociales que la administración pública debería pagarse a sí misma.</w:t>
      </w:r>
    </w:p>
    <w:p w14:paraId="4FF5C094" w14:textId="10CED23B" w:rsidR="000259BD" w:rsidRPr="000259BD" w:rsidRDefault="000259BD" w:rsidP="009B15E8">
      <w:pPr>
        <w:pStyle w:val="Nivel3SM"/>
      </w:pPr>
      <w:r>
        <w:rPr>
          <w:i/>
          <w:iCs/>
        </w:rPr>
        <w:t>Prestaciones sociales</w:t>
      </w:r>
      <w:r w:rsidRPr="000259BD">
        <w:t>:</w:t>
      </w:r>
      <w:r w:rsidR="003F6BAB">
        <w:t xml:space="preserve"> Se trata de transferencias corrientes que reciben los hogares bajo ciertas circunstancias como por ejemplo enfermedad, desempleo, jubilación… (se excluyen en esta cuenta las prestaciones en especie).</w:t>
      </w:r>
    </w:p>
    <w:p w14:paraId="54FC73F5" w14:textId="75499AE5" w:rsidR="000259BD" w:rsidRDefault="000259BD" w:rsidP="009B15E8">
      <w:pPr>
        <w:pStyle w:val="Nivel3SM"/>
      </w:pPr>
      <w:r>
        <w:rPr>
          <w:i/>
          <w:iCs/>
        </w:rPr>
        <w:t>Otras transferencias corrientes</w:t>
      </w:r>
      <w:r>
        <w:t xml:space="preserve">: </w:t>
      </w:r>
      <w:r w:rsidR="00B3209E">
        <w:t>S</w:t>
      </w:r>
      <w:r>
        <w:t>on aquellas transferencias que no son de capital, es decir que no se vinculan a la adquisición de un activo (ya sea financiero o no financiero). Estas transferencias sí que afectan directamente el nivel de ingreso primario ya que suponen más renta para el receptor.</w:t>
      </w:r>
    </w:p>
    <w:p w14:paraId="7C78777D" w14:textId="6F201A07" w:rsidR="00402A32" w:rsidRDefault="00402A32" w:rsidP="00402A32">
      <w:pPr>
        <w:pStyle w:val="Ttulo6"/>
      </w:pPr>
      <w:bookmarkStart w:id="65" w:name="_Toc174116207"/>
      <w:r>
        <w:t>Empleos y recursos</w:t>
      </w:r>
      <w:bookmarkEnd w:id="65"/>
    </w:p>
    <w:p w14:paraId="6CB97EAC" w14:textId="7B36B2DB" w:rsidR="000E3A35" w:rsidRPr="000E3A35" w:rsidRDefault="000E3A35" w:rsidP="00CA2EC7">
      <w:r>
        <w:t xml:space="preserve">Se parte del saldo de la cuenta anterior: la renta nacional bruta, que se registra en </w:t>
      </w:r>
      <w:r>
        <w:rPr>
          <w:b/>
          <w:bCs/>
        </w:rPr>
        <w:t>recursos</w:t>
      </w:r>
      <w:r>
        <w:t>. A esta, se le suman los impuestos y prestaciones sociales recibidos</w:t>
      </w: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19"/>
        <w:gridCol w:w="4819"/>
      </w:tblGrid>
      <w:tr w:rsidR="00B164F8" w:rsidRPr="00C572A3" w14:paraId="1496A5BF" w14:textId="77777777" w:rsidTr="00402A32">
        <w:trPr>
          <w:jc w:val="center"/>
        </w:trPr>
        <w:tc>
          <w:tcPr>
            <w:tcW w:w="9638" w:type="dxa"/>
            <w:gridSpan w:val="2"/>
            <w:tcBorders>
              <w:bottom w:val="single" w:sz="2" w:space="0" w:color="FFFFFF" w:themeColor="background1"/>
            </w:tcBorders>
          </w:tcPr>
          <w:p w14:paraId="283F0459" w14:textId="4894A003" w:rsidR="00B164F8" w:rsidRPr="00C572A3" w:rsidRDefault="00B164F8" w:rsidP="00E97E64">
            <w:pPr>
              <w:keepNext/>
              <w:keepLines/>
              <w:spacing w:after="0"/>
              <w:jc w:val="center"/>
              <w:rPr>
                <w:i/>
                <w:iCs/>
              </w:rPr>
            </w:pPr>
            <w:r>
              <w:rPr>
                <w:i/>
                <w:iCs/>
              </w:rPr>
              <w:t>C.II.2.</w:t>
            </w:r>
            <w:r w:rsidR="00FA6AEF">
              <w:rPr>
                <w:i/>
                <w:iCs/>
              </w:rPr>
              <w:t> </w:t>
            </w:r>
            <w:r>
              <w:rPr>
                <w:i/>
                <w:iCs/>
              </w:rPr>
              <w:t>Cuenta de distribución secundaria de renta</w:t>
            </w:r>
          </w:p>
        </w:tc>
      </w:tr>
      <w:tr w:rsidR="00B164F8" w:rsidRPr="00C572A3" w14:paraId="12E764DF" w14:textId="77777777" w:rsidTr="00402A32">
        <w:trPr>
          <w:jc w:val="center"/>
        </w:trPr>
        <w:tc>
          <w:tcPr>
            <w:tcW w:w="4819" w:type="dxa"/>
            <w:tcBorders>
              <w:top w:val="single" w:sz="2" w:space="0" w:color="FFFFFF" w:themeColor="background1"/>
              <w:right w:val="single" w:sz="2" w:space="0" w:color="FFFFFF" w:themeColor="background1"/>
            </w:tcBorders>
          </w:tcPr>
          <w:p w14:paraId="72615AF0" w14:textId="77777777" w:rsidR="00B164F8" w:rsidRPr="00C572A3" w:rsidRDefault="00B164F8" w:rsidP="00E97E64">
            <w:pPr>
              <w:keepNext/>
              <w:keepLines/>
              <w:spacing w:after="0"/>
              <w:jc w:val="center"/>
              <w:rPr>
                <w:i/>
                <w:iCs/>
              </w:rPr>
            </w:pPr>
            <w:r>
              <w:rPr>
                <w:i/>
                <w:iCs/>
              </w:rPr>
              <w:t>Empleos</w:t>
            </w:r>
          </w:p>
        </w:tc>
        <w:tc>
          <w:tcPr>
            <w:tcW w:w="4819" w:type="dxa"/>
            <w:tcBorders>
              <w:top w:val="single" w:sz="2" w:space="0" w:color="FFFFFF" w:themeColor="background1"/>
              <w:left w:val="single" w:sz="2" w:space="0" w:color="FFFFFF" w:themeColor="background1"/>
            </w:tcBorders>
          </w:tcPr>
          <w:p w14:paraId="1BEA9F21" w14:textId="77777777" w:rsidR="00B164F8" w:rsidRPr="00C572A3" w:rsidRDefault="00B164F8" w:rsidP="00E97E64">
            <w:pPr>
              <w:keepNext/>
              <w:keepLines/>
              <w:spacing w:after="0"/>
              <w:jc w:val="center"/>
              <w:rPr>
                <w:i/>
                <w:iCs/>
              </w:rPr>
            </w:pPr>
            <w:r>
              <w:rPr>
                <w:i/>
                <w:iCs/>
              </w:rPr>
              <w:t>Recurs</w:t>
            </w:r>
            <w:r w:rsidRPr="00C572A3">
              <w:rPr>
                <w:i/>
                <w:iCs/>
              </w:rPr>
              <w:t>os</w:t>
            </w:r>
          </w:p>
        </w:tc>
      </w:tr>
      <w:tr w:rsidR="00B164F8" w14:paraId="1AF9E9B1" w14:textId="77777777" w:rsidTr="00402A32">
        <w:trPr>
          <w:jc w:val="center"/>
        </w:trPr>
        <w:tc>
          <w:tcPr>
            <w:tcW w:w="4819" w:type="dxa"/>
          </w:tcPr>
          <w:p w14:paraId="0D2B30DD" w14:textId="0590FAD2" w:rsidR="00B164F8" w:rsidRDefault="00B164F8" w:rsidP="00F451A1">
            <w:pPr>
              <w:pStyle w:val="Nivel2"/>
              <w:ind w:left="113"/>
            </w:pPr>
            <w:r>
              <w:t xml:space="preserve">Impuestos corrientes sobre la renta, el patrimonio, etc. </w:t>
            </w:r>
            <w:r w:rsidRPr="00454430">
              <w:rPr>
                <w:color w:val="595959" w:themeColor="text1" w:themeTint="A6"/>
                <w:sz w:val="16"/>
                <w:szCs w:val="16"/>
              </w:rPr>
              <w:t>(pagados)</w:t>
            </w:r>
          </w:p>
          <w:p w14:paraId="4CFE4CB3" w14:textId="70D7AB18" w:rsidR="00B164F8" w:rsidRPr="00155802" w:rsidRDefault="00B164F8" w:rsidP="00F451A1">
            <w:pPr>
              <w:pStyle w:val="Nivel2SM"/>
              <w:keepNext/>
              <w:keepLines/>
              <w:ind w:left="113"/>
              <w:contextualSpacing w:val="0"/>
              <w:jc w:val="left"/>
              <w:rPr>
                <w:color w:val="595959" w:themeColor="text1" w:themeTint="A6"/>
                <w:sz w:val="18"/>
                <w:szCs w:val="20"/>
              </w:rPr>
            </w:pPr>
            <w:r>
              <w:t xml:space="preserve">Cotizaciones sociales </w:t>
            </w:r>
            <w:r w:rsidRPr="00454430">
              <w:rPr>
                <w:color w:val="595959" w:themeColor="text1" w:themeTint="A6"/>
                <w:sz w:val="16"/>
                <w:szCs w:val="16"/>
              </w:rPr>
              <w:t>(en hogares)</w:t>
            </w:r>
          </w:p>
          <w:p w14:paraId="502EEB20" w14:textId="7B00A875" w:rsidR="00B164F8" w:rsidRDefault="00B164F8" w:rsidP="00F451A1">
            <w:pPr>
              <w:pStyle w:val="Nivel2SM"/>
              <w:keepNext/>
              <w:keepLines/>
              <w:ind w:left="113"/>
              <w:contextualSpacing w:val="0"/>
              <w:jc w:val="left"/>
            </w:pPr>
            <w:r>
              <w:t xml:space="preserve">Prestaciones sociales distintas de las transferencias sociales en especie </w:t>
            </w:r>
            <w:r w:rsidRPr="00454430">
              <w:rPr>
                <w:color w:val="595959" w:themeColor="text1" w:themeTint="A6"/>
                <w:sz w:val="16"/>
                <w:szCs w:val="16"/>
              </w:rPr>
              <w:t>(pagadas)</w:t>
            </w:r>
          </w:p>
          <w:p w14:paraId="0E153432" w14:textId="05EDBCBC" w:rsidR="00B164F8" w:rsidRDefault="00B164F8" w:rsidP="00F451A1">
            <w:pPr>
              <w:pStyle w:val="Nivel2SM"/>
              <w:keepNext/>
              <w:keepLines/>
              <w:ind w:left="113"/>
              <w:contextualSpacing w:val="0"/>
              <w:jc w:val="left"/>
            </w:pPr>
            <w:r>
              <w:t xml:space="preserve">Otras transferencias corrientes </w:t>
            </w:r>
            <w:r w:rsidRPr="00454430">
              <w:rPr>
                <w:color w:val="595959" w:themeColor="text1" w:themeTint="A6"/>
                <w:sz w:val="16"/>
                <w:szCs w:val="16"/>
              </w:rPr>
              <w:t>(pagadas)</w:t>
            </w:r>
          </w:p>
          <w:p w14:paraId="4FAEE174" w14:textId="23C83A1B" w:rsidR="003F5B96" w:rsidRDefault="003F5B96" w:rsidP="00B164F8">
            <w:pPr>
              <w:pStyle w:val="Nivel2SM"/>
              <w:keepNext/>
              <w:keepLines/>
              <w:numPr>
                <w:ilvl w:val="0"/>
                <w:numId w:val="0"/>
              </w:numPr>
              <w:rPr>
                <w:b/>
                <w:bCs/>
                <w:sz w:val="16"/>
                <w:szCs w:val="16"/>
              </w:rPr>
            </w:pPr>
          </w:p>
          <w:p w14:paraId="5369DB79" w14:textId="1F159D9B" w:rsidR="00B3209E" w:rsidRDefault="00B3209E" w:rsidP="00B164F8">
            <w:pPr>
              <w:pStyle w:val="Nivel2SM"/>
              <w:keepNext/>
              <w:keepLines/>
              <w:numPr>
                <w:ilvl w:val="0"/>
                <w:numId w:val="0"/>
              </w:numPr>
              <w:rPr>
                <w:b/>
                <w:bCs/>
                <w:sz w:val="16"/>
                <w:szCs w:val="16"/>
              </w:rPr>
            </w:pPr>
          </w:p>
          <w:p w14:paraId="1B4C0553" w14:textId="77777777" w:rsidR="00B3209E" w:rsidRPr="000A035B" w:rsidRDefault="00B3209E" w:rsidP="00B164F8">
            <w:pPr>
              <w:pStyle w:val="Nivel2SM"/>
              <w:keepNext/>
              <w:keepLines/>
              <w:numPr>
                <w:ilvl w:val="0"/>
                <w:numId w:val="0"/>
              </w:numPr>
              <w:rPr>
                <w:b/>
                <w:bCs/>
                <w:sz w:val="16"/>
                <w:szCs w:val="16"/>
              </w:rPr>
            </w:pPr>
          </w:p>
          <w:p w14:paraId="5E801723" w14:textId="6A84B982" w:rsidR="00B164F8" w:rsidRPr="00AA77FA" w:rsidRDefault="003B5583" w:rsidP="003B5583">
            <w:pPr>
              <w:pStyle w:val="Nivel2SM"/>
              <w:keepNext/>
              <w:keepLines/>
              <w:numPr>
                <w:ilvl w:val="0"/>
                <w:numId w:val="0"/>
              </w:numPr>
              <w:spacing w:after="40"/>
              <w:contextualSpacing w:val="0"/>
              <w:jc w:val="left"/>
              <w:rPr>
                <w:b/>
                <w:bCs/>
              </w:rPr>
            </w:pPr>
            <w:r>
              <w:rPr>
                <w:b/>
                <w:bCs/>
              </w:rPr>
              <w:t xml:space="preserve">Renta Disponible Bruta / </w:t>
            </w:r>
            <w:r>
              <w:rPr>
                <w:b/>
                <w:bCs/>
              </w:rPr>
              <w:br/>
            </w:r>
            <w:r w:rsidR="00B164F8">
              <w:rPr>
                <w:b/>
                <w:bCs/>
              </w:rPr>
              <w:t>Renta Nacional Disponible Bruta</w:t>
            </w:r>
          </w:p>
        </w:tc>
        <w:tc>
          <w:tcPr>
            <w:tcW w:w="4819" w:type="dxa"/>
          </w:tcPr>
          <w:p w14:paraId="730483A9" w14:textId="3B0B2D2F" w:rsidR="00B164F8" w:rsidRPr="00B164F8" w:rsidRDefault="00B164F8" w:rsidP="00F451A1">
            <w:pPr>
              <w:pStyle w:val="Nivel2SM"/>
              <w:keepNext/>
              <w:keepLines/>
              <w:ind w:left="113"/>
              <w:contextualSpacing w:val="0"/>
              <w:rPr>
                <w:b/>
                <w:bCs/>
              </w:rPr>
            </w:pPr>
            <w:r>
              <w:rPr>
                <w:b/>
                <w:bCs/>
              </w:rPr>
              <w:t>Renta Nacional Bruta</w:t>
            </w:r>
          </w:p>
          <w:p w14:paraId="026B216C" w14:textId="77777777" w:rsidR="00B164F8" w:rsidRDefault="00B164F8" w:rsidP="00F451A1">
            <w:pPr>
              <w:pStyle w:val="Nivel2SM"/>
              <w:keepNext/>
              <w:keepLines/>
              <w:ind w:left="113"/>
              <w:contextualSpacing w:val="0"/>
              <w:jc w:val="left"/>
            </w:pPr>
            <w:r>
              <w:t xml:space="preserve">Impuestos corrientes sobre la renta, el patrimonio, etc. </w:t>
            </w:r>
            <w:r w:rsidRPr="00454430">
              <w:rPr>
                <w:color w:val="595959" w:themeColor="text1" w:themeTint="A6"/>
                <w:sz w:val="16"/>
                <w:szCs w:val="16"/>
              </w:rPr>
              <w:t>(recibidos)</w:t>
            </w:r>
          </w:p>
          <w:p w14:paraId="27081320" w14:textId="59C5AAEF" w:rsidR="00B164F8" w:rsidRDefault="00B164F8" w:rsidP="00F451A1">
            <w:pPr>
              <w:pStyle w:val="Nivel2SM"/>
              <w:keepNext/>
              <w:keepLines/>
              <w:ind w:left="113"/>
              <w:contextualSpacing w:val="0"/>
              <w:jc w:val="left"/>
            </w:pPr>
            <w:r>
              <w:t xml:space="preserve">Cotizaciones sociales </w:t>
            </w:r>
            <w:r w:rsidRPr="00454430">
              <w:rPr>
                <w:color w:val="595959" w:themeColor="text1" w:themeTint="A6"/>
                <w:sz w:val="16"/>
                <w:szCs w:val="16"/>
              </w:rPr>
              <w:t>(en Administraciones Públicas e Instituciones Financieras)</w:t>
            </w:r>
          </w:p>
          <w:p w14:paraId="0F3B792E" w14:textId="20C9D820" w:rsidR="00B164F8" w:rsidRDefault="00B164F8" w:rsidP="00F451A1">
            <w:pPr>
              <w:pStyle w:val="Nivel2SM"/>
              <w:keepNext/>
              <w:keepLines/>
              <w:ind w:left="113"/>
              <w:contextualSpacing w:val="0"/>
              <w:jc w:val="left"/>
            </w:pPr>
            <w:r>
              <w:t xml:space="preserve">Prestaciones sociales distintas de las transferencias sociales en especie </w:t>
            </w:r>
            <w:r w:rsidRPr="00454430">
              <w:rPr>
                <w:color w:val="595959" w:themeColor="text1" w:themeTint="A6"/>
                <w:sz w:val="16"/>
                <w:szCs w:val="18"/>
              </w:rPr>
              <w:t>(recibidas)</w:t>
            </w:r>
          </w:p>
          <w:p w14:paraId="0709B88F" w14:textId="0AB1959F" w:rsidR="00B164F8" w:rsidRDefault="00B164F8" w:rsidP="00F451A1">
            <w:pPr>
              <w:pStyle w:val="Nivel2SM"/>
              <w:keepNext/>
              <w:keepLines/>
              <w:ind w:left="113"/>
              <w:contextualSpacing w:val="0"/>
              <w:jc w:val="left"/>
            </w:pPr>
            <w:r>
              <w:t xml:space="preserve">Otras transferencias corrientes </w:t>
            </w:r>
            <w:r w:rsidRPr="00454430">
              <w:rPr>
                <w:color w:val="595959" w:themeColor="text1" w:themeTint="A6"/>
                <w:sz w:val="16"/>
                <w:szCs w:val="18"/>
              </w:rPr>
              <w:t>(recibidas)</w:t>
            </w:r>
          </w:p>
        </w:tc>
      </w:tr>
    </w:tbl>
    <w:p w14:paraId="5A420772" w14:textId="5CA48CC8" w:rsidR="00402A32" w:rsidRDefault="00402A32" w:rsidP="00402A32">
      <w:pPr>
        <w:pStyle w:val="Ttulo6"/>
        <w:spacing w:before="240"/>
      </w:pPr>
      <w:bookmarkStart w:id="66" w:name="_Toc174116208"/>
      <w:r>
        <w:t>Saldo y macromagnitudes relevantes</w:t>
      </w:r>
      <w:bookmarkEnd w:id="66"/>
    </w:p>
    <w:p w14:paraId="76EDF2DB" w14:textId="3D9362CC" w:rsidR="004B3B48" w:rsidRDefault="004B3B48" w:rsidP="00402A32">
      <w:r>
        <w:t xml:space="preserve">La </w:t>
      </w:r>
      <w:r w:rsidR="00440EDE">
        <w:rPr>
          <w:b/>
          <w:bCs/>
          <w:i/>
          <w:iCs/>
        </w:rPr>
        <w:t>R</w:t>
      </w:r>
      <w:r w:rsidRPr="004B3B48">
        <w:rPr>
          <w:b/>
          <w:bCs/>
          <w:i/>
          <w:iCs/>
        </w:rPr>
        <w:t xml:space="preserve">enta </w:t>
      </w:r>
      <w:r w:rsidR="00440EDE">
        <w:rPr>
          <w:b/>
          <w:bCs/>
          <w:i/>
          <w:iCs/>
        </w:rPr>
        <w:t>N</w:t>
      </w:r>
      <w:r w:rsidRPr="004B3B48">
        <w:rPr>
          <w:b/>
          <w:bCs/>
          <w:i/>
          <w:iCs/>
        </w:rPr>
        <w:t xml:space="preserve">acional </w:t>
      </w:r>
      <w:r w:rsidR="00440EDE">
        <w:rPr>
          <w:b/>
          <w:bCs/>
          <w:i/>
          <w:iCs/>
        </w:rPr>
        <w:t>D</w:t>
      </w:r>
      <w:r w:rsidRPr="004B3B48">
        <w:rPr>
          <w:b/>
          <w:bCs/>
          <w:i/>
          <w:iCs/>
        </w:rPr>
        <w:t xml:space="preserve">isponible </w:t>
      </w:r>
      <w:r w:rsidR="00440EDE">
        <w:rPr>
          <w:b/>
          <w:bCs/>
          <w:i/>
          <w:iCs/>
        </w:rPr>
        <w:t>B</w:t>
      </w:r>
      <w:r w:rsidRPr="004B3B48">
        <w:rPr>
          <w:b/>
          <w:bCs/>
          <w:i/>
          <w:iCs/>
        </w:rPr>
        <w:t>ruta</w:t>
      </w:r>
      <w:r>
        <w:t xml:space="preserve"> es la suma de las rentas disponibles brutas de los sectores institucionales. La renta nacional disponible bruta es igual a la renta nacional bruta menos las transferencias corrientes a pagar a unidades no residentes, más las transferencias corrientes del resto del mundo a cobrar por las unidades residentes.</w:t>
      </w:r>
    </w:p>
    <w:p w14:paraId="769A7047" w14:textId="2FB9BBAF" w:rsidR="00592177" w:rsidRDefault="007C252C" w:rsidP="00592177">
      <w:pPr>
        <w:pStyle w:val="Ttulo3"/>
      </w:pPr>
      <w:bookmarkStart w:id="67" w:name="_Toc83554008"/>
      <w:bookmarkStart w:id="68" w:name="_Toc174116209"/>
      <w:r>
        <w:lastRenderedPageBreak/>
        <w:t>C</w:t>
      </w:r>
      <w:r w:rsidR="00592177">
        <w:t>uenta de redistribución de la renta en especie (C.II.3)</w:t>
      </w:r>
      <w:bookmarkEnd w:id="67"/>
      <w:bookmarkEnd w:id="68"/>
    </w:p>
    <w:p w14:paraId="0361F90D" w14:textId="64E3B702" w:rsidR="00402A32" w:rsidRPr="00402A32" w:rsidRDefault="00402A32" w:rsidP="00FA6AEF">
      <w:pPr>
        <w:pStyle w:val="Ttulo6"/>
        <w:spacing w:before="0"/>
      </w:pPr>
      <w:bookmarkStart w:id="69" w:name="_Toc174116210"/>
      <w:r>
        <w:t>Definición</w:t>
      </w:r>
      <w:bookmarkEnd w:id="69"/>
    </w:p>
    <w:p w14:paraId="0DF92007" w14:textId="5C2B0FD6" w:rsidR="007C6321" w:rsidRDefault="007C6321" w:rsidP="00FA6AEF">
      <w:pPr>
        <w:pStyle w:val="Nivel1SM"/>
        <w:keepNext/>
        <w:spacing w:before="0" w:after="0"/>
      </w:pPr>
      <w:r>
        <w:t xml:space="preserve">La </w:t>
      </w:r>
      <w:r w:rsidRPr="007C6321">
        <w:rPr>
          <w:i/>
          <w:iCs/>
        </w:rPr>
        <w:t>cuenta de redistribución de la renta en especie</w:t>
      </w:r>
      <w:r>
        <w:t xml:space="preserve"> tiene como finalidad registrar las transferencias sociales en especie realizadas desde el sector AAPP e ISFLSH al sector de los hogares.</w:t>
      </w:r>
    </w:p>
    <w:p w14:paraId="6D55EB74" w14:textId="77777777" w:rsidR="007C6321" w:rsidRDefault="007C6321" w:rsidP="007C6321">
      <w:pPr>
        <w:pStyle w:val="Nivel2SM"/>
        <w:keepNext/>
        <w:spacing w:after="0"/>
      </w:pPr>
      <w:r>
        <w:t>Esta cuenta n</w:t>
      </w:r>
      <w:r w:rsidRPr="005B681A">
        <w:t>o produce ninguna alteración de la renta del país</w:t>
      </w:r>
      <w:r>
        <w:t>.</w:t>
      </w:r>
    </w:p>
    <w:p w14:paraId="40BA4237" w14:textId="77777777" w:rsidR="007C6321" w:rsidRDefault="007C6321" w:rsidP="007C6321">
      <w:pPr>
        <w:pStyle w:val="Nivel3SM"/>
      </w:pPr>
      <w:r>
        <w:t>Es decir,</w:t>
      </w:r>
      <w:r w:rsidRPr="005B681A">
        <w:t xml:space="preserve"> a nivel </w:t>
      </w:r>
      <w:r>
        <w:t>nacion</w:t>
      </w:r>
      <w:r w:rsidRPr="005B681A">
        <w:t>al la renta disponible bruta y la renta disponible bruta ajustada coinciden.</w:t>
      </w:r>
    </w:p>
    <w:p w14:paraId="002C45D2" w14:textId="4C5EF8D7" w:rsidR="007C6321" w:rsidRDefault="007C6321" w:rsidP="007C6321">
      <w:pPr>
        <w:pStyle w:val="Nivel3SM"/>
      </w:pPr>
      <w:r>
        <w:t>Sin embargo,</w:t>
      </w:r>
      <w:r w:rsidRPr="005B681A">
        <w:t xml:space="preserve"> a nivel de los sectores es relevante porque da una visión más completa de la renta de los hogares al incluir la utilización de bienes que reciben de forma gratuita como prestaciones sociales en especie y las transferencias de bienes y servicios no de mercado individuales, como sanidad o educación. Son servicios por los que el consumidor no paga.</w:t>
      </w:r>
    </w:p>
    <w:p w14:paraId="18A65F4D" w14:textId="77777777" w:rsidR="007C6321" w:rsidRDefault="007C6321" w:rsidP="007C6321">
      <w:pPr>
        <w:pStyle w:val="Nivel2SM"/>
        <w:keepNext/>
        <w:spacing w:after="0"/>
      </w:pPr>
      <w:r>
        <w:t xml:space="preserve">Por transferencias en especie hablamos de </w:t>
      </w:r>
      <w:r>
        <w:rPr>
          <w:i/>
          <w:iCs/>
        </w:rPr>
        <w:t>prestaciones de seguridad social</w:t>
      </w:r>
      <w:r>
        <w:t xml:space="preserve"> (tratamientos médicos, estancias hospitalarias…), </w:t>
      </w:r>
      <w:r>
        <w:rPr>
          <w:i/>
          <w:iCs/>
        </w:rPr>
        <w:t>prestaciones de asistencia social</w:t>
      </w:r>
      <w:r w:rsidRPr="007C6321">
        <w:t xml:space="preserve"> </w:t>
      </w:r>
      <w:r>
        <w:t>(</w:t>
      </w:r>
      <w:proofErr w:type="gramStart"/>
      <w:r>
        <w:t>guarderías infantiles</w:t>
      </w:r>
      <w:proofErr w:type="gramEnd"/>
      <w:r>
        <w:t>, ayudas para alojamiento…).</w:t>
      </w:r>
    </w:p>
    <w:p w14:paraId="41A2DE7F" w14:textId="77777777" w:rsidR="007C6321" w:rsidRDefault="007C6321" w:rsidP="007C6321">
      <w:pPr>
        <w:pStyle w:val="Nivel3SM"/>
      </w:pPr>
      <w:r>
        <w:t xml:space="preserve">Es decir, se trata de bienes y servicios transferidos gratuitamente </w:t>
      </w:r>
      <w:r w:rsidRPr="007C6321">
        <w:rPr>
          <w:sz w:val="19"/>
          <w:szCs w:val="19"/>
        </w:rPr>
        <w:t>(servicios no de mercado)</w:t>
      </w:r>
      <w:r>
        <w:t>.</w:t>
      </w:r>
    </w:p>
    <w:p w14:paraId="6452DEE2" w14:textId="6E9A1E7F" w:rsidR="007C6321" w:rsidRDefault="007C6321" w:rsidP="007C6321">
      <w:pPr>
        <w:pStyle w:val="Nivel2SM"/>
      </w:pPr>
      <w:r w:rsidRPr="005B681A">
        <w:t xml:space="preserve">Esta cuenta </w:t>
      </w:r>
      <w:r>
        <w:t>“transformará”</w:t>
      </w:r>
      <w:r w:rsidRPr="005B681A">
        <w:t xml:space="preserve"> </w:t>
      </w:r>
      <w:r>
        <w:t xml:space="preserve">la </w:t>
      </w:r>
      <w:r>
        <w:rPr>
          <w:i/>
          <w:iCs/>
        </w:rPr>
        <w:t xml:space="preserve">Renta Disponible Bruta </w:t>
      </w:r>
      <w:r w:rsidRPr="007C6321">
        <w:t>en</w:t>
      </w:r>
      <w:r>
        <w:t xml:space="preserve"> </w:t>
      </w:r>
      <w:r w:rsidRPr="007C6321">
        <w:rPr>
          <w:i/>
          <w:iCs/>
        </w:rPr>
        <w:t>R</w:t>
      </w:r>
      <w:r w:rsidRPr="005B681A">
        <w:rPr>
          <w:i/>
          <w:iCs/>
        </w:rPr>
        <w:t xml:space="preserve">enta </w:t>
      </w:r>
      <w:r>
        <w:rPr>
          <w:i/>
          <w:iCs/>
        </w:rPr>
        <w:t>D</w:t>
      </w:r>
      <w:r w:rsidRPr="005B681A">
        <w:rPr>
          <w:i/>
          <w:iCs/>
        </w:rPr>
        <w:t xml:space="preserve">isponible </w:t>
      </w:r>
      <w:r>
        <w:rPr>
          <w:i/>
          <w:iCs/>
        </w:rPr>
        <w:t>B</w:t>
      </w:r>
      <w:r w:rsidRPr="005B681A">
        <w:rPr>
          <w:i/>
          <w:iCs/>
        </w:rPr>
        <w:t xml:space="preserve">ruta </w:t>
      </w:r>
      <w:r>
        <w:rPr>
          <w:i/>
          <w:iCs/>
        </w:rPr>
        <w:t>A</w:t>
      </w:r>
      <w:r w:rsidRPr="005B681A">
        <w:rPr>
          <w:i/>
          <w:iCs/>
        </w:rPr>
        <w:t>justada (RDBA)</w:t>
      </w:r>
      <w:r>
        <w:t>.</w:t>
      </w:r>
    </w:p>
    <w:p w14:paraId="5B561C9C" w14:textId="77777777" w:rsidR="00A404C9" w:rsidRDefault="00A404C9" w:rsidP="007C6321">
      <w:pPr>
        <w:pStyle w:val="Nivel1SM"/>
        <w:keepNext/>
        <w:spacing w:after="0"/>
      </w:pPr>
      <w:r>
        <w:t xml:space="preserve">Esta cuenta surge por la disyuntiva entre </w:t>
      </w:r>
      <w:r>
        <w:rPr>
          <w:i/>
          <w:iCs/>
        </w:rPr>
        <w:t>gasto público</w:t>
      </w:r>
      <w:r>
        <w:t xml:space="preserve"> y </w:t>
      </w:r>
      <w:r>
        <w:rPr>
          <w:i/>
          <w:iCs/>
        </w:rPr>
        <w:t>consumo colectivo</w:t>
      </w:r>
      <w:r>
        <w:t>:</w:t>
      </w:r>
    </w:p>
    <w:p w14:paraId="6327CE79" w14:textId="3A42BB93" w:rsidR="00A404C9" w:rsidRDefault="00A404C9" w:rsidP="007C6321">
      <w:pPr>
        <w:pStyle w:val="Nivel2SM"/>
      </w:pPr>
      <w:r w:rsidRPr="00A404C9">
        <w:rPr>
          <w:i/>
          <w:iCs/>
        </w:rPr>
        <w:t>Consumo colectivo</w:t>
      </w:r>
      <w:r>
        <w:t xml:space="preserve">: Consumo realizado de forma colectiva por todos los miembros de una comunidad (o parte de ella, como una región). Son servicios que: </w:t>
      </w:r>
      <w:r w:rsidRPr="00FF735D">
        <w:rPr>
          <w:i/>
          <w:iCs/>
        </w:rPr>
        <w:t>a)</w:t>
      </w:r>
      <w:r w:rsidR="00FF735D">
        <w:t> </w:t>
      </w:r>
      <w:r>
        <w:t xml:space="preserve">se prestan de forma colectiva; </w:t>
      </w:r>
      <w:r w:rsidRPr="00FF735D">
        <w:rPr>
          <w:i/>
          <w:iCs/>
        </w:rPr>
        <w:t>b)</w:t>
      </w:r>
      <w:r w:rsidR="00FF735D">
        <w:t> </w:t>
      </w:r>
      <w:r>
        <w:t xml:space="preserve">su uso es público; </w:t>
      </w:r>
      <w:r w:rsidRPr="00FF735D">
        <w:rPr>
          <w:i/>
          <w:iCs/>
        </w:rPr>
        <w:t>c)</w:t>
      </w:r>
      <w:r w:rsidR="00FF735D">
        <w:t> </w:t>
      </w:r>
      <w:r>
        <w:t xml:space="preserve">no requieren un acuerdo explícito de participación; y </w:t>
      </w:r>
      <w:r w:rsidRPr="00FF735D">
        <w:rPr>
          <w:i/>
          <w:iCs/>
        </w:rPr>
        <w:t>d)</w:t>
      </w:r>
      <w:r w:rsidR="00FF735D">
        <w:t> </w:t>
      </w:r>
      <w:r>
        <w:t>no excluye de su uso a otros miembros (no rivalidad).</w:t>
      </w:r>
    </w:p>
    <w:p w14:paraId="00D6E810" w14:textId="1A45ABE5" w:rsidR="00A404C9" w:rsidRDefault="00A404C9" w:rsidP="007C6321">
      <w:pPr>
        <w:pStyle w:val="Nivel2SM"/>
      </w:pPr>
      <w:r>
        <w:rPr>
          <w:i/>
          <w:iCs/>
        </w:rPr>
        <w:t xml:space="preserve">Gasto </w:t>
      </w:r>
      <w:r w:rsidRPr="00A404C9">
        <w:rPr>
          <w:i/>
          <w:iCs/>
        </w:rPr>
        <w:t>público</w:t>
      </w:r>
      <w:r>
        <w:t xml:space="preserve">: Incluye el consumo colectivo y otras categorías de gasto público de consumo que no tienen las características anteriores y que denominaremos </w:t>
      </w:r>
      <w:r>
        <w:rPr>
          <w:i/>
          <w:iCs/>
        </w:rPr>
        <w:t xml:space="preserve">transferencias sociales en </w:t>
      </w:r>
      <w:r w:rsidRPr="009E6742">
        <w:rPr>
          <w:i/>
          <w:iCs/>
        </w:rPr>
        <w:t>especie</w:t>
      </w:r>
      <w:r w:rsidR="00FF735D">
        <w:t xml:space="preserve"> (p.ej. </w:t>
      </w:r>
      <w:r>
        <w:t>sanidad, educación, asistencia social y asuntos culturales</w:t>
      </w:r>
      <w:r w:rsidR="00FF735D">
        <w:t>)</w:t>
      </w:r>
      <w:r>
        <w:t xml:space="preserve">. Estos gastos, por ser susceptibles de individualización, dejan de incluirse en el consumo colectivo, y se incluirán en el </w:t>
      </w:r>
      <w:r>
        <w:rPr>
          <w:i/>
          <w:iCs/>
        </w:rPr>
        <w:t xml:space="preserve">consumo individual efectivo de los </w:t>
      </w:r>
      <w:r w:rsidRPr="00A404C9">
        <w:t>hogares</w:t>
      </w:r>
      <w:r>
        <w:t xml:space="preserve">. </w:t>
      </w:r>
      <w:r w:rsidR="008E4BD4">
        <w:t>Mientras</w:t>
      </w:r>
      <w:r>
        <w:t xml:space="preserve"> que forman parte del consumo colectivo</w:t>
      </w:r>
      <w:r w:rsidR="004C09B1">
        <w:t>, por ejemplo,</w:t>
      </w:r>
      <w:r>
        <w:t xml:space="preserve"> la administración general, defensa, orden público, investigación y desarrollo.</w:t>
      </w:r>
    </w:p>
    <w:p w14:paraId="42E88D07" w14:textId="325BC90B" w:rsidR="00402A32" w:rsidRDefault="00402A32" w:rsidP="00402A32">
      <w:pPr>
        <w:pStyle w:val="Ttulo6"/>
      </w:pPr>
      <w:bookmarkStart w:id="70" w:name="_Toc174116211"/>
      <w:r>
        <w:t>Empleos y recursos</w:t>
      </w:r>
      <w:bookmarkEnd w:id="70"/>
    </w:p>
    <w:p w14:paraId="63AC0F25" w14:textId="0EF0B1FA" w:rsidR="00C45C10" w:rsidRPr="00C45C10" w:rsidRDefault="00C45C10" w:rsidP="00FA6AEF">
      <w:pPr>
        <w:pStyle w:val="Nivel1SM"/>
        <w:spacing w:after="0"/>
      </w:pPr>
      <w:r>
        <w:t xml:space="preserve">Para ello, parte del saldo de la cuenta anterior, la </w:t>
      </w:r>
      <w:r w:rsidRPr="00C45C10">
        <w:t>Renta Disponible Bruta</w:t>
      </w:r>
      <w:r>
        <w:t xml:space="preserve">, en los </w:t>
      </w:r>
      <w:r>
        <w:rPr>
          <w:b/>
          <w:bCs/>
        </w:rPr>
        <w:t>recursos</w:t>
      </w:r>
      <w:r>
        <w:t>, y se añaden o sustraen las transferencias sociales en especie (se añaden en el caso de los hogares (recursos) se sustraen en el caso de las Administraciones Públicas y las ISFLSH (empleos)).</w:t>
      </w: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19"/>
        <w:gridCol w:w="4819"/>
      </w:tblGrid>
      <w:tr w:rsidR="00AB69F4" w:rsidRPr="00C572A3" w14:paraId="017173F7" w14:textId="77777777" w:rsidTr="00402A32">
        <w:trPr>
          <w:jc w:val="center"/>
        </w:trPr>
        <w:tc>
          <w:tcPr>
            <w:tcW w:w="9638" w:type="dxa"/>
            <w:gridSpan w:val="2"/>
            <w:tcBorders>
              <w:bottom w:val="single" w:sz="2" w:space="0" w:color="FFFFFF" w:themeColor="background1"/>
            </w:tcBorders>
          </w:tcPr>
          <w:p w14:paraId="6212AC86" w14:textId="66E204E2" w:rsidR="00AB69F4" w:rsidRPr="00C572A3" w:rsidRDefault="00AB69F4" w:rsidP="00E97E64">
            <w:pPr>
              <w:keepNext/>
              <w:keepLines/>
              <w:spacing w:after="0"/>
              <w:jc w:val="center"/>
              <w:rPr>
                <w:i/>
                <w:iCs/>
              </w:rPr>
            </w:pPr>
            <w:r>
              <w:rPr>
                <w:i/>
                <w:iCs/>
              </w:rPr>
              <w:t>C.II.3.</w:t>
            </w:r>
            <w:r w:rsidR="00FA6AEF">
              <w:rPr>
                <w:i/>
                <w:iCs/>
              </w:rPr>
              <w:t> </w:t>
            </w:r>
            <w:r>
              <w:rPr>
                <w:i/>
                <w:iCs/>
              </w:rPr>
              <w:t xml:space="preserve">Cuenta de </w:t>
            </w:r>
            <w:r w:rsidR="00C90487">
              <w:rPr>
                <w:i/>
                <w:iCs/>
              </w:rPr>
              <w:t>re</w:t>
            </w:r>
            <w:r>
              <w:rPr>
                <w:i/>
                <w:iCs/>
              </w:rPr>
              <w:t>distribución de la renta en especie</w:t>
            </w:r>
          </w:p>
        </w:tc>
      </w:tr>
      <w:tr w:rsidR="00AB69F4" w:rsidRPr="00C572A3" w14:paraId="1FCABD5D" w14:textId="77777777" w:rsidTr="00402A32">
        <w:trPr>
          <w:jc w:val="center"/>
        </w:trPr>
        <w:tc>
          <w:tcPr>
            <w:tcW w:w="4819" w:type="dxa"/>
            <w:tcBorders>
              <w:top w:val="single" w:sz="2" w:space="0" w:color="FFFFFF" w:themeColor="background1"/>
              <w:right w:val="single" w:sz="2" w:space="0" w:color="FFFFFF" w:themeColor="background1"/>
            </w:tcBorders>
          </w:tcPr>
          <w:p w14:paraId="787A71B1" w14:textId="77777777" w:rsidR="00AB69F4" w:rsidRPr="00C572A3" w:rsidRDefault="00AB69F4" w:rsidP="00E97E64">
            <w:pPr>
              <w:keepNext/>
              <w:keepLines/>
              <w:spacing w:after="0"/>
              <w:jc w:val="center"/>
              <w:rPr>
                <w:i/>
                <w:iCs/>
              </w:rPr>
            </w:pPr>
            <w:r>
              <w:rPr>
                <w:i/>
                <w:iCs/>
              </w:rPr>
              <w:t>Empleos</w:t>
            </w:r>
          </w:p>
        </w:tc>
        <w:tc>
          <w:tcPr>
            <w:tcW w:w="4819" w:type="dxa"/>
            <w:tcBorders>
              <w:top w:val="single" w:sz="2" w:space="0" w:color="FFFFFF" w:themeColor="background1"/>
              <w:left w:val="single" w:sz="2" w:space="0" w:color="FFFFFF" w:themeColor="background1"/>
            </w:tcBorders>
          </w:tcPr>
          <w:p w14:paraId="0C687E87" w14:textId="77777777" w:rsidR="00AB69F4" w:rsidRPr="00C572A3" w:rsidRDefault="00AB69F4" w:rsidP="00E97E64">
            <w:pPr>
              <w:keepNext/>
              <w:keepLines/>
              <w:spacing w:after="0"/>
              <w:jc w:val="center"/>
              <w:rPr>
                <w:i/>
                <w:iCs/>
              </w:rPr>
            </w:pPr>
            <w:r>
              <w:rPr>
                <w:i/>
                <w:iCs/>
              </w:rPr>
              <w:t>Recurs</w:t>
            </w:r>
            <w:r w:rsidRPr="00C572A3">
              <w:rPr>
                <w:i/>
                <w:iCs/>
              </w:rPr>
              <w:t>os</w:t>
            </w:r>
          </w:p>
        </w:tc>
      </w:tr>
      <w:tr w:rsidR="00AB69F4" w14:paraId="2BBFE12A" w14:textId="77777777" w:rsidTr="00402A32">
        <w:trPr>
          <w:jc w:val="center"/>
        </w:trPr>
        <w:tc>
          <w:tcPr>
            <w:tcW w:w="4819" w:type="dxa"/>
          </w:tcPr>
          <w:p w14:paraId="7CB677D1" w14:textId="7857D37A" w:rsidR="00AB69F4" w:rsidRPr="007C6321" w:rsidRDefault="00AB69F4" w:rsidP="007C6321">
            <w:pPr>
              <w:pStyle w:val="Nivel2SM"/>
              <w:ind w:left="113"/>
            </w:pPr>
            <w:r>
              <w:t xml:space="preserve">Transferencias </w:t>
            </w:r>
            <w:r w:rsidRPr="00F451A1">
              <w:t>sociales</w:t>
            </w:r>
            <w:r>
              <w:t xml:space="preserve"> en especie</w:t>
            </w:r>
            <w:r w:rsidR="007C6321">
              <w:t xml:space="preserve"> </w:t>
            </w:r>
            <w:r w:rsidRPr="007C6321">
              <w:rPr>
                <w:color w:val="595959" w:themeColor="text1" w:themeTint="A6"/>
                <w:sz w:val="14"/>
                <w:szCs w:val="14"/>
              </w:rPr>
              <w:t>(A</w:t>
            </w:r>
            <w:r w:rsidR="007C6321">
              <w:rPr>
                <w:color w:val="595959" w:themeColor="text1" w:themeTint="A6"/>
                <w:sz w:val="14"/>
                <w:szCs w:val="14"/>
              </w:rPr>
              <w:t>APP</w:t>
            </w:r>
            <w:r w:rsidRPr="007C6321">
              <w:rPr>
                <w:color w:val="595959" w:themeColor="text1" w:themeTint="A6"/>
                <w:sz w:val="14"/>
                <w:szCs w:val="14"/>
              </w:rPr>
              <w:t xml:space="preserve"> e ISFLSH)</w:t>
            </w:r>
          </w:p>
          <w:p w14:paraId="7F1F9717" w14:textId="5C58EB8D" w:rsidR="00AB69F4" w:rsidRDefault="00AB69F4" w:rsidP="003D2210">
            <w:pPr>
              <w:pStyle w:val="Nivel2SM"/>
              <w:keepNext/>
              <w:keepLines/>
              <w:numPr>
                <w:ilvl w:val="0"/>
                <w:numId w:val="0"/>
              </w:numPr>
              <w:rPr>
                <w:b/>
                <w:bCs/>
                <w:sz w:val="16"/>
                <w:szCs w:val="16"/>
              </w:rPr>
            </w:pPr>
          </w:p>
          <w:p w14:paraId="5A51605B" w14:textId="77777777" w:rsidR="007C6321" w:rsidRPr="000A035B" w:rsidRDefault="007C6321" w:rsidP="003D2210">
            <w:pPr>
              <w:pStyle w:val="Nivel2SM"/>
              <w:keepNext/>
              <w:keepLines/>
              <w:numPr>
                <w:ilvl w:val="0"/>
                <w:numId w:val="0"/>
              </w:numPr>
              <w:rPr>
                <w:b/>
                <w:bCs/>
                <w:sz w:val="16"/>
                <w:szCs w:val="16"/>
              </w:rPr>
            </w:pPr>
          </w:p>
          <w:p w14:paraId="79F44B75" w14:textId="3328782C" w:rsidR="00AB69F4" w:rsidRPr="00AA77FA" w:rsidRDefault="00AB69F4" w:rsidP="009E6742">
            <w:pPr>
              <w:pStyle w:val="Nivel2SM"/>
              <w:keepNext/>
              <w:keepLines/>
              <w:numPr>
                <w:ilvl w:val="0"/>
                <w:numId w:val="0"/>
              </w:numPr>
              <w:spacing w:after="40"/>
              <w:contextualSpacing w:val="0"/>
              <w:jc w:val="left"/>
              <w:rPr>
                <w:b/>
                <w:bCs/>
              </w:rPr>
            </w:pPr>
            <w:r>
              <w:rPr>
                <w:b/>
                <w:bCs/>
              </w:rPr>
              <w:t>Renta Disponible Bruta Ajustada</w:t>
            </w:r>
          </w:p>
        </w:tc>
        <w:tc>
          <w:tcPr>
            <w:tcW w:w="4819" w:type="dxa"/>
          </w:tcPr>
          <w:p w14:paraId="2BFFBC52" w14:textId="0A7E20D2" w:rsidR="00AB69F4" w:rsidRPr="00B164F8" w:rsidRDefault="00AB69F4" w:rsidP="00F451A1">
            <w:pPr>
              <w:pStyle w:val="Nivel2SM"/>
              <w:keepNext/>
              <w:keepLines/>
              <w:ind w:left="113"/>
              <w:contextualSpacing w:val="0"/>
              <w:rPr>
                <w:b/>
                <w:bCs/>
              </w:rPr>
            </w:pPr>
            <w:r>
              <w:rPr>
                <w:b/>
                <w:bCs/>
              </w:rPr>
              <w:t xml:space="preserve">Renta </w:t>
            </w:r>
            <w:r w:rsidR="00A7246B">
              <w:rPr>
                <w:b/>
                <w:bCs/>
              </w:rPr>
              <w:t xml:space="preserve">Disponible </w:t>
            </w:r>
            <w:r>
              <w:rPr>
                <w:b/>
                <w:bCs/>
              </w:rPr>
              <w:t>Bruta</w:t>
            </w:r>
          </w:p>
          <w:p w14:paraId="526C9C95" w14:textId="2B1DDA63" w:rsidR="00AB69F4" w:rsidRDefault="00AB69F4" w:rsidP="00F451A1">
            <w:pPr>
              <w:pStyle w:val="Nivel2SM"/>
              <w:keepNext/>
              <w:keepLines/>
              <w:ind w:left="113"/>
            </w:pPr>
            <w:r>
              <w:t xml:space="preserve">Transferencias sociales en especie </w:t>
            </w:r>
            <w:r w:rsidRPr="00AB69F4">
              <w:rPr>
                <w:color w:val="595959" w:themeColor="text1" w:themeTint="A6"/>
                <w:sz w:val="14"/>
                <w:szCs w:val="14"/>
              </w:rPr>
              <w:t>(hogares)</w:t>
            </w:r>
          </w:p>
        </w:tc>
      </w:tr>
    </w:tbl>
    <w:p w14:paraId="7956778D" w14:textId="1D03EC67" w:rsidR="00402A32" w:rsidRDefault="00402A32" w:rsidP="00402A32">
      <w:pPr>
        <w:pStyle w:val="Ttulo6"/>
        <w:spacing w:before="240"/>
      </w:pPr>
      <w:bookmarkStart w:id="71" w:name="_Toc174116212"/>
      <w:r>
        <w:t>Saldo y macromagnitudes relevantes</w:t>
      </w:r>
      <w:bookmarkEnd w:id="71"/>
    </w:p>
    <w:p w14:paraId="2CD03643" w14:textId="7BE773E8" w:rsidR="009E6742" w:rsidRPr="00AB69F4" w:rsidRDefault="00C45C10" w:rsidP="00FA6AEF">
      <w:pPr>
        <w:pStyle w:val="Nivel1SM"/>
        <w:spacing w:before="0"/>
      </w:pPr>
      <w:r>
        <w:t xml:space="preserve">De este modo obtenemos como saldo contable la </w:t>
      </w:r>
      <w:r w:rsidRPr="00C45C10">
        <w:rPr>
          <w:b/>
          <w:bCs/>
          <w:i/>
          <w:iCs/>
        </w:rPr>
        <w:t>Renta Disponible Bruta Ajustada</w:t>
      </w:r>
      <w:r w:rsidRPr="001C466E">
        <w:rPr>
          <w:rStyle w:val="Refdenotaalpie"/>
        </w:rPr>
        <w:footnoteReference w:id="26"/>
      </w:r>
      <w:r>
        <w:t>.</w:t>
      </w:r>
    </w:p>
    <w:p w14:paraId="0D586DD1" w14:textId="0899C041" w:rsidR="00592177" w:rsidRDefault="007C252C" w:rsidP="00592177">
      <w:pPr>
        <w:pStyle w:val="Ttulo3"/>
      </w:pPr>
      <w:bookmarkStart w:id="72" w:name="_Toc83554009"/>
      <w:bookmarkStart w:id="73" w:name="_Toc174116213"/>
      <w:r>
        <w:t>C</w:t>
      </w:r>
      <w:r w:rsidR="00592177">
        <w:t>uenta de utilización de la renta disponible (C.II.4.1)</w:t>
      </w:r>
      <w:bookmarkEnd w:id="72"/>
      <w:bookmarkEnd w:id="73"/>
    </w:p>
    <w:p w14:paraId="5A55CB3E" w14:textId="77777777" w:rsidR="00402A32" w:rsidRDefault="00402A32" w:rsidP="00FA6AEF">
      <w:pPr>
        <w:pStyle w:val="Ttulo6"/>
        <w:spacing w:before="0"/>
      </w:pPr>
      <w:bookmarkStart w:id="74" w:name="_Toc174116214"/>
      <w:r>
        <w:t>Definición</w:t>
      </w:r>
      <w:bookmarkEnd w:id="74"/>
    </w:p>
    <w:p w14:paraId="0D713763" w14:textId="157C0F45" w:rsidR="009E6742" w:rsidRDefault="009E6742" w:rsidP="00FA6AEF">
      <w:pPr>
        <w:pStyle w:val="Nivel1SM"/>
        <w:spacing w:before="0"/>
      </w:pPr>
      <w:r>
        <w:t xml:space="preserve">La finalidad de la </w:t>
      </w:r>
      <w:r w:rsidRPr="00FB5EDE">
        <w:rPr>
          <w:i/>
          <w:iCs/>
        </w:rPr>
        <w:t xml:space="preserve">cuenta de utilización de la </w:t>
      </w:r>
      <w:r w:rsidR="00FB5EDE" w:rsidRPr="00FB5EDE">
        <w:rPr>
          <w:i/>
          <w:iCs/>
        </w:rPr>
        <w:t>r</w:t>
      </w:r>
      <w:r w:rsidRPr="00FB5EDE">
        <w:rPr>
          <w:i/>
          <w:iCs/>
        </w:rPr>
        <w:t>enta disponible</w:t>
      </w:r>
      <w:r>
        <w:t xml:space="preserve"> es mostrar la forma en que los hogares, las </w:t>
      </w:r>
      <w:r w:rsidR="00FB5EDE">
        <w:t>AAPP</w:t>
      </w:r>
      <w:r>
        <w:t xml:space="preserve"> y las ISFLSH reparten su renta disponible entre </w:t>
      </w:r>
      <w:r w:rsidR="00FB5EDE">
        <w:t xml:space="preserve">gasto en </w:t>
      </w:r>
      <w:r>
        <w:t>consumo final y ahorro.</w:t>
      </w:r>
    </w:p>
    <w:p w14:paraId="3142E482" w14:textId="52E8BEC8" w:rsidR="00402A32" w:rsidRDefault="00402A32" w:rsidP="00402A32">
      <w:pPr>
        <w:pStyle w:val="Ttulo6"/>
      </w:pPr>
      <w:bookmarkStart w:id="75" w:name="_Toc174116215"/>
      <w:r>
        <w:lastRenderedPageBreak/>
        <w:t>Empleos y recursos</w:t>
      </w:r>
      <w:bookmarkEnd w:id="75"/>
    </w:p>
    <w:p w14:paraId="3C1BF953" w14:textId="4052CB1B" w:rsidR="009E6742" w:rsidRDefault="00FB5EDE" w:rsidP="00FA6AEF">
      <w:pPr>
        <w:pStyle w:val="Nivel1SM"/>
        <w:spacing w:before="0"/>
      </w:pPr>
      <w:r>
        <w:t>E</w:t>
      </w:r>
      <w:r w:rsidR="009E6742">
        <w:t xml:space="preserve">n </w:t>
      </w:r>
      <w:r w:rsidR="009E6742">
        <w:rPr>
          <w:b/>
          <w:bCs/>
        </w:rPr>
        <w:t>recursos</w:t>
      </w:r>
      <w:r>
        <w:t>, de parte d</w:t>
      </w:r>
      <w:r w:rsidR="009E6742">
        <w:t>el saldo de la cuenta</w:t>
      </w:r>
      <w:r w:rsidR="004908F6">
        <w:t xml:space="preserve"> de distribución secundaria de la renta (i.e. la </w:t>
      </w:r>
      <w:r>
        <w:t>R</w:t>
      </w:r>
      <w:r w:rsidR="004908F6">
        <w:t xml:space="preserve">enta </w:t>
      </w:r>
      <w:r>
        <w:t>D</w:t>
      </w:r>
      <w:r w:rsidR="004908F6">
        <w:t xml:space="preserve">isponible </w:t>
      </w:r>
      <w:r>
        <w:t>B</w:t>
      </w:r>
      <w:r w:rsidR="004908F6">
        <w:t>ruta) y un ajuste por la participación en fondos de pensiones</w:t>
      </w:r>
      <w:r w:rsidR="00BC1821">
        <w:rPr>
          <w:rStyle w:val="Refdenotaalpie"/>
        </w:rPr>
        <w:footnoteReference w:id="27"/>
      </w:r>
      <w:r w:rsidR="004908F6">
        <w:t xml:space="preserve"> (aparecerá en recursos para hogares y en empleos para instituciones financieras y,</w:t>
      </w:r>
      <w:r>
        <w:t xml:space="preserve"> </w:t>
      </w:r>
      <w:r w:rsidR="004908F6">
        <w:t>en algunos casos, sociedades no financieras).</w:t>
      </w:r>
    </w:p>
    <w:p w14:paraId="2F81193A" w14:textId="6C9DF1C2" w:rsidR="004908F6" w:rsidRPr="009E6742" w:rsidRDefault="004908F6" w:rsidP="00FB5EDE">
      <w:pPr>
        <w:pStyle w:val="Nivel1SM"/>
      </w:pPr>
      <w:r>
        <w:t xml:space="preserve">En </w:t>
      </w:r>
      <w:r w:rsidRPr="004908F6">
        <w:rPr>
          <w:b/>
          <w:bCs/>
        </w:rPr>
        <w:t>empleos</w:t>
      </w:r>
      <w:r>
        <w:t xml:space="preserve">, se reflejará el </w:t>
      </w:r>
      <w:r w:rsidRPr="00FB5EDE">
        <w:t>gasto en consumo final</w:t>
      </w:r>
      <w:r>
        <w:t xml:space="preserve">, entendido como el monto </w:t>
      </w:r>
      <w:r w:rsidR="009C6476">
        <w:t xml:space="preserve">destinado a la </w:t>
      </w:r>
      <w:r>
        <w:t>adqu</w:t>
      </w:r>
      <w:r w:rsidR="009C6476">
        <w:t>isición</w:t>
      </w:r>
      <w:r>
        <w:t xml:space="preserve"> de bienes y servicios de consumo que satisfacen las necesidades corrientes</w:t>
      </w:r>
      <w:r>
        <w:rPr>
          <w:rStyle w:val="Refdenotaalpie"/>
        </w:rPr>
        <w:footnoteReference w:id="28"/>
      </w:r>
      <w:r>
        <w:t>.</w:t>
      </w: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1"/>
        <w:gridCol w:w="4627"/>
      </w:tblGrid>
      <w:tr w:rsidR="0062504E" w:rsidRPr="00C572A3" w14:paraId="70F8B607" w14:textId="77777777" w:rsidTr="00F32CE8">
        <w:trPr>
          <w:jc w:val="center"/>
        </w:trPr>
        <w:tc>
          <w:tcPr>
            <w:tcW w:w="9298" w:type="dxa"/>
            <w:gridSpan w:val="2"/>
            <w:tcBorders>
              <w:bottom w:val="single" w:sz="2" w:space="0" w:color="FFFFFF" w:themeColor="background1"/>
            </w:tcBorders>
          </w:tcPr>
          <w:p w14:paraId="6EB6AC31" w14:textId="20619A5C" w:rsidR="0062504E" w:rsidRPr="00C572A3" w:rsidRDefault="0062504E" w:rsidP="00E97E64">
            <w:pPr>
              <w:keepNext/>
              <w:keepLines/>
              <w:spacing w:after="0"/>
              <w:jc w:val="center"/>
              <w:rPr>
                <w:i/>
                <w:iCs/>
              </w:rPr>
            </w:pPr>
            <w:r>
              <w:rPr>
                <w:i/>
                <w:iCs/>
              </w:rPr>
              <w:t>C.II.4.1.</w:t>
            </w:r>
            <w:r w:rsidR="00FA6AEF">
              <w:rPr>
                <w:i/>
                <w:iCs/>
              </w:rPr>
              <w:t> </w:t>
            </w:r>
            <w:r>
              <w:rPr>
                <w:i/>
                <w:iCs/>
              </w:rPr>
              <w:t>Cuenta de distribución de la renta en especie</w:t>
            </w:r>
          </w:p>
        </w:tc>
      </w:tr>
      <w:tr w:rsidR="0062504E" w:rsidRPr="00C572A3" w14:paraId="00892047" w14:textId="77777777" w:rsidTr="00F32CE8">
        <w:trPr>
          <w:trHeight w:val="358"/>
          <w:jc w:val="center"/>
        </w:trPr>
        <w:tc>
          <w:tcPr>
            <w:tcW w:w="4671" w:type="dxa"/>
            <w:tcBorders>
              <w:top w:val="single" w:sz="2" w:space="0" w:color="FFFFFF" w:themeColor="background1"/>
              <w:right w:val="single" w:sz="2" w:space="0" w:color="FFFFFF" w:themeColor="background1"/>
            </w:tcBorders>
          </w:tcPr>
          <w:p w14:paraId="106C2FD8" w14:textId="77777777" w:rsidR="0062504E" w:rsidRPr="00C572A3" w:rsidRDefault="0062504E" w:rsidP="00E97E64">
            <w:pPr>
              <w:keepNext/>
              <w:keepLines/>
              <w:spacing w:after="0"/>
              <w:jc w:val="center"/>
              <w:rPr>
                <w:i/>
                <w:iCs/>
              </w:rPr>
            </w:pPr>
            <w:r>
              <w:rPr>
                <w:i/>
                <w:iCs/>
              </w:rPr>
              <w:t>Empleos</w:t>
            </w:r>
          </w:p>
        </w:tc>
        <w:tc>
          <w:tcPr>
            <w:tcW w:w="4627" w:type="dxa"/>
            <w:tcBorders>
              <w:top w:val="single" w:sz="2" w:space="0" w:color="FFFFFF" w:themeColor="background1"/>
              <w:left w:val="single" w:sz="2" w:space="0" w:color="FFFFFF" w:themeColor="background1"/>
            </w:tcBorders>
          </w:tcPr>
          <w:p w14:paraId="21742A57" w14:textId="77777777" w:rsidR="0062504E" w:rsidRPr="00C572A3" w:rsidRDefault="0062504E" w:rsidP="00E97E64">
            <w:pPr>
              <w:keepNext/>
              <w:keepLines/>
              <w:spacing w:after="0"/>
              <w:jc w:val="center"/>
              <w:rPr>
                <w:i/>
                <w:iCs/>
              </w:rPr>
            </w:pPr>
            <w:r>
              <w:rPr>
                <w:i/>
                <w:iCs/>
              </w:rPr>
              <w:t>Recurs</w:t>
            </w:r>
            <w:r w:rsidRPr="00C572A3">
              <w:rPr>
                <w:i/>
                <w:iCs/>
              </w:rPr>
              <w:t>os</w:t>
            </w:r>
          </w:p>
        </w:tc>
      </w:tr>
      <w:tr w:rsidR="0062504E" w14:paraId="35E86D82" w14:textId="77777777" w:rsidTr="00F32CE8">
        <w:trPr>
          <w:jc w:val="center"/>
        </w:trPr>
        <w:tc>
          <w:tcPr>
            <w:tcW w:w="4671" w:type="dxa"/>
          </w:tcPr>
          <w:p w14:paraId="6E99EBA4" w14:textId="463E77D8" w:rsidR="001B0402" w:rsidRPr="0062504E" w:rsidRDefault="001B0402" w:rsidP="00FB5EDE">
            <w:pPr>
              <w:pStyle w:val="Nivel2SM"/>
              <w:ind w:left="113"/>
              <w:contextualSpacing w:val="0"/>
              <w:jc w:val="left"/>
            </w:pPr>
            <w:r>
              <w:t xml:space="preserve">Ajuste por la variación de la participación neta de los hogares en las reservas de los fondos de pensiones </w:t>
            </w:r>
            <w:r w:rsidRPr="001B0402">
              <w:rPr>
                <w:color w:val="595959" w:themeColor="text1" w:themeTint="A6"/>
                <w:sz w:val="14"/>
                <w:szCs w:val="16"/>
              </w:rPr>
              <w:t>(Instituciones financieras y</w:t>
            </w:r>
            <w:r w:rsidR="00FB5EDE">
              <w:rPr>
                <w:color w:val="595959" w:themeColor="text1" w:themeTint="A6"/>
                <w:sz w:val="14"/>
                <w:szCs w:val="16"/>
              </w:rPr>
              <w:t>,</w:t>
            </w:r>
            <w:r w:rsidRPr="001B0402">
              <w:rPr>
                <w:color w:val="595959" w:themeColor="text1" w:themeTint="A6"/>
                <w:sz w:val="14"/>
                <w:szCs w:val="16"/>
              </w:rPr>
              <w:t xml:space="preserve"> en algún caso</w:t>
            </w:r>
            <w:r w:rsidR="00FB5EDE">
              <w:rPr>
                <w:color w:val="595959" w:themeColor="text1" w:themeTint="A6"/>
                <w:sz w:val="14"/>
                <w:szCs w:val="16"/>
              </w:rPr>
              <w:t>,</w:t>
            </w:r>
            <w:r w:rsidRPr="001B0402">
              <w:rPr>
                <w:color w:val="595959" w:themeColor="text1" w:themeTint="A6"/>
                <w:sz w:val="14"/>
                <w:szCs w:val="16"/>
              </w:rPr>
              <w:t xml:space="preserve"> Sociedades no financieras)</w:t>
            </w:r>
          </w:p>
          <w:p w14:paraId="5765B684" w14:textId="77777777" w:rsidR="00FB5EDE" w:rsidRDefault="00FB5EDE" w:rsidP="00484A55">
            <w:pPr>
              <w:pStyle w:val="Nivel2SM"/>
              <w:keepNext/>
              <w:keepLines/>
              <w:spacing w:after="0" w:line="259" w:lineRule="auto"/>
              <w:ind w:left="113"/>
              <w:jc w:val="left"/>
            </w:pPr>
            <w:r>
              <w:t>Gasto en consumo final:</w:t>
            </w:r>
          </w:p>
          <w:p w14:paraId="7417CC74" w14:textId="77777777" w:rsidR="00FB5EDE" w:rsidRDefault="00FB5EDE" w:rsidP="00484A55">
            <w:pPr>
              <w:pStyle w:val="Nivel1"/>
              <w:spacing w:before="0" w:after="0" w:line="259" w:lineRule="auto"/>
              <w:contextualSpacing/>
              <w:jc w:val="left"/>
            </w:pPr>
            <w:r>
              <w:t>Individual</w:t>
            </w:r>
          </w:p>
          <w:p w14:paraId="500B6A90" w14:textId="77777777" w:rsidR="00FB5EDE" w:rsidRDefault="00FB5EDE" w:rsidP="00FB5EDE">
            <w:pPr>
              <w:pStyle w:val="Nivel1"/>
              <w:spacing w:after="0" w:line="259" w:lineRule="auto"/>
              <w:contextualSpacing/>
              <w:jc w:val="left"/>
            </w:pPr>
            <w:r>
              <w:t>Colectivo</w:t>
            </w:r>
          </w:p>
          <w:p w14:paraId="4F807456" w14:textId="77777777" w:rsidR="0062504E" w:rsidRPr="000A035B" w:rsidRDefault="0062504E" w:rsidP="003D2210">
            <w:pPr>
              <w:pStyle w:val="Nivel2SM"/>
              <w:keepNext/>
              <w:keepLines/>
              <w:numPr>
                <w:ilvl w:val="0"/>
                <w:numId w:val="0"/>
              </w:numPr>
              <w:rPr>
                <w:b/>
                <w:bCs/>
                <w:sz w:val="16"/>
                <w:szCs w:val="16"/>
              </w:rPr>
            </w:pPr>
          </w:p>
          <w:p w14:paraId="0274DD09" w14:textId="10F357BF" w:rsidR="00E97E64" w:rsidRDefault="004100C5" w:rsidP="00E97E64">
            <w:pPr>
              <w:pStyle w:val="Nivel2SM"/>
              <w:keepNext/>
              <w:keepLines/>
              <w:numPr>
                <w:ilvl w:val="0"/>
                <w:numId w:val="0"/>
              </w:numPr>
              <w:ind w:left="142" w:hanging="142"/>
              <w:rPr>
                <w:b/>
                <w:bCs/>
              </w:rPr>
            </w:pPr>
            <w:r>
              <w:rPr>
                <w:b/>
                <w:bCs/>
              </w:rPr>
              <w:t xml:space="preserve">Ahorro Bruto / </w:t>
            </w:r>
            <w:r w:rsidR="001B0402">
              <w:rPr>
                <w:b/>
                <w:bCs/>
              </w:rPr>
              <w:t xml:space="preserve">Ahorro </w:t>
            </w:r>
            <w:r>
              <w:rPr>
                <w:b/>
                <w:bCs/>
              </w:rPr>
              <w:t xml:space="preserve">Nacional </w:t>
            </w:r>
            <w:r w:rsidR="001B0402">
              <w:rPr>
                <w:b/>
                <w:bCs/>
              </w:rPr>
              <w:t>Bruto</w:t>
            </w:r>
          </w:p>
          <w:p w14:paraId="3D726BBA" w14:textId="11A38609" w:rsidR="00E97E64" w:rsidRPr="00E97E64" w:rsidRDefault="001D0D41" w:rsidP="00E97E64">
            <w:pPr>
              <w:pStyle w:val="Nivel2SM"/>
              <w:keepNext/>
              <w:keepLines/>
              <w:numPr>
                <w:ilvl w:val="0"/>
                <w:numId w:val="0"/>
              </w:numPr>
              <w:ind w:left="142" w:hanging="142"/>
            </w:pPr>
            <w:r>
              <w:rPr>
                <w:noProof/>
              </w:rPr>
              <mc:AlternateContent>
                <mc:Choice Requires="wps">
                  <w:drawing>
                    <wp:anchor distT="4294967295" distB="4294967295" distL="114300" distR="114300" simplePos="0" relativeHeight="251663360" behindDoc="0" locked="0" layoutInCell="1" allowOverlap="1" wp14:anchorId="699FFDAB" wp14:editId="208461AA">
                      <wp:simplePos x="0" y="0"/>
                      <wp:positionH relativeFrom="column">
                        <wp:posOffset>-25400</wp:posOffset>
                      </wp:positionH>
                      <wp:positionV relativeFrom="paragraph">
                        <wp:posOffset>156844</wp:posOffset>
                      </wp:positionV>
                      <wp:extent cx="1403985" cy="0"/>
                      <wp:effectExtent l="0" t="0" r="0" b="0"/>
                      <wp:wrapNone/>
                      <wp:docPr id="2143686307" name="Conector recto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039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E2321ED" id="Conector recto 11"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pt,12.35pt" to="108.5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" strokecolor="black [3213]" strokeweight=".5pt">
                      <v:stroke joinstyle="miter"/>
                      <o:lock v:ext="edit" shapetype="f"/>
                    </v:line>
                  </w:pict>
                </mc:Fallback>
              </mc:AlternateContent>
            </w:r>
            <w:r w:rsidR="00E97E64" w:rsidRPr="00E97E64">
              <w:rPr>
                <w:rFonts w:ascii="Times New Roman" w:hAnsi="Times New Roman" w:cs="Times New Roman"/>
                <w:sz w:val="16"/>
                <w:szCs w:val="16"/>
              </w:rPr>
              <w:t>−</w:t>
            </w:r>
            <w:r w:rsidR="00E97E64" w:rsidRPr="00E97E64">
              <w:rPr>
                <w:sz w:val="16"/>
                <w:szCs w:val="16"/>
              </w:rPr>
              <w:t xml:space="preserve"> Consumo de capital fijo</w:t>
            </w:r>
          </w:p>
          <w:p w14:paraId="0DFBEE92" w14:textId="664E412C" w:rsidR="0062504E" w:rsidRPr="00AA77FA" w:rsidRDefault="00E97E64" w:rsidP="00AD22C1">
            <w:pPr>
              <w:pStyle w:val="Nivel2SM"/>
              <w:keepLines/>
              <w:numPr>
                <w:ilvl w:val="0"/>
                <w:numId w:val="0"/>
              </w:numPr>
              <w:rPr>
                <w:b/>
                <w:bCs/>
              </w:rPr>
            </w:pPr>
            <w:r w:rsidRPr="00E97E64">
              <w:rPr>
                <w:i/>
                <w:iCs/>
              </w:rPr>
              <w:t>Ahorro neto</w:t>
            </w:r>
            <w:r w:rsidR="004100C5">
              <w:rPr>
                <w:i/>
                <w:iCs/>
              </w:rPr>
              <w:t xml:space="preserve"> / Ahorro nacional neto</w:t>
            </w:r>
          </w:p>
        </w:tc>
        <w:tc>
          <w:tcPr>
            <w:tcW w:w="4627" w:type="dxa"/>
          </w:tcPr>
          <w:p w14:paraId="14FC1D06" w14:textId="3A914E85" w:rsidR="0062504E" w:rsidRPr="00B164F8" w:rsidRDefault="0062504E" w:rsidP="00F451A1">
            <w:pPr>
              <w:pStyle w:val="Nivel2SM"/>
              <w:keepNext/>
              <w:keepLines/>
              <w:ind w:left="113"/>
              <w:contextualSpacing w:val="0"/>
              <w:jc w:val="left"/>
              <w:rPr>
                <w:b/>
                <w:bCs/>
              </w:rPr>
            </w:pPr>
            <w:r>
              <w:rPr>
                <w:b/>
                <w:bCs/>
              </w:rPr>
              <w:t>Renta Nacional Disponible Bruta</w:t>
            </w:r>
          </w:p>
          <w:p w14:paraId="26F23BAF" w14:textId="3A947BC3" w:rsidR="0062504E" w:rsidRDefault="001B0402" w:rsidP="00F451A1">
            <w:pPr>
              <w:pStyle w:val="Nivel2SM"/>
              <w:keepNext/>
              <w:keepLines/>
              <w:ind w:left="113"/>
              <w:jc w:val="left"/>
            </w:pPr>
            <w:r>
              <w:t xml:space="preserve">Ajuste por la variación de la participación neta de los hogares en las reservas de los fondos de pensiones </w:t>
            </w:r>
            <w:r w:rsidRPr="001B0402">
              <w:rPr>
                <w:color w:val="595959" w:themeColor="text1" w:themeTint="A6"/>
                <w:sz w:val="14"/>
                <w:szCs w:val="16"/>
              </w:rPr>
              <w:t>(hogares)</w:t>
            </w:r>
          </w:p>
        </w:tc>
      </w:tr>
    </w:tbl>
    <w:p w14:paraId="0580FEEE" w14:textId="4C362DFD" w:rsidR="00402A32" w:rsidRDefault="00402A32" w:rsidP="00402A32">
      <w:pPr>
        <w:pStyle w:val="Ttulo6"/>
        <w:spacing w:before="240"/>
      </w:pPr>
      <w:bookmarkStart w:id="76" w:name="_Toc174116216"/>
      <w:r>
        <w:t>Saldo y macromagnitudes relevantes</w:t>
      </w:r>
      <w:bookmarkEnd w:id="76"/>
    </w:p>
    <w:p w14:paraId="73430F81" w14:textId="02508EE6" w:rsidR="0062504E" w:rsidRDefault="00F32CE8" w:rsidP="00FA6AEF">
      <w:pPr>
        <w:pStyle w:val="Nivel1SM"/>
        <w:keepNext/>
        <w:spacing w:before="0" w:after="0"/>
      </w:pPr>
      <w:r>
        <w:t>El</w:t>
      </w:r>
      <w:r w:rsidR="009C6476">
        <w:t xml:space="preserve"> saldo contable es el </w:t>
      </w:r>
      <w:r w:rsidRPr="00F32CE8">
        <w:rPr>
          <w:b/>
          <w:bCs/>
          <w:i/>
          <w:iCs/>
        </w:rPr>
        <w:t>ahorro</w:t>
      </w:r>
      <w:r w:rsidR="004100C5">
        <w:rPr>
          <w:b/>
          <w:bCs/>
          <w:i/>
          <w:iCs/>
        </w:rPr>
        <w:t xml:space="preserve"> bruto</w:t>
      </w:r>
      <w:r w:rsidR="009C6476">
        <w:t xml:space="preserve">, que </w:t>
      </w:r>
      <w:r w:rsidRPr="00F32CE8">
        <w:t>mide</w:t>
      </w:r>
      <w:r>
        <w:t xml:space="preserve"> la parte de la renta disponible </w:t>
      </w:r>
      <w:r w:rsidR="000D0EB7">
        <w:t xml:space="preserve">de cada sector institucional </w:t>
      </w:r>
      <w:r>
        <w:t>que no se utiliza en gastos de consumo final. El ahorro nacional bruto es la suma de los ahorros brutos de los diversos sectores institucionales</w:t>
      </w:r>
      <w:r w:rsidR="000D0EB7">
        <w:t xml:space="preserve"> y, por lo tanto, </w:t>
      </w:r>
      <w:r w:rsidR="000D0EB7" w:rsidRPr="00F32CE8">
        <w:t>mide</w:t>
      </w:r>
      <w:r w:rsidR="000D0EB7">
        <w:t xml:space="preserve"> la parte de la renta nacional disponible que no se utiliza en gastos de consumo final.</w:t>
      </w:r>
    </w:p>
    <w:p w14:paraId="1190958C" w14:textId="29F7C4AF" w:rsidR="009C6476" w:rsidRDefault="009C6476" w:rsidP="009C6476">
      <w:pPr>
        <w:pStyle w:val="Nivel2SM"/>
        <w:keepNext/>
        <w:spacing w:after="0"/>
      </w:pPr>
      <w:r>
        <w:t>El ahorro bruto puede ser positivo o negativo, según si el ingreso disponible supera a los gastos en consumo final o viceversa.</w:t>
      </w:r>
    </w:p>
    <w:p w14:paraId="6786C4ED" w14:textId="6245245B" w:rsidR="009C6476" w:rsidRDefault="009C6476" w:rsidP="009C6476">
      <w:pPr>
        <w:pStyle w:val="Nivel3SM"/>
      </w:pPr>
      <w:r>
        <w:t>Asumiendo que el ahorro es positivo (y en ausencia de transferencias de capital) el ingreso no gastado tiene que destinarse a la adquisición de activos o la reducción de pasivos.</w:t>
      </w:r>
    </w:p>
    <w:p w14:paraId="23F9A007" w14:textId="77777777" w:rsidR="009C6476" w:rsidRDefault="009C6476" w:rsidP="009C6476">
      <w:pPr>
        <w:pStyle w:val="Nivel3SM"/>
      </w:pPr>
      <w:r>
        <w:t>Si el ahorro es negativo, algunos activos financieros o no financieros se han tenido que liquidar o se han incrementado algunos pasivos.</w:t>
      </w:r>
    </w:p>
    <w:p w14:paraId="2F4CC89A" w14:textId="5C5E2D38" w:rsidR="009C6476" w:rsidRDefault="009C6476" w:rsidP="009C6476">
      <w:pPr>
        <w:pStyle w:val="Nivel2SM"/>
      </w:pPr>
      <w:r>
        <w:t>Por tanto, el ahorro constituye el vínculo entre las cuentas corrientes del Sistema de Cuentas Nacionales y las cuentas de acumulación subsiguientes.</w:t>
      </w:r>
    </w:p>
    <w:p w14:paraId="56C818C8" w14:textId="58DCE756" w:rsidR="00592177" w:rsidRDefault="007C252C" w:rsidP="00592177">
      <w:pPr>
        <w:pStyle w:val="Ttulo3"/>
      </w:pPr>
      <w:bookmarkStart w:id="77" w:name="_Toc83554010"/>
      <w:bookmarkStart w:id="78" w:name="_Toc174116217"/>
      <w:r>
        <w:t>C</w:t>
      </w:r>
      <w:r w:rsidR="00592177">
        <w:t>uenta de utilización de la renta disponible ajustada (C.II.4.2)</w:t>
      </w:r>
      <w:bookmarkEnd w:id="77"/>
      <w:bookmarkEnd w:id="78"/>
    </w:p>
    <w:p w14:paraId="7DF7B6D1" w14:textId="77777777" w:rsidR="00402A32" w:rsidRDefault="00402A32" w:rsidP="00FA6AEF">
      <w:pPr>
        <w:pStyle w:val="Ttulo6"/>
        <w:spacing w:before="0"/>
      </w:pPr>
      <w:bookmarkStart w:id="79" w:name="_Toc174116218"/>
      <w:r>
        <w:t>Definición</w:t>
      </w:r>
      <w:bookmarkEnd w:id="79"/>
    </w:p>
    <w:p w14:paraId="5EF6DCD4" w14:textId="381DB1F2" w:rsidR="00A404C9" w:rsidRDefault="00A404C9" w:rsidP="00FA6AEF">
      <w:pPr>
        <w:pStyle w:val="Nivel1SM"/>
        <w:spacing w:before="0"/>
      </w:pPr>
      <w:r>
        <w:t>Los hogares adquieren bienes y servicios que forman parte de su consumo individual, pero también reciben bienes y sobre todo servicios, financiados fundamentalmente por las administraciones pública</w:t>
      </w:r>
      <w:r w:rsidR="00AD22C1">
        <w:t>s</w:t>
      </w:r>
      <w:r>
        <w:t>.</w:t>
      </w:r>
      <w:r w:rsidR="000A035B">
        <w:t xml:space="preserve"> </w:t>
      </w:r>
      <w:r>
        <w:t xml:space="preserve">Para reflejar esta situación, el </w:t>
      </w:r>
      <w:r w:rsidR="00BC549A">
        <w:t>SEC 2010</w:t>
      </w:r>
      <w:r>
        <w:t xml:space="preserve"> incorpora el concepto de </w:t>
      </w:r>
      <w:r>
        <w:rPr>
          <w:i/>
          <w:iCs/>
        </w:rPr>
        <w:t>consumo efectivo</w:t>
      </w:r>
      <w:r>
        <w:t>, señalando cuál es efectivamente el consumo de una unidad, al margen de que se financiación se haya efectuado por otra.</w:t>
      </w:r>
      <w:r w:rsidR="000A035B">
        <w:t xml:space="preserve"> Es decir, está cuenta se refiere a la utilización de la renta en especie.</w:t>
      </w:r>
    </w:p>
    <w:p w14:paraId="47454905" w14:textId="557D6D9B" w:rsidR="00572862" w:rsidRDefault="00A404C9" w:rsidP="009C6476">
      <w:pPr>
        <w:pStyle w:val="Nivel1SM"/>
      </w:pPr>
      <w:r>
        <w:t xml:space="preserve">El consumo efectivo de los hogares será su propio gasto en consumo más el gasto en consumo </w:t>
      </w:r>
      <w:r>
        <w:rPr>
          <w:i/>
          <w:iCs/>
        </w:rPr>
        <w:t xml:space="preserve">individualizable </w:t>
      </w:r>
      <w:r>
        <w:t xml:space="preserve">de las AAPP e ISFLSH. Los gastos en consumo individual de las AAPP y de las </w:t>
      </w:r>
      <w:r>
        <w:lastRenderedPageBreak/>
        <w:t xml:space="preserve">ISFLSH se denominan </w:t>
      </w:r>
      <w:r w:rsidRPr="00A404C9">
        <w:rPr>
          <w:i/>
          <w:iCs/>
        </w:rPr>
        <w:t>transferencias sociales en especie</w:t>
      </w:r>
      <w:r>
        <w:t xml:space="preserve">. El gasto no individualizable de las AAPP es el </w:t>
      </w:r>
      <w:r>
        <w:rPr>
          <w:i/>
          <w:iCs/>
        </w:rPr>
        <w:t>consumo colectivo</w:t>
      </w:r>
      <w:r>
        <w:t xml:space="preserve">. Esta fórmula tiene una doble ventaja: </w:t>
      </w:r>
      <w:r w:rsidRPr="00550E90">
        <w:rPr>
          <w:i/>
          <w:iCs/>
        </w:rPr>
        <w:t>a)</w:t>
      </w:r>
      <w:r w:rsidR="00550E90">
        <w:t> </w:t>
      </w:r>
      <w:r w:rsidR="0054701E">
        <w:t>es más expresiva del bienestar de los consumidores;</w:t>
      </w:r>
      <w:r>
        <w:t xml:space="preserve"> y </w:t>
      </w:r>
      <w:r w:rsidRPr="00550E90">
        <w:rPr>
          <w:i/>
          <w:iCs/>
        </w:rPr>
        <w:t>b)</w:t>
      </w:r>
      <w:r w:rsidR="00550E90">
        <w:t> </w:t>
      </w:r>
      <w:r w:rsidR="0054701E">
        <w:t>permite una mejor comparación del nivel de consumo entre países con independencia de qui</w:t>
      </w:r>
      <w:r w:rsidR="00DE21C1">
        <w:t>é</w:t>
      </w:r>
      <w:r w:rsidR="0054701E">
        <w:t>n efectúa su financiación.</w:t>
      </w:r>
    </w:p>
    <w:p w14:paraId="109188EC" w14:textId="7425D8A3" w:rsidR="00402A32" w:rsidRPr="00A404C9" w:rsidRDefault="00402A32" w:rsidP="00402A32">
      <w:pPr>
        <w:pStyle w:val="Ttulo6"/>
      </w:pPr>
      <w:bookmarkStart w:id="80" w:name="_Toc174116219"/>
      <w:r>
        <w:t>Empleos y recursos</w:t>
      </w:r>
      <w:bookmarkEnd w:id="80"/>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30"/>
        <w:gridCol w:w="4808"/>
      </w:tblGrid>
      <w:tr w:rsidR="001B0402" w:rsidRPr="00C572A3" w14:paraId="7314C619" w14:textId="77777777" w:rsidTr="00402A32">
        <w:trPr>
          <w:jc w:val="center"/>
        </w:trPr>
        <w:tc>
          <w:tcPr>
            <w:tcW w:w="9638" w:type="dxa"/>
            <w:gridSpan w:val="2"/>
            <w:tcBorders>
              <w:bottom w:val="single" w:sz="2" w:space="0" w:color="FFFFFF" w:themeColor="background1"/>
            </w:tcBorders>
          </w:tcPr>
          <w:p w14:paraId="35E37BE5" w14:textId="72B46A97" w:rsidR="001B0402" w:rsidRPr="00C572A3" w:rsidRDefault="001B0402" w:rsidP="00E97E64">
            <w:pPr>
              <w:keepNext/>
              <w:keepLines/>
              <w:spacing w:after="0"/>
              <w:jc w:val="center"/>
              <w:rPr>
                <w:i/>
                <w:iCs/>
              </w:rPr>
            </w:pPr>
            <w:r>
              <w:rPr>
                <w:i/>
                <w:iCs/>
              </w:rPr>
              <w:t>C.II.4.2.</w:t>
            </w:r>
            <w:r w:rsidR="00FA6AEF">
              <w:rPr>
                <w:i/>
                <w:iCs/>
              </w:rPr>
              <w:t> </w:t>
            </w:r>
            <w:r>
              <w:rPr>
                <w:i/>
                <w:iCs/>
              </w:rPr>
              <w:t>Cuenta de utilización de la renta disponible ajustada</w:t>
            </w:r>
          </w:p>
        </w:tc>
      </w:tr>
      <w:tr w:rsidR="001B0402" w:rsidRPr="00C572A3" w14:paraId="073867E6" w14:textId="77777777" w:rsidTr="00402A32">
        <w:trPr>
          <w:jc w:val="center"/>
        </w:trPr>
        <w:tc>
          <w:tcPr>
            <w:tcW w:w="4830" w:type="dxa"/>
            <w:tcBorders>
              <w:top w:val="single" w:sz="2" w:space="0" w:color="FFFFFF" w:themeColor="background1"/>
              <w:right w:val="single" w:sz="2" w:space="0" w:color="FFFFFF" w:themeColor="background1"/>
            </w:tcBorders>
          </w:tcPr>
          <w:p w14:paraId="7F0098FA" w14:textId="77777777" w:rsidR="001B0402" w:rsidRPr="00C572A3" w:rsidRDefault="001B0402" w:rsidP="00E97E64">
            <w:pPr>
              <w:keepNext/>
              <w:keepLines/>
              <w:spacing w:after="0"/>
              <w:jc w:val="center"/>
              <w:rPr>
                <w:i/>
                <w:iCs/>
              </w:rPr>
            </w:pPr>
            <w:r>
              <w:rPr>
                <w:i/>
                <w:iCs/>
              </w:rPr>
              <w:t>Empleos</w:t>
            </w:r>
          </w:p>
        </w:tc>
        <w:tc>
          <w:tcPr>
            <w:tcW w:w="4808" w:type="dxa"/>
            <w:tcBorders>
              <w:top w:val="single" w:sz="2" w:space="0" w:color="FFFFFF" w:themeColor="background1"/>
              <w:left w:val="single" w:sz="2" w:space="0" w:color="FFFFFF" w:themeColor="background1"/>
            </w:tcBorders>
          </w:tcPr>
          <w:p w14:paraId="54F99E3D" w14:textId="77777777" w:rsidR="001B0402" w:rsidRPr="00C572A3" w:rsidRDefault="001B0402" w:rsidP="00E97E64">
            <w:pPr>
              <w:keepNext/>
              <w:keepLines/>
              <w:spacing w:after="0"/>
              <w:jc w:val="center"/>
              <w:rPr>
                <w:i/>
                <w:iCs/>
              </w:rPr>
            </w:pPr>
            <w:r>
              <w:rPr>
                <w:i/>
                <w:iCs/>
              </w:rPr>
              <w:t>Recurs</w:t>
            </w:r>
            <w:r w:rsidRPr="00C572A3">
              <w:rPr>
                <w:i/>
                <w:iCs/>
              </w:rPr>
              <w:t>os</w:t>
            </w:r>
          </w:p>
        </w:tc>
      </w:tr>
      <w:tr w:rsidR="001B0402" w14:paraId="44ACB166" w14:textId="77777777" w:rsidTr="00402A32">
        <w:trPr>
          <w:jc w:val="center"/>
        </w:trPr>
        <w:tc>
          <w:tcPr>
            <w:tcW w:w="4830" w:type="dxa"/>
          </w:tcPr>
          <w:p w14:paraId="19F69EF3" w14:textId="47BF3985" w:rsidR="001B0402" w:rsidRDefault="00724CFE" w:rsidP="00F451A1">
            <w:pPr>
              <w:pStyle w:val="Nivel2SM"/>
              <w:keepNext/>
              <w:keepLines/>
              <w:spacing w:after="0"/>
              <w:ind w:left="113"/>
            </w:pPr>
            <w:r>
              <w:t>C</w:t>
            </w:r>
            <w:r w:rsidR="001B0402">
              <w:t>onsumo final</w:t>
            </w:r>
            <w:r>
              <w:t xml:space="preserve"> efectivo</w:t>
            </w:r>
            <w:r w:rsidR="001B0402">
              <w:t>:</w:t>
            </w:r>
          </w:p>
          <w:p w14:paraId="253C9331" w14:textId="77777777" w:rsidR="001B0402" w:rsidRDefault="001B0402" w:rsidP="00FA6AEF">
            <w:pPr>
              <w:pStyle w:val="Nivel1"/>
              <w:spacing w:before="0" w:after="0"/>
            </w:pPr>
            <w:r>
              <w:t>Individual</w:t>
            </w:r>
          </w:p>
          <w:p w14:paraId="1FE77A25" w14:textId="77777777" w:rsidR="001B0402" w:rsidRDefault="001B0402" w:rsidP="00FA6AEF">
            <w:pPr>
              <w:pStyle w:val="Nivel1"/>
              <w:spacing w:before="0"/>
            </w:pPr>
            <w:r>
              <w:t>Colectivo</w:t>
            </w:r>
          </w:p>
          <w:p w14:paraId="0E45B1E4" w14:textId="77777777" w:rsidR="001B0402" w:rsidRPr="0062504E" w:rsidRDefault="001B0402" w:rsidP="00F451A1">
            <w:pPr>
              <w:pStyle w:val="Nivel2SM"/>
              <w:ind w:left="113"/>
            </w:pPr>
            <w:r>
              <w:t xml:space="preserve">Ajuste por la variación de la participación neta de los hogares en las reservas de los fondos de pensiones </w:t>
            </w:r>
            <w:r w:rsidRPr="001B0402">
              <w:rPr>
                <w:color w:val="595959" w:themeColor="text1" w:themeTint="A6"/>
                <w:sz w:val="14"/>
                <w:szCs w:val="16"/>
              </w:rPr>
              <w:t>(Instituciones financieras y en algún caso Sociedades no financieras)</w:t>
            </w:r>
          </w:p>
          <w:p w14:paraId="22C62024" w14:textId="77777777" w:rsidR="001B0402" w:rsidRPr="000A035B" w:rsidRDefault="001B0402" w:rsidP="003D2210">
            <w:pPr>
              <w:pStyle w:val="Nivel2SM"/>
              <w:keepNext/>
              <w:keepLines/>
              <w:numPr>
                <w:ilvl w:val="0"/>
                <w:numId w:val="0"/>
              </w:numPr>
              <w:rPr>
                <w:b/>
                <w:bCs/>
                <w:sz w:val="16"/>
                <w:szCs w:val="16"/>
              </w:rPr>
            </w:pPr>
          </w:p>
          <w:p w14:paraId="564FB2F4" w14:textId="0E54E08A" w:rsidR="001B0402" w:rsidRDefault="001B0402" w:rsidP="003D2210">
            <w:pPr>
              <w:pStyle w:val="Nivel2SM"/>
              <w:keepNext/>
              <w:keepLines/>
              <w:numPr>
                <w:ilvl w:val="0"/>
                <w:numId w:val="0"/>
              </w:numPr>
              <w:ind w:left="1"/>
              <w:rPr>
                <w:b/>
                <w:bCs/>
              </w:rPr>
            </w:pPr>
            <w:r>
              <w:rPr>
                <w:b/>
                <w:bCs/>
              </w:rPr>
              <w:t>Ahorro Bruto</w:t>
            </w:r>
            <w:r w:rsidR="004100C5">
              <w:rPr>
                <w:b/>
                <w:bCs/>
              </w:rPr>
              <w:t xml:space="preserve"> / Ahorro Nacional Bruto</w:t>
            </w:r>
          </w:p>
          <w:p w14:paraId="5CC15516" w14:textId="72052051" w:rsidR="00E97E64" w:rsidRPr="00E97E64" w:rsidRDefault="001D0D41" w:rsidP="00E97E64">
            <w:pPr>
              <w:pStyle w:val="Nivel2SM"/>
              <w:keepNext/>
              <w:keepLines/>
              <w:numPr>
                <w:ilvl w:val="0"/>
                <w:numId w:val="0"/>
              </w:numPr>
              <w:ind w:left="142" w:hanging="142"/>
            </w:pPr>
            <w:r>
              <w:rPr>
                <w:noProof/>
              </w:rPr>
              <mc:AlternateContent>
                <mc:Choice Requires="wps">
                  <w:drawing>
                    <wp:anchor distT="4294967295" distB="4294967295" distL="114300" distR="114300" simplePos="0" relativeHeight="251661312" behindDoc="0" locked="0" layoutInCell="1" allowOverlap="1" wp14:anchorId="609D0D4F" wp14:editId="3C0DA1CE">
                      <wp:simplePos x="0" y="0"/>
                      <wp:positionH relativeFrom="column">
                        <wp:posOffset>-25400</wp:posOffset>
                      </wp:positionH>
                      <wp:positionV relativeFrom="paragraph">
                        <wp:posOffset>156844</wp:posOffset>
                      </wp:positionV>
                      <wp:extent cx="1403985" cy="0"/>
                      <wp:effectExtent l="0" t="0" r="0" b="0"/>
                      <wp:wrapNone/>
                      <wp:docPr id="1353343124" name="Conector rec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039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3974BCE" id="Conector recto 10"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pt,12.35pt" to="108.5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" strokecolor="black [3213]" strokeweight=".5pt">
                      <v:stroke joinstyle="miter"/>
                      <o:lock v:ext="edit" shapetype="f"/>
                    </v:line>
                  </w:pict>
                </mc:Fallback>
              </mc:AlternateContent>
            </w:r>
            <w:r w:rsidR="00E97E64" w:rsidRPr="00E97E64">
              <w:rPr>
                <w:rFonts w:ascii="Times New Roman" w:hAnsi="Times New Roman" w:cs="Times New Roman"/>
                <w:sz w:val="16"/>
                <w:szCs w:val="16"/>
              </w:rPr>
              <w:t>−</w:t>
            </w:r>
            <w:r w:rsidR="00E97E64" w:rsidRPr="00E97E64">
              <w:rPr>
                <w:sz w:val="16"/>
                <w:szCs w:val="16"/>
              </w:rPr>
              <w:t xml:space="preserve"> Consumo de capital fijo</w:t>
            </w:r>
          </w:p>
          <w:p w14:paraId="25CBD447" w14:textId="08966A3A" w:rsidR="00E97E64" w:rsidRPr="00E97E64" w:rsidRDefault="00E97E64" w:rsidP="00AD22C1">
            <w:pPr>
              <w:pStyle w:val="Nivel2SM"/>
              <w:widowControl w:val="0"/>
              <w:numPr>
                <w:ilvl w:val="0"/>
                <w:numId w:val="0"/>
              </w:numPr>
              <w:ind w:left="142" w:hanging="142"/>
              <w:rPr>
                <w:i/>
                <w:iCs/>
              </w:rPr>
            </w:pPr>
            <w:r w:rsidRPr="00E97E64">
              <w:rPr>
                <w:i/>
                <w:iCs/>
              </w:rPr>
              <w:t>Ahorro neto</w:t>
            </w:r>
            <w:r w:rsidR="004100C5">
              <w:rPr>
                <w:i/>
                <w:iCs/>
              </w:rPr>
              <w:t xml:space="preserve"> / Ahorro nacional neto</w:t>
            </w:r>
          </w:p>
        </w:tc>
        <w:tc>
          <w:tcPr>
            <w:tcW w:w="4808" w:type="dxa"/>
          </w:tcPr>
          <w:p w14:paraId="179B8169" w14:textId="6889341A" w:rsidR="001B0402" w:rsidRPr="00B164F8" w:rsidRDefault="001B0402" w:rsidP="00F451A1">
            <w:pPr>
              <w:pStyle w:val="Nivel2SM"/>
              <w:keepNext/>
              <w:keepLines/>
              <w:ind w:left="113"/>
              <w:contextualSpacing w:val="0"/>
              <w:rPr>
                <w:b/>
                <w:bCs/>
              </w:rPr>
            </w:pPr>
            <w:r>
              <w:rPr>
                <w:b/>
                <w:bCs/>
              </w:rPr>
              <w:t>Renta Disponible Bruta Ajustada</w:t>
            </w:r>
          </w:p>
          <w:p w14:paraId="43C055E9" w14:textId="77777777" w:rsidR="001B0402" w:rsidRDefault="001B0402" w:rsidP="00F451A1">
            <w:pPr>
              <w:pStyle w:val="Nivel2SM"/>
              <w:widowControl w:val="0"/>
              <w:ind w:left="113"/>
            </w:pPr>
            <w:r>
              <w:t xml:space="preserve">Ajuste por la variación de la participación neta de los hogares en las reservas de los fondos de pensiones </w:t>
            </w:r>
            <w:r w:rsidRPr="001B0402">
              <w:rPr>
                <w:color w:val="595959" w:themeColor="text1" w:themeTint="A6"/>
                <w:sz w:val="14"/>
                <w:szCs w:val="16"/>
              </w:rPr>
              <w:t>(hogares)</w:t>
            </w:r>
          </w:p>
        </w:tc>
      </w:tr>
    </w:tbl>
    <w:p w14:paraId="50D8629E" w14:textId="081ACE8E" w:rsidR="00402A32" w:rsidRPr="00402A32" w:rsidRDefault="00402A32" w:rsidP="00402A32">
      <w:pPr>
        <w:pStyle w:val="Ttulo6"/>
        <w:spacing w:before="240"/>
      </w:pPr>
      <w:bookmarkStart w:id="81" w:name="_Toc174116220"/>
      <w:r>
        <w:t>Saldo y macromagnitudes relevantes</w:t>
      </w:r>
      <w:bookmarkEnd w:id="81"/>
    </w:p>
    <w:p w14:paraId="63E8DAD1" w14:textId="6AF4EA96" w:rsidR="00AD22C1" w:rsidRPr="000D0EB7" w:rsidRDefault="000A035B" w:rsidP="00FA6AEF">
      <w:pPr>
        <w:pStyle w:val="Nivel1SM"/>
        <w:spacing w:before="0"/>
      </w:pPr>
      <w:r w:rsidRPr="000D0EB7">
        <w:t xml:space="preserve">El </w:t>
      </w:r>
      <w:r w:rsidRPr="000D0EB7">
        <w:rPr>
          <w:i/>
          <w:iCs/>
        </w:rPr>
        <w:t>saldo contable</w:t>
      </w:r>
      <w:r w:rsidRPr="000D0EB7">
        <w:t xml:space="preserve"> de esta cuenta es el mismo que el de la anterior, el ahorro bruto,</w:t>
      </w:r>
      <w:r w:rsidR="000D0EB7" w:rsidRPr="000D0EB7">
        <w:t xml:space="preserve"> que mide la parte de la renta disponible de cada sector institucional que no se utiliza en gastos de consumo final</w:t>
      </w:r>
      <w:r w:rsidRPr="000D0EB7">
        <w:t>.</w:t>
      </w:r>
    </w:p>
    <w:p w14:paraId="5D7440DB" w14:textId="6D05F6B1" w:rsidR="00851439" w:rsidRDefault="000A035B" w:rsidP="00684517">
      <w:pPr>
        <w:pStyle w:val="Nivel1SM"/>
      </w:pPr>
      <w:r>
        <w:t>Puede ser positivo o negativo, según si el ingreso disponible supera a los gastos en consumo final o viceversa. Asumiendo que el ahorro es positivo (y en ausencia de transferencias de capital) el ingreso no gastado tiene que destinarse a la adquisición de activos o la reducción de pasivos. Si el ahorro es negativo, algunos activos financieros o no financieros se han tenido que liquidar o se han incrementado algunos pasivos. Por tanto, el ahorro constituye el vínculo entre las cuentas corrientes del Sistema de Cuentas Nacionales y las cuentas de acumulación subsiguientes.</w:t>
      </w:r>
    </w:p>
    <w:p w14:paraId="18D5C962" w14:textId="3229E31C" w:rsidR="00851439" w:rsidRPr="00851439" w:rsidRDefault="00851439" w:rsidP="00851439">
      <w:pPr>
        <w:pStyle w:val="Ttuloimagen"/>
        <w:rPr>
          <w:smallCaps w:val="0"/>
        </w:rPr>
      </w:pPr>
      <w:r>
        <w:t>Imagen</w:t>
      </w:r>
      <w:r w:rsidR="00FA6AEF">
        <w:t> </w:t>
      </w:r>
      <w:r>
        <w:fldChar w:fldCharType="begin"/>
      </w:r>
      <w:r>
        <w:instrText xml:space="preserve"> SEQ Ilustración \* ARABIC </w:instrText>
      </w:r>
      <w:r>
        <w:fldChar w:fldCharType="separate"/>
      </w:r>
      <w:r w:rsidR="001A65F8">
        <w:t>5</w:t>
      </w:r>
      <w:r>
        <w:fldChar w:fldCharType="end"/>
      </w:r>
      <w:r>
        <w:rPr>
          <w:smallCaps w:val="0"/>
        </w:rPr>
        <w:t xml:space="preserve">.– </w:t>
      </w:r>
      <w:r>
        <w:rPr>
          <w:i/>
          <w:iCs/>
          <w:smallCaps w:val="0"/>
        </w:rPr>
        <w:t>Desagregación de la RNDB y RNDBA</w:t>
      </w:r>
    </w:p>
    <w:tbl>
      <w:tblPr>
        <w:tblStyle w:val="Tablaconcuadrcula"/>
        <w:tblW w:w="9021" w:type="dxa"/>
        <w:jc w:val="center"/>
        <w:tblLook w:val="04A0" w:firstRow="1" w:lastRow="0" w:firstColumn="1" w:lastColumn="0" w:noHBand="0" w:noVBand="1"/>
      </w:tblPr>
      <w:tblGrid>
        <w:gridCol w:w="526"/>
        <w:gridCol w:w="975"/>
        <w:gridCol w:w="2837"/>
        <w:gridCol w:w="507"/>
        <w:gridCol w:w="1236"/>
        <w:gridCol w:w="2344"/>
        <w:gridCol w:w="529"/>
        <w:gridCol w:w="67"/>
      </w:tblGrid>
      <w:tr w:rsidR="00851439" w14:paraId="62B16C12" w14:textId="77777777" w:rsidTr="00851439">
        <w:trPr>
          <w:cantSplit/>
          <w:trHeight w:val="340"/>
          <w:jc w:val="center"/>
        </w:trPr>
        <w:tc>
          <w:tcPr>
            <w:tcW w:w="4845" w:type="dxa"/>
            <w:gridSpan w:val="4"/>
            <w:tcBorders>
              <w:top w:val="nil"/>
              <w:left w:val="nil"/>
              <w:bottom w:val="nil"/>
              <w:right w:val="nil"/>
            </w:tcBorders>
            <w:vAlign w:val="center"/>
          </w:tcPr>
          <w:p w14:paraId="628FE35C" w14:textId="77777777" w:rsidR="00851439" w:rsidRPr="00635A80" w:rsidRDefault="00851439" w:rsidP="000C239E">
            <w:pPr>
              <w:keepNext/>
              <w:spacing w:after="0"/>
              <w:ind w:left="-108"/>
              <w:contextualSpacing/>
              <w:jc w:val="left"/>
              <w:rPr>
                <w:sz w:val="16"/>
                <w:szCs w:val="16"/>
              </w:rPr>
            </w:pPr>
            <w:r w:rsidRPr="00635A80">
              <w:rPr>
                <w:i/>
                <w:iCs/>
                <w:sz w:val="16"/>
                <w:szCs w:val="16"/>
              </w:rPr>
              <w:t>C.II.4.1</w:t>
            </w:r>
            <w:r w:rsidRPr="00635A80">
              <w:rPr>
                <w:sz w:val="16"/>
                <w:szCs w:val="16"/>
              </w:rPr>
              <w:t xml:space="preserve">: </w:t>
            </w:r>
            <w:r w:rsidRPr="00635A80">
              <w:rPr>
                <w:sz w:val="15"/>
                <w:szCs w:val="15"/>
              </w:rPr>
              <w:t>Cuenta de utilización de la renta disponible</w:t>
            </w:r>
          </w:p>
        </w:tc>
        <w:tc>
          <w:tcPr>
            <w:tcW w:w="4176" w:type="dxa"/>
            <w:gridSpan w:val="4"/>
            <w:tcBorders>
              <w:top w:val="nil"/>
              <w:left w:val="nil"/>
              <w:bottom w:val="nil"/>
              <w:right w:val="nil"/>
            </w:tcBorders>
            <w:vAlign w:val="center"/>
          </w:tcPr>
          <w:p w14:paraId="45121B63" w14:textId="77777777" w:rsidR="00851439" w:rsidRDefault="00851439" w:rsidP="000C239E">
            <w:pPr>
              <w:keepNext/>
              <w:spacing w:after="0"/>
              <w:ind w:left="-114"/>
              <w:contextualSpacing/>
              <w:jc w:val="right"/>
            </w:pPr>
            <w:r w:rsidRPr="00635A80">
              <w:rPr>
                <w:i/>
                <w:iCs/>
                <w:sz w:val="16"/>
                <w:szCs w:val="16"/>
              </w:rPr>
              <w:t>C.II.4.</w:t>
            </w:r>
            <w:r>
              <w:rPr>
                <w:i/>
                <w:iCs/>
                <w:sz w:val="16"/>
                <w:szCs w:val="16"/>
              </w:rPr>
              <w:t>2</w:t>
            </w:r>
            <w:r w:rsidRPr="00635A80">
              <w:rPr>
                <w:sz w:val="16"/>
                <w:szCs w:val="16"/>
              </w:rPr>
              <w:t xml:space="preserve">: </w:t>
            </w:r>
            <w:r w:rsidRPr="00635A80">
              <w:rPr>
                <w:sz w:val="15"/>
                <w:szCs w:val="15"/>
              </w:rPr>
              <w:t>Cuenta de utilización de la renta disponible ajustada</w:t>
            </w:r>
          </w:p>
        </w:tc>
      </w:tr>
      <w:tr w:rsidR="00851439" w14:paraId="5CF223BF" w14:textId="77777777" w:rsidTr="00851439">
        <w:trPr>
          <w:gridAfter w:val="1"/>
          <w:wAfter w:w="67" w:type="dxa"/>
          <w:cantSplit/>
          <w:trHeight w:val="283"/>
          <w:jc w:val="center"/>
        </w:trPr>
        <w:tc>
          <w:tcPr>
            <w:tcW w:w="526" w:type="dxa"/>
            <w:vMerge w:val="restart"/>
            <w:tcBorders>
              <w:top w:val="single" w:sz="4" w:space="0" w:color="auto"/>
              <w:right w:val="single" w:sz="4" w:space="0" w:color="auto"/>
            </w:tcBorders>
            <w:textDirection w:val="btLr"/>
            <w:vAlign w:val="center"/>
          </w:tcPr>
          <w:p w14:paraId="4B8BD6D7" w14:textId="77777777" w:rsidR="00851439" w:rsidRDefault="00851439" w:rsidP="000C239E">
            <w:pPr>
              <w:keepNext/>
              <w:spacing w:after="0"/>
              <w:ind w:left="113" w:right="113"/>
              <w:jc w:val="center"/>
            </w:pPr>
            <w:r>
              <w:t>RNDB</w:t>
            </w:r>
          </w:p>
        </w:tc>
        <w:tc>
          <w:tcPr>
            <w:tcW w:w="975" w:type="dxa"/>
            <w:tcBorders>
              <w:top w:val="dashed" w:sz="4" w:space="0" w:color="auto"/>
              <w:left w:val="single" w:sz="4" w:space="0" w:color="auto"/>
              <w:bottom w:val="dashed" w:sz="4" w:space="0" w:color="auto"/>
              <w:right w:val="nil"/>
            </w:tcBorders>
            <w:vAlign w:val="center"/>
          </w:tcPr>
          <w:p w14:paraId="09FE20C6" w14:textId="066771D5" w:rsidR="00851439" w:rsidRDefault="00851439" w:rsidP="000C239E">
            <w:pPr>
              <w:keepNext/>
              <w:spacing w:after="0"/>
              <w:jc w:val="center"/>
            </w:pPr>
          </w:p>
        </w:tc>
        <w:tc>
          <w:tcPr>
            <w:tcW w:w="2837" w:type="dxa"/>
            <w:tcBorders>
              <w:top w:val="dashed" w:sz="4" w:space="0" w:color="auto"/>
              <w:left w:val="nil"/>
              <w:bottom w:val="dashed" w:sz="4" w:space="0" w:color="auto"/>
              <w:right w:val="dashed" w:sz="4" w:space="0" w:color="auto"/>
            </w:tcBorders>
            <w:vAlign w:val="center"/>
          </w:tcPr>
          <w:p w14:paraId="4EBDC9F3" w14:textId="4986A749" w:rsidR="00851439" w:rsidRDefault="00851439" w:rsidP="000C239E">
            <w:pPr>
              <w:keepNext/>
              <w:spacing w:after="0"/>
              <w:jc w:val="center"/>
            </w:pPr>
            <w:r>
              <w:t>S</w:t>
            </w:r>
            <w:r w:rsidRPr="006157FA">
              <w:rPr>
                <w:vertAlign w:val="subscript"/>
              </w:rPr>
              <w:t>ISFLH</w:t>
            </w:r>
          </w:p>
        </w:tc>
        <w:tc>
          <w:tcPr>
            <w:tcW w:w="1743" w:type="dxa"/>
            <w:gridSpan w:val="2"/>
            <w:tcBorders>
              <w:top w:val="nil"/>
              <w:left w:val="dashed" w:sz="4" w:space="0" w:color="auto"/>
              <w:bottom w:val="single" w:sz="4" w:space="0" w:color="FFFFFF" w:themeColor="background1"/>
              <w:right w:val="dashed" w:sz="4" w:space="0" w:color="auto"/>
            </w:tcBorders>
            <w:vAlign w:val="center"/>
          </w:tcPr>
          <w:p w14:paraId="61F952EE" w14:textId="77777777" w:rsidR="00851439" w:rsidRDefault="00851439" w:rsidP="000C239E">
            <w:pPr>
              <w:keepNext/>
              <w:spacing w:after="0"/>
              <w:jc w:val="center"/>
            </w:pPr>
          </w:p>
        </w:tc>
        <w:tc>
          <w:tcPr>
            <w:tcW w:w="2344" w:type="dxa"/>
            <w:tcBorders>
              <w:top w:val="dashed" w:sz="4" w:space="0" w:color="auto"/>
              <w:left w:val="dashed" w:sz="4" w:space="0" w:color="auto"/>
              <w:bottom w:val="dashed" w:sz="4" w:space="0" w:color="auto"/>
              <w:right w:val="single" w:sz="4" w:space="0" w:color="auto"/>
            </w:tcBorders>
            <w:vAlign w:val="center"/>
          </w:tcPr>
          <w:p w14:paraId="34EF64A1" w14:textId="77777777" w:rsidR="00851439" w:rsidRDefault="00851439" w:rsidP="000C239E">
            <w:pPr>
              <w:keepNext/>
              <w:spacing w:after="0"/>
              <w:jc w:val="center"/>
            </w:pPr>
            <w:r>
              <w:t>S</w:t>
            </w:r>
            <w:r w:rsidRPr="006157FA">
              <w:rPr>
                <w:vertAlign w:val="subscript"/>
              </w:rPr>
              <w:t>ISFLH</w:t>
            </w:r>
          </w:p>
        </w:tc>
        <w:tc>
          <w:tcPr>
            <w:tcW w:w="529" w:type="dxa"/>
            <w:vMerge w:val="restart"/>
            <w:tcBorders>
              <w:top w:val="single" w:sz="4" w:space="0" w:color="auto"/>
              <w:left w:val="single" w:sz="4" w:space="0" w:color="auto"/>
            </w:tcBorders>
            <w:textDirection w:val="btLr"/>
            <w:vAlign w:val="center"/>
          </w:tcPr>
          <w:p w14:paraId="5EF44B1B" w14:textId="77777777" w:rsidR="00851439" w:rsidRDefault="00851439" w:rsidP="000C239E">
            <w:pPr>
              <w:keepNext/>
              <w:spacing w:after="0"/>
              <w:ind w:left="113" w:right="113"/>
              <w:jc w:val="center"/>
            </w:pPr>
            <w:r>
              <w:t>RNDBA</w:t>
            </w:r>
          </w:p>
        </w:tc>
      </w:tr>
      <w:tr w:rsidR="00851439" w14:paraId="0A847A9B" w14:textId="77777777" w:rsidTr="009C6476">
        <w:trPr>
          <w:gridAfter w:val="1"/>
          <w:wAfter w:w="67" w:type="dxa"/>
          <w:cantSplit/>
          <w:trHeight w:val="567"/>
          <w:jc w:val="center"/>
        </w:trPr>
        <w:tc>
          <w:tcPr>
            <w:tcW w:w="526" w:type="dxa"/>
            <w:vMerge/>
            <w:tcBorders>
              <w:top w:val="single" w:sz="4" w:space="0" w:color="auto"/>
              <w:right w:val="single" w:sz="4" w:space="0" w:color="auto"/>
            </w:tcBorders>
            <w:textDirection w:val="btLr"/>
            <w:vAlign w:val="center"/>
          </w:tcPr>
          <w:p w14:paraId="50524787" w14:textId="77777777" w:rsidR="00851439" w:rsidRDefault="00851439" w:rsidP="000C239E">
            <w:pPr>
              <w:keepNext/>
              <w:spacing w:after="0"/>
              <w:ind w:left="113" w:right="113"/>
              <w:jc w:val="center"/>
            </w:pPr>
          </w:p>
        </w:tc>
        <w:tc>
          <w:tcPr>
            <w:tcW w:w="975" w:type="dxa"/>
            <w:tcBorders>
              <w:top w:val="dashed" w:sz="4" w:space="0" w:color="auto"/>
              <w:left w:val="single" w:sz="4" w:space="0" w:color="auto"/>
              <w:right w:val="dashed" w:sz="4" w:space="0" w:color="auto"/>
            </w:tcBorders>
            <w:vAlign w:val="center"/>
          </w:tcPr>
          <w:p w14:paraId="2EA3AC13" w14:textId="1FE24CF0" w:rsidR="00851439" w:rsidRDefault="009C6476" w:rsidP="000C239E">
            <w:pPr>
              <w:keepNext/>
              <w:spacing w:after="0"/>
              <w:jc w:val="center"/>
            </w:pPr>
            <w:r>
              <w:t>RD</w:t>
            </w:r>
            <w:r>
              <w:rPr>
                <w:vertAlign w:val="subscript"/>
              </w:rPr>
              <w:t>E</w:t>
            </w:r>
          </w:p>
        </w:tc>
        <w:tc>
          <w:tcPr>
            <w:tcW w:w="2837" w:type="dxa"/>
            <w:tcBorders>
              <w:top w:val="dashed" w:sz="4" w:space="0" w:color="auto"/>
              <w:left w:val="dashed" w:sz="4" w:space="0" w:color="auto"/>
              <w:right w:val="dashed" w:sz="4" w:space="0" w:color="auto"/>
            </w:tcBorders>
            <w:vAlign w:val="center"/>
          </w:tcPr>
          <w:p w14:paraId="7F8EEA85" w14:textId="6FF6F21A" w:rsidR="00851439" w:rsidRDefault="00851439" w:rsidP="000C239E">
            <w:pPr>
              <w:keepNext/>
              <w:spacing w:after="0"/>
              <w:jc w:val="center"/>
            </w:pPr>
            <w:r>
              <w:t>S</w:t>
            </w:r>
            <w:r>
              <w:rPr>
                <w:vertAlign w:val="subscript"/>
              </w:rPr>
              <w:t>E</w:t>
            </w:r>
          </w:p>
        </w:tc>
        <w:tc>
          <w:tcPr>
            <w:tcW w:w="1743" w:type="dxa"/>
            <w:gridSpan w:val="2"/>
            <w:tcBorders>
              <w:top w:val="nil"/>
              <w:left w:val="dashed" w:sz="4" w:space="0" w:color="auto"/>
              <w:bottom w:val="single" w:sz="4" w:space="0" w:color="FFFFFF" w:themeColor="background1"/>
              <w:right w:val="dashed" w:sz="4" w:space="0" w:color="auto"/>
            </w:tcBorders>
            <w:vAlign w:val="center"/>
          </w:tcPr>
          <w:p w14:paraId="28C7E069" w14:textId="77777777" w:rsidR="00851439" w:rsidRDefault="00851439" w:rsidP="000C239E">
            <w:pPr>
              <w:keepNext/>
              <w:spacing w:after="0"/>
              <w:jc w:val="center"/>
            </w:pPr>
          </w:p>
        </w:tc>
        <w:tc>
          <w:tcPr>
            <w:tcW w:w="2344" w:type="dxa"/>
            <w:tcBorders>
              <w:top w:val="dashed" w:sz="4" w:space="0" w:color="auto"/>
              <w:left w:val="dashed" w:sz="4" w:space="0" w:color="auto"/>
              <w:right w:val="single" w:sz="4" w:space="0" w:color="auto"/>
            </w:tcBorders>
            <w:vAlign w:val="center"/>
          </w:tcPr>
          <w:p w14:paraId="16F8EBCC" w14:textId="77777777" w:rsidR="00851439" w:rsidRDefault="00851439" w:rsidP="000C239E">
            <w:pPr>
              <w:keepNext/>
              <w:spacing w:after="0"/>
              <w:jc w:val="center"/>
            </w:pPr>
            <w:r>
              <w:t>S</w:t>
            </w:r>
            <w:r>
              <w:rPr>
                <w:vertAlign w:val="subscript"/>
              </w:rPr>
              <w:t>E</w:t>
            </w:r>
          </w:p>
        </w:tc>
        <w:tc>
          <w:tcPr>
            <w:tcW w:w="529" w:type="dxa"/>
            <w:vMerge/>
            <w:tcBorders>
              <w:left w:val="single" w:sz="4" w:space="0" w:color="auto"/>
            </w:tcBorders>
            <w:textDirection w:val="btLr"/>
            <w:vAlign w:val="center"/>
          </w:tcPr>
          <w:p w14:paraId="667AA7CE" w14:textId="77777777" w:rsidR="00851439" w:rsidRDefault="00851439" w:rsidP="000C239E">
            <w:pPr>
              <w:keepNext/>
              <w:spacing w:after="0"/>
              <w:ind w:left="113" w:right="113"/>
              <w:jc w:val="center"/>
            </w:pPr>
          </w:p>
        </w:tc>
      </w:tr>
      <w:tr w:rsidR="00851439" w14:paraId="55CB7011" w14:textId="77777777" w:rsidTr="000C239E">
        <w:trPr>
          <w:gridAfter w:val="1"/>
          <w:wAfter w:w="67" w:type="dxa"/>
          <w:trHeight w:val="283"/>
          <w:jc w:val="center"/>
        </w:trPr>
        <w:tc>
          <w:tcPr>
            <w:tcW w:w="526" w:type="dxa"/>
            <w:vMerge/>
            <w:vAlign w:val="center"/>
          </w:tcPr>
          <w:p w14:paraId="17604DF3" w14:textId="77777777" w:rsidR="00851439" w:rsidRDefault="00851439" w:rsidP="000C239E">
            <w:pPr>
              <w:keepNext/>
              <w:spacing w:after="0"/>
              <w:jc w:val="center"/>
            </w:pPr>
          </w:p>
        </w:tc>
        <w:tc>
          <w:tcPr>
            <w:tcW w:w="975" w:type="dxa"/>
            <w:vMerge w:val="restart"/>
            <w:vAlign w:val="center"/>
          </w:tcPr>
          <w:p w14:paraId="649B1B3F" w14:textId="26644D6A" w:rsidR="00851439" w:rsidRPr="00724CFE" w:rsidRDefault="00851439" w:rsidP="000C239E">
            <w:pPr>
              <w:keepNext/>
              <w:spacing w:after="0"/>
              <w:jc w:val="center"/>
              <w:rPr>
                <w:vertAlign w:val="subscript"/>
              </w:rPr>
            </w:pPr>
            <w:r>
              <w:t>RD</w:t>
            </w:r>
            <w:r>
              <w:rPr>
                <w:vertAlign w:val="subscript"/>
              </w:rPr>
              <w:t>H</w:t>
            </w:r>
          </w:p>
        </w:tc>
        <w:tc>
          <w:tcPr>
            <w:tcW w:w="2837" w:type="dxa"/>
            <w:vAlign w:val="center"/>
          </w:tcPr>
          <w:p w14:paraId="2D713407" w14:textId="77777777" w:rsidR="00851439" w:rsidRPr="00724CFE" w:rsidRDefault="00851439" w:rsidP="000C239E">
            <w:pPr>
              <w:keepNext/>
              <w:spacing w:after="0"/>
              <w:jc w:val="center"/>
              <w:rPr>
                <w:vertAlign w:val="subscript"/>
              </w:rPr>
            </w:pPr>
            <w:r>
              <w:t>S</w:t>
            </w:r>
            <w:r w:rsidRPr="002F02BA">
              <w:rPr>
                <w:vertAlign w:val="subscript"/>
              </w:rPr>
              <w:t>H</w:t>
            </w:r>
          </w:p>
        </w:tc>
        <w:tc>
          <w:tcPr>
            <w:tcW w:w="1743" w:type="dxa"/>
            <w:gridSpan w:val="2"/>
            <w:vMerge w:val="restart"/>
            <w:tcBorders>
              <w:top w:val="single" w:sz="4" w:space="0" w:color="FFFFFF" w:themeColor="background1"/>
            </w:tcBorders>
            <w:vAlign w:val="center"/>
          </w:tcPr>
          <w:p w14:paraId="6AE5B8D9" w14:textId="77777777" w:rsidR="00851439" w:rsidRDefault="00851439" w:rsidP="000C239E">
            <w:pPr>
              <w:keepNext/>
              <w:spacing w:after="0"/>
              <w:jc w:val="center"/>
            </w:pPr>
          </w:p>
        </w:tc>
        <w:tc>
          <w:tcPr>
            <w:tcW w:w="2344" w:type="dxa"/>
            <w:tcBorders>
              <w:right w:val="single" w:sz="4" w:space="0" w:color="auto"/>
            </w:tcBorders>
            <w:vAlign w:val="center"/>
          </w:tcPr>
          <w:p w14:paraId="09F1418A" w14:textId="77777777" w:rsidR="00851439" w:rsidRPr="00724CFE" w:rsidRDefault="00851439" w:rsidP="000C239E">
            <w:pPr>
              <w:keepNext/>
              <w:spacing w:after="0"/>
              <w:jc w:val="center"/>
              <w:rPr>
                <w:vertAlign w:val="subscript"/>
              </w:rPr>
            </w:pPr>
            <w:r>
              <w:t>S</w:t>
            </w:r>
            <w:r>
              <w:rPr>
                <w:vertAlign w:val="subscript"/>
              </w:rPr>
              <w:t>H</w:t>
            </w:r>
          </w:p>
        </w:tc>
        <w:tc>
          <w:tcPr>
            <w:tcW w:w="529" w:type="dxa"/>
            <w:vMerge/>
            <w:tcBorders>
              <w:left w:val="single" w:sz="4" w:space="0" w:color="auto"/>
            </w:tcBorders>
            <w:vAlign w:val="center"/>
          </w:tcPr>
          <w:p w14:paraId="076C0368" w14:textId="77777777" w:rsidR="00851439" w:rsidRDefault="00851439" w:rsidP="000C239E">
            <w:pPr>
              <w:keepNext/>
              <w:spacing w:after="0"/>
              <w:jc w:val="center"/>
            </w:pPr>
          </w:p>
        </w:tc>
      </w:tr>
      <w:tr w:rsidR="00851439" w14:paraId="373EF799" w14:textId="77777777" w:rsidTr="000C239E">
        <w:trPr>
          <w:gridAfter w:val="1"/>
          <w:wAfter w:w="67" w:type="dxa"/>
          <w:trHeight w:val="567"/>
          <w:jc w:val="center"/>
        </w:trPr>
        <w:tc>
          <w:tcPr>
            <w:tcW w:w="526" w:type="dxa"/>
            <w:vMerge/>
            <w:vAlign w:val="center"/>
          </w:tcPr>
          <w:p w14:paraId="78971A5C" w14:textId="77777777" w:rsidR="00851439" w:rsidRDefault="00851439" w:rsidP="000C239E">
            <w:pPr>
              <w:keepNext/>
              <w:spacing w:after="0"/>
              <w:jc w:val="center"/>
            </w:pPr>
          </w:p>
        </w:tc>
        <w:tc>
          <w:tcPr>
            <w:tcW w:w="975" w:type="dxa"/>
            <w:vMerge/>
            <w:vAlign w:val="center"/>
          </w:tcPr>
          <w:p w14:paraId="57DB219F" w14:textId="77777777" w:rsidR="00851439" w:rsidRDefault="00851439" w:rsidP="000C239E">
            <w:pPr>
              <w:keepNext/>
              <w:spacing w:after="0"/>
              <w:jc w:val="center"/>
            </w:pPr>
          </w:p>
        </w:tc>
        <w:tc>
          <w:tcPr>
            <w:tcW w:w="2837" w:type="dxa"/>
            <w:vAlign w:val="center"/>
          </w:tcPr>
          <w:p w14:paraId="0CA5C7AD" w14:textId="77777777" w:rsidR="00851439" w:rsidRPr="00724CFE" w:rsidRDefault="00851439" w:rsidP="000C239E">
            <w:pPr>
              <w:keepNext/>
              <w:spacing w:after="0" w:line="180" w:lineRule="auto"/>
              <w:ind w:left="-45"/>
              <w:jc w:val="center"/>
              <w:rPr>
                <w:vertAlign w:val="subscript"/>
              </w:rPr>
            </w:pPr>
            <w:r>
              <w:t xml:space="preserve">Gasto en Consumo Final </w:t>
            </w:r>
            <w:r w:rsidRPr="002F02BA">
              <w:rPr>
                <w:vertAlign w:val="subscript"/>
              </w:rPr>
              <w:t>H</w:t>
            </w:r>
          </w:p>
        </w:tc>
        <w:tc>
          <w:tcPr>
            <w:tcW w:w="1743" w:type="dxa"/>
            <w:gridSpan w:val="2"/>
            <w:vMerge/>
            <w:tcBorders>
              <w:bottom w:val="dashed" w:sz="4" w:space="0" w:color="auto"/>
            </w:tcBorders>
            <w:vAlign w:val="center"/>
          </w:tcPr>
          <w:p w14:paraId="4EE9F570" w14:textId="77777777" w:rsidR="00851439" w:rsidRDefault="00851439" w:rsidP="000C239E">
            <w:pPr>
              <w:keepNext/>
              <w:spacing w:after="0"/>
              <w:jc w:val="center"/>
            </w:pPr>
          </w:p>
        </w:tc>
        <w:tc>
          <w:tcPr>
            <w:tcW w:w="2344" w:type="dxa"/>
            <w:vMerge w:val="restart"/>
            <w:tcBorders>
              <w:right w:val="single" w:sz="4" w:space="0" w:color="auto"/>
            </w:tcBorders>
            <w:vAlign w:val="center"/>
          </w:tcPr>
          <w:p w14:paraId="0079AF5F" w14:textId="77777777" w:rsidR="00851439" w:rsidRDefault="00851439" w:rsidP="000C239E">
            <w:pPr>
              <w:keepNext/>
              <w:spacing w:after="0"/>
              <w:jc w:val="center"/>
            </w:pPr>
            <w:r>
              <w:t xml:space="preserve">Consumo Final Efectivo </w:t>
            </w:r>
            <w:r w:rsidRPr="00724CFE">
              <w:rPr>
                <w:vertAlign w:val="subscript"/>
              </w:rPr>
              <w:t>Indiv</w:t>
            </w:r>
            <w:r>
              <w:rPr>
                <w:vertAlign w:val="subscript"/>
              </w:rPr>
              <w:t>idual</w:t>
            </w:r>
          </w:p>
        </w:tc>
        <w:tc>
          <w:tcPr>
            <w:tcW w:w="529" w:type="dxa"/>
            <w:vMerge/>
            <w:tcBorders>
              <w:left w:val="single" w:sz="4" w:space="0" w:color="auto"/>
            </w:tcBorders>
            <w:vAlign w:val="center"/>
          </w:tcPr>
          <w:p w14:paraId="57496F48" w14:textId="77777777" w:rsidR="00851439" w:rsidRDefault="00851439" w:rsidP="000C239E">
            <w:pPr>
              <w:keepNext/>
              <w:spacing w:after="0"/>
              <w:jc w:val="center"/>
            </w:pPr>
          </w:p>
        </w:tc>
      </w:tr>
      <w:tr w:rsidR="00851439" w14:paraId="5DE75511" w14:textId="77777777" w:rsidTr="000C239E">
        <w:trPr>
          <w:gridAfter w:val="1"/>
          <w:wAfter w:w="67" w:type="dxa"/>
          <w:trHeight w:val="737"/>
          <w:jc w:val="center"/>
        </w:trPr>
        <w:tc>
          <w:tcPr>
            <w:tcW w:w="526" w:type="dxa"/>
            <w:vMerge/>
            <w:vAlign w:val="center"/>
          </w:tcPr>
          <w:p w14:paraId="05AD70BE" w14:textId="77777777" w:rsidR="00851439" w:rsidRDefault="00851439" w:rsidP="000C239E">
            <w:pPr>
              <w:keepNext/>
              <w:spacing w:after="0"/>
              <w:jc w:val="center"/>
            </w:pPr>
          </w:p>
        </w:tc>
        <w:tc>
          <w:tcPr>
            <w:tcW w:w="975" w:type="dxa"/>
            <w:tcBorders>
              <w:right w:val="nil"/>
            </w:tcBorders>
            <w:vAlign w:val="center"/>
          </w:tcPr>
          <w:p w14:paraId="23C8495D" w14:textId="5772491C" w:rsidR="00851439" w:rsidRPr="00724CFE" w:rsidRDefault="00851439" w:rsidP="000C239E">
            <w:pPr>
              <w:keepNext/>
              <w:spacing w:after="0" w:line="180" w:lineRule="auto"/>
              <w:ind w:left="931"/>
              <w:jc w:val="center"/>
              <w:rPr>
                <w:vertAlign w:val="subscript"/>
              </w:rPr>
            </w:pPr>
          </w:p>
        </w:tc>
        <w:tc>
          <w:tcPr>
            <w:tcW w:w="2837" w:type="dxa"/>
            <w:tcBorders>
              <w:left w:val="nil"/>
            </w:tcBorders>
            <w:vAlign w:val="center"/>
          </w:tcPr>
          <w:p w14:paraId="69CAD96D" w14:textId="566BA9BC" w:rsidR="00851439" w:rsidRPr="00851439" w:rsidRDefault="00851439" w:rsidP="00851439">
            <w:pPr>
              <w:keepNext/>
              <w:spacing w:after="0" w:line="180" w:lineRule="auto"/>
              <w:ind w:left="-190" w:right="-159"/>
              <w:jc w:val="center"/>
              <w:rPr>
                <w:spacing w:val="-5"/>
                <w:vertAlign w:val="subscript"/>
              </w:rPr>
            </w:pPr>
            <w:r w:rsidRPr="00851439">
              <w:rPr>
                <w:spacing w:val="-5"/>
              </w:rPr>
              <w:t xml:space="preserve">Gasto en Consumo Final </w:t>
            </w:r>
            <w:r w:rsidRPr="00851439">
              <w:rPr>
                <w:spacing w:val="-5"/>
                <w:vertAlign w:val="subscript"/>
              </w:rPr>
              <w:t>ISFLH</w:t>
            </w:r>
          </w:p>
        </w:tc>
        <w:tc>
          <w:tcPr>
            <w:tcW w:w="1743" w:type="dxa"/>
            <w:gridSpan w:val="2"/>
            <w:vMerge w:val="restart"/>
            <w:tcBorders>
              <w:top w:val="dashed" w:sz="4" w:space="0" w:color="auto"/>
            </w:tcBorders>
            <w:vAlign w:val="center"/>
          </w:tcPr>
          <w:p w14:paraId="2604117A" w14:textId="77777777" w:rsidR="00851439" w:rsidRDefault="00851439" w:rsidP="000C239E">
            <w:pPr>
              <w:keepNext/>
              <w:spacing w:after="0"/>
              <w:jc w:val="center"/>
            </w:pPr>
            <w:r>
              <w:t>Transferencias sociales en especie</w:t>
            </w:r>
            <w:r>
              <w:br/>
            </w:r>
            <w:r w:rsidRPr="00FB5EDE">
              <w:rPr>
                <w:sz w:val="14"/>
                <w:szCs w:val="14"/>
              </w:rPr>
              <w:t>(recogidas en la cuenta de redistribución de la renta en especie)</w:t>
            </w:r>
          </w:p>
        </w:tc>
        <w:tc>
          <w:tcPr>
            <w:tcW w:w="2344" w:type="dxa"/>
            <w:vMerge/>
            <w:tcBorders>
              <w:right w:val="single" w:sz="4" w:space="0" w:color="auto"/>
            </w:tcBorders>
            <w:vAlign w:val="center"/>
          </w:tcPr>
          <w:p w14:paraId="051F37DC" w14:textId="77777777" w:rsidR="00851439" w:rsidRDefault="00851439" w:rsidP="000C239E">
            <w:pPr>
              <w:keepNext/>
              <w:spacing w:after="0"/>
              <w:jc w:val="center"/>
            </w:pPr>
          </w:p>
        </w:tc>
        <w:tc>
          <w:tcPr>
            <w:tcW w:w="529" w:type="dxa"/>
            <w:vMerge/>
            <w:tcBorders>
              <w:left w:val="single" w:sz="4" w:space="0" w:color="auto"/>
            </w:tcBorders>
            <w:vAlign w:val="center"/>
          </w:tcPr>
          <w:p w14:paraId="19AEB1CA" w14:textId="77777777" w:rsidR="00851439" w:rsidRDefault="00851439" w:rsidP="000C239E">
            <w:pPr>
              <w:keepNext/>
              <w:spacing w:after="0"/>
              <w:jc w:val="center"/>
            </w:pPr>
          </w:p>
        </w:tc>
      </w:tr>
      <w:tr w:rsidR="00851439" w14:paraId="1BE5EBD8" w14:textId="77777777" w:rsidTr="000C239E">
        <w:trPr>
          <w:gridAfter w:val="1"/>
          <w:wAfter w:w="67" w:type="dxa"/>
          <w:trHeight w:val="417"/>
          <w:jc w:val="center"/>
        </w:trPr>
        <w:tc>
          <w:tcPr>
            <w:tcW w:w="526" w:type="dxa"/>
            <w:vMerge/>
            <w:vAlign w:val="center"/>
          </w:tcPr>
          <w:p w14:paraId="0EB76058" w14:textId="77777777" w:rsidR="00851439" w:rsidRDefault="00851439" w:rsidP="000C239E">
            <w:pPr>
              <w:keepNext/>
              <w:spacing w:after="0"/>
              <w:jc w:val="center"/>
            </w:pPr>
          </w:p>
        </w:tc>
        <w:tc>
          <w:tcPr>
            <w:tcW w:w="975" w:type="dxa"/>
            <w:vMerge w:val="restart"/>
            <w:vAlign w:val="center"/>
          </w:tcPr>
          <w:p w14:paraId="2BF7CA6A" w14:textId="70FA9979" w:rsidR="00851439" w:rsidRPr="00724CFE" w:rsidRDefault="00851439" w:rsidP="000C239E">
            <w:pPr>
              <w:spacing w:after="0"/>
              <w:jc w:val="center"/>
              <w:rPr>
                <w:vertAlign w:val="subscript"/>
              </w:rPr>
            </w:pPr>
            <w:r>
              <w:t>RD</w:t>
            </w:r>
            <w:r>
              <w:rPr>
                <w:vertAlign w:val="subscript"/>
              </w:rPr>
              <w:t>AAPP</w:t>
            </w:r>
          </w:p>
        </w:tc>
        <w:tc>
          <w:tcPr>
            <w:tcW w:w="2837" w:type="dxa"/>
            <w:vMerge w:val="restart"/>
            <w:vAlign w:val="center"/>
          </w:tcPr>
          <w:p w14:paraId="5C1D120F" w14:textId="77777777" w:rsidR="00851439" w:rsidRPr="00851439" w:rsidRDefault="00851439" w:rsidP="00851439">
            <w:pPr>
              <w:keepNext/>
              <w:spacing w:after="0" w:line="180" w:lineRule="auto"/>
              <w:ind w:left="-190" w:right="-159"/>
              <w:jc w:val="center"/>
              <w:rPr>
                <w:spacing w:val="-5"/>
                <w:vertAlign w:val="subscript"/>
              </w:rPr>
            </w:pPr>
            <w:r w:rsidRPr="00851439">
              <w:rPr>
                <w:spacing w:val="-5"/>
              </w:rPr>
              <w:t xml:space="preserve">Gasto en Consumo Final </w:t>
            </w:r>
            <w:r w:rsidRPr="00851439">
              <w:rPr>
                <w:spacing w:val="-5"/>
                <w:vertAlign w:val="subscript"/>
              </w:rPr>
              <w:t>AAPP</w:t>
            </w:r>
          </w:p>
        </w:tc>
        <w:tc>
          <w:tcPr>
            <w:tcW w:w="1743" w:type="dxa"/>
            <w:gridSpan w:val="2"/>
            <w:vMerge/>
            <w:tcBorders>
              <w:bottom w:val="dashed" w:sz="4" w:space="0" w:color="auto"/>
            </w:tcBorders>
            <w:vAlign w:val="center"/>
          </w:tcPr>
          <w:p w14:paraId="624AA336" w14:textId="77777777" w:rsidR="00851439" w:rsidRDefault="00851439" w:rsidP="000C239E">
            <w:pPr>
              <w:keepNext/>
              <w:spacing w:after="0"/>
              <w:jc w:val="center"/>
            </w:pPr>
          </w:p>
        </w:tc>
        <w:tc>
          <w:tcPr>
            <w:tcW w:w="2344" w:type="dxa"/>
            <w:vMerge/>
            <w:tcBorders>
              <w:right w:val="single" w:sz="4" w:space="0" w:color="auto"/>
            </w:tcBorders>
            <w:vAlign w:val="center"/>
          </w:tcPr>
          <w:p w14:paraId="64643FAF" w14:textId="77777777" w:rsidR="00851439" w:rsidRDefault="00851439" w:rsidP="000C239E">
            <w:pPr>
              <w:keepNext/>
              <w:spacing w:after="0"/>
              <w:jc w:val="center"/>
            </w:pPr>
          </w:p>
        </w:tc>
        <w:tc>
          <w:tcPr>
            <w:tcW w:w="529" w:type="dxa"/>
            <w:vMerge/>
            <w:tcBorders>
              <w:left w:val="single" w:sz="4" w:space="0" w:color="auto"/>
            </w:tcBorders>
            <w:vAlign w:val="center"/>
          </w:tcPr>
          <w:p w14:paraId="74EBFA15" w14:textId="77777777" w:rsidR="00851439" w:rsidRDefault="00851439" w:rsidP="000C239E">
            <w:pPr>
              <w:keepNext/>
              <w:spacing w:after="0"/>
              <w:jc w:val="center"/>
            </w:pPr>
          </w:p>
        </w:tc>
      </w:tr>
      <w:tr w:rsidR="00851439" w14:paraId="3410E956" w14:textId="77777777" w:rsidTr="000C239E">
        <w:trPr>
          <w:gridAfter w:val="1"/>
          <w:wAfter w:w="67" w:type="dxa"/>
          <w:trHeight w:val="567"/>
          <w:jc w:val="center"/>
        </w:trPr>
        <w:tc>
          <w:tcPr>
            <w:tcW w:w="526" w:type="dxa"/>
            <w:vMerge/>
            <w:vAlign w:val="center"/>
          </w:tcPr>
          <w:p w14:paraId="5E958CD1" w14:textId="77777777" w:rsidR="00851439" w:rsidRDefault="00851439" w:rsidP="000C239E">
            <w:pPr>
              <w:keepNext/>
              <w:spacing w:after="0"/>
              <w:jc w:val="center"/>
            </w:pPr>
          </w:p>
        </w:tc>
        <w:tc>
          <w:tcPr>
            <w:tcW w:w="975" w:type="dxa"/>
            <w:vMerge/>
            <w:vAlign w:val="center"/>
          </w:tcPr>
          <w:p w14:paraId="2A48157A" w14:textId="77777777" w:rsidR="00851439" w:rsidRDefault="00851439" w:rsidP="000C239E">
            <w:pPr>
              <w:keepNext/>
              <w:spacing w:after="0"/>
              <w:jc w:val="center"/>
            </w:pPr>
          </w:p>
        </w:tc>
        <w:tc>
          <w:tcPr>
            <w:tcW w:w="2837" w:type="dxa"/>
            <w:vMerge/>
            <w:vAlign w:val="center"/>
          </w:tcPr>
          <w:p w14:paraId="2A6CC436" w14:textId="77777777" w:rsidR="00851439" w:rsidRDefault="00851439" w:rsidP="000C239E">
            <w:pPr>
              <w:keepNext/>
              <w:spacing w:after="0"/>
              <w:jc w:val="center"/>
            </w:pPr>
          </w:p>
        </w:tc>
        <w:tc>
          <w:tcPr>
            <w:tcW w:w="1743" w:type="dxa"/>
            <w:gridSpan w:val="2"/>
            <w:vMerge w:val="restart"/>
            <w:tcBorders>
              <w:top w:val="dashed" w:sz="4" w:space="0" w:color="auto"/>
              <w:bottom w:val="dotted" w:sz="4" w:space="0" w:color="FFFFFF" w:themeColor="background1"/>
            </w:tcBorders>
            <w:vAlign w:val="center"/>
          </w:tcPr>
          <w:p w14:paraId="29B00BC2" w14:textId="77777777" w:rsidR="00851439" w:rsidRDefault="00851439" w:rsidP="000C239E">
            <w:pPr>
              <w:spacing w:after="0"/>
              <w:jc w:val="center"/>
            </w:pPr>
          </w:p>
        </w:tc>
        <w:tc>
          <w:tcPr>
            <w:tcW w:w="2344" w:type="dxa"/>
            <w:tcBorders>
              <w:right w:val="single" w:sz="4" w:space="0" w:color="auto"/>
            </w:tcBorders>
            <w:vAlign w:val="center"/>
          </w:tcPr>
          <w:p w14:paraId="61BFD788" w14:textId="77777777" w:rsidR="00851439" w:rsidRPr="00724CFE" w:rsidRDefault="00851439" w:rsidP="000C239E">
            <w:pPr>
              <w:keepNext/>
              <w:spacing w:after="0"/>
              <w:jc w:val="center"/>
              <w:rPr>
                <w:vertAlign w:val="subscript"/>
              </w:rPr>
            </w:pPr>
            <w:r>
              <w:t xml:space="preserve">Consumo Final Efectivo </w:t>
            </w:r>
            <w:r>
              <w:rPr>
                <w:vertAlign w:val="subscript"/>
              </w:rPr>
              <w:t>Colectivo</w:t>
            </w:r>
          </w:p>
        </w:tc>
        <w:tc>
          <w:tcPr>
            <w:tcW w:w="529" w:type="dxa"/>
            <w:vMerge/>
            <w:tcBorders>
              <w:left w:val="single" w:sz="4" w:space="0" w:color="auto"/>
            </w:tcBorders>
            <w:vAlign w:val="center"/>
          </w:tcPr>
          <w:p w14:paraId="17BC763E" w14:textId="77777777" w:rsidR="00851439" w:rsidRDefault="00851439" w:rsidP="000C239E">
            <w:pPr>
              <w:keepNext/>
              <w:spacing w:after="0"/>
              <w:jc w:val="center"/>
            </w:pPr>
          </w:p>
        </w:tc>
      </w:tr>
      <w:tr w:rsidR="00851439" w14:paraId="0AB51621" w14:textId="77777777" w:rsidTr="000C239E">
        <w:trPr>
          <w:gridAfter w:val="1"/>
          <w:wAfter w:w="67" w:type="dxa"/>
          <w:trHeight w:val="850"/>
          <w:jc w:val="center"/>
        </w:trPr>
        <w:tc>
          <w:tcPr>
            <w:tcW w:w="526" w:type="dxa"/>
            <w:vMerge/>
            <w:tcBorders>
              <w:bottom w:val="single" w:sz="4" w:space="0" w:color="auto"/>
            </w:tcBorders>
            <w:vAlign w:val="center"/>
          </w:tcPr>
          <w:p w14:paraId="07D466A8" w14:textId="77777777" w:rsidR="00851439" w:rsidRDefault="00851439" w:rsidP="000C239E">
            <w:pPr>
              <w:keepNext/>
              <w:spacing w:after="0"/>
              <w:jc w:val="center"/>
            </w:pPr>
          </w:p>
        </w:tc>
        <w:tc>
          <w:tcPr>
            <w:tcW w:w="975" w:type="dxa"/>
            <w:vMerge/>
            <w:tcBorders>
              <w:bottom w:val="single" w:sz="4" w:space="0" w:color="auto"/>
            </w:tcBorders>
            <w:vAlign w:val="center"/>
          </w:tcPr>
          <w:p w14:paraId="7A72E969" w14:textId="77777777" w:rsidR="00851439" w:rsidRDefault="00851439" w:rsidP="000C239E">
            <w:pPr>
              <w:keepNext/>
              <w:spacing w:after="0"/>
              <w:jc w:val="center"/>
            </w:pPr>
          </w:p>
        </w:tc>
        <w:tc>
          <w:tcPr>
            <w:tcW w:w="2837" w:type="dxa"/>
            <w:tcBorders>
              <w:bottom w:val="single" w:sz="4" w:space="0" w:color="auto"/>
            </w:tcBorders>
            <w:vAlign w:val="center"/>
          </w:tcPr>
          <w:p w14:paraId="25714BB2" w14:textId="77777777" w:rsidR="00851439" w:rsidRDefault="00851439" w:rsidP="000C239E">
            <w:pPr>
              <w:spacing w:after="0"/>
              <w:jc w:val="center"/>
            </w:pPr>
            <w:r>
              <w:t>S</w:t>
            </w:r>
            <w:r>
              <w:rPr>
                <w:vertAlign w:val="subscript"/>
              </w:rPr>
              <w:t>AAPP</w:t>
            </w:r>
          </w:p>
        </w:tc>
        <w:tc>
          <w:tcPr>
            <w:tcW w:w="1743" w:type="dxa"/>
            <w:gridSpan w:val="2"/>
            <w:vMerge/>
            <w:tcBorders>
              <w:top w:val="dotted" w:sz="4" w:space="0" w:color="FFFFFF" w:themeColor="background1"/>
              <w:bottom w:val="dotted" w:sz="4" w:space="0" w:color="FFFFFF" w:themeColor="background1"/>
            </w:tcBorders>
            <w:vAlign w:val="center"/>
          </w:tcPr>
          <w:p w14:paraId="0671AA88" w14:textId="77777777" w:rsidR="00851439" w:rsidRDefault="00851439" w:rsidP="000C239E">
            <w:pPr>
              <w:keepNext/>
              <w:spacing w:after="0"/>
              <w:jc w:val="center"/>
            </w:pPr>
          </w:p>
        </w:tc>
        <w:tc>
          <w:tcPr>
            <w:tcW w:w="2344" w:type="dxa"/>
            <w:tcBorders>
              <w:bottom w:val="single" w:sz="4" w:space="0" w:color="auto"/>
              <w:right w:val="single" w:sz="4" w:space="0" w:color="auto"/>
            </w:tcBorders>
            <w:vAlign w:val="center"/>
          </w:tcPr>
          <w:p w14:paraId="51A7E617" w14:textId="77777777" w:rsidR="00851439" w:rsidRPr="00724CFE" w:rsidRDefault="00851439" w:rsidP="000C239E">
            <w:pPr>
              <w:spacing w:after="0"/>
              <w:jc w:val="center"/>
              <w:rPr>
                <w:vertAlign w:val="subscript"/>
              </w:rPr>
            </w:pPr>
            <w:r>
              <w:t>S</w:t>
            </w:r>
            <w:r>
              <w:rPr>
                <w:vertAlign w:val="subscript"/>
              </w:rPr>
              <w:t>AAPP</w:t>
            </w:r>
          </w:p>
        </w:tc>
        <w:tc>
          <w:tcPr>
            <w:tcW w:w="529" w:type="dxa"/>
            <w:vMerge/>
            <w:tcBorders>
              <w:left w:val="single" w:sz="4" w:space="0" w:color="auto"/>
              <w:bottom w:val="single" w:sz="4" w:space="0" w:color="auto"/>
            </w:tcBorders>
            <w:vAlign w:val="center"/>
          </w:tcPr>
          <w:p w14:paraId="3132F385" w14:textId="77777777" w:rsidR="00851439" w:rsidRDefault="00851439" w:rsidP="000C239E">
            <w:pPr>
              <w:keepNext/>
              <w:spacing w:after="0"/>
              <w:jc w:val="center"/>
            </w:pPr>
          </w:p>
        </w:tc>
      </w:tr>
      <w:tr w:rsidR="00851439" w14:paraId="103EEA3E" w14:textId="77777777" w:rsidTr="00851439">
        <w:trPr>
          <w:trHeight w:val="399"/>
          <w:jc w:val="center"/>
        </w:trPr>
        <w:tc>
          <w:tcPr>
            <w:tcW w:w="9021" w:type="dxa"/>
            <w:gridSpan w:val="8"/>
            <w:tcBorders>
              <w:top w:val="dotted" w:sz="4" w:space="0" w:color="FFFFFF" w:themeColor="background1"/>
              <w:left w:val="nil"/>
              <w:bottom w:val="nil"/>
              <w:right w:val="nil"/>
            </w:tcBorders>
            <w:vAlign w:val="center"/>
          </w:tcPr>
          <w:p w14:paraId="601E972D" w14:textId="4F8BA873" w:rsidR="00851439" w:rsidRPr="006157FA" w:rsidRDefault="00851439" w:rsidP="000C239E">
            <w:pPr>
              <w:keepNext/>
              <w:spacing w:after="0"/>
              <w:rPr>
                <w:sz w:val="14"/>
                <w:szCs w:val="14"/>
              </w:rPr>
            </w:pPr>
            <w:r w:rsidRPr="00A40DB1">
              <w:rPr>
                <w:sz w:val="14"/>
                <w:szCs w:val="14"/>
              </w:rPr>
              <w:t xml:space="preserve">* </w:t>
            </w:r>
            <w:r>
              <w:rPr>
                <w:sz w:val="14"/>
                <w:szCs w:val="14"/>
              </w:rPr>
              <w:t xml:space="preserve">Las ISFLSH también ahorran según el </w:t>
            </w:r>
            <w:r w:rsidR="00BC549A">
              <w:rPr>
                <w:sz w:val="14"/>
                <w:szCs w:val="14"/>
              </w:rPr>
              <w:t>SEC 2010</w:t>
            </w:r>
            <w:r>
              <w:rPr>
                <w:sz w:val="14"/>
                <w:szCs w:val="14"/>
              </w:rPr>
              <w:t xml:space="preserve">, por lo que </w:t>
            </w:r>
            <m:oMath>
              <m:r>
                <m:rPr>
                  <m:nor/>
                </m:rPr>
                <w:rPr>
                  <w:i/>
                  <w:iCs/>
                  <w:sz w:val="14"/>
                  <w:szCs w:val="14"/>
                </w:rPr>
                <m:t>RD</m:t>
              </m:r>
              <m:r>
                <m:rPr>
                  <m:nor/>
                </m:rPr>
                <w:rPr>
                  <w:i/>
                  <w:iCs/>
                  <w:sz w:val="14"/>
                  <w:szCs w:val="14"/>
                  <w:vertAlign w:val="subscript"/>
                </w:rPr>
                <m:t>ISFLSH</m:t>
              </m:r>
              <m:r>
                <w:rPr>
                  <w:rFonts w:ascii="Cambria Math" w:hAnsi="Cambria Math"/>
                  <w:sz w:val="14"/>
                  <w:szCs w:val="14"/>
                </w:rPr>
                <m:t>=</m:t>
              </m:r>
              <m:r>
                <m:rPr>
                  <m:nor/>
                </m:rPr>
                <w:rPr>
                  <w:i/>
                  <w:iCs/>
                  <w:sz w:val="14"/>
                  <w:szCs w:val="14"/>
                </w:rPr>
                <m:t>GCF</m:t>
              </m:r>
              <m:r>
                <m:rPr>
                  <m:nor/>
                </m:rPr>
                <w:rPr>
                  <w:i/>
                  <w:iCs/>
                  <w:sz w:val="14"/>
                  <w:szCs w:val="14"/>
                  <w:vertAlign w:val="subscript"/>
                </w:rPr>
                <m:t>ISFLH</m:t>
              </m:r>
              <m:r>
                <w:rPr>
                  <w:rFonts w:ascii="Cambria Math" w:hAnsi="Cambria Math"/>
                  <w:sz w:val="14"/>
                  <w:szCs w:val="14"/>
                </w:rPr>
                <m:t>+</m:t>
              </m:r>
              <m:r>
                <m:rPr>
                  <m:nor/>
                </m:rPr>
                <w:rPr>
                  <w:i/>
                  <w:iCs/>
                  <w:sz w:val="14"/>
                  <w:szCs w:val="14"/>
                </w:rPr>
                <m:t>S</m:t>
              </m:r>
              <w:proofErr w:type="spellStart"/>
              <m:r>
                <m:rPr>
                  <m:nor/>
                </m:rPr>
                <w:rPr>
                  <w:i/>
                  <w:iCs/>
                  <w:sz w:val="14"/>
                  <w:szCs w:val="14"/>
                  <w:vertAlign w:val="subscript"/>
                </w:rPr>
                <m:t>ISFLH</m:t>
              </m:r>
            </m:oMath>
            <w:proofErr w:type="spellEnd"/>
            <w:r>
              <w:rPr>
                <w:sz w:val="14"/>
                <w:szCs w:val="14"/>
              </w:rPr>
              <w:t>.</w:t>
            </w:r>
          </w:p>
          <w:p w14:paraId="109A731D" w14:textId="77777777" w:rsidR="00851439" w:rsidRPr="006E5D73" w:rsidRDefault="00851439" w:rsidP="00851439">
            <w:pPr>
              <w:spacing w:after="0"/>
              <w:rPr>
                <w:sz w:val="18"/>
                <w:szCs w:val="18"/>
              </w:rPr>
            </w:pPr>
            <w:r w:rsidRPr="00A40DB1">
              <w:rPr>
                <w:sz w:val="14"/>
                <w:szCs w:val="14"/>
              </w:rPr>
              <w:t xml:space="preserve">* Es importante entender que a nivel de toda la economía, </w:t>
            </w:r>
            <m:oMath>
              <m:r>
                <m:rPr>
                  <m:nor/>
                </m:rPr>
                <w:rPr>
                  <w:i/>
                  <w:sz w:val="14"/>
                  <w:szCs w:val="14"/>
                </w:rPr>
                <m:t>RNDB</m:t>
              </m:r>
              <m:r>
                <w:rPr>
                  <w:rFonts w:ascii="Cambria Math" w:hAnsi="Cambria Math"/>
                  <w:sz w:val="14"/>
                  <w:szCs w:val="14"/>
                </w:rPr>
                <m:t>=</m:t>
              </m:r>
              <m:r>
                <m:rPr>
                  <m:nor/>
                </m:rPr>
                <w:rPr>
                  <w:i/>
                  <w:sz w:val="14"/>
                  <w:szCs w:val="14"/>
                </w:rPr>
                <m:t>RNDBA</m:t>
              </m:r>
            </m:oMath>
            <w:r w:rsidRPr="00A40DB1">
              <w:rPr>
                <w:sz w:val="14"/>
                <w:szCs w:val="14"/>
              </w:rPr>
              <w:t>, por lo que la cuenta de redistribución de la renta en especie y la cuenta de utilización de la renta disponible ajustada no producen ninguna alteración en la renta del país</w:t>
            </w:r>
            <w:r>
              <w:rPr>
                <w:sz w:val="14"/>
                <w:szCs w:val="14"/>
              </w:rPr>
              <w:t>. Pero a nivel de los sectores es relevante porque da una visión más completa.</w:t>
            </w:r>
          </w:p>
        </w:tc>
      </w:tr>
    </w:tbl>
    <w:p w14:paraId="2CFC6251" w14:textId="1E59906A" w:rsidR="00851439" w:rsidRPr="00851439" w:rsidRDefault="00851439" w:rsidP="00851439">
      <w:pPr>
        <w:pStyle w:val="PiedeImagen"/>
        <w:rPr>
          <w:i w:val="0"/>
          <w:iCs/>
        </w:rPr>
      </w:pPr>
      <w:r>
        <w:t>Fuente</w:t>
      </w:r>
      <w:r>
        <w:rPr>
          <w:i w:val="0"/>
          <w:iCs/>
        </w:rPr>
        <w:t>: Elaboración propia</w:t>
      </w:r>
    </w:p>
    <w:p w14:paraId="1D04D2B3" w14:textId="68FC2AA1" w:rsidR="001251F3" w:rsidRDefault="001251F3" w:rsidP="00164226">
      <w:pPr>
        <w:pStyle w:val="Ttulo2"/>
      </w:pPr>
      <w:bookmarkStart w:id="82" w:name="_Toc174116221"/>
      <w:r>
        <w:lastRenderedPageBreak/>
        <w:t>Cuentas de acumulación</w:t>
      </w:r>
      <w:bookmarkEnd w:id="82"/>
    </w:p>
    <w:p w14:paraId="72288AF6" w14:textId="1250360E" w:rsidR="00D44C96" w:rsidRDefault="00D44C96" w:rsidP="00D44C96">
      <w:pPr>
        <w:pStyle w:val="Ttuloimagen"/>
        <w:rPr>
          <w:i/>
          <w:iCs/>
          <w:smallCaps w:val="0"/>
        </w:rPr>
      </w:pPr>
      <w:r>
        <w:t>Imagen </w:t>
      </w:r>
      <w:r>
        <w:fldChar w:fldCharType="begin"/>
      </w:r>
      <w:r>
        <w:instrText xml:space="preserve"> SEQ Ilustración \* ARABIC </w:instrText>
      </w:r>
      <w:r>
        <w:fldChar w:fldCharType="separate"/>
      </w:r>
      <w:r w:rsidR="001A65F8">
        <w:t>6</w:t>
      </w:r>
      <w:r>
        <w:fldChar w:fldCharType="end"/>
      </w:r>
      <w:r w:rsidRPr="00D44C96">
        <w:rPr>
          <w:smallCaps w:val="0"/>
        </w:rPr>
        <w:t xml:space="preserve">.– </w:t>
      </w:r>
      <w:r>
        <w:rPr>
          <w:i/>
          <w:iCs/>
          <w:smallCaps w:val="0"/>
        </w:rPr>
        <w:t>Estructura de la contabilidad nacional</w:t>
      </w:r>
    </w:p>
    <w:p w14:paraId="7549B462" w14:textId="6CC95A4E" w:rsidR="00D44C96" w:rsidRDefault="00D44C96" w:rsidP="00D44C96">
      <w:pPr>
        <w:pStyle w:val="Imagen"/>
      </w:pPr>
      <w:r>
        <w:drawing>
          <wp:inline distT="0" distB="0" distL="0" distR="0" wp14:anchorId="3536814A" wp14:editId="457CDE9D">
            <wp:extent cx="4317531" cy="5400000"/>
            <wp:effectExtent l="0" t="0" r="0" b="0"/>
            <wp:docPr id="2995086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508605" name="Imagen 1"/>
                    <pic:cNvPicPr>
                      <a:picLocks noChangeAspect="1" noChangeArrowheads="1"/>
                    </pic:cNvPicPr>
                  </pic:nvPicPr>
                  <pic:blipFill rotWithShape="1">
                    <a:blip r:embed="rId26">
                      <a:extLst>
                        <a:ext uri="{BEBA8EAE-BF5A-486C-A8C5-ECC9F3942E4B}">
                          <a14:imgProps xmlns:a14="http://schemas.microsoft.com/office/drawing/2010/main">
                            <a14:imgLayer r:embed="rId27">
                              <a14:imgEffect>
                                <a14:brightnessContrast bright="5000"/>
                              </a14:imgEffect>
                            </a14:imgLayer>
                          </a14:imgProps>
                        </a:ext>
                      </a:extLst>
                    </a:blip>
                    <a:srcRect l="-4013" t="4081" r="-3328" b="984"/>
                    <a:stretch/>
                  </pic:blipFill>
                  <pic:spPr bwMode="auto">
                    <a:xfrm>
                      <a:off x="0" y="0"/>
                      <a:ext cx="4317531" cy="5400000"/>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p w14:paraId="5AC330EE" w14:textId="14E42B55" w:rsidR="00D44C96" w:rsidRPr="00D44C96" w:rsidRDefault="00D44C96" w:rsidP="00D44C96">
      <w:pPr>
        <w:pStyle w:val="PiedeImagen"/>
        <w:rPr>
          <w:i w:val="0"/>
          <w:iCs/>
        </w:rPr>
      </w:pPr>
      <w:r>
        <w:t>Fuente</w:t>
      </w:r>
      <w:r>
        <w:rPr>
          <w:i w:val="0"/>
          <w:iCs/>
        </w:rPr>
        <w:t>: Elaboración propia</w:t>
      </w:r>
    </w:p>
    <w:p w14:paraId="0F443742" w14:textId="77777777" w:rsidR="0071326D" w:rsidRDefault="000A035B" w:rsidP="00FA6AEF">
      <w:pPr>
        <w:pStyle w:val="Nivel1SM"/>
        <w:keepNext/>
        <w:spacing w:before="0" w:after="0"/>
      </w:pPr>
      <w:r>
        <w:t>Mientras que las cuentas corrientes</w:t>
      </w:r>
      <w:r w:rsidR="000D0EB7">
        <w:t xml:space="preserve"> se ocupan de los flujos que tienen lugar durante el período contable, </w:t>
      </w:r>
      <w:r w:rsidR="00E51721">
        <w:t>l</w:t>
      </w:r>
      <w:r w:rsidR="001B0402">
        <w:t>as cuentas de acumulación registran las causas de las variaciones de los activos y pasivos, así como del patrimonio neto, de las distintas unidades institucionales.</w:t>
      </w:r>
    </w:p>
    <w:p w14:paraId="143E97BE" w14:textId="14860084" w:rsidR="00E51721" w:rsidRDefault="001B0402" w:rsidP="0071326D">
      <w:pPr>
        <w:pStyle w:val="Nivel2SM"/>
      </w:pPr>
      <w:r>
        <w:t xml:space="preserve">En la parte de la izquierda de </w:t>
      </w:r>
      <w:r w:rsidR="00E51721">
        <w:t>estas</w:t>
      </w:r>
      <w:r>
        <w:t>, en vez de los empleos se registran las variaciones de los activos, y en el lado de la derecha las variaciones de los pasivos y del patrimonio neto</w:t>
      </w:r>
      <w:r w:rsidR="0071326D">
        <w:t xml:space="preserve"> </w:t>
      </w:r>
      <w:r w:rsidR="0071326D" w:rsidRPr="0071326D">
        <w:rPr>
          <w:sz w:val="19"/>
          <w:szCs w:val="19"/>
        </w:rPr>
        <w:t>(e</w:t>
      </w:r>
      <w:r w:rsidRPr="0071326D">
        <w:rPr>
          <w:sz w:val="19"/>
          <w:szCs w:val="19"/>
        </w:rPr>
        <w:t>n ambos casos con signo positivo cuando aumentan y con signo negativo cuando disminuyen</w:t>
      </w:r>
      <w:r w:rsidR="0071326D" w:rsidRPr="0071326D">
        <w:rPr>
          <w:sz w:val="19"/>
          <w:szCs w:val="19"/>
        </w:rPr>
        <w:t>)</w:t>
      </w:r>
      <w:r>
        <w:t>.</w:t>
      </w:r>
    </w:p>
    <w:p w14:paraId="396A3F72" w14:textId="74551CF1" w:rsidR="00E51721" w:rsidRDefault="00E51721" w:rsidP="009C6476">
      <w:pPr>
        <w:pStyle w:val="Nivel1SM"/>
      </w:pPr>
      <w:r>
        <w:t xml:space="preserve">Al igual que en el caso de las cuentas corrientes, se trata de una </w:t>
      </w:r>
      <w:r w:rsidRPr="00046DA2">
        <w:rPr>
          <w:i/>
          <w:iCs/>
        </w:rPr>
        <w:t>sucesión de cuentas</w:t>
      </w:r>
      <w:r>
        <w:t xml:space="preserve"> que parte del </w:t>
      </w:r>
      <w:r w:rsidRPr="00046DA2">
        <w:rPr>
          <w:i/>
          <w:iCs/>
        </w:rPr>
        <w:t>ahorro neto</w:t>
      </w:r>
      <w:r>
        <w:t xml:space="preserve"> (obtenido de la sucesión de las cuentas corrientes)</w:t>
      </w:r>
      <w:r w:rsidR="00046DA2">
        <w:t xml:space="preserve"> y que determina la variación de activos y pasivos.</w:t>
      </w:r>
    </w:p>
    <w:p w14:paraId="710D9940" w14:textId="5CB72EA6" w:rsidR="001B0402" w:rsidRPr="001B0402" w:rsidRDefault="001B0402" w:rsidP="009C6476">
      <w:pPr>
        <w:pStyle w:val="Nivel1SM"/>
      </w:pPr>
      <w:r>
        <w:t xml:space="preserve">Existen </w:t>
      </w:r>
      <w:r w:rsidR="00FA6AEF">
        <w:t>3 </w:t>
      </w:r>
      <w:r>
        <w:t xml:space="preserve">tipos de cuentas de acumulación: </w:t>
      </w:r>
      <w:r w:rsidRPr="00046DA2">
        <w:rPr>
          <w:i/>
          <w:iCs/>
        </w:rPr>
        <w:t>capital</w:t>
      </w:r>
      <w:r w:rsidR="00046DA2">
        <w:t xml:space="preserve">, </w:t>
      </w:r>
      <w:r w:rsidRPr="00046DA2">
        <w:rPr>
          <w:i/>
          <w:iCs/>
        </w:rPr>
        <w:t>financiera</w:t>
      </w:r>
      <w:r w:rsidR="00046DA2">
        <w:t xml:space="preserve"> y </w:t>
      </w:r>
      <w:r w:rsidR="00046DA2" w:rsidRPr="00046DA2">
        <w:rPr>
          <w:i/>
          <w:iCs/>
        </w:rPr>
        <w:t>otras variaciones de activos</w:t>
      </w:r>
      <w:r>
        <w:t>.</w:t>
      </w:r>
    </w:p>
    <w:p w14:paraId="1C47F3D0" w14:textId="43C9E7A2" w:rsidR="00592177" w:rsidRDefault="007C252C" w:rsidP="00592177">
      <w:pPr>
        <w:pStyle w:val="Ttulo3"/>
      </w:pPr>
      <w:bookmarkStart w:id="83" w:name="_Toc83554011"/>
      <w:bookmarkStart w:id="84" w:name="_Toc174116222"/>
      <w:r>
        <w:t>C</w:t>
      </w:r>
      <w:r w:rsidR="00592177">
        <w:t>uenta de capital (</w:t>
      </w:r>
      <w:r w:rsidR="007C2BD1">
        <w:t>C.</w:t>
      </w:r>
      <w:r w:rsidR="00592177">
        <w:t>III.1)</w:t>
      </w:r>
      <w:bookmarkEnd w:id="83"/>
      <w:bookmarkEnd w:id="84"/>
    </w:p>
    <w:p w14:paraId="33C813E5" w14:textId="4A088445" w:rsidR="00046DA2" w:rsidRPr="00046DA2" w:rsidRDefault="006A1C11" w:rsidP="00FA6AEF">
      <w:pPr>
        <w:pStyle w:val="Nivel1SM"/>
        <w:keepNext/>
        <w:spacing w:before="0" w:after="0"/>
      </w:pPr>
      <w:r>
        <w:t xml:space="preserve">La </w:t>
      </w:r>
      <w:r w:rsidRPr="006A1C11">
        <w:rPr>
          <w:i/>
          <w:iCs/>
        </w:rPr>
        <w:t>cuenta d</w:t>
      </w:r>
      <w:r w:rsidR="00046DA2" w:rsidRPr="006A1C11">
        <w:rPr>
          <w:i/>
          <w:iCs/>
        </w:rPr>
        <w:t>e</w:t>
      </w:r>
      <w:r w:rsidRPr="006A1C11">
        <w:rPr>
          <w:i/>
          <w:iCs/>
        </w:rPr>
        <w:t xml:space="preserve"> capital</w:t>
      </w:r>
      <w:r w:rsidR="00046DA2">
        <w:t xml:space="preserve"> parte del ahorro neto </w:t>
      </w:r>
      <w:r w:rsidR="00046DA2" w:rsidRPr="006A1C11">
        <w:rPr>
          <w:sz w:val="19"/>
          <w:szCs w:val="19"/>
        </w:rPr>
        <w:t>(restando al saldo de la cuenta anterior el consumo de capital fijo)</w:t>
      </w:r>
      <w:r w:rsidR="00650E8E">
        <w:t xml:space="preserve">, </w:t>
      </w:r>
      <w:r>
        <w:t>y su finalidad es</w:t>
      </w:r>
      <w:r w:rsidR="00650E8E">
        <w:t xml:space="preserve"> obtener las variaciones del patrimonio neto del conjunto de la economía.</w:t>
      </w:r>
    </w:p>
    <w:p w14:paraId="6402F7F7" w14:textId="77777777" w:rsidR="0071326D" w:rsidRDefault="001B0402" w:rsidP="0071326D">
      <w:pPr>
        <w:pStyle w:val="Nivel2SM"/>
      </w:pPr>
      <w:r>
        <w:t xml:space="preserve">Concretamente, la cuenta de capital permite determinar en </w:t>
      </w:r>
      <w:r w:rsidR="00B71E10">
        <w:t>qué</w:t>
      </w:r>
      <w:r>
        <w:t xml:space="preserve"> medida las adquisiciones menos las cesiones de activos no financieros han sido financiadas con cargo al ahorro (saldo contable final de las cuentas corrientes) y las transferencias de capital.</w:t>
      </w:r>
    </w:p>
    <w:p w14:paraId="6960EEC5" w14:textId="6A47EAAE" w:rsidR="001B0402" w:rsidRDefault="001B0402" w:rsidP="0071326D">
      <w:pPr>
        <w:pStyle w:val="Nivel2SM"/>
      </w:pPr>
      <w:r>
        <w:t xml:space="preserve">Esta cuenta muestra, o bien una </w:t>
      </w:r>
      <w:r w:rsidRPr="0071326D">
        <w:rPr>
          <w:i/>
          <w:iCs/>
        </w:rPr>
        <w:t>capacidad de financiación</w:t>
      </w:r>
      <w:r>
        <w:t xml:space="preserve">, que corresponde al importe de que dispone una unidad o un sector para financiar, directa o indirectamente, a otras unidades o </w:t>
      </w:r>
      <w:r>
        <w:lastRenderedPageBreak/>
        <w:t xml:space="preserve">sectores, o bien una </w:t>
      </w:r>
      <w:r w:rsidRPr="0071326D">
        <w:rPr>
          <w:i/>
          <w:iCs/>
        </w:rPr>
        <w:t>necesidad de financiación</w:t>
      </w:r>
      <w:r>
        <w:t xml:space="preserve"> que corresponde al importe que una unidad o sector se ve obligado a pedir prestado a otras unidades o sectores.</w:t>
      </w:r>
    </w:p>
    <w:p w14:paraId="0A923294" w14:textId="1877F3D2" w:rsidR="00D64349" w:rsidRDefault="001B0402" w:rsidP="006A1C11">
      <w:pPr>
        <w:pStyle w:val="Nivel1SM"/>
        <w:keepNext/>
        <w:spacing w:after="0"/>
      </w:pPr>
      <w:r>
        <w:t xml:space="preserve">La cuenta </w:t>
      </w:r>
      <w:r w:rsidR="002C0495">
        <w:t xml:space="preserve">de capital </w:t>
      </w:r>
      <w:r>
        <w:t xml:space="preserve">se subdivide en </w:t>
      </w:r>
      <w:r w:rsidR="002C0495">
        <w:t>2 cuentas</w:t>
      </w:r>
      <w:r>
        <w:t>:</w:t>
      </w:r>
    </w:p>
    <w:p w14:paraId="5BD41CBE" w14:textId="10762190" w:rsidR="006A1C11" w:rsidRPr="006A1C11" w:rsidRDefault="006A1C11">
      <w:pPr>
        <w:pStyle w:val="Prrafodelista"/>
        <w:numPr>
          <w:ilvl w:val="0"/>
          <w:numId w:val="8"/>
        </w:numPr>
        <w:ind w:left="283" w:hanging="198"/>
        <w:rPr>
          <w:spacing w:val="-3"/>
        </w:rPr>
      </w:pPr>
      <w:r w:rsidRPr="006A1C11">
        <w:rPr>
          <w:spacing w:val="-3"/>
        </w:rPr>
        <w:fldChar w:fldCharType="begin"/>
      </w:r>
      <w:r w:rsidRPr="006A1C11">
        <w:rPr>
          <w:spacing w:val="-3"/>
        </w:rPr>
        <w:instrText xml:space="preserve"> REF _Ref118721841 \h  \* MERGEFORMAT </w:instrText>
      </w:r>
      <w:r w:rsidRPr="006A1C11">
        <w:rPr>
          <w:spacing w:val="-3"/>
        </w:rPr>
      </w:r>
      <w:r w:rsidRPr="006A1C11">
        <w:rPr>
          <w:spacing w:val="-3"/>
        </w:rPr>
        <w:fldChar w:fldCharType="separate"/>
      </w:r>
      <w:r w:rsidR="001A65F8" w:rsidRPr="001A65F8">
        <w:rPr>
          <w:spacing w:val="-3"/>
        </w:rPr>
        <w:t>Cuenta de variaciones del patrimonio neto debidas al ahorro y las transferencias de capital (C.III.1.1)</w:t>
      </w:r>
      <w:r w:rsidRPr="006A1C11">
        <w:rPr>
          <w:spacing w:val="-3"/>
        </w:rPr>
        <w:fldChar w:fldCharType="end"/>
      </w:r>
    </w:p>
    <w:p w14:paraId="215ED1AA" w14:textId="4F6662B7" w:rsidR="006A1C11" w:rsidRPr="006A1C11" w:rsidRDefault="006A1C11">
      <w:pPr>
        <w:pStyle w:val="Prrafodelista"/>
        <w:numPr>
          <w:ilvl w:val="0"/>
          <w:numId w:val="8"/>
        </w:numPr>
        <w:ind w:left="283" w:hanging="198"/>
        <w:rPr>
          <w:spacing w:val="-3"/>
        </w:rPr>
      </w:pPr>
      <w:r w:rsidRPr="006A1C11">
        <w:rPr>
          <w:spacing w:val="-3"/>
        </w:rPr>
        <w:fldChar w:fldCharType="begin"/>
      </w:r>
      <w:r w:rsidRPr="006A1C11">
        <w:rPr>
          <w:spacing w:val="-3"/>
        </w:rPr>
        <w:instrText xml:space="preserve"> REF _Ref118721844 \h  \* MERGEFORMAT </w:instrText>
      </w:r>
      <w:r w:rsidRPr="006A1C11">
        <w:rPr>
          <w:spacing w:val="-3"/>
        </w:rPr>
      </w:r>
      <w:r w:rsidRPr="006A1C11">
        <w:rPr>
          <w:spacing w:val="-3"/>
        </w:rPr>
        <w:fldChar w:fldCharType="separate"/>
      </w:r>
      <w:r w:rsidR="001A65F8" w:rsidRPr="001A65F8">
        <w:rPr>
          <w:spacing w:val="-3"/>
        </w:rPr>
        <w:t>Cuenta de adquisiciones de activos no financieros (C.III.1.2)</w:t>
      </w:r>
      <w:r w:rsidRPr="006A1C11">
        <w:rPr>
          <w:spacing w:val="-3"/>
        </w:rPr>
        <w:fldChar w:fldCharType="end"/>
      </w:r>
    </w:p>
    <w:p w14:paraId="618525C1" w14:textId="24FCA589" w:rsidR="00776753" w:rsidRDefault="00776753">
      <w:pPr>
        <w:pStyle w:val="Ttulo6"/>
        <w:numPr>
          <w:ilvl w:val="0"/>
          <w:numId w:val="20"/>
        </w:numPr>
        <w:ind w:left="511" w:hanging="227"/>
        <w:rPr>
          <w:spacing w:val="-4"/>
          <w:u w:val="none"/>
        </w:rPr>
      </w:pPr>
      <w:bookmarkStart w:id="85" w:name="_Ref118721841"/>
      <w:bookmarkStart w:id="86" w:name="_Toc174116223"/>
      <w:r w:rsidRPr="00046DA2">
        <w:rPr>
          <w:spacing w:val="-4"/>
        </w:rPr>
        <w:t>Cuenta de variaciones del patrimonio neto debidas al ahorro y las transferencias de capital</w:t>
      </w:r>
      <w:r w:rsidRPr="00046DA2">
        <w:rPr>
          <w:spacing w:val="-4"/>
          <w:u w:val="none"/>
        </w:rPr>
        <w:t xml:space="preserve"> (</w:t>
      </w:r>
      <w:r w:rsidR="007C2BD1" w:rsidRPr="00046DA2">
        <w:rPr>
          <w:spacing w:val="-4"/>
          <w:u w:val="none"/>
        </w:rPr>
        <w:t>C.</w:t>
      </w:r>
      <w:r w:rsidRPr="00046DA2">
        <w:rPr>
          <w:spacing w:val="-4"/>
          <w:u w:val="none"/>
        </w:rPr>
        <w:t>III.1.1)</w:t>
      </w:r>
      <w:bookmarkEnd w:id="85"/>
      <w:bookmarkEnd w:id="86"/>
    </w:p>
    <w:p w14:paraId="729E9390" w14:textId="087F0C0B" w:rsidR="006A1C11" w:rsidRDefault="006A1C11" w:rsidP="00FA6AEF">
      <w:pPr>
        <w:pStyle w:val="Ttulo7"/>
        <w:spacing w:before="0"/>
      </w:pPr>
      <w:r>
        <w:t>Definición</w:t>
      </w:r>
    </w:p>
    <w:p w14:paraId="0CFDA644" w14:textId="6216D4B2" w:rsidR="006A1C11" w:rsidRPr="006A1C11" w:rsidRDefault="006A1C11" w:rsidP="00FA6AEF">
      <w:pPr>
        <w:pStyle w:val="Nivel1SM"/>
        <w:spacing w:before="0"/>
      </w:pPr>
      <w:r>
        <w:t>Esta cuenta corrige el ahorro neto por las transferencias de capital desde y hacia los sectores. Se diferencian de las transferencias corrientes en que suponen la adquisición o cesión de activos por al menos una de las partes que intervienen en la operación.</w:t>
      </w:r>
    </w:p>
    <w:p w14:paraId="6637FEAF" w14:textId="20815100" w:rsidR="006A1C11" w:rsidRDefault="006A1C11" w:rsidP="006A1C11">
      <w:pPr>
        <w:pStyle w:val="Ttulo7"/>
      </w:pPr>
      <w:r>
        <w:t>Variaciones de activos y variaciones de pasivos y patrimonio neto</w:t>
      </w:r>
    </w:p>
    <w:p w14:paraId="58F91211" w14:textId="77777777" w:rsidR="006A1C11" w:rsidRDefault="006A1C11" w:rsidP="00FA6AEF">
      <w:pPr>
        <w:pStyle w:val="Nivel1SM"/>
        <w:keepNext/>
        <w:spacing w:before="0" w:after="0"/>
      </w:pPr>
      <w:r>
        <w:t xml:space="preserve">De este modo, se representan en las </w:t>
      </w:r>
      <w:r w:rsidRPr="00EF5B61">
        <w:rPr>
          <w:b/>
          <w:bCs/>
        </w:rPr>
        <w:t>variaciones del patrimonio neto</w:t>
      </w:r>
      <w:r>
        <w:t>:</w:t>
      </w:r>
    </w:p>
    <w:p w14:paraId="7297091B" w14:textId="71CE31ED" w:rsidR="006A1C11" w:rsidRDefault="006A1C11" w:rsidP="006A1C11">
      <w:pPr>
        <w:pStyle w:val="Nivel2SM"/>
      </w:pPr>
      <w:r>
        <w:t xml:space="preserve">El </w:t>
      </w:r>
      <w:r w:rsidRPr="006A1C11">
        <w:rPr>
          <w:i/>
          <w:iCs/>
        </w:rPr>
        <w:t>ahorro neto</w:t>
      </w:r>
      <w:r>
        <w:t>; y</w:t>
      </w:r>
    </w:p>
    <w:p w14:paraId="61E6DCC4" w14:textId="01C51D15" w:rsidR="006A1C11" w:rsidRDefault="006A1C11" w:rsidP="006A1C11">
      <w:pPr>
        <w:pStyle w:val="Nivel2SM"/>
        <w:keepNext/>
        <w:spacing w:after="0"/>
      </w:pPr>
      <w:r>
        <w:t xml:space="preserve">Las </w:t>
      </w:r>
      <w:r w:rsidRPr="006A1C11">
        <w:rPr>
          <w:i/>
          <w:iCs/>
        </w:rPr>
        <w:t>transferencias de capital</w:t>
      </w:r>
      <w:r>
        <w:t xml:space="preserve"> (en positivo si son a cobrar y en negativo a pagar), que pueden ser:</w:t>
      </w:r>
    </w:p>
    <w:p w14:paraId="0BFF1B47" w14:textId="77777777" w:rsidR="0071326D" w:rsidRDefault="006A1C11" w:rsidP="0071326D">
      <w:pPr>
        <w:pStyle w:val="Nivel3SM"/>
        <w:keepNext/>
      </w:pPr>
      <w:r>
        <w:t>En efectivo, condicionadas a la adquisición de activos.</w:t>
      </w:r>
    </w:p>
    <w:p w14:paraId="70B04230" w14:textId="6DAFCAAC" w:rsidR="006A1C11" w:rsidRDefault="006A1C11" w:rsidP="0071326D">
      <w:pPr>
        <w:pStyle w:val="Nivel4"/>
        <w:ind w:left="1474"/>
      </w:pPr>
      <w:r>
        <w:t>Por ejemplo, ayudas a la inversión pagadas por las instituciones de la UE (p.ej. FEAGA, FEADER…) o por las administraciones públicas a los propietarios de bienes de capital destruidos o dañados por guerras o catástrofes naturales.</w:t>
      </w:r>
    </w:p>
    <w:p w14:paraId="34E8165C" w14:textId="77777777" w:rsidR="006A1C11" w:rsidRDefault="006A1C11" w:rsidP="006A1C11">
      <w:pPr>
        <w:pStyle w:val="Nivel3SM"/>
        <w:spacing w:after="100"/>
      </w:pPr>
      <w:r>
        <w:t>En especie (cesión de activos o cancelación de una deuda)</w:t>
      </w: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14"/>
        <w:gridCol w:w="4824"/>
      </w:tblGrid>
      <w:tr w:rsidR="003F5B96" w:rsidRPr="00C572A3" w14:paraId="4D989983" w14:textId="77777777" w:rsidTr="006A1C11">
        <w:trPr>
          <w:jc w:val="center"/>
        </w:trPr>
        <w:tc>
          <w:tcPr>
            <w:tcW w:w="9638" w:type="dxa"/>
            <w:gridSpan w:val="2"/>
            <w:tcBorders>
              <w:bottom w:val="single" w:sz="2" w:space="0" w:color="FFFFFF" w:themeColor="background1"/>
            </w:tcBorders>
          </w:tcPr>
          <w:p w14:paraId="34878225" w14:textId="2E55D40F" w:rsidR="003F5B96" w:rsidRPr="00C572A3" w:rsidRDefault="003F5B96" w:rsidP="003F5B96">
            <w:pPr>
              <w:keepNext/>
              <w:keepLines/>
              <w:spacing w:after="0" w:line="259" w:lineRule="auto"/>
              <w:ind w:left="142"/>
              <w:contextualSpacing/>
              <w:jc w:val="center"/>
              <w:rPr>
                <w:i/>
                <w:iCs/>
              </w:rPr>
            </w:pPr>
            <w:r>
              <w:rPr>
                <w:i/>
                <w:iCs/>
              </w:rPr>
              <w:t>C.III.1.1.</w:t>
            </w:r>
            <w:r w:rsidR="00FA6AEF">
              <w:rPr>
                <w:i/>
                <w:iCs/>
              </w:rPr>
              <w:t> </w:t>
            </w:r>
            <w:r w:rsidR="001633C2">
              <w:rPr>
                <w:i/>
                <w:iCs/>
              </w:rPr>
              <w:t xml:space="preserve">Cuenta de </w:t>
            </w:r>
            <w:r w:rsidR="001633C2" w:rsidRPr="001633C2">
              <w:rPr>
                <w:i/>
                <w:iCs/>
              </w:rPr>
              <w:t>variaciones del patrimonio neto debidas al ahorro y las transferencias de capital</w:t>
            </w:r>
          </w:p>
        </w:tc>
      </w:tr>
      <w:tr w:rsidR="003F5B96" w:rsidRPr="00C572A3" w14:paraId="40FC7865" w14:textId="77777777" w:rsidTr="006A1C11">
        <w:trPr>
          <w:jc w:val="center"/>
        </w:trPr>
        <w:tc>
          <w:tcPr>
            <w:tcW w:w="4814" w:type="dxa"/>
            <w:tcBorders>
              <w:top w:val="single" w:sz="2" w:space="0" w:color="FFFFFF" w:themeColor="background1"/>
              <w:right w:val="single" w:sz="2" w:space="0" w:color="FFFFFF" w:themeColor="background1"/>
            </w:tcBorders>
          </w:tcPr>
          <w:p w14:paraId="724608C9" w14:textId="0BB28AE3" w:rsidR="003F5B96" w:rsidRPr="00C572A3" w:rsidRDefault="003F5B96" w:rsidP="003F5B96">
            <w:pPr>
              <w:keepNext/>
              <w:keepLines/>
              <w:spacing w:after="0" w:line="259" w:lineRule="auto"/>
              <w:ind w:left="142"/>
              <w:contextualSpacing/>
              <w:jc w:val="center"/>
              <w:rPr>
                <w:i/>
                <w:iCs/>
              </w:rPr>
            </w:pPr>
            <w:r>
              <w:rPr>
                <w:i/>
                <w:iCs/>
              </w:rPr>
              <w:t>Variaciones de activos</w:t>
            </w:r>
          </w:p>
        </w:tc>
        <w:tc>
          <w:tcPr>
            <w:tcW w:w="4824" w:type="dxa"/>
            <w:tcBorders>
              <w:top w:val="single" w:sz="2" w:space="0" w:color="FFFFFF" w:themeColor="background1"/>
              <w:left w:val="single" w:sz="2" w:space="0" w:color="FFFFFF" w:themeColor="background1"/>
            </w:tcBorders>
          </w:tcPr>
          <w:p w14:paraId="03CBEAD4" w14:textId="04B375F3" w:rsidR="003F5B96" w:rsidRPr="00C572A3" w:rsidRDefault="003F5B96" w:rsidP="003F5B96">
            <w:pPr>
              <w:keepNext/>
              <w:keepLines/>
              <w:spacing w:after="0" w:line="259" w:lineRule="auto"/>
              <w:ind w:left="142"/>
              <w:contextualSpacing/>
              <w:jc w:val="center"/>
              <w:rPr>
                <w:i/>
                <w:iCs/>
              </w:rPr>
            </w:pPr>
            <w:r>
              <w:rPr>
                <w:i/>
                <w:iCs/>
              </w:rPr>
              <w:t>Variaciones de pasivos y del patrimonio neto</w:t>
            </w:r>
          </w:p>
        </w:tc>
      </w:tr>
      <w:tr w:rsidR="003F5B96" w14:paraId="10C833AF" w14:textId="77777777" w:rsidTr="006A1C11">
        <w:trPr>
          <w:jc w:val="center"/>
        </w:trPr>
        <w:tc>
          <w:tcPr>
            <w:tcW w:w="4814" w:type="dxa"/>
          </w:tcPr>
          <w:p w14:paraId="45829246" w14:textId="5CDD4461" w:rsidR="003F5B96" w:rsidRDefault="003F5B96" w:rsidP="000C239E">
            <w:pPr>
              <w:pStyle w:val="Nivel2SM"/>
              <w:keepNext/>
              <w:keepLines/>
              <w:numPr>
                <w:ilvl w:val="0"/>
                <w:numId w:val="0"/>
              </w:numPr>
            </w:pPr>
          </w:p>
          <w:p w14:paraId="2F9530DB" w14:textId="09801675" w:rsidR="003F5B96" w:rsidRDefault="003F5B96" w:rsidP="000C239E">
            <w:pPr>
              <w:pStyle w:val="Nivel2SM"/>
              <w:keepNext/>
              <w:keepLines/>
              <w:numPr>
                <w:ilvl w:val="0"/>
                <w:numId w:val="0"/>
              </w:numPr>
            </w:pPr>
          </w:p>
          <w:p w14:paraId="11EA3244" w14:textId="6097112D" w:rsidR="003F5B96" w:rsidRDefault="003F5B96" w:rsidP="000C239E">
            <w:pPr>
              <w:pStyle w:val="Nivel2SM"/>
              <w:keepNext/>
              <w:keepLines/>
              <w:numPr>
                <w:ilvl w:val="0"/>
                <w:numId w:val="0"/>
              </w:numPr>
            </w:pPr>
          </w:p>
          <w:p w14:paraId="1E7AC736" w14:textId="6739309E" w:rsidR="003F5B96" w:rsidRDefault="003F5B96" w:rsidP="000C239E">
            <w:pPr>
              <w:pStyle w:val="Nivel2SM"/>
              <w:keepNext/>
              <w:keepLines/>
              <w:numPr>
                <w:ilvl w:val="0"/>
                <w:numId w:val="0"/>
              </w:numPr>
            </w:pPr>
          </w:p>
          <w:p w14:paraId="01D2FB55" w14:textId="132D4DD9" w:rsidR="003F5B96" w:rsidRPr="00E97E64" w:rsidRDefault="003F5B96" w:rsidP="003F5B96">
            <w:pPr>
              <w:pStyle w:val="Nivel2SM"/>
              <w:keepNext/>
              <w:keepLines/>
              <w:numPr>
                <w:ilvl w:val="0"/>
                <w:numId w:val="0"/>
              </w:numPr>
              <w:ind w:left="1"/>
              <w:jc w:val="left"/>
              <w:rPr>
                <w:i/>
                <w:iCs/>
              </w:rPr>
            </w:pPr>
            <w:r>
              <w:rPr>
                <w:b/>
                <w:bCs/>
              </w:rPr>
              <w:t>Variaciones del patrimonio neto debidas al ahorro y a las transferencias de capital</w:t>
            </w:r>
          </w:p>
        </w:tc>
        <w:tc>
          <w:tcPr>
            <w:tcW w:w="4824" w:type="dxa"/>
          </w:tcPr>
          <w:p w14:paraId="160096E4" w14:textId="2D301435" w:rsidR="003F5B96" w:rsidRPr="00B164F8" w:rsidRDefault="003F5B96" w:rsidP="00F451A1">
            <w:pPr>
              <w:pStyle w:val="Nivel2SM"/>
              <w:keepNext/>
              <w:keepLines/>
              <w:ind w:left="113"/>
              <w:contextualSpacing w:val="0"/>
              <w:rPr>
                <w:b/>
                <w:bCs/>
              </w:rPr>
            </w:pPr>
            <w:r>
              <w:rPr>
                <w:b/>
                <w:bCs/>
              </w:rPr>
              <w:t>Ahorro neto</w:t>
            </w:r>
            <w:r>
              <w:t xml:space="preserve"> </w:t>
            </w:r>
            <w:r w:rsidRPr="003F5B96">
              <w:rPr>
                <w:color w:val="595959" w:themeColor="text1" w:themeTint="A6"/>
                <w:sz w:val="14"/>
                <w:szCs w:val="16"/>
              </w:rPr>
              <w:t>(obtenido de las cuentas corrientes)</w:t>
            </w:r>
          </w:p>
          <w:p w14:paraId="34D23D81" w14:textId="77777777" w:rsidR="003F5B96" w:rsidRDefault="003F5B96" w:rsidP="00F451A1">
            <w:pPr>
              <w:pStyle w:val="Nivel2SM"/>
              <w:keepNext/>
              <w:keepLines/>
              <w:spacing w:after="0"/>
              <w:ind w:left="113"/>
            </w:pPr>
            <w:r>
              <w:t>Transferencias de capital:</w:t>
            </w:r>
          </w:p>
          <w:p w14:paraId="7B98510A" w14:textId="788FBF41" w:rsidR="003F5B96" w:rsidRDefault="003F5B96" w:rsidP="00FA6AEF">
            <w:pPr>
              <w:pStyle w:val="Nivel1"/>
              <w:spacing w:before="0" w:after="0"/>
              <w:ind w:hanging="98"/>
            </w:pPr>
            <w:r>
              <w:t xml:space="preserve">A cobrar </w:t>
            </w:r>
            <w:r w:rsidRPr="003F5B96">
              <w:rPr>
                <w:color w:val="595959" w:themeColor="text1" w:themeTint="A6"/>
                <w:sz w:val="14"/>
                <w:szCs w:val="16"/>
              </w:rPr>
              <w:t>(</w:t>
            </w:r>
            <w:r>
              <w:rPr>
                <w:color w:val="595959" w:themeColor="text1" w:themeTint="A6"/>
                <w:sz w:val="14"/>
                <w:szCs w:val="16"/>
              </w:rPr>
              <w:t>+</w:t>
            </w:r>
            <w:r w:rsidRPr="003F5B96">
              <w:rPr>
                <w:color w:val="595959" w:themeColor="text1" w:themeTint="A6"/>
                <w:sz w:val="14"/>
                <w:szCs w:val="16"/>
              </w:rPr>
              <w:t>)</w:t>
            </w:r>
          </w:p>
          <w:p w14:paraId="2FA96659" w14:textId="3F003C52" w:rsidR="003F5B96" w:rsidRDefault="003F5B96" w:rsidP="00FA6AEF">
            <w:pPr>
              <w:pStyle w:val="Nivel1"/>
              <w:spacing w:before="0"/>
              <w:ind w:hanging="98"/>
            </w:pPr>
            <w:r>
              <w:t xml:space="preserve">A pagar </w:t>
            </w:r>
            <w:r w:rsidRPr="003F5B96">
              <w:rPr>
                <w:color w:val="595959" w:themeColor="text1" w:themeTint="A6"/>
                <w:sz w:val="14"/>
                <w:szCs w:val="16"/>
              </w:rPr>
              <w:t>(</w:t>
            </w:r>
            <w:r w:rsidR="00A167F5">
              <w:rPr>
                <w:rFonts w:ascii="Times New Roman" w:hAnsi="Times New Roman" w:cs="Times New Roman"/>
                <w:color w:val="595959" w:themeColor="text1" w:themeTint="A6"/>
                <w:sz w:val="14"/>
                <w:szCs w:val="16"/>
              </w:rPr>
              <w:t>−</w:t>
            </w:r>
            <w:r w:rsidRPr="003F5B96">
              <w:rPr>
                <w:color w:val="595959" w:themeColor="text1" w:themeTint="A6"/>
                <w:sz w:val="14"/>
                <w:szCs w:val="16"/>
              </w:rPr>
              <w:t>)</w:t>
            </w:r>
          </w:p>
        </w:tc>
      </w:tr>
    </w:tbl>
    <w:p w14:paraId="1044F81B" w14:textId="228F28BB" w:rsidR="006A1C11" w:rsidRDefault="006A1C11" w:rsidP="006A1C11">
      <w:pPr>
        <w:pStyle w:val="Ttulo7"/>
        <w:spacing w:before="240"/>
      </w:pPr>
      <w:r>
        <w:t>Saldo contable</w:t>
      </w:r>
    </w:p>
    <w:p w14:paraId="2C149867" w14:textId="102FAE78" w:rsidR="00A500F1" w:rsidRDefault="00A500F1" w:rsidP="00FA6AEF">
      <w:pPr>
        <w:pStyle w:val="Nivel1SM"/>
        <w:spacing w:before="0"/>
      </w:pPr>
      <w:r>
        <w:t xml:space="preserve">Como </w:t>
      </w:r>
      <w:r w:rsidRPr="00A500F1">
        <w:t>saldo contable</w:t>
      </w:r>
      <w:r>
        <w:t xml:space="preserve"> obtenemos las </w:t>
      </w:r>
      <w:r w:rsidRPr="00EF5B61">
        <w:rPr>
          <w:b/>
          <w:bCs/>
        </w:rPr>
        <w:t>variaciones del patrimonio neto debidas al ahorro y a las transferencias de capital</w:t>
      </w:r>
      <w:r>
        <w:t>, que representa el montante disponible para la adquisición de activos.</w:t>
      </w:r>
    </w:p>
    <w:p w14:paraId="2881FD44" w14:textId="0115AD4F" w:rsidR="00776753" w:rsidRDefault="00776753">
      <w:pPr>
        <w:pStyle w:val="Ttulo6"/>
        <w:numPr>
          <w:ilvl w:val="0"/>
          <w:numId w:val="20"/>
        </w:numPr>
        <w:ind w:left="511" w:hanging="227"/>
        <w:rPr>
          <w:u w:val="none"/>
        </w:rPr>
      </w:pPr>
      <w:bookmarkStart w:id="87" w:name="_Ref118721844"/>
      <w:bookmarkStart w:id="88" w:name="_Toc174116224"/>
      <w:r>
        <w:t>Cuenta de adquisici</w:t>
      </w:r>
      <w:r w:rsidR="0005568C">
        <w:t>o</w:t>
      </w:r>
      <w:r>
        <w:t>n</w:t>
      </w:r>
      <w:r w:rsidR="0005568C">
        <w:t>es</w:t>
      </w:r>
      <w:r>
        <w:t xml:space="preserve"> de activos no financieros</w:t>
      </w:r>
      <w:r w:rsidRPr="007C2BD1">
        <w:rPr>
          <w:u w:val="none"/>
        </w:rPr>
        <w:t xml:space="preserve"> (</w:t>
      </w:r>
      <w:r w:rsidR="007C2BD1" w:rsidRPr="007C2BD1">
        <w:rPr>
          <w:u w:val="none"/>
        </w:rPr>
        <w:t>C.</w:t>
      </w:r>
      <w:r w:rsidRPr="007C2BD1">
        <w:rPr>
          <w:u w:val="none"/>
        </w:rPr>
        <w:t>III.1.2)</w:t>
      </w:r>
      <w:bookmarkEnd w:id="87"/>
      <w:bookmarkEnd w:id="88"/>
    </w:p>
    <w:p w14:paraId="06935760" w14:textId="5CC368FE" w:rsidR="006A1C11" w:rsidRDefault="006A1C11" w:rsidP="00FA6AEF">
      <w:pPr>
        <w:pStyle w:val="Ttulo7"/>
        <w:spacing w:before="0"/>
      </w:pPr>
      <w:r>
        <w:t>Definición</w:t>
      </w:r>
    </w:p>
    <w:p w14:paraId="4F9FBB1A" w14:textId="74690F68" w:rsidR="0071326D" w:rsidRDefault="0071326D" w:rsidP="00FA6AEF">
      <w:pPr>
        <w:pStyle w:val="Nivel1SM"/>
        <w:spacing w:before="0"/>
      </w:pPr>
      <w:r>
        <w:t>Esta cuenta sirve para ver a qu</w:t>
      </w:r>
      <w:r w:rsidR="003473A0">
        <w:t>é</w:t>
      </w:r>
      <w:r>
        <w:t xml:space="preserve"> se destina</w:t>
      </w:r>
      <w:r w:rsidR="003473A0">
        <w:t>n</w:t>
      </w:r>
      <w:r>
        <w:t xml:space="preserve"> las variaciones en el valor neto debidas al ahorro y a las transferencias de capital.</w:t>
      </w:r>
    </w:p>
    <w:p w14:paraId="383F66A9" w14:textId="6B0A494D" w:rsidR="0071326D" w:rsidRPr="0071326D" w:rsidRDefault="0071326D" w:rsidP="0071326D">
      <w:pPr>
        <w:pStyle w:val="Ttulo7"/>
      </w:pPr>
      <w:r w:rsidRPr="0071326D">
        <w:t>Variaciones de activos y variaciones de pasivos y patrimonio neto</w:t>
      </w:r>
    </w:p>
    <w:p w14:paraId="5207E5BB" w14:textId="77777777" w:rsidR="0071326D" w:rsidRDefault="00EF5B61" w:rsidP="00FA6AEF">
      <w:pPr>
        <w:pStyle w:val="Nivel1SM"/>
        <w:spacing w:before="0"/>
      </w:pPr>
      <w:r>
        <w:t xml:space="preserve">Partimos </w:t>
      </w:r>
      <w:r w:rsidRPr="0071326D">
        <w:t>del</w:t>
      </w:r>
      <w:r>
        <w:t xml:space="preserve"> saldo contable de la cuenta anterior</w:t>
      </w:r>
      <w:r w:rsidR="0071326D">
        <w:t xml:space="preserve"> (registrado como </w:t>
      </w:r>
      <w:r w:rsidR="0071326D" w:rsidRPr="0071326D">
        <w:rPr>
          <w:b/>
          <w:bCs/>
        </w:rPr>
        <w:t>variaciones de pasivo y del patrimonio neto</w:t>
      </w:r>
      <w:r w:rsidR="0071326D">
        <w:t>).</w:t>
      </w:r>
    </w:p>
    <w:p w14:paraId="3CCCCF9A" w14:textId="61AE9B17" w:rsidR="00EF5B61" w:rsidRDefault="0071326D" w:rsidP="0071326D">
      <w:pPr>
        <w:pStyle w:val="Nivel1SM"/>
        <w:keepNext/>
        <w:spacing w:after="0"/>
      </w:pPr>
      <w:r>
        <w:t xml:space="preserve">Por su parte, en </w:t>
      </w:r>
      <w:r w:rsidRPr="0071326D">
        <w:rPr>
          <w:b/>
          <w:bCs/>
        </w:rPr>
        <w:t>variaciones de activos</w:t>
      </w:r>
      <w:r w:rsidR="00EF5B61">
        <w:t xml:space="preserve"> registramos las adquisiciones menos las cesiones de activos no financieros</w:t>
      </w:r>
      <w:r w:rsidR="00EF5B61">
        <w:rPr>
          <w:rStyle w:val="Refdenotaalpie"/>
        </w:rPr>
        <w:footnoteReference w:id="29"/>
      </w:r>
      <w:r w:rsidR="00EF5B61">
        <w:t>:</w:t>
      </w:r>
    </w:p>
    <w:p w14:paraId="5183D5DD" w14:textId="12FBE6C9" w:rsidR="00EF5B61" w:rsidRDefault="009F2269" w:rsidP="0071326D">
      <w:pPr>
        <w:pStyle w:val="Nivel2SM"/>
      </w:pPr>
      <w:r>
        <w:rPr>
          <w:i/>
          <w:iCs/>
        </w:rPr>
        <w:t>Formación bruta de capital fijo</w:t>
      </w:r>
      <w:r>
        <w:t>: Se mide por el valor total de las adquisiciones menos las disposiciones (cesiones) de activos fijos efectuadas por los productores</w:t>
      </w:r>
      <w:r w:rsidR="00D91619">
        <w:t xml:space="preserve"> residentes sin incluir </w:t>
      </w:r>
      <w:r w:rsidR="00D91619">
        <w:lastRenderedPageBreak/>
        <w:t xml:space="preserve">las existencias. Los activos fijos son activos producidos utilizados en la producción durante más de un año. Distinguimos entre activos tangibles </w:t>
      </w:r>
      <w:r w:rsidR="00D91619" w:rsidRPr="00D91619">
        <w:rPr>
          <w:sz w:val="18"/>
          <w:szCs w:val="18"/>
        </w:rPr>
        <w:t>(edificios, equipos, maquinaria…)</w:t>
      </w:r>
      <w:r w:rsidR="00D91619">
        <w:t xml:space="preserve"> y activos intangibles </w:t>
      </w:r>
      <w:r w:rsidR="00D91619" w:rsidRPr="00D91619">
        <w:rPr>
          <w:sz w:val="18"/>
          <w:szCs w:val="18"/>
        </w:rPr>
        <w:t>(marcas, patentes…)</w:t>
      </w:r>
      <w:r w:rsidR="00D91619">
        <w:t>.</w:t>
      </w:r>
    </w:p>
    <w:p w14:paraId="29318A3C" w14:textId="2A92C2F1" w:rsidR="009F2269" w:rsidRDefault="009F2269" w:rsidP="0071326D">
      <w:pPr>
        <w:pStyle w:val="Nivel2SM"/>
      </w:pPr>
      <w:r>
        <w:rPr>
          <w:i/>
          <w:iCs/>
        </w:rPr>
        <w:t>Consumo de capital fijo</w:t>
      </w:r>
      <w:r>
        <w:t xml:space="preserve"> (con signo negativo): La formación bruta de capital fijo ha de ser aminorada por el consumo de capital fijo, es decir, hay que tener en cuenta la depreciación, para así tener en cuenta la formación neta de capital fijo.</w:t>
      </w:r>
    </w:p>
    <w:p w14:paraId="2703D00B" w14:textId="754433AB" w:rsidR="009F2269" w:rsidRPr="00F334F2" w:rsidRDefault="009F2269" w:rsidP="0071326D">
      <w:pPr>
        <w:pStyle w:val="Nivel2SM"/>
      </w:pPr>
      <w:r w:rsidRPr="0071326D">
        <w:rPr>
          <w:i/>
          <w:iCs/>
        </w:rPr>
        <w:t>Variación de existencias</w:t>
      </w:r>
      <w:r w:rsidR="00F334F2" w:rsidRPr="00F334F2">
        <w:t>.</w:t>
      </w:r>
    </w:p>
    <w:p w14:paraId="7BC4F117" w14:textId="5E9070EC" w:rsidR="009F2269" w:rsidRDefault="009F2269" w:rsidP="0071326D">
      <w:pPr>
        <w:pStyle w:val="Nivel2SM"/>
      </w:pPr>
      <w:r>
        <w:rPr>
          <w:i/>
          <w:iCs/>
        </w:rPr>
        <w:t>Adquisiciones menos cesiones de activos no financieros no producidos</w:t>
      </w:r>
      <w:r>
        <w:t xml:space="preserve">: </w:t>
      </w:r>
      <w:r w:rsidR="00A81134">
        <w:t>S</w:t>
      </w:r>
      <w:r>
        <w:t>on transacciones relacionadas con activos que pueden utilizarse para la producción de bienes y servicios, pero en sí no han sido producidos como por ejemplo arrendamientos de recursos naturales, patentes, derechos de autor, marcas…</w:t>
      </w: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68"/>
        <w:gridCol w:w="4688"/>
      </w:tblGrid>
      <w:tr w:rsidR="003F5B96" w:rsidRPr="00C572A3" w14:paraId="6C50A5C5" w14:textId="77777777" w:rsidTr="00375EF3">
        <w:trPr>
          <w:jc w:val="center"/>
        </w:trPr>
        <w:tc>
          <w:tcPr>
            <w:tcW w:w="9356" w:type="dxa"/>
            <w:gridSpan w:val="2"/>
            <w:tcBorders>
              <w:bottom w:val="single" w:sz="2" w:space="0" w:color="FFFFFF" w:themeColor="background1"/>
            </w:tcBorders>
          </w:tcPr>
          <w:p w14:paraId="75FFAB04" w14:textId="55D326F0" w:rsidR="003F5B96" w:rsidRPr="00C572A3" w:rsidRDefault="003F5B96" w:rsidP="000C239E">
            <w:pPr>
              <w:keepNext/>
              <w:keepLines/>
              <w:spacing w:after="0" w:line="259" w:lineRule="auto"/>
              <w:ind w:left="142"/>
              <w:contextualSpacing/>
              <w:jc w:val="center"/>
              <w:rPr>
                <w:i/>
                <w:iCs/>
              </w:rPr>
            </w:pPr>
            <w:r>
              <w:rPr>
                <w:i/>
                <w:iCs/>
              </w:rPr>
              <w:t>C.III.1.2.</w:t>
            </w:r>
            <w:r w:rsidR="00FA6AEF">
              <w:rPr>
                <w:i/>
                <w:iCs/>
              </w:rPr>
              <w:t> </w:t>
            </w:r>
            <w:r>
              <w:rPr>
                <w:i/>
                <w:iCs/>
              </w:rPr>
              <w:t>Cuenta de adquisici</w:t>
            </w:r>
            <w:r w:rsidR="0005568C">
              <w:rPr>
                <w:i/>
                <w:iCs/>
              </w:rPr>
              <w:t>o</w:t>
            </w:r>
            <w:r>
              <w:rPr>
                <w:i/>
                <w:iCs/>
              </w:rPr>
              <w:t>n</w:t>
            </w:r>
            <w:r w:rsidR="0005568C">
              <w:rPr>
                <w:i/>
                <w:iCs/>
              </w:rPr>
              <w:t>es</w:t>
            </w:r>
            <w:r>
              <w:rPr>
                <w:i/>
                <w:iCs/>
              </w:rPr>
              <w:t xml:space="preserve"> de activos no financieros</w:t>
            </w:r>
          </w:p>
        </w:tc>
      </w:tr>
      <w:tr w:rsidR="003F5B96" w:rsidRPr="00C572A3" w14:paraId="45A66D9F" w14:textId="77777777" w:rsidTr="00375EF3">
        <w:trPr>
          <w:jc w:val="center"/>
        </w:trPr>
        <w:tc>
          <w:tcPr>
            <w:tcW w:w="4668" w:type="dxa"/>
            <w:tcBorders>
              <w:top w:val="single" w:sz="2" w:space="0" w:color="FFFFFF" w:themeColor="background1"/>
              <w:right w:val="single" w:sz="2" w:space="0" w:color="FFFFFF" w:themeColor="background1"/>
            </w:tcBorders>
          </w:tcPr>
          <w:p w14:paraId="6CF4775E" w14:textId="77777777" w:rsidR="003F5B96" w:rsidRPr="00C572A3" w:rsidRDefault="003F5B96" w:rsidP="000C239E">
            <w:pPr>
              <w:keepNext/>
              <w:keepLines/>
              <w:spacing w:after="0" w:line="259" w:lineRule="auto"/>
              <w:ind w:left="142"/>
              <w:contextualSpacing/>
              <w:jc w:val="center"/>
              <w:rPr>
                <w:i/>
                <w:iCs/>
              </w:rPr>
            </w:pPr>
            <w:r>
              <w:rPr>
                <w:i/>
                <w:iCs/>
              </w:rPr>
              <w:t>Variaciones de activos</w:t>
            </w:r>
          </w:p>
        </w:tc>
        <w:tc>
          <w:tcPr>
            <w:tcW w:w="4688" w:type="dxa"/>
            <w:tcBorders>
              <w:top w:val="single" w:sz="2" w:space="0" w:color="FFFFFF" w:themeColor="background1"/>
              <w:left w:val="single" w:sz="2" w:space="0" w:color="FFFFFF" w:themeColor="background1"/>
            </w:tcBorders>
          </w:tcPr>
          <w:p w14:paraId="79943446" w14:textId="77777777" w:rsidR="003F5B96" w:rsidRPr="00C572A3" w:rsidRDefault="003F5B96" w:rsidP="000C239E">
            <w:pPr>
              <w:keepNext/>
              <w:keepLines/>
              <w:spacing w:after="0" w:line="259" w:lineRule="auto"/>
              <w:ind w:left="142"/>
              <w:contextualSpacing/>
              <w:jc w:val="center"/>
              <w:rPr>
                <w:i/>
                <w:iCs/>
              </w:rPr>
            </w:pPr>
            <w:r>
              <w:rPr>
                <w:i/>
                <w:iCs/>
              </w:rPr>
              <w:t>Variaciones de pasivos y del patrimonio neto</w:t>
            </w:r>
          </w:p>
        </w:tc>
      </w:tr>
      <w:tr w:rsidR="003F5B96" w14:paraId="23FE01B0" w14:textId="77777777" w:rsidTr="00375EF3">
        <w:trPr>
          <w:jc w:val="center"/>
        </w:trPr>
        <w:tc>
          <w:tcPr>
            <w:tcW w:w="4668" w:type="dxa"/>
          </w:tcPr>
          <w:p w14:paraId="1CC840E9" w14:textId="5953B691" w:rsidR="003F5B96" w:rsidRPr="00F451A1" w:rsidRDefault="003E0C79" w:rsidP="00F451A1">
            <w:pPr>
              <w:pStyle w:val="Nivel2SM"/>
              <w:keepNext/>
              <w:ind w:left="113"/>
            </w:pPr>
            <w:r w:rsidRPr="00F451A1">
              <w:t>Formación bruta de capital fijo</w:t>
            </w:r>
          </w:p>
          <w:p w14:paraId="7B8FC3AC" w14:textId="716CFD10" w:rsidR="003E0C79" w:rsidRPr="00F451A1" w:rsidRDefault="003E0C79" w:rsidP="00F451A1">
            <w:pPr>
              <w:pStyle w:val="Nivel2SM"/>
              <w:keepNext/>
              <w:ind w:left="113"/>
            </w:pPr>
            <w:r w:rsidRPr="00F451A1">
              <w:t>Consumo de capital fijo (con signo negativo)</w:t>
            </w:r>
          </w:p>
          <w:p w14:paraId="7D3535C3" w14:textId="720F3780" w:rsidR="003E0C79" w:rsidRPr="00F451A1" w:rsidRDefault="003E0C79" w:rsidP="00F451A1">
            <w:pPr>
              <w:pStyle w:val="Nivel2SM"/>
              <w:keepNext/>
              <w:ind w:left="113"/>
            </w:pPr>
            <w:r w:rsidRPr="00F451A1">
              <w:t>Variación de existencias</w:t>
            </w:r>
          </w:p>
          <w:p w14:paraId="4B851D33" w14:textId="7C96FE10" w:rsidR="003F5B96" w:rsidRDefault="003E0C79" w:rsidP="00F451A1">
            <w:pPr>
              <w:pStyle w:val="Nivel2SM"/>
              <w:keepNext/>
              <w:ind w:left="113"/>
            </w:pPr>
            <w:r w:rsidRPr="00F451A1">
              <w:t>Adquisiciones menos</w:t>
            </w:r>
            <w:r>
              <w:t xml:space="preserve"> cesiones de activos no financieros no producidos</w:t>
            </w:r>
          </w:p>
          <w:p w14:paraId="4CBDF861" w14:textId="77777777" w:rsidR="003F5B96" w:rsidRDefault="003F5B96" w:rsidP="000C239E">
            <w:pPr>
              <w:pStyle w:val="Nivel2SM"/>
              <w:keepNext/>
              <w:keepLines/>
              <w:numPr>
                <w:ilvl w:val="0"/>
                <w:numId w:val="0"/>
              </w:numPr>
              <w:rPr>
                <w:b/>
                <w:bCs/>
              </w:rPr>
            </w:pPr>
          </w:p>
          <w:p w14:paraId="2EEE8CB0" w14:textId="07C48BAF" w:rsidR="003F5B96" w:rsidRPr="00A81134" w:rsidRDefault="003F5B96" w:rsidP="001633C2">
            <w:pPr>
              <w:pStyle w:val="Nivel2SM"/>
              <w:keepNext/>
              <w:keepLines/>
              <w:numPr>
                <w:ilvl w:val="0"/>
                <w:numId w:val="0"/>
              </w:numPr>
              <w:ind w:left="1"/>
              <w:jc w:val="left"/>
              <w:rPr>
                <w:i/>
                <w:iCs/>
                <w:spacing w:val="-1"/>
              </w:rPr>
            </w:pPr>
            <w:r w:rsidRPr="00A81134">
              <w:rPr>
                <w:b/>
                <w:bCs/>
                <w:spacing w:val="-1"/>
              </w:rPr>
              <w:t xml:space="preserve">Capacidad </w:t>
            </w:r>
            <w:r w:rsidRPr="00A81134">
              <w:rPr>
                <w:color w:val="595959" w:themeColor="text1" w:themeTint="A6"/>
                <w:spacing w:val="-1"/>
                <w:sz w:val="14"/>
                <w:szCs w:val="16"/>
              </w:rPr>
              <w:t>(+)</w:t>
            </w:r>
            <w:r w:rsidRPr="00A81134">
              <w:rPr>
                <w:b/>
                <w:bCs/>
                <w:spacing w:val="-1"/>
              </w:rPr>
              <w:t xml:space="preserve"> o Necesidad </w:t>
            </w:r>
            <w:r w:rsidRPr="00A81134">
              <w:rPr>
                <w:color w:val="595959" w:themeColor="text1" w:themeTint="A6"/>
                <w:spacing w:val="-1"/>
                <w:sz w:val="14"/>
                <w:szCs w:val="16"/>
              </w:rPr>
              <w:t>(</w:t>
            </w:r>
            <w:r w:rsidR="00A81134" w:rsidRPr="00A81134">
              <w:rPr>
                <w:rFonts w:ascii="Times New Roman" w:hAnsi="Times New Roman" w:cs="Times New Roman"/>
                <w:color w:val="595959" w:themeColor="text1" w:themeTint="A6"/>
                <w:spacing w:val="-1"/>
                <w:sz w:val="14"/>
                <w:szCs w:val="16"/>
              </w:rPr>
              <w:t>−</w:t>
            </w:r>
            <w:r w:rsidRPr="00A81134">
              <w:rPr>
                <w:color w:val="595959" w:themeColor="text1" w:themeTint="A6"/>
                <w:spacing w:val="-1"/>
                <w:sz w:val="14"/>
                <w:szCs w:val="16"/>
              </w:rPr>
              <w:t>)</w:t>
            </w:r>
            <w:r w:rsidRPr="00A81134">
              <w:rPr>
                <w:b/>
                <w:bCs/>
                <w:spacing w:val="-1"/>
              </w:rPr>
              <w:t xml:space="preserve"> de Financiación</w:t>
            </w:r>
          </w:p>
        </w:tc>
        <w:tc>
          <w:tcPr>
            <w:tcW w:w="4688" w:type="dxa"/>
          </w:tcPr>
          <w:p w14:paraId="46B189BD" w14:textId="4B7E493F" w:rsidR="003E0C79" w:rsidRDefault="003F5B96" w:rsidP="00F451A1">
            <w:pPr>
              <w:pStyle w:val="Nivel2SM"/>
              <w:keepNext/>
              <w:keepLines/>
              <w:ind w:left="113"/>
              <w:contextualSpacing w:val="0"/>
              <w:jc w:val="left"/>
            </w:pPr>
            <w:r>
              <w:rPr>
                <w:b/>
                <w:bCs/>
              </w:rPr>
              <w:t>Variaciones del patrimonio neto debidas al ahorro y a las transferencias de capital</w:t>
            </w:r>
          </w:p>
        </w:tc>
      </w:tr>
    </w:tbl>
    <w:p w14:paraId="4610A883" w14:textId="2F96E137" w:rsidR="006A1C11" w:rsidRDefault="006A1C11" w:rsidP="006A1C11">
      <w:pPr>
        <w:pStyle w:val="Ttulo7"/>
        <w:spacing w:before="240"/>
      </w:pPr>
      <w:bookmarkStart w:id="89" w:name="_Toc83554012"/>
      <w:r>
        <w:t>Saldo contable y macromagnitudes relevantes</w:t>
      </w:r>
    </w:p>
    <w:p w14:paraId="78C69AA5" w14:textId="69CBAF4A" w:rsidR="00A81134" w:rsidRDefault="00A81134" w:rsidP="00FA6AEF">
      <w:pPr>
        <w:pStyle w:val="Nivel1SM"/>
        <w:keepNext/>
        <w:spacing w:before="0" w:after="0"/>
      </w:pPr>
      <w:r>
        <w:t xml:space="preserve">Como </w:t>
      </w:r>
      <w:r>
        <w:rPr>
          <w:i/>
          <w:iCs/>
        </w:rPr>
        <w:t>saldo contable</w:t>
      </w:r>
      <w:r>
        <w:t xml:space="preserve"> obtenemos la </w:t>
      </w:r>
      <w:r>
        <w:rPr>
          <w:b/>
          <w:bCs/>
          <w:i/>
          <w:iCs/>
        </w:rPr>
        <w:t>capacidad o necesidad de financiación</w:t>
      </w:r>
      <w:r w:rsidR="00EB1768">
        <w:t>, que viene dada por la diferencia entre el ahorro (corregido por las transferencias de capital) y la adquisición de activos no financieros.</w:t>
      </w:r>
    </w:p>
    <w:p w14:paraId="3FA24349" w14:textId="04E717F7" w:rsidR="00EB1768" w:rsidRDefault="00EB1768" w:rsidP="00D36357">
      <w:pPr>
        <w:pStyle w:val="Nivel2SM"/>
      </w:pPr>
      <w:r>
        <w:t xml:space="preserve">Si el monto es </w:t>
      </w:r>
      <w:r>
        <w:rPr>
          <w:i/>
          <w:iCs/>
        </w:rPr>
        <w:t>negativo</w:t>
      </w:r>
      <w:r>
        <w:t>, existe un endeudamiento neto y una necesidad de financiación (aumento neto de pasivos financieros) y el saldo reflejará el montante de recursos necesarios para pedir prestados frente al exterior.</w:t>
      </w:r>
    </w:p>
    <w:p w14:paraId="36160623" w14:textId="776A3B4A" w:rsidR="00EB1768" w:rsidRDefault="00EB1768" w:rsidP="00D36357">
      <w:pPr>
        <w:pStyle w:val="Nivel2SM"/>
      </w:pPr>
      <w:r>
        <w:t xml:space="preserve">Si el monto es </w:t>
      </w:r>
      <w:r>
        <w:rPr>
          <w:i/>
          <w:iCs/>
        </w:rPr>
        <w:t>positivo</w:t>
      </w:r>
      <w:r>
        <w:t>, se trata de una capacidad de financiación (adquisición neta de activos financieros) y el saldo reflejará el montante de recursos disponibles para adquirir activos financieros.</w:t>
      </w:r>
    </w:p>
    <w:p w14:paraId="41716EEF" w14:textId="2BD7511F" w:rsidR="00B54AB7" w:rsidRPr="00A81134" w:rsidRDefault="00B54AB7" w:rsidP="00B54AB7">
      <w:pPr>
        <w:pStyle w:val="Nivel1SM"/>
      </w:pPr>
      <w:r>
        <w:t>Para las AAPP, la capacidad/necesidad de financiación representa el principal indicador de las finanzas gubernamentales</w:t>
      </w:r>
      <w:r>
        <w:rPr>
          <w:rStyle w:val="Refdenotaalpie"/>
        </w:rPr>
        <w:footnoteReference w:id="30"/>
      </w:r>
      <w:r>
        <w:t>.</w:t>
      </w:r>
    </w:p>
    <w:p w14:paraId="206F979B" w14:textId="71AD429A" w:rsidR="00592177" w:rsidRDefault="007C252C" w:rsidP="00592177">
      <w:pPr>
        <w:pStyle w:val="Ttulo3"/>
      </w:pPr>
      <w:bookmarkStart w:id="90" w:name="_Toc174116225"/>
      <w:r>
        <w:t>C</w:t>
      </w:r>
      <w:r w:rsidR="00592177">
        <w:t>uenta financiera (</w:t>
      </w:r>
      <w:r w:rsidR="007C2BD1">
        <w:t>C.</w:t>
      </w:r>
      <w:r w:rsidR="00592177">
        <w:t>III.2)</w:t>
      </w:r>
      <w:bookmarkEnd w:id="89"/>
      <w:bookmarkEnd w:id="90"/>
    </w:p>
    <w:p w14:paraId="3B86B284" w14:textId="77777777" w:rsidR="006A1C11" w:rsidRDefault="006A1C11" w:rsidP="00FA6AEF">
      <w:pPr>
        <w:pStyle w:val="Ttulo6"/>
        <w:spacing w:before="0"/>
      </w:pPr>
      <w:bookmarkStart w:id="91" w:name="_Toc174116226"/>
      <w:r>
        <w:t>Definición</w:t>
      </w:r>
      <w:bookmarkEnd w:id="91"/>
    </w:p>
    <w:p w14:paraId="3299945C" w14:textId="77777777" w:rsidR="009A51D9" w:rsidRDefault="00EA4C26" w:rsidP="00FA6AEF">
      <w:pPr>
        <w:pStyle w:val="Nivel1SM"/>
        <w:keepNext/>
        <w:spacing w:before="0" w:after="0"/>
      </w:pPr>
      <w:r w:rsidRPr="00EA4C26">
        <w:t xml:space="preserve">La </w:t>
      </w:r>
      <w:r w:rsidRPr="00B54AB7">
        <w:rPr>
          <w:i/>
          <w:iCs/>
        </w:rPr>
        <w:t>cuenta financiera</w:t>
      </w:r>
      <w:r w:rsidRPr="00EA4C26">
        <w:t xml:space="preserve"> </w:t>
      </w:r>
      <w:r w:rsidR="009A51D9">
        <w:t>muestra cómo se t</w:t>
      </w:r>
      <w:r w:rsidRPr="00EA4C26">
        <w:t>r</w:t>
      </w:r>
      <w:r w:rsidR="009A51D9">
        <w:t>aslada la capacidad o necesidad de financiación a la variación de activos y pasivos financieros:</w:t>
      </w:r>
    </w:p>
    <w:p w14:paraId="5B09F310" w14:textId="177391C3" w:rsidR="009A51D9" w:rsidRDefault="009A51D9" w:rsidP="00B54AB7">
      <w:pPr>
        <w:pStyle w:val="Nivel2SM"/>
      </w:pPr>
      <w:r w:rsidRPr="009A51D9">
        <w:t>Un</w:t>
      </w:r>
      <w:r>
        <w:rPr>
          <w:i/>
          <w:iCs/>
        </w:rPr>
        <w:t xml:space="preserve"> activo financiero</w:t>
      </w:r>
      <w:r>
        <w:t xml:space="preserve"> es un depósito de valor que genera un beneficio para su propietario por su posesión o uso durante un período</w:t>
      </w:r>
      <w:r w:rsidR="00EA4C26" w:rsidRPr="00EA4C26">
        <w:t>.</w:t>
      </w:r>
    </w:p>
    <w:p w14:paraId="17870DB3" w14:textId="071AE633" w:rsidR="009A51D9" w:rsidRDefault="009A51D9" w:rsidP="00B54AB7">
      <w:pPr>
        <w:pStyle w:val="Nivel2SM"/>
      </w:pPr>
      <w:r w:rsidRPr="009A51D9">
        <w:t>Un</w:t>
      </w:r>
      <w:r>
        <w:rPr>
          <w:i/>
          <w:iCs/>
        </w:rPr>
        <w:t xml:space="preserve"> pasivo financiero</w:t>
      </w:r>
      <w:r>
        <w:t xml:space="preserve"> es una obligación de su poseedor de realiza un pago a un acreedor.</w:t>
      </w:r>
    </w:p>
    <w:p w14:paraId="2534204B" w14:textId="77777777" w:rsidR="00B54AB7" w:rsidRPr="00EA4C26" w:rsidRDefault="00B54AB7" w:rsidP="00B54AB7">
      <w:pPr>
        <w:pStyle w:val="Ttulo6"/>
      </w:pPr>
      <w:bookmarkStart w:id="92" w:name="_Toc174116227"/>
      <w:r>
        <w:lastRenderedPageBreak/>
        <w:t>Variaciones de activos y variaciones de pasivos y patrimonio neto</w:t>
      </w:r>
      <w:bookmarkEnd w:id="92"/>
    </w:p>
    <w:p w14:paraId="135590F7" w14:textId="554FDF26" w:rsidR="00B54AB7" w:rsidRDefault="00B54AB7" w:rsidP="00FA6AEF">
      <w:pPr>
        <w:pStyle w:val="Nivel1SM"/>
        <w:spacing w:before="0"/>
      </w:pPr>
      <w:r>
        <w:t xml:space="preserve">Por lo tanto, en el lado de </w:t>
      </w:r>
      <w:r w:rsidRPr="00B54AB7">
        <w:rPr>
          <w:b/>
          <w:bCs/>
        </w:rPr>
        <w:t>variaciones de pasivos y del patrimonio neto</w:t>
      </w:r>
      <w:r>
        <w:t xml:space="preserve"> se registra</w:t>
      </w:r>
      <w:r w:rsidR="00E46D83">
        <w:t xml:space="preserve"> la capacidad o necesidad de financiación, así como</w:t>
      </w:r>
      <w:r>
        <w:t xml:space="preserve"> la variación de pasivos financieros</w:t>
      </w:r>
      <w:r w:rsidR="00E46D83">
        <w:t xml:space="preserve">. </w:t>
      </w:r>
    </w:p>
    <w:p w14:paraId="7C4ED885" w14:textId="44694023" w:rsidR="00B54AB7" w:rsidRDefault="00B54AB7" w:rsidP="00B54AB7">
      <w:pPr>
        <w:pStyle w:val="Nivel1SM"/>
      </w:pPr>
      <w:r>
        <w:t xml:space="preserve">Por su parte, en el lado de </w:t>
      </w:r>
      <w:r w:rsidRPr="00B54AB7">
        <w:rPr>
          <w:b/>
          <w:bCs/>
        </w:rPr>
        <w:t>variaciones de activos</w:t>
      </w:r>
      <w:r>
        <w:t>, se registra la variación de activos financieros.</w:t>
      </w: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11"/>
        <w:gridCol w:w="4827"/>
      </w:tblGrid>
      <w:tr w:rsidR="00EA4C26" w:rsidRPr="00C572A3" w14:paraId="5F79AAC3" w14:textId="77777777" w:rsidTr="00B54AB7">
        <w:trPr>
          <w:jc w:val="center"/>
        </w:trPr>
        <w:tc>
          <w:tcPr>
            <w:tcW w:w="9638" w:type="dxa"/>
            <w:gridSpan w:val="2"/>
            <w:tcBorders>
              <w:bottom w:val="single" w:sz="2" w:space="0" w:color="FFFFFF" w:themeColor="background1"/>
            </w:tcBorders>
          </w:tcPr>
          <w:p w14:paraId="6ADA9B03" w14:textId="05083215" w:rsidR="00EA4C26" w:rsidRPr="00C572A3" w:rsidRDefault="00EA4C26" w:rsidP="000C239E">
            <w:pPr>
              <w:keepNext/>
              <w:keepLines/>
              <w:spacing w:after="0" w:line="259" w:lineRule="auto"/>
              <w:ind w:left="142"/>
              <w:contextualSpacing/>
              <w:jc w:val="center"/>
              <w:rPr>
                <w:i/>
                <w:iCs/>
              </w:rPr>
            </w:pPr>
            <w:r>
              <w:rPr>
                <w:i/>
                <w:iCs/>
              </w:rPr>
              <w:t>C.III.2.</w:t>
            </w:r>
            <w:r w:rsidR="00FA6AEF">
              <w:rPr>
                <w:i/>
                <w:iCs/>
              </w:rPr>
              <w:t> </w:t>
            </w:r>
            <w:r>
              <w:rPr>
                <w:i/>
                <w:iCs/>
              </w:rPr>
              <w:t>Cuenta financiera</w:t>
            </w:r>
          </w:p>
        </w:tc>
      </w:tr>
      <w:tr w:rsidR="00EA4C26" w:rsidRPr="00C572A3" w14:paraId="5DD5A949" w14:textId="77777777" w:rsidTr="00B54AB7">
        <w:trPr>
          <w:jc w:val="center"/>
        </w:trPr>
        <w:tc>
          <w:tcPr>
            <w:tcW w:w="4811" w:type="dxa"/>
            <w:tcBorders>
              <w:top w:val="single" w:sz="2" w:space="0" w:color="FFFFFF" w:themeColor="background1"/>
              <w:right w:val="single" w:sz="2" w:space="0" w:color="FFFFFF" w:themeColor="background1"/>
            </w:tcBorders>
          </w:tcPr>
          <w:p w14:paraId="5998F19A" w14:textId="77777777" w:rsidR="00EA4C26" w:rsidRPr="00C572A3" w:rsidRDefault="00EA4C26" w:rsidP="000C239E">
            <w:pPr>
              <w:keepNext/>
              <w:keepLines/>
              <w:spacing w:after="0" w:line="259" w:lineRule="auto"/>
              <w:ind w:left="142"/>
              <w:contextualSpacing/>
              <w:jc w:val="center"/>
              <w:rPr>
                <w:i/>
                <w:iCs/>
              </w:rPr>
            </w:pPr>
            <w:r>
              <w:rPr>
                <w:i/>
                <w:iCs/>
              </w:rPr>
              <w:t>Variaciones de activos</w:t>
            </w:r>
          </w:p>
        </w:tc>
        <w:tc>
          <w:tcPr>
            <w:tcW w:w="4827" w:type="dxa"/>
            <w:tcBorders>
              <w:top w:val="single" w:sz="2" w:space="0" w:color="FFFFFF" w:themeColor="background1"/>
              <w:left w:val="single" w:sz="2" w:space="0" w:color="FFFFFF" w:themeColor="background1"/>
            </w:tcBorders>
          </w:tcPr>
          <w:p w14:paraId="5B7976F6" w14:textId="77777777" w:rsidR="00EA4C26" w:rsidRPr="00C572A3" w:rsidRDefault="00EA4C26" w:rsidP="000C239E">
            <w:pPr>
              <w:keepNext/>
              <w:keepLines/>
              <w:spacing w:after="0" w:line="259" w:lineRule="auto"/>
              <w:ind w:left="142"/>
              <w:contextualSpacing/>
              <w:jc w:val="center"/>
              <w:rPr>
                <w:i/>
                <w:iCs/>
              </w:rPr>
            </w:pPr>
            <w:r>
              <w:rPr>
                <w:i/>
                <w:iCs/>
              </w:rPr>
              <w:t>Variaciones de pasivos y del patrimonio neto</w:t>
            </w:r>
          </w:p>
        </w:tc>
      </w:tr>
      <w:tr w:rsidR="00EA4C26" w14:paraId="763C34D9" w14:textId="77777777" w:rsidTr="00B54AB7">
        <w:trPr>
          <w:jc w:val="center"/>
        </w:trPr>
        <w:tc>
          <w:tcPr>
            <w:tcW w:w="4811" w:type="dxa"/>
          </w:tcPr>
          <w:p w14:paraId="792EB3AF" w14:textId="072A6BDC" w:rsidR="00EA4C26" w:rsidRPr="00E97E64" w:rsidRDefault="00EA4C26" w:rsidP="00F451A1">
            <w:pPr>
              <w:pStyle w:val="Nivel2SM"/>
              <w:ind w:left="113"/>
              <w:rPr>
                <w:i/>
                <w:iCs/>
              </w:rPr>
            </w:pPr>
            <w:r>
              <w:t xml:space="preserve">Variación de </w:t>
            </w:r>
            <w:r w:rsidRPr="00F451A1">
              <w:t>activos</w:t>
            </w:r>
            <w:r>
              <w:t xml:space="preserve"> financieros</w:t>
            </w:r>
          </w:p>
        </w:tc>
        <w:tc>
          <w:tcPr>
            <w:tcW w:w="4827" w:type="dxa"/>
          </w:tcPr>
          <w:p w14:paraId="1707D08F" w14:textId="1594E96E" w:rsidR="00EA4C26" w:rsidRPr="00A167F5" w:rsidRDefault="00EA4C26" w:rsidP="00F451A1">
            <w:pPr>
              <w:pStyle w:val="Nivel2SM"/>
              <w:keepNext/>
              <w:keepLines/>
              <w:ind w:left="113"/>
              <w:contextualSpacing w:val="0"/>
              <w:jc w:val="left"/>
              <w:rPr>
                <w:spacing w:val="-1"/>
              </w:rPr>
            </w:pPr>
            <w:r w:rsidRPr="00A167F5">
              <w:rPr>
                <w:b/>
                <w:bCs/>
                <w:spacing w:val="-1"/>
              </w:rPr>
              <w:t xml:space="preserve">Capacidad </w:t>
            </w:r>
            <w:r w:rsidRPr="00A167F5">
              <w:rPr>
                <w:color w:val="595959" w:themeColor="text1" w:themeTint="A6"/>
                <w:spacing w:val="-1"/>
                <w:sz w:val="14"/>
                <w:szCs w:val="16"/>
              </w:rPr>
              <w:t>(+)</w:t>
            </w:r>
            <w:r w:rsidRPr="00A167F5">
              <w:rPr>
                <w:b/>
                <w:bCs/>
                <w:spacing w:val="-1"/>
              </w:rPr>
              <w:t xml:space="preserve"> o Necesidad </w:t>
            </w:r>
            <w:r w:rsidRPr="00A167F5">
              <w:rPr>
                <w:color w:val="595959" w:themeColor="text1" w:themeTint="A6"/>
                <w:spacing w:val="-1"/>
                <w:sz w:val="14"/>
                <w:szCs w:val="16"/>
              </w:rPr>
              <w:t>(</w:t>
            </w:r>
            <w:r w:rsidR="00A167F5" w:rsidRPr="00A167F5">
              <w:rPr>
                <w:rFonts w:ascii="Times New Roman" w:hAnsi="Times New Roman" w:cs="Times New Roman"/>
                <w:color w:val="595959" w:themeColor="text1" w:themeTint="A6"/>
                <w:spacing w:val="-1"/>
                <w:sz w:val="14"/>
                <w:szCs w:val="16"/>
              </w:rPr>
              <w:t>−</w:t>
            </w:r>
            <w:r w:rsidRPr="00A167F5">
              <w:rPr>
                <w:color w:val="595959" w:themeColor="text1" w:themeTint="A6"/>
                <w:spacing w:val="-1"/>
                <w:sz w:val="14"/>
                <w:szCs w:val="16"/>
              </w:rPr>
              <w:t>)</w:t>
            </w:r>
            <w:r w:rsidRPr="00A167F5">
              <w:rPr>
                <w:b/>
                <w:bCs/>
                <w:spacing w:val="-1"/>
              </w:rPr>
              <w:t xml:space="preserve"> de Financiación</w:t>
            </w:r>
          </w:p>
          <w:p w14:paraId="0FB0370A" w14:textId="26DD5218" w:rsidR="00EA4C26" w:rsidRDefault="00EA4C26" w:rsidP="00F451A1">
            <w:pPr>
              <w:pStyle w:val="Nivel2SM"/>
              <w:keepNext/>
              <w:keepLines/>
              <w:ind w:left="113"/>
              <w:contextualSpacing w:val="0"/>
              <w:jc w:val="left"/>
            </w:pPr>
            <w:r>
              <w:t>Variación de pasivos financieros</w:t>
            </w:r>
          </w:p>
        </w:tc>
      </w:tr>
    </w:tbl>
    <w:p w14:paraId="662BF315" w14:textId="77777777" w:rsidR="00B54AB7" w:rsidRDefault="00B54AB7" w:rsidP="00B54AB7">
      <w:pPr>
        <w:pStyle w:val="Ttulo6"/>
      </w:pPr>
      <w:bookmarkStart w:id="93" w:name="_Toc174116228"/>
      <w:r>
        <w:t>Saldo contable y macromagnitudes relevantes</w:t>
      </w:r>
      <w:bookmarkEnd w:id="93"/>
    </w:p>
    <w:p w14:paraId="3D7DA6DD" w14:textId="77777777" w:rsidR="00B54AB7" w:rsidRDefault="00B54AB7" w:rsidP="00FA6AEF">
      <w:pPr>
        <w:pStyle w:val="Nivel1SM"/>
        <w:spacing w:before="0"/>
      </w:pPr>
      <w:r>
        <w:t xml:space="preserve">Dado que estas deberían corresponderse con los saldos contables financieros excedentarios o deficitarios, no existe saldo contable en esta cuenta (es una </w:t>
      </w:r>
      <w:r w:rsidRPr="00EB1768">
        <w:rPr>
          <w:b/>
          <w:bCs/>
        </w:rPr>
        <w:t>identidad contable</w:t>
      </w:r>
      <w:bookmarkStart w:id="94" w:name="_Ref134467943"/>
      <w:r w:rsidRPr="009A51D9">
        <w:rPr>
          <w:rStyle w:val="Refdenotaalpie"/>
        </w:rPr>
        <w:footnoteReference w:id="31"/>
      </w:r>
      <w:bookmarkEnd w:id="94"/>
      <w:r>
        <w:t>).</w:t>
      </w:r>
    </w:p>
    <w:p w14:paraId="4BE2704E" w14:textId="1FE99E9C" w:rsidR="00C30A61" w:rsidRDefault="00C30A61" w:rsidP="00B54AB7">
      <w:pPr>
        <w:pStyle w:val="Nivel1SM"/>
      </w:pPr>
      <w:r w:rsidRPr="00C30A61">
        <w:t xml:space="preserve">La </w:t>
      </w:r>
      <w:r w:rsidRPr="00B54AB7">
        <w:t xml:space="preserve">diferencia entre la variación de los activos financieros y la variación de pasivos </w:t>
      </w:r>
      <w:r w:rsidR="00642875" w:rsidRPr="00B54AB7">
        <w:t>financieros</w:t>
      </w:r>
      <w:r w:rsidRPr="00C30A61">
        <w:t xml:space="preserve"> es equivalente a la </w:t>
      </w:r>
      <w:r w:rsidRPr="00C30A61">
        <w:rPr>
          <w:i/>
          <w:iCs/>
        </w:rPr>
        <w:t>capacidad</w:t>
      </w:r>
      <w:r>
        <w:rPr>
          <w:i/>
          <w:iCs/>
        </w:rPr>
        <w:t xml:space="preserve"> o necesidad</w:t>
      </w:r>
      <w:r w:rsidRPr="00C30A61">
        <w:rPr>
          <w:i/>
          <w:iCs/>
        </w:rPr>
        <w:t xml:space="preserve"> de financiación</w:t>
      </w:r>
      <w:r w:rsidRPr="00C30A61">
        <w:t xml:space="preserve"> de esta economía. Es</w:t>
      </w:r>
      <w:r w:rsidR="00642875">
        <w:t>ta cuenta es</w:t>
      </w:r>
      <w:r w:rsidRPr="00C30A61">
        <w:t xml:space="preserve"> la contrapartida financiera (en términos de instrumentos financieros) de las cuentas de la economía real.</w:t>
      </w:r>
    </w:p>
    <w:p w14:paraId="1D18D5FA" w14:textId="004E61C9" w:rsidR="00B14E40" w:rsidRDefault="00B14E40" w:rsidP="00B54AB7">
      <w:pPr>
        <w:pStyle w:val="Nivel1SM"/>
        <w:keepNext/>
        <w:spacing w:after="0"/>
      </w:pPr>
      <w:r>
        <w:t>Esta cuenta nos permite llegar a una de las identidades clave de la contabilidad nacional</w:t>
      </w:r>
      <w:r w:rsidR="00F135F2">
        <w:t xml:space="preserve"> </w:t>
      </w:r>
      <w:r w:rsidR="00F135F2" w:rsidRPr="00F135F2">
        <w:rPr>
          <w:color w:val="767171" w:themeColor="background2" w:themeShade="80"/>
          <w:sz w:val="19"/>
          <w:szCs w:val="19"/>
        </w:rPr>
        <w:t>[</w:t>
      </w:r>
      <w:r w:rsidR="00F135F2">
        <w:rPr>
          <w:color w:val="767171" w:themeColor="background2" w:themeShade="80"/>
          <w:sz w:val="19"/>
          <w:szCs w:val="19"/>
        </w:rPr>
        <w:t>ver nota al pie </w:t>
      </w:r>
      <w:r w:rsidR="00F135F2">
        <w:rPr>
          <w:color w:val="767171" w:themeColor="background2" w:themeShade="80"/>
          <w:sz w:val="19"/>
          <w:szCs w:val="19"/>
        </w:rPr>
        <w:fldChar w:fldCharType="begin"/>
      </w:r>
      <w:r w:rsidR="00F135F2">
        <w:rPr>
          <w:color w:val="767171" w:themeColor="background2" w:themeShade="80"/>
          <w:sz w:val="19"/>
          <w:szCs w:val="19"/>
        </w:rPr>
        <w:instrText xml:space="preserve"> NOTEREF _Ref134467943 \h </w:instrText>
      </w:r>
      <w:r w:rsidR="00F135F2">
        <w:rPr>
          <w:color w:val="767171" w:themeColor="background2" w:themeShade="80"/>
          <w:sz w:val="19"/>
          <w:szCs w:val="19"/>
        </w:rPr>
      </w:r>
      <w:r w:rsidR="00F135F2">
        <w:rPr>
          <w:color w:val="767171" w:themeColor="background2" w:themeShade="80"/>
          <w:sz w:val="19"/>
          <w:szCs w:val="19"/>
        </w:rPr>
        <w:fldChar w:fldCharType="separate"/>
      </w:r>
      <w:r w:rsidR="001A65F8">
        <w:rPr>
          <w:color w:val="767171" w:themeColor="background2" w:themeShade="80"/>
          <w:sz w:val="19"/>
          <w:szCs w:val="19"/>
        </w:rPr>
        <w:t>30</w:t>
      </w:r>
      <w:r w:rsidR="00F135F2">
        <w:rPr>
          <w:color w:val="767171" w:themeColor="background2" w:themeShade="80"/>
          <w:sz w:val="19"/>
          <w:szCs w:val="19"/>
        </w:rPr>
        <w:fldChar w:fldCharType="end"/>
      </w:r>
      <w:r w:rsidR="00F135F2" w:rsidRPr="00F135F2">
        <w:rPr>
          <w:color w:val="767171" w:themeColor="background2" w:themeShade="80"/>
          <w:sz w:val="19"/>
          <w:szCs w:val="19"/>
        </w:rPr>
        <w:t>]</w:t>
      </w:r>
      <w:r w:rsidR="00030ECD">
        <w:rPr>
          <w:rStyle w:val="Refdenotaalpie"/>
        </w:rPr>
        <w:footnoteReference w:id="32"/>
      </w:r>
      <w:r>
        <w:t>:</w:t>
      </w:r>
    </w:p>
    <w:p w14:paraId="6650C4D9" w14:textId="10C046AC" w:rsidR="00B14E40" w:rsidRPr="00030ECD" w:rsidRDefault="00000000" w:rsidP="00FB014B">
      <w:pPr>
        <w:spacing w:after="100"/>
        <w:rPr>
          <w:rFonts w:eastAsiaTheme="minorEastAsia"/>
          <w:i/>
          <w:iCs/>
        </w:rPr>
      </w:pPr>
      <m:oMathPara>
        <m:oMath>
          <m:limLow>
            <m:limLowPr>
              <m:ctrlPr>
                <w:rPr>
                  <w:rFonts w:ascii="Cambria Math" w:hAnsi="Cambria Math"/>
                  <w:i/>
                  <w:iCs/>
                </w:rPr>
              </m:ctrlPr>
            </m:limLowPr>
            <m:e>
              <m:groupChr>
                <m:groupChrPr>
                  <m:ctrlPr>
                    <w:rPr>
                      <w:rFonts w:ascii="Cambria Math" w:hAnsi="Cambria Math"/>
                      <w:i/>
                      <w:iCs/>
                    </w:rPr>
                  </m:ctrlPr>
                </m:groupChrPr>
                <m:e>
                  <m:r>
                    <m:rPr>
                      <m:nor/>
                    </m:rPr>
                    <w:rPr>
                      <w:i/>
                      <w:iCs/>
                    </w:rPr>
                    <m:t>Saldo de la cuenta capital</m:t>
                  </m:r>
                </m:e>
              </m:groupChr>
            </m:e>
            <m:lim>
              <m:r>
                <m:rPr>
                  <m:nor/>
                </m:rPr>
                <w:rPr>
                  <w:i/>
                  <w:iCs/>
                </w:rPr>
                <m:t xml:space="preserve">Capacidad </m:t>
              </m:r>
              <m:d>
                <m:dPr>
                  <m:ctrlPr>
                    <w:rPr>
                      <w:rFonts w:ascii="Cambria Math" w:hAnsi="Cambria Math"/>
                      <w:i/>
                      <w:iCs/>
                    </w:rPr>
                  </m:ctrlPr>
                </m:dPr>
                <m:e>
                  <m:r>
                    <w:rPr>
                      <w:rFonts w:ascii="Cambria Math" w:hAnsi="Cambria Math"/>
                    </w:rPr>
                    <m:t>+</m:t>
                  </m:r>
                </m:e>
              </m:d>
              <m:r>
                <m:rPr>
                  <m:nor/>
                </m:rPr>
                <w:rPr>
                  <w:rFonts w:ascii="Cambria Math"/>
                  <w:i/>
                  <w:iCs/>
                </w:rPr>
                <m:t xml:space="preserve"> </m:t>
              </m:r>
              <m:r>
                <m:rPr>
                  <m:nor/>
                </m:rPr>
                <w:rPr>
                  <w:i/>
                  <w:iCs/>
                </w:rPr>
                <m:t>o Necesidad</m:t>
              </m:r>
              <m:r>
                <m:rPr>
                  <m:nor/>
                </m:rPr>
                <w:rPr>
                  <w:rFonts w:ascii="Cambria Math"/>
                  <w:i/>
                  <w:iCs/>
                </w:rPr>
                <m:t xml:space="preserve"> </m:t>
              </m:r>
              <m:d>
                <m:dPr>
                  <m:ctrlPr>
                    <w:rPr>
                      <w:rFonts w:ascii="Cambria Math" w:hAnsi="Cambria Math"/>
                      <w:i/>
                      <w:iCs/>
                    </w:rPr>
                  </m:ctrlPr>
                </m:dPr>
                <m:e>
                  <m:r>
                    <w:rPr>
                      <w:rFonts w:ascii="Cambria Math" w:hAnsi="Cambria Math"/>
                    </w:rPr>
                    <m:t>-</m:t>
                  </m:r>
                </m:e>
              </m:d>
              <m:r>
                <m:rPr>
                  <m:nor/>
                </m:rPr>
                <w:rPr>
                  <w:i/>
                  <w:iCs/>
                </w:rPr>
                <m:t xml:space="preserve"> de Financiación</m:t>
              </m:r>
            </m:lim>
          </m:limLow>
          <m:r>
            <w:rPr>
              <w:rFonts w:ascii="Cambria Math" w:eastAsiaTheme="minorEastAsia"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Saldo de la cuenta financiera</m:t>
                  </m:r>
                </m:e>
              </m:groupChr>
            </m:e>
            <m:lim>
              <m:r>
                <m:rPr>
                  <m:nor/>
                </m:rPr>
                <w:rPr>
                  <w:i/>
                  <w:iCs/>
                </w:rPr>
                <m:t xml:space="preserve">Capacidad </m:t>
              </m:r>
              <m:d>
                <m:dPr>
                  <m:ctrlPr>
                    <w:rPr>
                      <w:rFonts w:ascii="Cambria Math" w:hAnsi="Cambria Math"/>
                      <w:i/>
                      <w:iCs/>
                    </w:rPr>
                  </m:ctrlPr>
                </m:dPr>
                <m:e>
                  <m:r>
                    <w:rPr>
                      <w:rFonts w:ascii="Cambria Math" w:hAnsi="Cambria Math"/>
                    </w:rPr>
                    <m:t>+</m:t>
                  </m:r>
                </m:e>
              </m:d>
              <m:r>
                <m:rPr>
                  <m:nor/>
                </m:rPr>
                <w:rPr>
                  <w:rFonts w:ascii="Cambria Math"/>
                  <w:i/>
                  <w:iCs/>
                </w:rPr>
                <m:t xml:space="preserve"> </m:t>
              </m:r>
              <m:r>
                <m:rPr>
                  <m:nor/>
                </m:rPr>
                <w:rPr>
                  <w:i/>
                  <w:iCs/>
                </w:rPr>
                <m:t>o Necesidad</m:t>
              </m:r>
              <m:r>
                <m:rPr>
                  <m:nor/>
                </m:rPr>
                <w:rPr>
                  <w:rFonts w:ascii="Cambria Math"/>
                  <w:i/>
                  <w:iCs/>
                </w:rPr>
                <m:t xml:space="preserve"> </m:t>
              </m:r>
              <m:d>
                <m:dPr>
                  <m:ctrlPr>
                    <w:rPr>
                      <w:rFonts w:ascii="Cambria Math" w:hAnsi="Cambria Math"/>
                      <w:i/>
                      <w:iCs/>
                    </w:rPr>
                  </m:ctrlPr>
                </m:dPr>
                <m:e>
                  <m:r>
                    <w:rPr>
                      <w:rFonts w:ascii="Cambria Math" w:hAnsi="Cambria Math"/>
                    </w:rPr>
                    <m:t>-</m:t>
                  </m:r>
                </m:e>
              </m:d>
              <m:r>
                <m:rPr>
                  <m:nor/>
                </m:rPr>
                <w:rPr>
                  <w:i/>
                  <w:iCs/>
                </w:rPr>
                <m:t xml:space="preserve"> de Financiación</m:t>
              </m:r>
            </m:lim>
          </m:limLow>
        </m:oMath>
      </m:oMathPara>
    </w:p>
    <w:p w14:paraId="2A12FF05" w14:textId="77472577" w:rsidR="00776753" w:rsidRPr="00776753" w:rsidRDefault="007D2FC3" w:rsidP="007D2FC3">
      <w:pPr>
        <w:jc w:val="center"/>
      </w:pPr>
      <w:r>
        <w:rPr>
          <w:noProof/>
        </w:rPr>
        <w:drawing>
          <wp:inline distT="0" distB="0" distL="0" distR="0" wp14:anchorId="7F7543E2" wp14:editId="112620FF">
            <wp:extent cx="4089937" cy="4114800"/>
            <wp:effectExtent l="0" t="0" r="6350" b="0"/>
            <wp:docPr id="19" name="Picture 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hatsApp Image 2020-12-09 at 10.46.27.jpeg"/>
                    <pic:cNvPicPr/>
                  </pic:nvPicPr>
                  <pic:blipFill rotWithShape="1">
                    <a:blip r:embed="rId28" cstate="print">
                      <a:extLst>
                        <a:ext uri="{BEBA8EAE-BF5A-486C-A8C5-ECC9F3942E4B}">
                          <a14:imgProps xmlns:a14="http://schemas.microsoft.com/office/drawing/2010/main">
                            <a14:imgLayer r:embed="rId29">
                              <a14:imgEffect>
                                <a14:brightnessContrast bright="40000" contrast="-40000"/>
                              </a14:imgEffect>
                            </a14:imgLayer>
                          </a14:imgProps>
                        </a:ext>
                        <a:ext uri="{28A0092B-C50C-407E-A947-70E740481C1C}">
                          <a14:useLocalDpi xmlns:a14="http://schemas.microsoft.com/office/drawing/2010/main" val="0"/>
                        </a:ext>
                      </a:extLst>
                    </a:blip>
                    <a:srcRect t="-247" r="2542" b="2328"/>
                    <a:stretch/>
                  </pic:blipFill>
                  <pic:spPr bwMode="auto">
                    <a:xfrm>
                      <a:off x="0" y="0"/>
                      <a:ext cx="4092621" cy="4117501"/>
                    </a:xfrm>
                    <a:prstGeom prst="rect">
                      <a:avLst/>
                    </a:prstGeom>
                    <a:ln>
                      <a:noFill/>
                    </a:ln>
                    <a:effectLst>
                      <a:softEdge rad="76200"/>
                    </a:effectLst>
                    <a:extLst>
                      <a:ext uri="{53640926-AAD7-44D8-BBD7-CCE9431645EC}">
                        <a14:shadowObscured xmlns:a14="http://schemas.microsoft.com/office/drawing/2010/main"/>
                      </a:ext>
                    </a:extLst>
                  </pic:spPr>
                </pic:pic>
              </a:graphicData>
            </a:graphic>
          </wp:inline>
        </w:drawing>
      </w:r>
    </w:p>
    <w:p w14:paraId="4F8CF80B" w14:textId="4B7CBEF1" w:rsidR="00592177" w:rsidRDefault="007C252C" w:rsidP="00C82012">
      <w:pPr>
        <w:pStyle w:val="Ttulo3"/>
      </w:pPr>
      <w:bookmarkStart w:id="95" w:name="_Toc83554013"/>
      <w:bookmarkStart w:id="96" w:name="_Toc174116229"/>
      <w:r>
        <w:lastRenderedPageBreak/>
        <w:t>C</w:t>
      </w:r>
      <w:r w:rsidR="00C82012">
        <w:t>uenta de otras variaciones de los activos (</w:t>
      </w:r>
      <w:r w:rsidR="007C2BD1">
        <w:t>C.</w:t>
      </w:r>
      <w:r w:rsidR="00C82012">
        <w:t>III.3)</w:t>
      </w:r>
      <w:bookmarkEnd w:id="95"/>
      <w:bookmarkEnd w:id="96"/>
    </w:p>
    <w:p w14:paraId="5EC122C4" w14:textId="4D2123CB" w:rsidR="00C65362" w:rsidRDefault="003C2D6E" w:rsidP="00FA6AEF">
      <w:pPr>
        <w:pStyle w:val="Nivel1SM"/>
        <w:spacing w:before="0"/>
      </w:pPr>
      <w:r>
        <w:t xml:space="preserve">La </w:t>
      </w:r>
      <w:r w:rsidRPr="00E46D83">
        <w:rPr>
          <w:i/>
          <w:iCs/>
        </w:rPr>
        <w:t>cuenta de otras variaciones de los activos</w:t>
      </w:r>
      <w:r>
        <w:t xml:space="preserve"> registra variaciones de los activos y los pasivos </w:t>
      </w:r>
      <w:r w:rsidR="00C65362">
        <w:t>como consecuencia de flujos que no constituyen transacciones (intercambios o transferencias), ni variaciones de existencias ni depreciación del capital ordinario.</w:t>
      </w:r>
    </w:p>
    <w:p w14:paraId="243668D4" w14:textId="3298E3F9" w:rsidR="00E46D83" w:rsidRDefault="00C65362" w:rsidP="00E46D83">
      <w:pPr>
        <w:pStyle w:val="Nivel1SM"/>
        <w:keepNext/>
        <w:spacing w:after="0"/>
      </w:pPr>
      <w:r>
        <w:t>Se distinguen</w:t>
      </w:r>
      <w:r w:rsidR="00E46D83">
        <w:t xml:space="preserve"> </w:t>
      </w:r>
      <w:r w:rsidR="00FA6AEF">
        <w:t>2 </w:t>
      </w:r>
      <w:r w:rsidR="00E46D83">
        <w:t>cuentas:</w:t>
      </w:r>
    </w:p>
    <w:p w14:paraId="61510287" w14:textId="7E36BD4C" w:rsidR="00E46D83" w:rsidRDefault="00E46D83">
      <w:pPr>
        <w:pStyle w:val="Nivel1SM"/>
        <w:keepNext/>
        <w:numPr>
          <w:ilvl w:val="0"/>
          <w:numId w:val="16"/>
        </w:numPr>
        <w:spacing w:before="0" w:after="0"/>
        <w:ind w:left="567" w:hanging="198"/>
      </w:pPr>
      <w:r>
        <w:fldChar w:fldCharType="begin"/>
      </w:r>
      <w:r>
        <w:instrText xml:space="preserve"> REF _Ref118724060 \h </w:instrText>
      </w:r>
      <w:r>
        <w:fldChar w:fldCharType="separate"/>
      </w:r>
      <w:r w:rsidR="001A65F8">
        <w:t>Cuenta de otras variaciones del volumen de los activos (C.III.3.1)</w:t>
      </w:r>
      <w:r>
        <w:fldChar w:fldCharType="end"/>
      </w:r>
    </w:p>
    <w:p w14:paraId="0BB5F693" w14:textId="53B5C1E7" w:rsidR="00C65362" w:rsidRDefault="00E46D83">
      <w:pPr>
        <w:pStyle w:val="Nivel1SM"/>
        <w:keepNext/>
        <w:numPr>
          <w:ilvl w:val="0"/>
          <w:numId w:val="16"/>
        </w:numPr>
        <w:spacing w:before="0" w:after="0"/>
        <w:ind w:left="567" w:hanging="198"/>
      </w:pPr>
      <w:r>
        <w:fldChar w:fldCharType="begin"/>
      </w:r>
      <w:r>
        <w:instrText xml:space="preserve"> REF _Ref118724063 \h </w:instrText>
      </w:r>
      <w:r>
        <w:fldChar w:fldCharType="separate"/>
      </w:r>
      <w:r w:rsidR="001A65F8" w:rsidRPr="00450592">
        <w:t>Cuentas de revalorización</w:t>
      </w:r>
      <w:r w:rsidR="001A65F8">
        <w:t xml:space="preserve"> (C.III.3.2)</w:t>
      </w:r>
      <w:r>
        <w:fldChar w:fldCharType="end"/>
      </w:r>
    </w:p>
    <w:p w14:paraId="03CCC73A" w14:textId="4A9FE1F4" w:rsidR="00E46D83" w:rsidRDefault="00E46D83">
      <w:pPr>
        <w:pStyle w:val="Nivel1SM"/>
        <w:keepNext/>
        <w:numPr>
          <w:ilvl w:val="1"/>
          <w:numId w:val="16"/>
        </w:numPr>
        <w:spacing w:before="0" w:after="0"/>
        <w:ind w:left="1134" w:hanging="369"/>
      </w:pPr>
      <w:r>
        <w:fldChar w:fldCharType="begin"/>
      </w:r>
      <w:r>
        <w:instrText xml:space="preserve"> REF _Ref118724288 \h </w:instrText>
      </w:r>
      <w:r>
        <w:fldChar w:fldCharType="separate"/>
      </w:r>
      <w:r w:rsidR="001A65F8">
        <w:t>Cuenta de ganancias y pérdidas de posesión neutrales (C.III.3.2.1)</w:t>
      </w:r>
      <w:r>
        <w:fldChar w:fldCharType="end"/>
      </w:r>
    </w:p>
    <w:p w14:paraId="78738C45" w14:textId="5C3938DA" w:rsidR="00E46D83" w:rsidRPr="00C65362" w:rsidRDefault="00E46D83">
      <w:pPr>
        <w:pStyle w:val="Nivel1SM"/>
        <w:numPr>
          <w:ilvl w:val="1"/>
          <w:numId w:val="16"/>
        </w:numPr>
        <w:spacing w:before="0"/>
        <w:ind w:left="1134" w:hanging="369"/>
      </w:pPr>
      <w:r>
        <w:fldChar w:fldCharType="begin"/>
      </w:r>
      <w:r>
        <w:instrText xml:space="preserve"> REF _Ref118724291 \h </w:instrText>
      </w:r>
      <w:r>
        <w:fldChar w:fldCharType="separate"/>
      </w:r>
      <w:r w:rsidR="001A65F8">
        <w:t>Cuenta de ganancias y pérdidas de posesión reales (C.III.3.2.2)</w:t>
      </w:r>
      <w:r>
        <w:fldChar w:fldCharType="end"/>
      </w:r>
    </w:p>
    <w:p w14:paraId="44B8CDCD" w14:textId="37AEA9A2" w:rsidR="00450592" w:rsidRDefault="00450592">
      <w:pPr>
        <w:pStyle w:val="Ttulo6"/>
        <w:numPr>
          <w:ilvl w:val="0"/>
          <w:numId w:val="21"/>
        </w:numPr>
        <w:ind w:left="567" w:hanging="227"/>
        <w:rPr>
          <w:u w:val="none"/>
        </w:rPr>
      </w:pPr>
      <w:bookmarkStart w:id="97" w:name="_Ref118724060"/>
      <w:bookmarkStart w:id="98" w:name="_Toc174116230"/>
      <w:r>
        <w:t>Cuenta de otras variaciones del volumen de los activos</w:t>
      </w:r>
      <w:r>
        <w:rPr>
          <w:u w:val="none"/>
        </w:rPr>
        <w:t xml:space="preserve"> (C.III.3.1)</w:t>
      </w:r>
      <w:bookmarkEnd w:id="97"/>
      <w:bookmarkEnd w:id="98"/>
    </w:p>
    <w:p w14:paraId="42AE87A4" w14:textId="72BD81BA" w:rsidR="000F23CF" w:rsidRPr="000F23CF" w:rsidRDefault="000F23CF" w:rsidP="00FA6AEF">
      <w:pPr>
        <w:pStyle w:val="Ttulo7"/>
        <w:spacing w:before="0"/>
      </w:pPr>
      <w:r>
        <w:t>Definición</w:t>
      </w:r>
    </w:p>
    <w:p w14:paraId="043A06A6" w14:textId="719D395D" w:rsidR="00C65362" w:rsidRDefault="003C2D6E" w:rsidP="00FA6AEF">
      <w:pPr>
        <w:pStyle w:val="Nivel1SM"/>
        <w:spacing w:before="0"/>
      </w:pPr>
      <w:bookmarkStart w:id="99" w:name="_Hlk146456957"/>
      <w:r>
        <w:t xml:space="preserve">La </w:t>
      </w:r>
      <w:r w:rsidRPr="000F23CF">
        <w:rPr>
          <w:i/>
          <w:iCs/>
        </w:rPr>
        <w:t>cuenta de otras variaciones del volumen de los activos</w:t>
      </w:r>
      <w:r>
        <w:t xml:space="preserve"> registra variaciones en el volumen de los activos y pasivo</w:t>
      </w:r>
      <w:r w:rsidR="000F23CF">
        <w:t>s</w:t>
      </w:r>
      <w:r>
        <w:t xml:space="preserve"> como consecuencia de acontecimientos excepcionales (p.ej. guerras y terremotos).</w:t>
      </w:r>
    </w:p>
    <w:bookmarkEnd w:id="99"/>
    <w:p w14:paraId="324DE6D5" w14:textId="21273D04" w:rsidR="000F23CF" w:rsidRDefault="000F23CF" w:rsidP="000F23CF">
      <w:pPr>
        <w:pStyle w:val="Ttulo7"/>
      </w:pPr>
      <w:r>
        <w:t>Variación</w:t>
      </w:r>
    </w:p>
    <w:p w14:paraId="05A45395" w14:textId="79DA5229" w:rsidR="000F23CF" w:rsidRDefault="000F23CF" w:rsidP="00FA6AEF">
      <w:pPr>
        <w:pStyle w:val="Nivel1SM"/>
        <w:spacing w:before="0"/>
      </w:pPr>
      <w:r>
        <w:t>Las partidas correspondientes a las variaciones de los activos se registran en el lado izquierdo y las partidas para las variaciones de los pasivos y el patrimonio neto se registran en el lado derecho.</w:t>
      </w:r>
    </w:p>
    <w:p w14:paraId="77CF2031" w14:textId="63A099EB" w:rsidR="000F23CF" w:rsidRDefault="000F23CF" w:rsidP="000F23CF">
      <w:pPr>
        <w:pStyle w:val="Ttulo7"/>
      </w:pPr>
      <w:r>
        <w:t>Saldo contable y macromagnitudes relevantes</w:t>
      </w:r>
    </w:p>
    <w:p w14:paraId="18082D96" w14:textId="478ED95E" w:rsidR="000F23CF" w:rsidRPr="00C65362" w:rsidRDefault="000F23CF" w:rsidP="00FA6AEF">
      <w:pPr>
        <w:pStyle w:val="Nivel1SM"/>
        <w:spacing w:before="0"/>
      </w:pPr>
      <w:r>
        <w:t xml:space="preserve">Como </w:t>
      </w:r>
      <w:r>
        <w:rPr>
          <w:i/>
          <w:iCs/>
        </w:rPr>
        <w:t>saldo contable</w:t>
      </w:r>
      <w:r>
        <w:t xml:space="preserve"> se obtienen las </w:t>
      </w:r>
      <w:r>
        <w:rPr>
          <w:b/>
          <w:bCs/>
        </w:rPr>
        <w:t>variaciones del valor neto debidas a otras variaciones del volumen de activos</w:t>
      </w:r>
      <w:r w:rsidRPr="000F23CF">
        <w:t>.</w:t>
      </w:r>
    </w:p>
    <w:p w14:paraId="5A18CC91" w14:textId="1B8C04B6" w:rsidR="00450592" w:rsidRDefault="00450592">
      <w:pPr>
        <w:pStyle w:val="Ttulo6"/>
        <w:numPr>
          <w:ilvl w:val="0"/>
          <w:numId w:val="21"/>
        </w:numPr>
        <w:ind w:left="511" w:hanging="227"/>
        <w:rPr>
          <w:u w:val="none"/>
        </w:rPr>
      </w:pPr>
      <w:bookmarkStart w:id="100" w:name="_Ref118724063"/>
      <w:bookmarkStart w:id="101" w:name="_Toc174116231"/>
      <w:r w:rsidRPr="00450592">
        <w:t>Cuentas de revalorización</w:t>
      </w:r>
      <w:r>
        <w:rPr>
          <w:u w:val="none"/>
        </w:rPr>
        <w:t xml:space="preserve"> (C.III.3.2)</w:t>
      </w:r>
      <w:bookmarkEnd w:id="100"/>
      <w:bookmarkEnd w:id="101"/>
    </w:p>
    <w:p w14:paraId="659D7FCC" w14:textId="654AC2DC" w:rsidR="00C65362" w:rsidRPr="00C65362" w:rsidRDefault="00C65362" w:rsidP="00FA6AEF">
      <w:pPr>
        <w:pStyle w:val="Nivel1SM"/>
        <w:spacing w:before="0"/>
      </w:pPr>
      <w:r>
        <w:t xml:space="preserve">Las </w:t>
      </w:r>
      <w:r w:rsidRPr="000F23CF">
        <w:rPr>
          <w:i/>
          <w:iCs/>
        </w:rPr>
        <w:t>cuentas de revalorización</w:t>
      </w:r>
      <w:r>
        <w:t xml:space="preserve"> registran las variaciones que se producen en el valor nominal de los activos reales y financieros ya existentes al principio del período (es decir, por la tenencia de </w:t>
      </w:r>
      <w:proofErr w:type="gramStart"/>
      <w:r>
        <w:t>los mismos</w:t>
      </w:r>
      <w:proofErr w:type="gramEnd"/>
      <w:r>
        <w:t>).</w:t>
      </w:r>
    </w:p>
    <w:p w14:paraId="22410525" w14:textId="31AF3130" w:rsidR="00450592" w:rsidRDefault="00450592" w:rsidP="00450592">
      <w:pPr>
        <w:pStyle w:val="Ttulo7"/>
      </w:pPr>
      <w:bookmarkStart w:id="102" w:name="_Ref118724288"/>
      <w:r>
        <w:t>Cuenta de ganancias y pérdidas de posesión neutrales (C.III.3.2.1)</w:t>
      </w:r>
      <w:bookmarkEnd w:id="102"/>
    </w:p>
    <w:p w14:paraId="28FEBBCE" w14:textId="7DF0932A" w:rsidR="007404F7" w:rsidRPr="007404F7" w:rsidRDefault="007404F7" w:rsidP="00FA6AEF">
      <w:pPr>
        <w:pStyle w:val="Nivel1SM"/>
        <w:spacing w:before="0"/>
      </w:pPr>
      <w:r>
        <w:t>Revalorización proporcional al nivel general de precios que se obtiene aplicando un índice de la variación del nivel general de precios al valor inicial de todos los activos y pasivos. Afecta a todos los activos y pasivos de la misma forma.</w:t>
      </w:r>
    </w:p>
    <w:p w14:paraId="047478F8" w14:textId="114AA0A1" w:rsidR="00450592" w:rsidRDefault="00450592" w:rsidP="00450592">
      <w:pPr>
        <w:pStyle w:val="Ttulo7"/>
      </w:pPr>
      <w:bookmarkStart w:id="103" w:name="_Ref118724291"/>
      <w:r>
        <w:t xml:space="preserve">Cuenta de ganancias y pérdidas de posesión </w:t>
      </w:r>
      <w:r w:rsidR="007B40B2">
        <w:t>reales</w:t>
      </w:r>
      <w:r>
        <w:t xml:space="preserve"> (C.III.3.2.2)</w:t>
      </w:r>
      <w:bookmarkEnd w:id="103"/>
    </w:p>
    <w:p w14:paraId="77010964" w14:textId="427EF50E" w:rsidR="00C65362" w:rsidRPr="00C65362" w:rsidRDefault="00C65362" w:rsidP="00FA6AEF">
      <w:pPr>
        <w:pStyle w:val="Nivel1SM"/>
        <w:spacing w:before="0"/>
      </w:pPr>
      <w:r>
        <w:t>Las ganancias y pérdidas de posesión reales miden la diferencia entre las ganancias y las pérdidas de posesión nominales y las ganancias y pérdidas de posesión neutrales. Se refiere a incrementos y disminuciones del precio relativo de un activo, es decir, si el precio efectivo del activo ha aumentado más rápidamente que el nivel general de precios.</w:t>
      </w:r>
    </w:p>
    <w:p w14:paraId="58C32308" w14:textId="5D08A95A" w:rsidR="001251F3" w:rsidRPr="001251F3" w:rsidRDefault="001251F3" w:rsidP="001C04D2">
      <w:pPr>
        <w:pStyle w:val="Ttulo2"/>
      </w:pPr>
      <w:bookmarkStart w:id="104" w:name="_Toc83554014"/>
      <w:bookmarkStart w:id="105" w:name="_Toc174116232"/>
      <w:r>
        <w:t>Balances</w:t>
      </w:r>
      <w:bookmarkEnd w:id="104"/>
      <w:bookmarkEnd w:id="105"/>
    </w:p>
    <w:p w14:paraId="77B5B081" w14:textId="30E0C1B6" w:rsidR="00592177" w:rsidRDefault="007C252C" w:rsidP="00FA6AEF">
      <w:pPr>
        <w:pStyle w:val="Ttulo3"/>
        <w:spacing w:before="0"/>
      </w:pPr>
      <w:bookmarkStart w:id="106" w:name="_Toc83554015"/>
      <w:bookmarkStart w:id="107" w:name="_Toc174116233"/>
      <w:r>
        <w:t>B</w:t>
      </w:r>
      <w:r w:rsidR="00592177">
        <w:t>alances (</w:t>
      </w:r>
      <w:r w:rsidR="007C2BD1">
        <w:t>C.</w:t>
      </w:r>
      <w:r w:rsidR="00592177">
        <w:t>IV)</w:t>
      </w:r>
      <w:bookmarkEnd w:id="106"/>
      <w:bookmarkEnd w:id="107"/>
    </w:p>
    <w:p w14:paraId="15FAECA1" w14:textId="2156E873" w:rsidR="007D42C7" w:rsidRPr="007D42C7" w:rsidRDefault="007D42C7" w:rsidP="00FA6AEF">
      <w:pPr>
        <w:pStyle w:val="Nivel1SM"/>
        <w:spacing w:before="0"/>
      </w:pPr>
      <w:bookmarkStart w:id="108" w:name="_Hlk146457133"/>
      <w:r>
        <w:t>Los balances tienen por objetivo describir</w:t>
      </w:r>
      <w:r w:rsidR="005A59CE">
        <w:t xml:space="preserve"> </w:t>
      </w:r>
      <w:r>
        <w:t>los activos, los pasivos y el patrimonio neto de las unidades al principio y al final del ejercicio contable, así como las variaciones que tienen lugar durante dicho periodo.</w:t>
      </w:r>
    </w:p>
    <w:p w14:paraId="04DC6618" w14:textId="35BE3054" w:rsidR="00FA29F5" w:rsidRDefault="00A45F50">
      <w:pPr>
        <w:pStyle w:val="Ttulo6"/>
        <w:numPr>
          <w:ilvl w:val="0"/>
          <w:numId w:val="9"/>
        </w:numPr>
        <w:ind w:left="511" w:hanging="227"/>
        <w:rPr>
          <w:b w:val="0"/>
          <w:bCs/>
          <w:u w:val="none"/>
        </w:rPr>
      </w:pPr>
      <w:bookmarkStart w:id="109" w:name="_Toc174116234"/>
      <w:r>
        <w:t>Balance inicial</w:t>
      </w:r>
      <w:r w:rsidRPr="007C2BD1">
        <w:rPr>
          <w:u w:val="none"/>
        </w:rPr>
        <w:t xml:space="preserve"> (</w:t>
      </w:r>
      <w:r w:rsidR="007C2BD1" w:rsidRPr="007C2BD1">
        <w:rPr>
          <w:u w:val="none"/>
        </w:rPr>
        <w:t>C.</w:t>
      </w:r>
      <w:r w:rsidRPr="007C2BD1">
        <w:rPr>
          <w:u w:val="none"/>
        </w:rPr>
        <w:t>IV.1)</w:t>
      </w:r>
      <w:bookmarkEnd w:id="109"/>
    </w:p>
    <w:p w14:paraId="35DDC7ED" w14:textId="5CA75FF1" w:rsidR="007D42C7" w:rsidRPr="007D42C7" w:rsidRDefault="00FA29F5" w:rsidP="00FA6AEF">
      <w:pPr>
        <w:pStyle w:val="Nivel1SM"/>
        <w:spacing w:before="0"/>
        <w:rPr>
          <w:b/>
        </w:rPr>
      </w:pPr>
      <w:r w:rsidRPr="00AA05B4">
        <w:rPr>
          <w:bCs/>
        </w:rPr>
        <w:t>R</w:t>
      </w:r>
      <w:r w:rsidR="00A45F50">
        <w:t xml:space="preserve">egistra el valor de los activos y pasivos </w:t>
      </w:r>
      <w:r w:rsidR="00000DDB">
        <w:t xml:space="preserve">que poseen las unidades al principio del ejercicio contable. La diferencia entre los activos y los pasivos (el </w:t>
      </w:r>
      <w:r w:rsidR="00000DDB" w:rsidRPr="00AA05B4">
        <w:rPr>
          <w:i/>
          <w:iCs/>
        </w:rPr>
        <w:t xml:space="preserve">saldo </w:t>
      </w:r>
      <w:r w:rsidR="00AA05B4" w:rsidRPr="00AA05B4">
        <w:rPr>
          <w:i/>
          <w:iCs/>
        </w:rPr>
        <w:t>contable</w:t>
      </w:r>
      <w:r w:rsidR="00000DDB">
        <w:t xml:space="preserve">) es el </w:t>
      </w:r>
      <w:r w:rsidR="00000DDB" w:rsidRPr="00AA05B4">
        <w:rPr>
          <w:i/>
          <w:iCs/>
        </w:rPr>
        <w:t>patrimonio inicial neto</w:t>
      </w:r>
      <w:r w:rsidR="00000DDB">
        <w:t>.</w:t>
      </w:r>
    </w:p>
    <w:p w14:paraId="1BCD6255" w14:textId="310C6ABD" w:rsidR="00FA29F5" w:rsidRPr="00FA29F5" w:rsidRDefault="00A45F50">
      <w:pPr>
        <w:pStyle w:val="Ttulo6"/>
        <w:numPr>
          <w:ilvl w:val="0"/>
          <w:numId w:val="9"/>
        </w:numPr>
        <w:ind w:left="511" w:hanging="227"/>
      </w:pPr>
      <w:bookmarkStart w:id="110" w:name="_Toc174116235"/>
      <w:r>
        <w:t>Variaciones del balance</w:t>
      </w:r>
      <w:r w:rsidRPr="007C2BD1">
        <w:rPr>
          <w:u w:val="none"/>
        </w:rPr>
        <w:t xml:space="preserve"> (</w:t>
      </w:r>
      <w:r w:rsidR="007C2BD1" w:rsidRPr="007C2BD1">
        <w:rPr>
          <w:u w:val="none"/>
        </w:rPr>
        <w:t>C.</w:t>
      </w:r>
      <w:r w:rsidRPr="007C2BD1">
        <w:rPr>
          <w:u w:val="none"/>
        </w:rPr>
        <w:t>IV.2)</w:t>
      </w:r>
      <w:bookmarkEnd w:id="110"/>
    </w:p>
    <w:p w14:paraId="4D47CE08" w14:textId="4403BB72" w:rsidR="00A45F50" w:rsidRDefault="00FA29F5" w:rsidP="00FA6AEF">
      <w:pPr>
        <w:pStyle w:val="Nivel1SM"/>
        <w:spacing w:before="0"/>
      </w:pPr>
      <w:r>
        <w:t>R</w:t>
      </w:r>
      <w:r w:rsidR="00000DDB">
        <w:t xml:space="preserve">egistran las variaciones del valor de los activos y pasivos durante el ejercicio contable y agregan los montantes registrados en las diversas cuentas de acumulación, es decir, las variaciones del patrimonio neto debidas al ahorro y a las transferencias de capital, </w:t>
      </w:r>
      <w:r w:rsidR="000A7CCC">
        <w:t xml:space="preserve">las variaciones del patrimonio </w:t>
      </w:r>
      <w:r w:rsidR="000A7CCC">
        <w:lastRenderedPageBreak/>
        <w:t xml:space="preserve">neto debidas a otras variaciones del volumen de los activos y </w:t>
      </w:r>
      <w:r w:rsidR="00000DDB">
        <w:t>las variaciones del patrimonio neto debidas a ganancias y pérdidas de posesión nominales.</w:t>
      </w:r>
    </w:p>
    <w:p w14:paraId="6AF6703F" w14:textId="1085C0D5" w:rsidR="00FA29F5" w:rsidRDefault="00A45F50">
      <w:pPr>
        <w:pStyle w:val="Ttulo6"/>
        <w:numPr>
          <w:ilvl w:val="0"/>
          <w:numId w:val="9"/>
        </w:numPr>
        <w:ind w:left="482" w:hanging="198"/>
        <w:rPr>
          <w:b w:val="0"/>
          <w:bCs/>
          <w:u w:val="none"/>
        </w:rPr>
      </w:pPr>
      <w:bookmarkStart w:id="111" w:name="_Toc174116236"/>
      <w:r>
        <w:t>Balance final</w:t>
      </w:r>
      <w:r w:rsidRPr="007C2BD1">
        <w:rPr>
          <w:u w:val="none"/>
        </w:rPr>
        <w:t xml:space="preserve"> (</w:t>
      </w:r>
      <w:r w:rsidR="007C2BD1" w:rsidRPr="007C2BD1">
        <w:rPr>
          <w:u w:val="none"/>
        </w:rPr>
        <w:t>C.</w:t>
      </w:r>
      <w:r w:rsidRPr="007C2BD1">
        <w:rPr>
          <w:u w:val="none"/>
        </w:rPr>
        <w:t>IV.3)</w:t>
      </w:r>
      <w:bookmarkEnd w:id="111"/>
    </w:p>
    <w:p w14:paraId="29F8538D" w14:textId="782E49C9" w:rsidR="007D42C7" w:rsidRPr="007D42C7" w:rsidRDefault="00FA29F5" w:rsidP="00FA6AEF">
      <w:pPr>
        <w:pStyle w:val="Nivel1SM"/>
        <w:spacing w:before="0"/>
        <w:rPr>
          <w:b/>
        </w:rPr>
      </w:pPr>
      <w:r>
        <w:t>R</w:t>
      </w:r>
      <w:r w:rsidR="00000DDB">
        <w:t>egistra el valor de los activos y pasivos que poseen las unidades al final del ejercicio contable. Estas partidas se clasifican según la misma nomenclatura utilizada en el balance inicial y se valoran a precios corrientes de final del periodo. La diferencia entre los activos y los pasivos</w:t>
      </w:r>
      <w:r w:rsidR="00AA05B4">
        <w:t xml:space="preserve"> (el </w:t>
      </w:r>
      <w:r w:rsidR="00AA05B4">
        <w:rPr>
          <w:i/>
          <w:iCs/>
        </w:rPr>
        <w:t>saldo contab</w:t>
      </w:r>
      <w:r w:rsidR="00650DD5">
        <w:rPr>
          <w:i/>
          <w:iCs/>
        </w:rPr>
        <w:t>l</w:t>
      </w:r>
      <w:r w:rsidR="00AA05B4">
        <w:rPr>
          <w:i/>
          <w:iCs/>
        </w:rPr>
        <w:t>e</w:t>
      </w:r>
      <w:r w:rsidR="00AA05B4">
        <w:t>)</w:t>
      </w:r>
      <w:r w:rsidR="00000DDB">
        <w:t xml:space="preserve"> es el </w:t>
      </w:r>
      <w:r w:rsidR="00000DDB" w:rsidRPr="00AA05B4">
        <w:rPr>
          <w:i/>
          <w:iCs/>
        </w:rPr>
        <w:t>patrimonio final neto</w:t>
      </w:r>
      <w:r w:rsidR="00000DDB">
        <w:t>. El valor de un activo o pasivo en el balance final será igual a la suma de su valor en el balance inicial y del importe registrado para dicho activo o pasivo en la cuenta de variaciones del balance.</w:t>
      </w:r>
    </w:p>
    <w:p w14:paraId="5848B8CA" w14:textId="16C14042" w:rsidR="001251F3" w:rsidRDefault="001251F3" w:rsidP="00FA29F5">
      <w:pPr>
        <w:pStyle w:val="Ttulo2"/>
      </w:pPr>
      <w:bookmarkStart w:id="112" w:name="_Toc174116237"/>
      <w:bookmarkEnd w:id="108"/>
      <w:r>
        <w:t>Cuentas del resto del mundo</w:t>
      </w:r>
      <w:bookmarkEnd w:id="112"/>
    </w:p>
    <w:p w14:paraId="6863E657" w14:textId="2853863A" w:rsidR="00B13419" w:rsidRDefault="00B13419" w:rsidP="00FA6AEF">
      <w:pPr>
        <w:pStyle w:val="Nivel1SM"/>
        <w:spacing w:before="0"/>
      </w:pPr>
      <w:r>
        <w:t xml:space="preserve">Las cuentas del resto del mundo registran las operaciones entre unidades </w:t>
      </w:r>
      <w:r w:rsidR="003C2D6E">
        <w:t xml:space="preserve">institucionales </w:t>
      </w:r>
      <w:r>
        <w:t>residentes y no residentes. El resto del mundo no constituye un sector institucional como tal, pero desempeña un papel similar en la estructura del sistema.</w:t>
      </w:r>
      <w:r w:rsidR="003C2D6E">
        <w:t xml:space="preserve"> Por ello, e</w:t>
      </w:r>
      <w:r>
        <w:t>stas cuentas se realizan desde el punto de vista del resto del mundo, de forma que un recurso para el resto del mundo es un empleo para el total de la economía y viceversa. En esa misma línea, un activo financiero para el resto del mundo es un pasivo para el total de la economía y viceversa.</w:t>
      </w:r>
    </w:p>
    <w:p w14:paraId="27512E6C" w14:textId="610F9B0F" w:rsidR="003C2D6E" w:rsidRPr="00B13419" w:rsidRDefault="003C2D6E" w:rsidP="000E2E47">
      <w:pPr>
        <w:pStyle w:val="Nivel1SM"/>
      </w:pPr>
      <w:r>
        <w:t xml:space="preserve">El registro de las interacciones de la economía residente con el resto del mundo corresponde de forma más sistemática </w:t>
      </w:r>
      <w:r w:rsidR="009F0C43">
        <w:t xml:space="preserve">a la elaboración de la balanza de pagos y la posición de inversión internacional </w:t>
      </w:r>
      <w:r w:rsidR="009F0C43" w:rsidRPr="009F0C43">
        <w:rPr>
          <w:color w:val="767171" w:themeColor="background2" w:themeShade="80"/>
          <w:sz w:val="19"/>
          <w:szCs w:val="19"/>
        </w:rPr>
        <w:t>[ver tema 3.B.1</w:t>
      </w:r>
      <w:r w:rsidR="00D41E30">
        <w:rPr>
          <w:color w:val="767171" w:themeColor="background2" w:themeShade="80"/>
          <w:sz w:val="19"/>
          <w:szCs w:val="19"/>
        </w:rPr>
        <w:t>1</w:t>
      </w:r>
      <w:r w:rsidR="009F0C43" w:rsidRPr="009F0C43">
        <w:rPr>
          <w:color w:val="767171" w:themeColor="background2" w:themeShade="80"/>
          <w:sz w:val="19"/>
          <w:szCs w:val="19"/>
        </w:rPr>
        <w:t>]</w:t>
      </w:r>
      <w:r w:rsidR="009F0C43">
        <w:t>.</w:t>
      </w:r>
    </w:p>
    <w:p w14:paraId="286C5130" w14:textId="4103DA38" w:rsidR="005D48D5" w:rsidRPr="005D48D5" w:rsidRDefault="007C252C" w:rsidP="00711C6A">
      <w:pPr>
        <w:pStyle w:val="Ttulo3"/>
        <w:jc w:val="both"/>
      </w:pPr>
      <w:bookmarkStart w:id="113" w:name="_Toc83554016"/>
      <w:bookmarkStart w:id="114" w:name="_Toc174116238"/>
      <w:r>
        <w:t>C</w:t>
      </w:r>
      <w:r w:rsidR="00592177">
        <w:t>uentas del resto del mundo: cuenta de intercambios exteriores de bienes y servicios (</w:t>
      </w:r>
      <w:r w:rsidR="007C2BD1">
        <w:t>C.</w:t>
      </w:r>
      <w:r w:rsidR="00592177">
        <w:t>V.1)</w:t>
      </w:r>
      <w:bookmarkEnd w:id="113"/>
      <w:bookmarkEnd w:id="114"/>
    </w:p>
    <w:p w14:paraId="0BE60F7B" w14:textId="403E7243" w:rsidR="005D48D5" w:rsidRPr="005D48D5" w:rsidRDefault="007C252C" w:rsidP="00711C6A">
      <w:pPr>
        <w:pStyle w:val="Ttulo3"/>
        <w:jc w:val="both"/>
      </w:pPr>
      <w:bookmarkStart w:id="115" w:name="_Toc83554017"/>
      <w:bookmarkStart w:id="116" w:name="_Toc174116239"/>
      <w:r>
        <w:t>C</w:t>
      </w:r>
      <w:r w:rsidR="00592177">
        <w:t>uentas del resto del mundo: cuenta exterior de rentas primarias y transferencias corrientes (</w:t>
      </w:r>
      <w:r w:rsidR="007C2BD1">
        <w:t>C.</w:t>
      </w:r>
      <w:r w:rsidR="00592177">
        <w:t>V.2)</w:t>
      </w:r>
      <w:bookmarkEnd w:id="115"/>
      <w:bookmarkEnd w:id="116"/>
    </w:p>
    <w:p w14:paraId="7784A7A8" w14:textId="33884C2A" w:rsidR="005D48D5" w:rsidRPr="005D48D5" w:rsidRDefault="007C252C" w:rsidP="00711C6A">
      <w:pPr>
        <w:pStyle w:val="Ttulo3"/>
        <w:jc w:val="both"/>
      </w:pPr>
      <w:bookmarkStart w:id="117" w:name="_Toc83554018"/>
      <w:bookmarkStart w:id="118" w:name="_Toc174116240"/>
      <w:r>
        <w:t>C</w:t>
      </w:r>
      <w:r w:rsidR="00592177">
        <w:t>uentas del resto del mundo: cuenta de capital (</w:t>
      </w:r>
      <w:r w:rsidR="007C2BD1">
        <w:t>C.</w:t>
      </w:r>
      <w:r w:rsidR="00592177">
        <w:t>V.3.1)</w:t>
      </w:r>
      <w:bookmarkEnd w:id="117"/>
      <w:bookmarkEnd w:id="118"/>
    </w:p>
    <w:p w14:paraId="4F1B14B4" w14:textId="3FE21C91" w:rsidR="00711C6A" w:rsidRPr="00711C6A" w:rsidRDefault="007C252C" w:rsidP="00711C6A">
      <w:pPr>
        <w:pStyle w:val="Ttulo3"/>
        <w:keepNext w:val="0"/>
        <w:jc w:val="both"/>
      </w:pPr>
      <w:bookmarkStart w:id="119" w:name="_Toc83554019"/>
      <w:bookmarkStart w:id="120" w:name="_Toc174116241"/>
      <w:r>
        <w:t>C</w:t>
      </w:r>
      <w:r w:rsidR="00592177">
        <w:t>uentas del resto del mundo: cuenta financiera (</w:t>
      </w:r>
      <w:r w:rsidR="007C2BD1">
        <w:t>C.</w:t>
      </w:r>
      <w:r w:rsidR="00592177">
        <w:t>V.3.2)</w:t>
      </w:r>
      <w:bookmarkEnd w:id="119"/>
      <w:bookmarkEnd w:id="120"/>
    </w:p>
    <w:p w14:paraId="0CAFF94B" w14:textId="54F01BC9" w:rsidR="005C3BF4" w:rsidRDefault="005C3BF4" w:rsidP="005C3BF4">
      <w:pPr>
        <w:pStyle w:val="Ttulo2"/>
      </w:pPr>
      <w:bookmarkStart w:id="121" w:name="_Toc83554021"/>
      <w:bookmarkStart w:id="122" w:name="_Toc174116242"/>
      <w:bookmarkStart w:id="123" w:name="_Toc83554020"/>
      <w:r>
        <w:t xml:space="preserve">Otras cuentas y aportaciones del </w:t>
      </w:r>
      <w:r w:rsidR="00BC549A">
        <w:t>SEC 2010</w:t>
      </w:r>
      <w:bookmarkEnd w:id="121"/>
      <w:bookmarkEnd w:id="122"/>
    </w:p>
    <w:p w14:paraId="07D30153" w14:textId="21EA311E" w:rsidR="00592177" w:rsidRDefault="007C252C" w:rsidP="00FA6AEF">
      <w:pPr>
        <w:pStyle w:val="Ttulo3"/>
        <w:spacing w:before="0"/>
      </w:pPr>
      <w:bookmarkStart w:id="124" w:name="_Toc174116243"/>
      <w:r>
        <w:t>C</w:t>
      </w:r>
      <w:r w:rsidR="00592177">
        <w:t>uentas económicas integradas</w:t>
      </w:r>
      <w:bookmarkEnd w:id="123"/>
      <w:bookmarkEnd w:id="124"/>
    </w:p>
    <w:p w14:paraId="306B00E0" w14:textId="474E70C9" w:rsidR="00711C6A" w:rsidRPr="00711C6A" w:rsidRDefault="00711C6A" w:rsidP="00FA6AEF">
      <w:r>
        <w:t>Hasta ahora se ha visto una única forma de presentar la economía a través de una serie de cuentas en forma de T interrelacionadas. Sin embargo, podemos presentar la información también en cuentas integradas</w:t>
      </w:r>
      <w:r w:rsidR="002F2663">
        <w:t>, que dan una imagen completa de las cuentas de la economía en total, incluidos los balances en un formato que permite mostrar las principales relaciones económicas y los principales agregados.</w:t>
      </w:r>
    </w:p>
    <w:p w14:paraId="20EC4D75" w14:textId="619FA9D0" w:rsidR="005D48D5" w:rsidRDefault="00816E25" w:rsidP="00EF5C92">
      <w:pPr>
        <w:jc w:val="center"/>
      </w:pPr>
      <w:r>
        <w:rPr>
          <w:noProof/>
        </w:rPr>
        <w:lastRenderedPageBreak/>
        <w:drawing>
          <wp:inline distT="0" distB="0" distL="0" distR="0" wp14:anchorId="0D323485" wp14:editId="381D77CD">
            <wp:extent cx="6164580" cy="3375660"/>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0">
                      <a:extLst>
                        <a:ext uri="{28A0092B-C50C-407E-A947-70E740481C1C}">
                          <a14:useLocalDpi xmlns:a14="http://schemas.microsoft.com/office/drawing/2010/main" val="0"/>
                        </a:ext>
                      </a:extLst>
                    </a:blip>
                    <a:srcRect l="4013" t="23694" r="3230" b="8586"/>
                    <a:stretch/>
                  </pic:blipFill>
                  <pic:spPr bwMode="auto">
                    <a:xfrm>
                      <a:off x="0" y="0"/>
                      <a:ext cx="6164580" cy="3375660"/>
                    </a:xfrm>
                    <a:prstGeom prst="rect">
                      <a:avLst/>
                    </a:prstGeom>
                    <a:noFill/>
                    <a:ln>
                      <a:noFill/>
                    </a:ln>
                    <a:extLst>
                      <a:ext uri="{53640926-AAD7-44D8-BBD7-CCE9431645EC}">
                        <a14:shadowObscured xmlns:a14="http://schemas.microsoft.com/office/drawing/2010/main"/>
                      </a:ext>
                    </a:extLst>
                  </pic:spPr>
                </pic:pic>
              </a:graphicData>
            </a:graphic>
          </wp:inline>
        </w:drawing>
      </w:r>
    </w:p>
    <w:p w14:paraId="45426E73" w14:textId="20FE1BC0" w:rsidR="001031FF" w:rsidRPr="000F38AD" w:rsidRDefault="001031FF" w:rsidP="00EF5C92">
      <w:pPr>
        <w:jc w:val="center"/>
      </w:pPr>
      <w:r>
        <w:rPr>
          <w:noProof/>
        </w:rPr>
        <w:drawing>
          <wp:inline distT="0" distB="0" distL="0" distR="0" wp14:anchorId="4F7B5EDA" wp14:editId="4AF2C3AF">
            <wp:extent cx="5705475" cy="53244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05475" cy="5324475"/>
                    </a:xfrm>
                    <a:prstGeom prst="rect">
                      <a:avLst/>
                    </a:prstGeom>
                  </pic:spPr>
                </pic:pic>
              </a:graphicData>
            </a:graphic>
          </wp:inline>
        </w:drawing>
      </w:r>
    </w:p>
    <w:p w14:paraId="2647F5E2" w14:textId="624CF91F" w:rsidR="005D48D5" w:rsidRDefault="005D48D5" w:rsidP="007C68A4">
      <w:pPr>
        <w:pStyle w:val="Ttulo3"/>
      </w:pPr>
      <w:bookmarkStart w:id="125" w:name="_Toc83554022"/>
      <w:bookmarkStart w:id="126" w:name="_Toc174116244"/>
      <w:r>
        <w:lastRenderedPageBreak/>
        <w:t>Tablas input-output</w:t>
      </w:r>
      <w:bookmarkEnd w:id="125"/>
      <w:r w:rsidR="00E2182B" w:rsidRPr="00E2182B">
        <w:rPr>
          <w:i w:val="0"/>
          <w:iCs w:val="0"/>
          <w:u w:val="none"/>
        </w:rPr>
        <w:t xml:space="preserve"> </w:t>
      </w:r>
      <w:r w:rsidR="00E2182B" w:rsidRPr="00E2182B">
        <w:rPr>
          <w:i w:val="0"/>
          <w:iCs w:val="0"/>
          <w:color w:val="767171" w:themeColor="background2" w:themeShade="80"/>
          <w:sz w:val="19"/>
          <w:szCs w:val="19"/>
          <w:u w:val="none"/>
        </w:rPr>
        <w:t>[ver tema 3.A.</w:t>
      </w:r>
      <w:r w:rsidR="00E14C08">
        <w:rPr>
          <w:i w:val="0"/>
          <w:iCs w:val="0"/>
          <w:color w:val="767171" w:themeColor="background2" w:themeShade="80"/>
          <w:sz w:val="19"/>
          <w:szCs w:val="19"/>
          <w:u w:val="none"/>
        </w:rPr>
        <w:t>31</w:t>
      </w:r>
      <w:r w:rsidR="00E2182B" w:rsidRPr="00E2182B">
        <w:rPr>
          <w:i w:val="0"/>
          <w:iCs w:val="0"/>
          <w:color w:val="767171" w:themeColor="background2" w:themeShade="80"/>
          <w:sz w:val="19"/>
          <w:szCs w:val="19"/>
          <w:u w:val="none"/>
        </w:rPr>
        <w:t>]</w:t>
      </w:r>
      <w:bookmarkEnd w:id="126"/>
    </w:p>
    <w:p w14:paraId="2ABE8E95" w14:textId="2131730B" w:rsidR="00090516" w:rsidRPr="00090516" w:rsidRDefault="00090516" w:rsidP="00090516">
      <w:pPr>
        <w:pStyle w:val="Notaalopositor"/>
      </w:pPr>
      <w:r>
        <w:t xml:space="preserve">No explayarse, se estudia en el </w:t>
      </w:r>
      <w:r w:rsidRPr="00090516">
        <w:rPr>
          <w:i/>
          <w:iCs/>
        </w:rPr>
        <w:t>tema 3.A.</w:t>
      </w:r>
      <w:r w:rsidR="00E14C08">
        <w:rPr>
          <w:i/>
          <w:iCs/>
        </w:rPr>
        <w:t>31</w:t>
      </w:r>
      <w:r>
        <w:t>.</w:t>
      </w:r>
      <w:r w:rsidR="00EF5C92">
        <w:t xml:space="preserve"> De hecho, lo suyo es no entrar en las tablas input-output.</w:t>
      </w:r>
    </w:p>
    <w:p w14:paraId="67D1C1C6" w14:textId="77777777" w:rsidR="005D48D5" w:rsidRPr="00B34128" w:rsidRDefault="005D48D5" w:rsidP="00FA6AEF">
      <w:pPr>
        <w:pStyle w:val="Ttulo6"/>
        <w:spacing w:before="0"/>
      </w:pPr>
      <w:bookmarkStart w:id="127" w:name="_Toc174116245"/>
      <w:r w:rsidRPr="00F90DCE">
        <w:t>Introducción</w:t>
      </w:r>
      <w:bookmarkEnd w:id="127"/>
    </w:p>
    <w:p w14:paraId="7503AED4" w14:textId="69272FA0" w:rsidR="005D48D5" w:rsidRDefault="005D48D5" w:rsidP="00FA6AEF">
      <w:pPr>
        <w:pStyle w:val="Nivel2SM"/>
        <w:keepNext/>
        <w:spacing w:after="0"/>
        <w:ind w:left="623"/>
      </w:pPr>
      <w:r>
        <w:t>Selecc</w:t>
      </w:r>
      <w:r w:rsidRPr="006C0834">
        <w:rPr>
          <w:rStyle w:val="Nivel2Car"/>
        </w:rPr>
        <w:t xml:space="preserve">ionamos </w:t>
      </w:r>
      <w:r w:rsidR="00F135F2">
        <w:rPr>
          <w:rStyle w:val="Nivel2Car"/>
        </w:rPr>
        <w:t>3 </w:t>
      </w:r>
      <w:r w:rsidRPr="006C0834">
        <w:rPr>
          <w:rStyle w:val="Nivel2Car"/>
        </w:rPr>
        <w:t xml:space="preserve">tipos de tablas input output como las más relevantes de las diseñadas en el </w:t>
      </w:r>
      <w:r w:rsidR="00BC549A">
        <w:rPr>
          <w:rStyle w:val="Nivel2Car"/>
        </w:rPr>
        <w:t>SEC 2010</w:t>
      </w:r>
      <w:r>
        <w:t>:</w:t>
      </w:r>
    </w:p>
    <w:p w14:paraId="2956FC6B" w14:textId="77777777" w:rsidR="005D48D5" w:rsidRDefault="005D48D5" w:rsidP="00572862">
      <w:pPr>
        <w:pStyle w:val="Nivel3"/>
        <w:ind w:left="1179"/>
      </w:pPr>
      <w:r>
        <w:t>Tabla de Origen.</w:t>
      </w:r>
    </w:p>
    <w:p w14:paraId="091E6306" w14:textId="77777777" w:rsidR="005D48D5" w:rsidRDefault="005D48D5" w:rsidP="00572862">
      <w:pPr>
        <w:pStyle w:val="Nivel3"/>
        <w:ind w:left="1179"/>
      </w:pPr>
      <w:r>
        <w:t>Tabla de Destino.</w:t>
      </w:r>
    </w:p>
    <w:p w14:paraId="6DC9A1F6" w14:textId="77777777" w:rsidR="005D48D5" w:rsidRDefault="005D48D5" w:rsidP="00572862">
      <w:pPr>
        <w:pStyle w:val="Nivel3"/>
        <w:ind w:left="1179"/>
      </w:pPr>
      <w:r>
        <w:t>Tabla Simétrica.</w:t>
      </w:r>
    </w:p>
    <w:p w14:paraId="6B5750D4" w14:textId="1EC39A9B" w:rsidR="005D48D5" w:rsidRPr="00B34128" w:rsidRDefault="005D48D5" w:rsidP="006C0834">
      <w:pPr>
        <w:pStyle w:val="Nivel2SM"/>
        <w:ind w:left="623"/>
      </w:pPr>
      <w:r>
        <w:t>La t</w:t>
      </w:r>
      <w:r w:rsidRPr="006C0834">
        <w:rPr>
          <w:rStyle w:val="Nivel2Car"/>
        </w:rPr>
        <w:t>abl</w:t>
      </w:r>
      <w:r>
        <w:t xml:space="preserve">a simétrica constituye la reordenación de los datos contenidos en las tablas de origen (recursos) y de destino (empleos) de la </w:t>
      </w:r>
      <w:r w:rsidR="009427D6">
        <w:t>contabilidad nacional</w:t>
      </w:r>
      <w:r>
        <w:t>.</w:t>
      </w:r>
    </w:p>
    <w:p w14:paraId="0FC4B59A" w14:textId="77777777" w:rsidR="005D48D5" w:rsidRPr="00B34128" w:rsidRDefault="005D48D5" w:rsidP="006C0834">
      <w:pPr>
        <w:pStyle w:val="Ttulo6"/>
      </w:pPr>
      <w:bookmarkStart w:id="128" w:name="_Toc174116246"/>
      <w:r w:rsidRPr="004D3D35">
        <w:t>Tabla de Origen</w:t>
      </w:r>
      <w:bookmarkEnd w:id="128"/>
    </w:p>
    <w:p w14:paraId="08778DAB" w14:textId="0B678C9C" w:rsidR="005D48D5" w:rsidRDefault="005D48D5" w:rsidP="006C0834">
      <w:pPr>
        <w:pStyle w:val="Nivel2SM"/>
        <w:keepNext/>
        <w:spacing w:after="0"/>
        <w:ind w:left="623"/>
      </w:pPr>
      <w:r>
        <w:t xml:space="preserve">La tabla de origen muestra la </w:t>
      </w:r>
      <w:r w:rsidRPr="00A97703">
        <w:rPr>
          <w:u w:val="single"/>
        </w:rPr>
        <w:t xml:space="preserve">oferta de bienes y servicios </w:t>
      </w:r>
      <w:r w:rsidRPr="00A97703">
        <w:rPr>
          <w:b/>
          <w:u w:val="single"/>
        </w:rPr>
        <w:t>por productos</w:t>
      </w:r>
      <w:r w:rsidRPr="00A97703">
        <w:rPr>
          <w:u w:val="single"/>
        </w:rPr>
        <w:t xml:space="preserve"> de cada rama de actividad</w:t>
      </w:r>
      <w:r>
        <w:t xml:space="preserve">, distinguiendo entre </w:t>
      </w:r>
      <w:r w:rsidRPr="00A97703">
        <w:rPr>
          <w:u w:val="single"/>
        </w:rPr>
        <w:t>producciones e importaciones</w:t>
      </w:r>
      <w:r>
        <w:t>. Puede presentarse a precios</w:t>
      </w:r>
      <w:r w:rsidRPr="006C0834">
        <w:rPr>
          <w:rStyle w:val="Nivel2Car"/>
        </w:rPr>
        <w:t xml:space="preserve"> básicos</w:t>
      </w:r>
      <w:r>
        <w:t xml:space="preserve"> y a precios de adquisición, efectuando transformaciones adecuadas en las magnitudes vía impuestos sobre la producción y márgenes.</w:t>
      </w:r>
    </w:p>
    <w:p w14:paraId="6D829FDA" w14:textId="39C666EE" w:rsidR="005D48D5" w:rsidRDefault="005D48D5" w:rsidP="00572862">
      <w:pPr>
        <w:pStyle w:val="Nivel3"/>
        <w:ind w:left="1179"/>
      </w:pPr>
      <w:r>
        <w:t>En esta matriz se presentan las ramas de actividad (</w:t>
      </w:r>
      <w:r w:rsidRPr="00E85B2E">
        <w:rPr>
          <w:i/>
          <w:iCs/>
        </w:rPr>
        <w:t>n</w:t>
      </w:r>
      <w:r>
        <w:t>) por columnas y por filas los productos (</w:t>
      </w:r>
      <w:r w:rsidRPr="00E85B2E">
        <w:rPr>
          <w:i/>
          <w:iCs/>
        </w:rPr>
        <w:t>m</w:t>
      </w:r>
      <w:r>
        <w:t>) que produce cada rama.</w:t>
      </w:r>
    </w:p>
    <w:p w14:paraId="473B5A04" w14:textId="71D5FFE2" w:rsidR="005D48D5" w:rsidRDefault="005D48D5" w:rsidP="00572862">
      <w:pPr>
        <w:pStyle w:val="Nivel3"/>
        <w:ind w:left="1179"/>
      </w:pPr>
      <w:r>
        <w:t>La producción total por ramas más las importaciones dan la oferta total de bienes y servicios a precios básicos.</w:t>
      </w:r>
    </w:p>
    <w:p w14:paraId="4AF933FA" w14:textId="1EEA8F0F" w:rsidR="005D48D5" w:rsidRDefault="005D48D5" w:rsidP="006C0834">
      <w:pPr>
        <w:pStyle w:val="Nivel3"/>
      </w:pPr>
      <w:r>
        <w:t>Si se añaden a cada producto los márgenes de comercio y transporte así como los impuestos netos sobre los productos se obtiene la oferta de cada producto a</w:t>
      </w:r>
      <w:r w:rsidR="00865CE6">
        <w:t xml:space="preserve"> </w:t>
      </w:r>
      <w:r>
        <w:t>precios de adquisición.</w:t>
      </w:r>
    </w:p>
    <w:p w14:paraId="554BE692" w14:textId="77777777" w:rsidR="005D48D5" w:rsidRPr="00B34128" w:rsidRDefault="005D48D5" w:rsidP="006C0834">
      <w:pPr>
        <w:pStyle w:val="Ttulo6"/>
      </w:pPr>
      <w:bookmarkStart w:id="129" w:name="_Toc174116247"/>
      <w:r w:rsidRPr="00340171">
        <w:t>Tabla de Destino</w:t>
      </w:r>
      <w:bookmarkEnd w:id="129"/>
    </w:p>
    <w:p w14:paraId="5BD94654" w14:textId="77777777" w:rsidR="005D48D5" w:rsidRDefault="005D48D5" w:rsidP="006C0834">
      <w:pPr>
        <w:pStyle w:val="Nivel2SM"/>
        <w:keepNext/>
        <w:spacing w:after="0"/>
        <w:ind w:left="623"/>
      </w:pPr>
      <w:r>
        <w:t>La tab</w:t>
      </w:r>
      <w:r w:rsidRPr="006C0834">
        <w:rPr>
          <w:rStyle w:val="Nivel2Car"/>
        </w:rPr>
        <w:t>la</w:t>
      </w:r>
      <w:r>
        <w:t xml:space="preserve"> de destino se puede a su vez dividir en dos partes.</w:t>
      </w:r>
    </w:p>
    <w:p w14:paraId="396BF5CF" w14:textId="77777777" w:rsidR="005D48D5" w:rsidRDefault="005D48D5" w:rsidP="00572862">
      <w:pPr>
        <w:pStyle w:val="Nivel3"/>
        <w:ind w:left="1179"/>
      </w:pPr>
      <w:r>
        <w:t xml:space="preserve">Una primera parte cuya matriz muestra los </w:t>
      </w:r>
      <w:r w:rsidRPr="00A97703">
        <w:rPr>
          <w:u w:val="single"/>
        </w:rPr>
        <w:t xml:space="preserve">empleos de los bienes y servicios por </w:t>
      </w:r>
      <w:r w:rsidRPr="00A97703">
        <w:rPr>
          <w:b/>
          <w:u w:val="single"/>
        </w:rPr>
        <w:t>productos (</w:t>
      </w:r>
      <w:r w:rsidRPr="00E85B2E">
        <w:rPr>
          <w:b/>
          <w:i/>
          <w:iCs/>
          <w:u w:val="single"/>
        </w:rPr>
        <w:t>m</w:t>
      </w:r>
      <w:r w:rsidRPr="00A97703">
        <w:rPr>
          <w:b/>
          <w:u w:val="single"/>
        </w:rPr>
        <w:t>)</w:t>
      </w:r>
      <w:r>
        <w:t xml:space="preserve"> distinguiendo entre consumos intermedios por las diferentes ramas de actividad (</w:t>
      </w:r>
      <w:r w:rsidRPr="00E85B2E">
        <w:rPr>
          <w:i/>
          <w:iCs/>
        </w:rPr>
        <w:t>n</w:t>
      </w:r>
      <w:r>
        <w:t>) y los empleos finales.</w:t>
      </w:r>
    </w:p>
    <w:p w14:paraId="7DC1D23F" w14:textId="77777777" w:rsidR="005D48D5" w:rsidRDefault="005D48D5" w:rsidP="00572862">
      <w:pPr>
        <w:pStyle w:val="Nivel3"/>
        <w:ind w:left="1179"/>
      </w:pPr>
      <w:r>
        <w:t xml:space="preserve">Una segunda parte que recoge además los distintos </w:t>
      </w:r>
      <w:r w:rsidRPr="00A97703">
        <w:rPr>
          <w:u w:val="single"/>
        </w:rPr>
        <w:t xml:space="preserve">componentes del valor añadido por </w:t>
      </w:r>
      <w:r w:rsidRPr="00A97703">
        <w:rPr>
          <w:b/>
          <w:u w:val="single"/>
        </w:rPr>
        <w:t>ramas de actividad</w:t>
      </w:r>
      <w:r>
        <w:t xml:space="preserve"> que junto con los consumos intermedios permiten obtener la producción a precios básicos por ramas de actividad.</w:t>
      </w:r>
    </w:p>
    <w:p w14:paraId="0FABC91B" w14:textId="77777777" w:rsidR="005D48D5" w:rsidRPr="00B34128" w:rsidRDefault="005D48D5" w:rsidP="006C0834">
      <w:pPr>
        <w:pStyle w:val="Ttulo6"/>
      </w:pPr>
      <w:bookmarkStart w:id="130" w:name="_Toc174116248"/>
      <w:r w:rsidRPr="004B3B80">
        <w:t>Tabla Simétrica</w:t>
      </w:r>
      <w:bookmarkEnd w:id="130"/>
    </w:p>
    <w:p w14:paraId="4C4EBAFE" w14:textId="052C8E75" w:rsidR="005D48D5" w:rsidRDefault="005D48D5" w:rsidP="006C0834">
      <w:pPr>
        <w:pStyle w:val="Nivel2SM"/>
        <w:keepNext/>
        <w:spacing w:after="0"/>
        <w:ind w:left="623"/>
      </w:pPr>
      <w:r>
        <w:t xml:space="preserve">La </w:t>
      </w:r>
      <w:r w:rsidRPr="004A5170">
        <w:rPr>
          <w:u w:val="single"/>
        </w:rPr>
        <w:t>tabla simétrica</w:t>
      </w:r>
      <w:r>
        <w:t xml:space="preserve"> se deriva de las dos anteriores y está compuesta por tres grandes blo</w:t>
      </w:r>
      <w:r w:rsidRPr="006C0834">
        <w:rPr>
          <w:rStyle w:val="Nivel2Car"/>
        </w:rPr>
        <w:t>q</w:t>
      </w:r>
      <w:r>
        <w:t>ues:</w:t>
      </w:r>
    </w:p>
    <w:p w14:paraId="0368863B" w14:textId="77777777" w:rsidR="005D48D5" w:rsidRDefault="005D48D5" w:rsidP="005D48D5">
      <w:pPr>
        <w:ind w:left="1440"/>
        <w:jc w:val="center"/>
      </w:pPr>
      <w:r>
        <w:rPr>
          <w:noProof/>
        </w:rPr>
        <w:drawing>
          <wp:inline distT="0" distB="0" distL="0" distR="0" wp14:anchorId="1F5600FC" wp14:editId="41709418">
            <wp:extent cx="2606040" cy="815340"/>
            <wp:effectExtent l="0" t="0" r="381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06040" cy="815340"/>
                    </a:xfrm>
                    <a:prstGeom prst="rect">
                      <a:avLst/>
                    </a:prstGeom>
                    <a:noFill/>
                    <a:ln>
                      <a:noFill/>
                    </a:ln>
                  </pic:spPr>
                </pic:pic>
              </a:graphicData>
            </a:graphic>
          </wp:inline>
        </w:drawing>
      </w:r>
    </w:p>
    <w:p w14:paraId="78443FE1" w14:textId="77777777" w:rsidR="005D48D5" w:rsidRDefault="005D48D5" w:rsidP="00D76F4D">
      <w:pPr>
        <w:pStyle w:val="Nivel2"/>
        <w:ind w:left="623"/>
      </w:pPr>
      <w:r>
        <w:t>La matriz simétrica se denomina de esta forma dado que todas las relaciones económicas se realizan entre ramas de actividad y no entre ramas y productos como hasta ahora.</w:t>
      </w:r>
    </w:p>
    <w:p w14:paraId="6D539B8A" w14:textId="77777777" w:rsidR="005D48D5" w:rsidRPr="00B34128" w:rsidRDefault="005D48D5" w:rsidP="00D76F4D">
      <w:pPr>
        <w:pStyle w:val="Nivel2"/>
        <w:ind w:left="623"/>
      </w:pPr>
      <w:r>
        <w:t>Es decir tanto en las columnas como en las filas tendremos ramas.</w:t>
      </w:r>
    </w:p>
    <w:p w14:paraId="26E2502B" w14:textId="77777777" w:rsidR="005D48D5" w:rsidRPr="00B34128" w:rsidRDefault="005D48D5" w:rsidP="006C0834">
      <w:pPr>
        <w:pStyle w:val="Ttulo7"/>
      </w:pPr>
      <w:bookmarkStart w:id="131" w:name="_Hlk103169232"/>
      <w:r w:rsidRPr="00C72572">
        <w:t>Bloque I: Consumos Intermedios</w:t>
      </w:r>
    </w:p>
    <w:p w14:paraId="1A263980" w14:textId="77777777" w:rsidR="005D48D5" w:rsidRDefault="005D48D5" w:rsidP="00D76F4D">
      <w:pPr>
        <w:pStyle w:val="Nivel2"/>
        <w:ind w:left="623"/>
      </w:pPr>
      <w:r>
        <w:t>Es la parte más importante de las tablas input-output.</w:t>
      </w:r>
    </w:p>
    <w:p w14:paraId="4778A0F1" w14:textId="77777777" w:rsidR="005D48D5" w:rsidRDefault="005D48D5" w:rsidP="00D76F4D">
      <w:pPr>
        <w:pStyle w:val="Nivel2"/>
        <w:ind w:left="623"/>
      </w:pPr>
      <w:r w:rsidRPr="00526B20">
        <w:t>Desagrega la economía en ramas de actividad</w:t>
      </w:r>
      <w:r>
        <w:t xml:space="preserve">, y registra las transacciones de </w:t>
      </w:r>
      <w:r w:rsidRPr="00526B20">
        <w:t>outputs intermedios entre ramas</w:t>
      </w:r>
      <w:r>
        <w:t>.</w:t>
      </w:r>
    </w:p>
    <w:p w14:paraId="79C3154A" w14:textId="77777777" w:rsidR="005D48D5" w:rsidRDefault="005D48D5" w:rsidP="00D76F4D">
      <w:pPr>
        <w:pStyle w:val="Nivel2"/>
        <w:ind w:left="623"/>
      </w:pPr>
      <w:r>
        <w:t>Los totales por filas representan los inputs intermedios totales ofrecidos por cada rama a cada una de las demás ramas, y los totales por columnas representan los inputs totales demandados por cada rama a cada una de las demás ramas.</w:t>
      </w:r>
    </w:p>
    <w:p w14:paraId="502F299A" w14:textId="77777777" w:rsidR="005D48D5" w:rsidRDefault="005D48D5" w:rsidP="006C0834">
      <w:pPr>
        <w:pStyle w:val="Ttulo7"/>
      </w:pPr>
      <w:r w:rsidRPr="00F90DCE">
        <w:lastRenderedPageBreak/>
        <w:t>Bloque II: Demandas finales</w:t>
      </w:r>
    </w:p>
    <w:p w14:paraId="3C5BCA9E" w14:textId="77777777" w:rsidR="005D48D5" w:rsidRDefault="005D48D5" w:rsidP="006C0834">
      <w:pPr>
        <w:pStyle w:val="Nivel2SM"/>
        <w:keepNext/>
        <w:spacing w:after="0"/>
        <w:ind w:left="623"/>
      </w:pPr>
      <w:r>
        <w:t xml:space="preserve">No </w:t>
      </w:r>
      <w:r w:rsidRPr="006C0834">
        <w:rPr>
          <w:rStyle w:val="Nivel2Car"/>
        </w:rPr>
        <w:t>o</w:t>
      </w:r>
      <w:r>
        <w:t>bstante, las diferentes ramas, no solamente producen para satisfacer la demanda intermedia de las demás empresas, sino que además producen para satisfacer la demanda final:</w:t>
      </w:r>
    </w:p>
    <w:p w14:paraId="2878E8CA" w14:textId="77777777" w:rsidR="005D48D5" w:rsidRDefault="005D48D5" w:rsidP="00572862">
      <w:pPr>
        <w:pStyle w:val="Nivel3"/>
        <w:ind w:left="1179"/>
      </w:pPr>
      <w:r>
        <w:t>Consumo individual (</w:t>
      </w:r>
      <w:r w:rsidRPr="00E85B2E">
        <w:rPr>
          <w:i/>
          <w:iCs/>
        </w:rPr>
        <w:t>C</w:t>
      </w:r>
      <w:r>
        <w:t>).</w:t>
      </w:r>
    </w:p>
    <w:p w14:paraId="41875B9C" w14:textId="77777777" w:rsidR="005D48D5" w:rsidRDefault="005D48D5" w:rsidP="00572862">
      <w:pPr>
        <w:pStyle w:val="Nivel3"/>
        <w:ind w:left="1179"/>
      </w:pPr>
      <w:r>
        <w:t>Consumo colectivo (</w:t>
      </w:r>
      <w:r w:rsidRPr="00E85B2E">
        <w:rPr>
          <w:i/>
          <w:iCs/>
        </w:rPr>
        <w:t>G</w:t>
      </w:r>
      <w:r>
        <w:t>: Gasto gubernamental).</w:t>
      </w:r>
    </w:p>
    <w:p w14:paraId="00D23B6E" w14:textId="77777777" w:rsidR="005D48D5" w:rsidRDefault="005D48D5" w:rsidP="00572862">
      <w:pPr>
        <w:pStyle w:val="Nivel3"/>
        <w:ind w:left="1179"/>
      </w:pPr>
      <w:r>
        <w:t>Formación bruta de capital (</w:t>
      </w:r>
      <w:r w:rsidRPr="00E85B2E">
        <w:rPr>
          <w:i/>
          <w:iCs/>
        </w:rPr>
        <w:t>I</w:t>
      </w:r>
      <w:r>
        <w:t>).</w:t>
      </w:r>
    </w:p>
    <w:p w14:paraId="1C3E9094" w14:textId="77777777" w:rsidR="005D48D5" w:rsidRDefault="005D48D5" w:rsidP="00572862">
      <w:pPr>
        <w:pStyle w:val="Nivel3"/>
        <w:ind w:left="1179"/>
      </w:pPr>
      <w:r>
        <w:t>Exportaciones (</w:t>
      </w:r>
      <w:r w:rsidRPr="00E85B2E">
        <w:rPr>
          <w:i/>
          <w:iCs/>
        </w:rPr>
        <w:t>E</w:t>
      </w:r>
      <w:r>
        <w:t>).</w:t>
      </w:r>
    </w:p>
    <w:p w14:paraId="273D384A" w14:textId="16AD9946" w:rsidR="005D48D5" w:rsidRDefault="005D48D5" w:rsidP="006C0834">
      <w:pPr>
        <w:pStyle w:val="Nivel2SM"/>
        <w:keepNext/>
        <w:spacing w:after="0"/>
        <w:ind w:left="623"/>
      </w:pPr>
      <w:r>
        <w:t>El total por filas representan los empleos totales. Es decir, lo que cada rama ofrece a cada una</w:t>
      </w:r>
      <w:r w:rsidRPr="006C0834">
        <w:rPr>
          <w:rStyle w:val="Nivel2Car"/>
        </w:rPr>
        <w:t xml:space="preserve"> de</w:t>
      </w:r>
      <w:r>
        <w:t xml:space="preserve"> las otras ramas y al resto de agentes de la economía.</w:t>
      </w:r>
    </w:p>
    <w:p w14:paraId="72A5288A" w14:textId="77777777" w:rsidR="005D48D5" w:rsidRDefault="005D48D5" w:rsidP="00572862">
      <w:pPr>
        <w:pStyle w:val="Nivel3"/>
        <w:ind w:left="1179"/>
      </w:pPr>
      <w:r>
        <w:t>De nue</w:t>
      </w:r>
      <w:r w:rsidRPr="006C0834">
        <w:rPr>
          <w:rStyle w:val="Nivel3Car"/>
        </w:rPr>
        <w:t>vo</w:t>
      </w:r>
      <w:r>
        <w:t>, cada celda se dividirá nacional e importaciones.</w:t>
      </w:r>
    </w:p>
    <w:p w14:paraId="45111A6D" w14:textId="77777777" w:rsidR="005D48D5" w:rsidRDefault="005D48D5" w:rsidP="006C0834">
      <w:pPr>
        <w:pStyle w:val="Ttulo7"/>
      </w:pPr>
      <w:r w:rsidRPr="003B228D">
        <w:t>Bloque III: Los inputs primarios</w:t>
      </w:r>
    </w:p>
    <w:p w14:paraId="3C2F9333" w14:textId="77777777" w:rsidR="005D48D5" w:rsidRDefault="005D48D5" w:rsidP="006C0834">
      <w:pPr>
        <w:pStyle w:val="Nivel2SM"/>
        <w:keepNext/>
        <w:spacing w:after="0"/>
        <w:ind w:left="623"/>
      </w:pPr>
      <w:r>
        <w:t>Los factores de producción primarios, el trabajo y capital, se remuneran respectivamente, con e</w:t>
      </w:r>
      <w:r w:rsidRPr="006C0834">
        <w:rPr>
          <w:rStyle w:val="Nivel2Car"/>
        </w:rPr>
        <w:t>l salario</w:t>
      </w:r>
      <w:r>
        <w:t xml:space="preserve"> y el excedente bruto de explotación.</w:t>
      </w:r>
    </w:p>
    <w:p w14:paraId="082EEFEF" w14:textId="77777777" w:rsidR="005D48D5" w:rsidRDefault="005D48D5" w:rsidP="00572862">
      <w:pPr>
        <w:pStyle w:val="Nivel3"/>
        <w:ind w:left="1179"/>
      </w:pPr>
      <w:r>
        <w:t>Esta remuneración se le añade a lo que cada rama ha demandado a cada una de las diferentes ramas.</w:t>
      </w:r>
    </w:p>
    <w:p w14:paraId="0BB76697" w14:textId="77777777" w:rsidR="005D48D5" w:rsidRDefault="005D48D5" w:rsidP="00572862">
      <w:pPr>
        <w:pStyle w:val="Nivel3"/>
        <w:ind w:left="1179"/>
      </w:pPr>
      <w:r>
        <w:t>Se añaden además las importaciones.</w:t>
      </w:r>
    </w:p>
    <w:p w14:paraId="15E75C44" w14:textId="77777777" w:rsidR="005D48D5" w:rsidRPr="00B34128" w:rsidRDefault="005D48D5" w:rsidP="006C0834">
      <w:pPr>
        <w:pStyle w:val="Nivel2SM"/>
        <w:ind w:left="623"/>
      </w:pPr>
      <w:r>
        <w:t xml:space="preserve">El total por columnas representa la producción de cada una de las industrias y como ha </w:t>
      </w:r>
      <w:r w:rsidRPr="006C0834">
        <w:rPr>
          <w:rStyle w:val="Nivel2Car"/>
        </w:rPr>
        <w:t>llevado a cabo</w:t>
      </w:r>
      <w:r>
        <w:t xml:space="preserve"> dicha producción (i.e. bienes intermedios, empleo y capital).</w:t>
      </w:r>
    </w:p>
    <w:p w14:paraId="67CB5306" w14:textId="77777777" w:rsidR="005D48D5" w:rsidRPr="00B34128" w:rsidRDefault="005D48D5" w:rsidP="006C0834">
      <w:pPr>
        <w:pStyle w:val="Ttulo6"/>
      </w:pPr>
      <w:bookmarkStart w:id="132" w:name="_Toc174116249"/>
      <w:bookmarkEnd w:id="131"/>
      <w:r w:rsidRPr="00A425D8">
        <w:t>Relación entre las tablas</w:t>
      </w:r>
      <w:bookmarkEnd w:id="132"/>
    </w:p>
    <w:p w14:paraId="7E3D0177" w14:textId="77777777" w:rsidR="005D48D5" w:rsidRDefault="005D48D5" w:rsidP="006C0834">
      <w:pPr>
        <w:pStyle w:val="Nivel2SM"/>
        <w:ind w:left="623"/>
      </w:pPr>
      <w:r>
        <w:t>El total por columnas será igual al total de las filas. Es decir, el total de la producción será igua</w:t>
      </w:r>
      <w:r w:rsidRPr="006C0834">
        <w:rPr>
          <w:rStyle w:val="Nivel2Car"/>
        </w:rPr>
        <w:t>l a</w:t>
      </w:r>
      <w:r>
        <w:t xml:space="preserve"> los empleos totales tanto para cada una de las industrias como a nivel agregado.</w:t>
      </w:r>
    </w:p>
    <w:p w14:paraId="056E2ED7" w14:textId="77777777" w:rsidR="005D48D5" w:rsidRPr="00B34128" w:rsidRDefault="005D48D5" w:rsidP="006C0834">
      <w:pPr>
        <w:pStyle w:val="Nivel2SM"/>
        <w:ind w:left="623"/>
      </w:pPr>
      <w:r>
        <w:t>Es</w:t>
      </w:r>
      <w:r w:rsidRPr="006C0834">
        <w:rPr>
          <w:rStyle w:val="Nivel2Car"/>
        </w:rPr>
        <w:t>to además</w:t>
      </w:r>
      <w:r>
        <w:t xml:space="preserve"> se puede ver acudiendo a las macromagnitudes.</w:t>
      </w:r>
    </w:p>
    <w:p w14:paraId="6F07A447" w14:textId="54A3CF2D" w:rsidR="005D48D5" w:rsidRPr="0043551D" w:rsidRDefault="0043551D" w:rsidP="005D48D5">
      <w:pPr>
        <w:jc w:val="center"/>
        <w:rPr>
          <w:lang w:val="en-GB"/>
          <w:oMath/>
        </w:rPr>
      </w:pPr>
      <m:oMathPara>
        <m:oMath>
          <m:r>
            <m:rPr>
              <m:nor/>
            </m:rPr>
            <w:rPr>
              <w:i/>
              <w:lang w:val="en-GB"/>
            </w:rPr>
            <m:t>PIB</m:t>
          </m:r>
          <m:r>
            <w:rPr>
              <w:rFonts w:ascii="Cambria Math" w:hAnsi="Cambria Math"/>
              <w:lang w:val="en-GB"/>
            </w:rPr>
            <m:t>=</m:t>
          </m:r>
          <m:r>
            <m:rPr>
              <m:nor/>
            </m:rPr>
            <w:rPr>
              <w:i/>
              <w:lang w:val="en-GB"/>
            </w:rPr>
            <m:t>C</m:t>
          </m:r>
          <m:r>
            <w:rPr>
              <w:rFonts w:ascii="Cambria Math" w:hAnsi="Cambria Math"/>
              <w:lang w:val="en-GB"/>
            </w:rPr>
            <m:t>+</m:t>
          </m:r>
          <m:r>
            <m:rPr>
              <m:nor/>
            </m:rPr>
            <w:rPr>
              <w:i/>
              <w:lang w:val="en-GB"/>
            </w:rPr>
            <m:t>I</m:t>
          </m:r>
          <m:r>
            <w:rPr>
              <w:rFonts w:ascii="Cambria Math" w:hAnsi="Cambria Math"/>
              <w:lang w:val="en-GB"/>
            </w:rPr>
            <m:t>+</m:t>
          </m:r>
          <m:r>
            <m:rPr>
              <m:nor/>
            </m:rPr>
            <w:rPr>
              <w:i/>
              <w:lang w:val="en-GB"/>
            </w:rPr>
            <m:t>G</m:t>
          </m:r>
          <m:r>
            <w:rPr>
              <w:rFonts w:ascii="Cambria Math" w:hAnsi="Cambria Math"/>
              <w:lang w:val="en-GB"/>
            </w:rPr>
            <m:t>+</m:t>
          </m:r>
          <m:r>
            <m:rPr>
              <m:nor/>
            </m:rPr>
            <w:rPr>
              <w:i/>
              <w:lang w:val="en-GB"/>
            </w:rPr>
            <m:t>X</m:t>
          </m:r>
          <m:r>
            <w:rPr>
              <w:rFonts w:ascii="Cambria Math" w:hAnsi="Cambria Math"/>
              <w:lang w:val="en-GB"/>
            </w:rPr>
            <m:t>-</m:t>
          </m:r>
          <m:r>
            <m:rPr>
              <m:nor/>
            </m:rPr>
            <w:rPr>
              <w:i/>
              <w:lang w:val="en-GB"/>
            </w:rPr>
            <m:t>M</m:t>
          </m:r>
        </m:oMath>
      </m:oMathPara>
    </w:p>
    <w:p w14:paraId="13361E26" w14:textId="1F3BA421" w:rsidR="005D48D5" w:rsidRPr="0043551D" w:rsidRDefault="00000000" w:rsidP="005D48D5">
      <w:pPr>
        <w:jc w:val="center"/>
        <w:rPr>
          <w:lang w:val="en-US"/>
          <w:oMath/>
        </w:rPr>
      </w:pPr>
      <m:oMathPara>
        <m:oMath>
          <m:nary>
            <m:naryPr>
              <m:chr m:val="∑"/>
              <m:limLoc m:val="undOvr"/>
              <m:subHide m:val="1"/>
              <m:supHide m:val="1"/>
              <m:ctrlPr>
                <w:rPr>
                  <w:rFonts w:ascii="Cambria Math" w:hAnsi="Cambria Math"/>
                  <w:i/>
                  <w:lang w:val="en-GB"/>
                </w:rPr>
              </m:ctrlPr>
            </m:naryPr>
            <m:sub/>
            <m:sup/>
            <m:e>
              <m:d>
                <m:dPr>
                  <m:ctrlPr>
                    <w:rPr>
                      <w:rFonts w:ascii="Cambria Math" w:hAnsi="Cambria Math"/>
                      <w:i/>
                      <w:lang w:val="en-GB"/>
                    </w:rPr>
                  </m:ctrlPr>
                </m:dPr>
                <m:e>
                  <m:r>
                    <m:rPr>
                      <m:nor/>
                    </m:rPr>
                    <w:rPr>
                      <w:i/>
                      <w:lang w:val="en-US"/>
                    </w:rPr>
                    <m:t>VAB</m:t>
                  </m:r>
                </m:e>
              </m:d>
            </m:e>
          </m:nary>
          <m:r>
            <w:rPr>
              <w:rFonts w:ascii="Cambria Math" w:hAnsi="Cambria Math"/>
              <w:lang w:val="en-US"/>
            </w:rPr>
            <m:t>+</m:t>
          </m:r>
          <m:r>
            <m:rPr>
              <m:nor/>
            </m:rPr>
            <w:rPr>
              <w:i/>
              <w:lang w:val="en-US"/>
            </w:rPr>
            <m:t>M</m:t>
          </m:r>
          <m:r>
            <w:rPr>
              <w:rFonts w:ascii="Cambria Math" w:hAnsi="Cambria Math"/>
              <w:lang w:val="en-US"/>
            </w:rPr>
            <m:t>=</m:t>
          </m:r>
          <m:d>
            <m:dPr>
              <m:ctrlPr>
                <w:rPr>
                  <w:rFonts w:ascii="Cambria Math" w:hAnsi="Cambria Math"/>
                  <w:i/>
                  <w:lang w:val="en-GB"/>
                </w:rPr>
              </m:ctrlPr>
            </m:dPr>
            <m:e>
              <m:r>
                <m:rPr>
                  <m:nor/>
                </m:rPr>
                <w:rPr>
                  <w:i/>
                  <w:lang w:val="en-US"/>
                </w:rPr>
                <m:t>C</m:t>
              </m:r>
              <m:r>
                <w:rPr>
                  <w:rFonts w:ascii="Cambria Math" w:hAnsi="Cambria Math"/>
                  <w:lang w:val="en-US"/>
                </w:rPr>
                <m:t>+</m:t>
              </m:r>
              <m:r>
                <m:rPr>
                  <m:nor/>
                </m:rPr>
                <w:rPr>
                  <w:i/>
                  <w:lang w:val="en-US"/>
                </w:rPr>
                <m:t>I</m:t>
              </m:r>
              <m:r>
                <w:rPr>
                  <w:rFonts w:ascii="Cambria Math" w:hAnsi="Cambria Math"/>
                  <w:lang w:val="en-US"/>
                </w:rPr>
                <m:t>+</m:t>
              </m:r>
              <m:r>
                <m:rPr>
                  <m:nor/>
                </m:rPr>
                <w:rPr>
                  <w:i/>
                  <w:lang w:val="en-US"/>
                </w:rPr>
                <m:t>G</m:t>
              </m:r>
              <m:r>
                <w:rPr>
                  <w:rFonts w:ascii="Cambria Math" w:hAnsi="Cambria Math"/>
                  <w:lang w:val="en-US"/>
                </w:rPr>
                <m:t>+</m:t>
              </m:r>
              <m:r>
                <m:rPr>
                  <m:nor/>
                </m:rPr>
                <w:rPr>
                  <w:i/>
                  <w:lang w:val="en-US"/>
                </w:rPr>
                <m:t>X</m:t>
              </m:r>
            </m:e>
          </m:d>
        </m:oMath>
      </m:oMathPara>
    </w:p>
    <w:p w14:paraId="1E2F5014" w14:textId="0FA3CF80" w:rsidR="005D48D5" w:rsidRPr="0043551D" w:rsidRDefault="00000000" w:rsidP="005D48D5">
      <w:pPr>
        <w:jc w:val="center"/>
        <w:rPr>
          <w:lang w:val="fr-FR"/>
          <w:oMath/>
        </w:rPr>
      </w:pPr>
      <m:oMathPara>
        <m:oMath>
          <m:nary>
            <m:naryPr>
              <m:chr m:val="∑"/>
              <m:limLoc m:val="undOvr"/>
              <m:subHide m:val="1"/>
              <m:supHide m:val="1"/>
              <m:ctrlPr>
                <w:rPr>
                  <w:rFonts w:ascii="Cambria Math" w:hAnsi="Cambria Math"/>
                  <w:i/>
                  <w:lang w:val="en-GB"/>
                </w:rPr>
              </m:ctrlPr>
            </m:naryPr>
            <m:sub/>
            <m:sup/>
            <m:e>
              <m:d>
                <m:dPr>
                  <m:ctrlPr>
                    <w:rPr>
                      <w:rFonts w:ascii="Cambria Math" w:hAnsi="Cambria Math"/>
                      <w:i/>
                      <w:lang w:val="en-GB"/>
                    </w:rPr>
                  </m:ctrlPr>
                </m:dPr>
                <m:e>
                  <m:r>
                    <m:rPr>
                      <m:nor/>
                    </m:rPr>
                    <w:rPr>
                      <w:i/>
                      <w:lang w:val="fr-FR"/>
                    </w:rPr>
                    <m:t>VAB</m:t>
                  </m:r>
                </m:e>
              </m:d>
            </m:e>
          </m:nary>
          <m:r>
            <w:rPr>
              <w:rFonts w:ascii="Cambria Math" w:hAnsi="Cambria Math"/>
              <w:lang w:val="fr-FR"/>
            </w:rPr>
            <m:t>+</m:t>
          </m:r>
          <m:r>
            <m:rPr>
              <m:nor/>
            </m:rPr>
            <w:rPr>
              <w:i/>
              <w:lang w:val="fr-FR"/>
            </w:rPr>
            <m:t>M</m:t>
          </m:r>
          <m:r>
            <w:rPr>
              <w:rFonts w:ascii="Cambria Math" w:hAnsi="Cambria Math"/>
              <w:lang w:val="fr-FR"/>
            </w:rPr>
            <m:t>=</m:t>
          </m:r>
          <m:d>
            <m:dPr>
              <m:ctrlPr>
                <w:rPr>
                  <w:rFonts w:ascii="Cambria Math" w:hAnsi="Cambria Math"/>
                  <w:i/>
                  <w:lang w:val="fr-FR"/>
                </w:rPr>
              </m:ctrlPr>
            </m:dPr>
            <m:e>
              <m:r>
                <m:rPr>
                  <m:nor/>
                </m:rPr>
                <w:rPr>
                  <w:i/>
                  <w:lang w:val="fr-FR"/>
                </w:rPr>
                <m:t>ET</m:t>
              </m:r>
              <m:r>
                <w:rPr>
                  <w:rFonts w:ascii="Cambria Math" w:hAnsi="Cambria Math"/>
                  <w:lang w:val="fr-FR"/>
                </w:rPr>
                <m:t>-</m:t>
              </m:r>
              <m:r>
                <m:rPr>
                  <m:nor/>
                </m:rPr>
                <w:rPr>
                  <w:i/>
                  <w:lang w:val="fr-FR"/>
                </w:rPr>
                <m:t>CI</m:t>
              </m:r>
            </m:e>
          </m:d>
        </m:oMath>
      </m:oMathPara>
    </w:p>
    <w:p w14:paraId="181FD28E" w14:textId="465660D1" w:rsidR="005D48D5" w:rsidRPr="0043551D" w:rsidRDefault="00000000" w:rsidP="005D48D5">
      <w:pPr>
        <w:jc w:val="center"/>
        <w:rPr>
          <w:lang w:val="fr-FR"/>
          <w:oMath/>
        </w:rPr>
      </w:pPr>
      <m:oMathPara>
        <m:oMath>
          <m:nary>
            <m:naryPr>
              <m:chr m:val="∑"/>
              <m:limLoc m:val="undOvr"/>
              <m:subHide m:val="1"/>
              <m:supHide m:val="1"/>
              <m:ctrlPr>
                <w:rPr>
                  <w:rFonts w:ascii="Cambria Math" w:hAnsi="Cambria Math"/>
                  <w:i/>
                  <w:lang w:val="en-GB"/>
                </w:rPr>
              </m:ctrlPr>
            </m:naryPr>
            <m:sub/>
            <m:sup/>
            <m:e>
              <m:d>
                <m:dPr>
                  <m:ctrlPr>
                    <w:rPr>
                      <w:rFonts w:ascii="Cambria Math" w:hAnsi="Cambria Math"/>
                      <w:i/>
                      <w:lang w:val="en-GB"/>
                    </w:rPr>
                  </m:ctrlPr>
                </m:dPr>
                <m:e>
                  <m:r>
                    <m:rPr>
                      <m:nor/>
                    </m:rPr>
                    <w:rPr>
                      <w:i/>
                      <w:lang w:val="fr-FR"/>
                    </w:rPr>
                    <m:t>VAB</m:t>
                  </m:r>
                </m:e>
              </m:d>
            </m:e>
          </m:nary>
          <m:r>
            <w:rPr>
              <w:rFonts w:ascii="Cambria Math" w:hAnsi="Cambria Math"/>
              <w:lang w:val="fr-FR"/>
            </w:rPr>
            <m:t>+</m:t>
          </m:r>
          <m:r>
            <m:rPr>
              <m:nor/>
            </m:rPr>
            <w:rPr>
              <w:i/>
              <w:lang w:val="fr-FR"/>
            </w:rPr>
            <m:t>M</m:t>
          </m:r>
          <m:r>
            <w:rPr>
              <w:rFonts w:ascii="Cambria Math" w:hAnsi="Cambria Math"/>
              <w:lang w:val="fr-FR"/>
            </w:rPr>
            <m:t>+</m:t>
          </m:r>
          <m:r>
            <m:rPr>
              <m:nor/>
            </m:rPr>
            <w:rPr>
              <w:i/>
              <w:lang w:val="fr-FR"/>
            </w:rPr>
            <m:t>CI</m:t>
          </m:r>
          <m:r>
            <w:rPr>
              <w:rFonts w:ascii="Cambria Math" w:hAnsi="Cambria Math"/>
              <w:lang w:val="fr-FR"/>
            </w:rPr>
            <m:t>=</m:t>
          </m:r>
          <m:r>
            <m:rPr>
              <m:nor/>
            </m:rPr>
            <w:rPr>
              <w:i/>
              <w:lang w:val="fr-FR"/>
            </w:rPr>
            <m:t>ET</m:t>
          </m:r>
        </m:oMath>
      </m:oMathPara>
    </w:p>
    <w:p w14:paraId="60F666C7" w14:textId="60099D09" w:rsidR="005D48D5" w:rsidRPr="0043551D" w:rsidRDefault="0043551D" w:rsidP="005D48D5">
      <w:pPr>
        <w:tabs>
          <w:tab w:val="left" w:pos="2370"/>
        </w:tabs>
        <w:jc w:val="center"/>
        <w:rPr>
          <w:lang w:val="fr-FR"/>
          <w:oMath/>
        </w:rPr>
      </w:pPr>
      <m:oMathPara>
        <m:oMath>
          <m:r>
            <m:rPr>
              <m:nor/>
            </m:rPr>
            <w:rPr>
              <w:i/>
              <w:lang w:val="fr-FR"/>
            </w:rPr>
            <m:t>RT</m:t>
          </m:r>
          <m:r>
            <w:rPr>
              <w:rFonts w:ascii="Cambria Math" w:hAnsi="Cambria Math"/>
              <w:lang w:val="fr-FR"/>
            </w:rPr>
            <m:t>=</m:t>
          </m:r>
          <m:r>
            <m:rPr>
              <m:nor/>
            </m:rPr>
            <w:rPr>
              <w:i/>
              <w:lang w:val="fr-FR"/>
            </w:rPr>
            <m:t>ET</m:t>
          </m:r>
        </m:oMath>
      </m:oMathPara>
    </w:p>
    <w:p w14:paraId="7CEDAF31" w14:textId="58296026" w:rsidR="005D48D5" w:rsidRPr="005D48D5" w:rsidRDefault="005D48D5" w:rsidP="007C68A4">
      <w:pPr>
        <w:pStyle w:val="Ttulo3"/>
      </w:pPr>
      <w:bookmarkStart w:id="133" w:name="_Toc83554023"/>
      <w:bookmarkStart w:id="134" w:name="_Toc174116250"/>
      <w:r>
        <w:t>Las cuentas satélite</w:t>
      </w:r>
      <w:bookmarkEnd w:id="133"/>
      <w:bookmarkEnd w:id="134"/>
    </w:p>
    <w:p w14:paraId="4E5E51C1" w14:textId="19BB68A4" w:rsidR="00CD0A05" w:rsidRPr="006401DA" w:rsidRDefault="00CD0A05" w:rsidP="006C0834">
      <w:pPr>
        <w:pStyle w:val="Nivel2SM"/>
        <w:keepNext/>
        <w:spacing w:after="0"/>
        <w:ind w:left="623"/>
      </w:pPr>
      <w:r>
        <w:t xml:space="preserve">Las </w:t>
      </w:r>
      <w:r w:rsidRPr="006401DA">
        <w:rPr>
          <w:i/>
          <w:iCs/>
          <w:u w:val="single"/>
        </w:rPr>
        <w:t>cuentas satélite</w:t>
      </w:r>
      <w:r>
        <w:t xml:space="preserve"> </w:t>
      </w:r>
      <w:r w:rsidRPr="006401DA">
        <w:t xml:space="preserve">surgen como respuesta a la necesidad de ampliar la información contenida en las cuentas anteriores, presentando una </w:t>
      </w:r>
      <w:r w:rsidRPr="005C3BF4">
        <w:rPr>
          <w:i/>
          <w:iCs/>
        </w:rPr>
        <w:t>información más exhaustiva sobre algunos aspect</w:t>
      </w:r>
      <w:r w:rsidRPr="005C3BF4">
        <w:rPr>
          <w:rStyle w:val="Nivel2Car"/>
          <w:i/>
          <w:iCs/>
        </w:rPr>
        <w:t>os en</w:t>
      </w:r>
      <w:r w:rsidRPr="005C3BF4">
        <w:rPr>
          <w:i/>
          <w:iCs/>
        </w:rPr>
        <w:t xml:space="preserve"> sectores fundamentales para una economía</w:t>
      </w:r>
      <w:r w:rsidRPr="006401DA">
        <w:t>.</w:t>
      </w:r>
    </w:p>
    <w:p w14:paraId="055844BA" w14:textId="77777777" w:rsidR="000F38AD" w:rsidRDefault="00CD0A05" w:rsidP="00572862">
      <w:pPr>
        <w:pStyle w:val="Nivel3"/>
        <w:keepNext/>
        <w:ind w:left="1179"/>
      </w:pPr>
      <w:r>
        <w:t>En Es</w:t>
      </w:r>
      <w:r w:rsidRPr="006C0834">
        <w:rPr>
          <w:rStyle w:val="Nivel3Car"/>
        </w:rPr>
        <w:t>paña</w:t>
      </w:r>
      <w:r w:rsidR="000F38AD">
        <w:t xml:space="preserve"> </w:t>
      </w:r>
      <w:r>
        <w:t>destaca</w:t>
      </w:r>
      <w:r w:rsidR="000F38AD">
        <w:t>n:</w:t>
      </w:r>
    </w:p>
    <w:p w14:paraId="1ABA0439" w14:textId="77777777" w:rsidR="00860CC2" w:rsidRDefault="00860CC2" w:rsidP="00572862">
      <w:pPr>
        <w:pStyle w:val="Nivel4"/>
        <w:ind w:left="1616"/>
      </w:pPr>
      <w:r>
        <w:t>Cuentas del turismo</w:t>
      </w:r>
    </w:p>
    <w:p w14:paraId="06E134F9" w14:textId="77777777" w:rsidR="003031E9" w:rsidRDefault="003031E9" w:rsidP="00572862">
      <w:pPr>
        <w:pStyle w:val="Nivel4"/>
        <w:ind w:left="1616"/>
      </w:pPr>
      <w:r>
        <w:t>Cuentas de la agricultura</w:t>
      </w:r>
    </w:p>
    <w:p w14:paraId="11D52BF0" w14:textId="77777777" w:rsidR="003031E9" w:rsidRDefault="003031E9" w:rsidP="00572862">
      <w:pPr>
        <w:pStyle w:val="Nivel4"/>
        <w:ind w:left="1616"/>
      </w:pPr>
      <w:r>
        <w:t>Cuentas del medio ambiente</w:t>
      </w:r>
    </w:p>
    <w:p w14:paraId="6A4903C2" w14:textId="77777777" w:rsidR="003031E9" w:rsidRDefault="003031E9" w:rsidP="00572862">
      <w:pPr>
        <w:pStyle w:val="Nivel4"/>
        <w:ind w:left="1616"/>
      </w:pPr>
      <w:r>
        <w:t>Cuentas de la salud</w:t>
      </w:r>
    </w:p>
    <w:p w14:paraId="5866F50D" w14:textId="29371A41" w:rsidR="005D48D5" w:rsidRDefault="005D48D5" w:rsidP="005D48D5">
      <w:pPr>
        <w:pStyle w:val="Ttulo3"/>
      </w:pPr>
      <w:bookmarkStart w:id="135" w:name="_Toc83554024"/>
      <w:bookmarkStart w:id="136" w:name="_Toc174116251"/>
      <w:r>
        <w:t>Cuentas regionales</w:t>
      </w:r>
      <w:bookmarkEnd w:id="135"/>
      <w:bookmarkEnd w:id="136"/>
    </w:p>
    <w:p w14:paraId="00B8E085" w14:textId="2FC08D52" w:rsidR="005D48D5" w:rsidRPr="005D48D5" w:rsidRDefault="005D48D5" w:rsidP="006C0834">
      <w:pPr>
        <w:pStyle w:val="Nivel2SM"/>
        <w:ind w:left="623"/>
      </w:pPr>
      <w:r>
        <w:t>Ofrece i</w:t>
      </w:r>
      <w:r w:rsidRPr="006C0834">
        <w:rPr>
          <w:rStyle w:val="Nivel2Car"/>
        </w:rPr>
        <w:t>n</w:t>
      </w:r>
      <w:r>
        <w:t>formación a nivel autonómico y provincial.</w:t>
      </w:r>
    </w:p>
    <w:p w14:paraId="337D5810" w14:textId="35DF3786" w:rsidR="005D48D5" w:rsidRDefault="005D48D5" w:rsidP="005D48D5">
      <w:pPr>
        <w:pStyle w:val="Ttulo3"/>
      </w:pPr>
      <w:bookmarkStart w:id="137" w:name="_Toc83554025"/>
      <w:bookmarkStart w:id="138" w:name="_Toc174116252"/>
      <w:r>
        <w:t>Cuentas trimestrales</w:t>
      </w:r>
      <w:bookmarkEnd w:id="137"/>
      <w:bookmarkEnd w:id="138"/>
    </w:p>
    <w:p w14:paraId="780A9E40" w14:textId="785A4D55" w:rsidR="005D48D5" w:rsidRPr="005D48D5" w:rsidRDefault="005D48D5" w:rsidP="006C0834">
      <w:pPr>
        <w:pStyle w:val="Nivel2SM"/>
        <w:ind w:left="623"/>
      </w:pPr>
      <w:r>
        <w:t>Es una</w:t>
      </w:r>
      <w:r w:rsidRPr="006C0834">
        <w:rPr>
          <w:rStyle w:val="Nivel2Car"/>
        </w:rPr>
        <w:t xml:space="preserve"> estadística</w:t>
      </w:r>
      <w:r>
        <w:t xml:space="preserve"> de síntesis, de carácter coyuntural, que trata de ofrecer información con mayor frecuencia que la contabilidad nacional anual.</w:t>
      </w:r>
    </w:p>
    <w:p w14:paraId="559F73C4" w14:textId="77777777" w:rsidR="00342648" w:rsidRDefault="00342648" w:rsidP="00B9022F">
      <w:pPr>
        <w:pStyle w:val="Introduccinyconclusin"/>
      </w:pPr>
      <w:bookmarkStart w:id="139" w:name="_Toc55381925"/>
      <w:bookmarkStart w:id="140" w:name="_Toc55382060"/>
      <w:bookmarkStart w:id="141" w:name="_Toc55382095"/>
      <w:bookmarkStart w:id="142" w:name="_Toc55382523"/>
      <w:r>
        <w:lastRenderedPageBreak/>
        <w:t>CONCLUSIÓN</w:t>
      </w:r>
      <w:bookmarkEnd w:id="139"/>
      <w:bookmarkEnd w:id="140"/>
      <w:bookmarkEnd w:id="141"/>
      <w:bookmarkEnd w:id="142"/>
    </w:p>
    <w:p w14:paraId="6128FB3F" w14:textId="52ABB09F" w:rsidR="002E0C48" w:rsidRDefault="00860CC2" w:rsidP="00BC549A">
      <w:pPr>
        <w:pStyle w:val="Nivel1"/>
        <w:keepNext/>
        <w:spacing w:before="0" w:after="0"/>
      </w:pPr>
      <w:r w:rsidRPr="00C27B3E">
        <w:rPr>
          <w:b/>
          <w:bCs/>
          <w:i/>
          <w:iCs/>
        </w:rPr>
        <w:t>Recapitulación (</w:t>
      </w:r>
      <w:r w:rsidR="00EB707E" w:rsidRPr="00C27B3E">
        <w:rPr>
          <w:b/>
          <w:bCs/>
          <w:i/>
          <w:iCs/>
        </w:rPr>
        <w:t>Ideas clave</w:t>
      </w:r>
      <w:r w:rsidRPr="00C27B3E">
        <w:rPr>
          <w:b/>
          <w:bCs/>
          <w:i/>
          <w:iCs/>
        </w:rPr>
        <w:t>)</w:t>
      </w:r>
      <w:r w:rsidR="002E0C48">
        <w:t>:</w:t>
      </w:r>
    </w:p>
    <w:p w14:paraId="7DFFC6E9" w14:textId="53B4F9D3" w:rsidR="002E0C48" w:rsidRDefault="00C27B3E" w:rsidP="000C239E">
      <w:pPr>
        <w:pStyle w:val="Nivel2"/>
      </w:pPr>
      <w:r>
        <w:t>En esta exposición</w:t>
      </w:r>
      <w:r w:rsidR="003031E9">
        <w:t>, hemos presentado los agregados macroeconómicos</w:t>
      </w:r>
      <w:r>
        <w:t xml:space="preserve"> en el contexto del Sistema Europeo de Cuentas de 2010</w:t>
      </w:r>
      <w:r w:rsidR="003031E9">
        <w:t>.</w:t>
      </w:r>
    </w:p>
    <w:p w14:paraId="587ECCEF" w14:textId="77777777" w:rsidR="005E53B9" w:rsidRDefault="002E0C48" w:rsidP="00C27B3E">
      <w:pPr>
        <w:pStyle w:val="Nivel1"/>
        <w:keepNext/>
        <w:spacing w:after="0"/>
      </w:pPr>
      <w:r w:rsidRPr="00C27B3E">
        <w:rPr>
          <w:b/>
          <w:bCs/>
          <w:i/>
          <w:iCs/>
        </w:rPr>
        <w:t>Relevancia</w:t>
      </w:r>
      <w:r>
        <w:t>:</w:t>
      </w:r>
    </w:p>
    <w:p w14:paraId="7FCD1E2B" w14:textId="77777777" w:rsidR="005C3BF4" w:rsidRDefault="005C3BF4" w:rsidP="005C3BF4">
      <w:pPr>
        <w:pStyle w:val="Nivel2"/>
        <w:keepNext/>
        <w:spacing w:after="0"/>
      </w:pPr>
      <w:r>
        <w:t>El Sistema de Cuentas Nacionales permite caracterizar la actividad productiva de una economía, analizar su posición cíclica e identificar la sostenibilidad interna y externa.</w:t>
      </w:r>
    </w:p>
    <w:p w14:paraId="7B0B5B7E" w14:textId="77777777" w:rsidR="005C3BF4" w:rsidRDefault="005C3BF4" w:rsidP="005C3BF4">
      <w:pPr>
        <w:pStyle w:val="Nivel3"/>
      </w:pPr>
      <w:r>
        <w:t>Por lo tanto, resulta fundamental para el análisis macroeconómico y para orientar y evaluar las políticas económicas.</w:t>
      </w:r>
    </w:p>
    <w:p w14:paraId="7DC1E4FC" w14:textId="77777777" w:rsidR="005C3BF4" w:rsidRDefault="005C3BF4" w:rsidP="005C3BF4">
      <w:pPr>
        <w:pStyle w:val="Nivel3"/>
      </w:pPr>
      <w:r>
        <w:t>Además, permite la comparación homogénea entre países y, en el contexto europeo, la articulación de las políticas de la Unión Europea.</w:t>
      </w:r>
    </w:p>
    <w:p w14:paraId="04862F9A" w14:textId="77777777" w:rsidR="00342648" w:rsidRDefault="002E0C48" w:rsidP="00C27B3E">
      <w:pPr>
        <w:pStyle w:val="Nivel1"/>
        <w:keepNext/>
        <w:spacing w:after="0"/>
      </w:pPr>
      <w:r w:rsidRPr="00C27B3E">
        <w:rPr>
          <w:b/>
          <w:bCs/>
          <w:i/>
          <w:iCs/>
        </w:rPr>
        <w:t>E</w:t>
      </w:r>
      <w:r w:rsidR="00EB707E" w:rsidRPr="00C27B3E">
        <w:rPr>
          <w:b/>
          <w:bCs/>
          <w:i/>
          <w:iCs/>
        </w:rPr>
        <w:t>xtensiones y relación con otras partes del temario</w:t>
      </w:r>
      <w:r>
        <w:t>:</w:t>
      </w:r>
    </w:p>
    <w:p w14:paraId="2ADCE331" w14:textId="589849F4" w:rsidR="00D564BC" w:rsidRDefault="008C6957" w:rsidP="008C6957">
      <w:pPr>
        <w:pStyle w:val="Nivel2"/>
        <w:keepNext/>
        <w:spacing w:after="0"/>
      </w:pPr>
      <w:r>
        <w:t>El poder explicativo de las macromagnitudes ha sido criticado por diversos motivos:</w:t>
      </w:r>
    </w:p>
    <w:p w14:paraId="4F0E4B7F" w14:textId="01AE21A4" w:rsidR="008C6957" w:rsidRDefault="008C6957" w:rsidP="008C6957">
      <w:pPr>
        <w:pStyle w:val="Nivel3"/>
        <w:keepNext/>
      </w:pPr>
      <w:r>
        <w:rPr>
          <w:i/>
          <w:iCs/>
        </w:rPr>
        <w:t>Economía sumergida</w:t>
      </w:r>
      <w:r>
        <w:t>: es necesario precisar que estas cuentas no incluyen la economía sumergida, cuya existencia hace que dispongamos de información errónea sobre el funcionamiento de la economía:</w:t>
      </w:r>
    </w:p>
    <w:p w14:paraId="104D53CB" w14:textId="6F72CEB1" w:rsidR="008C6957" w:rsidRDefault="008C6957" w:rsidP="008C6957">
      <w:pPr>
        <w:pStyle w:val="Nivel4"/>
      </w:pPr>
      <w:r>
        <w:t>Se subestiman los niveles reales de producción y empleo;</w:t>
      </w:r>
    </w:p>
    <w:p w14:paraId="22706187" w14:textId="5C38D5E4" w:rsidR="008C6957" w:rsidRDefault="008C6957" w:rsidP="008C6957">
      <w:pPr>
        <w:pStyle w:val="Nivel4"/>
      </w:pPr>
      <w:r>
        <w:t>Se lleva a cabo un reparto inexacto de la carga fiscal; y</w:t>
      </w:r>
    </w:p>
    <w:p w14:paraId="5FB8B486" w14:textId="1625FF50" w:rsidR="008C6957" w:rsidRDefault="008C6957" w:rsidP="008C6957">
      <w:pPr>
        <w:pStyle w:val="Nivel4"/>
      </w:pPr>
      <w:r>
        <w:t>La política económica se puede llevar a cabo basándose en estimaciones incorrectas.</w:t>
      </w:r>
    </w:p>
    <w:p w14:paraId="4AC066DF" w14:textId="30128079" w:rsidR="008C6957" w:rsidRDefault="008C6957" w:rsidP="008C6957">
      <w:pPr>
        <w:pStyle w:val="Nivel3"/>
      </w:pPr>
      <w:r>
        <w:rPr>
          <w:i/>
          <w:iCs/>
        </w:rPr>
        <w:t>PIB utilizado como medida del bienestar</w:t>
      </w:r>
      <w:r w:rsidR="004D354F" w:rsidRPr="004D354F">
        <w:t xml:space="preserve"> </w:t>
      </w:r>
      <w:r w:rsidR="004D354F" w:rsidRPr="004D354F">
        <w:rPr>
          <w:color w:val="767171" w:themeColor="background2" w:themeShade="80"/>
          <w:sz w:val="19"/>
          <w:szCs w:val="19"/>
        </w:rPr>
        <w:t>[ver Anexo</w:t>
      </w:r>
      <w:r w:rsidR="00D41E30">
        <w:rPr>
          <w:color w:val="767171" w:themeColor="background2" w:themeShade="80"/>
          <w:sz w:val="19"/>
          <w:szCs w:val="19"/>
        </w:rPr>
        <w:t> </w:t>
      </w:r>
      <w:r w:rsidR="004D354F" w:rsidRPr="004D354F">
        <w:rPr>
          <w:color w:val="767171" w:themeColor="background2" w:themeShade="80"/>
          <w:sz w:val="19"/>
          <w:szCs w:val="19"/>
        </w:rPr>
        <w:fldChar w:fldCharType="begin"/>
      </w:r>
      <w:r w:rsidR="004D354F" w:rsidRPr="004D354F">
        <w:rPr>
          <w:color w:val="767171" w:themeColor="background2" w:themeShade="80"/>
          <w:sz w:val="19"/>
          <w:szCs w:val="19"/>
        </w:rPr>
        <w:instrText xml:space="preserve"> REF _Ref103163548 \r \h </w:instrText>
      </w:r>
      <w:r w:rsidR="004D354F">
        <w:rPr>
          <w:color w:val="767171" w:themeColor="background2" w:themeShade="80"/>
          <w:sz w:val="19"/>
          <w:szCs w:val="19"/>
        </w:rPr>
        <w:instrText xml:space="preserve"> \* MERGEFORMAT </w:instrText>
      </w:r>
      <w:r w:rsidR="004D354F" w:rsidRPr="004D354F">
        <w:rPr>
          <w:color w:val="767171" w:themeColor="background2" w:themeShade="80"/>
          <w:sz w:val="19"/>
          <w:szCs w:val="19"/>
        </w:rPr>
      </w:r>
      <w:r w:rsidR="004D354F" w:rsidRPr="004D354F">
        <w:rPr>
          <w:color w:val="767171" w:themeColor="background2" w:themeShade="80"/>
          <w:sz w:val="19"/>
          <w:szCs w:val="19"/>
        </w:rPr>
        <w:fldChar w:fldCharType="separate"/>
      </w:r>
      <w:r w:rsidR="001A65F8">
        <w:rPr>
          <w:color w:val="767171" w:themeColor="background2" w:themeShade="80"/>
          <w:sz w:val="19"/>
          <w:szCs w:val="19"/>
        </w:rPr>
        <w:t>A.6</w:t>
      </w:r>
      <w:r w:rsidR="004D354F" w:rsidRPr="004D354F">
        <w:rPr>
          <w:color w:val="767171" w:themeColor="background2" w:themeShade="80"/>
          <w:sz w:val="19"/>
          <w:szCs w:val="19"/>
        </w:rPr>
        <w:fldChar w:fldCharType="end"/>
      </w:r>
      <w:r w:rsidR="004D354F" w:rsidRPr="004D354F">
        <w:rPr>
          <w:color w:val="767171" w:themeColor="background2" w:themeShade="80"/>
          <w:sz w:val="19"/>
          <w:szCs w:val="19"/>
        </w:rPr>
        <w:t>]</w:t>
      </w:r>
      <w:r>
        <w:t>:</w:t>
      </w:r>
    </w:p>
    <w:p w14:paraId="701CE4CE" w14:textId="667D3424" w:rsidR="008C6957" w:rsidRDefault="008C6957" w:rsidP="008C6957">
      <w:pPr>
        <w:pStyle w:val="Nivel3"/>
      </w:pPr>
      <w:r>
        <w:rPr>
          <w:i/>
          <w:iCs/>
        </w:rPr>
        <w:t>Supone una simplificación excesiva</w:t>
      </w:r>
      <w:r>
        <w:t>: El análisis de las macromagnitudes es sin duda útil, pero se considera una simplificación excesiva de la realidad.</w:t>
      </w:r>
    </w:p>
    <w:p w14:paraId="41CBD9E2" w14:textId="152345DB" w:rsidR="00860CC2" w:rsidRDefault="00860CC2" w:rsidP="00C27B3E">
      <w:pPr>
        <w:pStyle w:val="Nivel1"/>
        <w:keepNext/>
        <w:spacing w:after="0"/>
      </w:pPr>
      <w:r>
        <w:rPr>
          <w:b/>
          <w:bCs/>
          <w:i/>
          <w:iCs/>
        </w:rPr>
        <w:t>Opinión</w:t>
      </w:r>
      <w:r>
        <w:t>:</w:t>
      </w:r>
    </w:p>
    <w:p w14:paraId="053BAD6A" w14:textId="77777777" w:rsidR="00860CC2" w:rsidRDefault="00860CC2" w:rsidP="00860CC2">
      <w:pPr>
        <w:pStyle w:val="Nivel2"/>
      </w:pPr>
    </w:p>
    <w:p w14:paraId="6D1B1C76" w14:textId="7BE0515F" w:rsidR="00860CC2" w:rsidRDefault="00860CC2" w:rsidP="00C27B3E">
      <w:pPr>
        <w:pStyle w:val="Nivel1"/>
        <w:keepNext/>
        <w:spacing w:after="0"/>
      </w:pPr>
      <w:r>
        <w:rPr>
          <w:b/>
          <w:bCs/>
          <w:i/>
          <w:iCs/>
        </w:rPr>
        <w:t>Idea final (Salida o cierre)</w:t>
      </w:r>
      <w:r>
        <w:t>:</w:t>
      </w:r>
    </w:p>
    <w:p w14:paraId="679EA91D" w14:textId="0D474D11" w:rsidR="00860CC2" w:rsidRDefault="00440EDE" w:rsidP="00860CC2">
      <w:pPr>
        <w:pStyle w:val="Nivel2"/>
      </w:pPr>
      <w:r>
        <w:t>En definitiva, un análisis riguroso de la capacidad productiva de una economía debe partir de la contabilidad nacional. Ahora bien, el análisis de coyuntura de la contabilidad nacional debe ser complementado con un análisis del sector exterior, realizado mediante la balanza de pagos y la posición de inversión internacional</w:t>
      </w:r>
      <w:r w:rsidR="0003739C">
        <w:t xml:space="preserve"> </w:t>
      </w:r>
      <w:r w:rsidR="0003739C" w:rsidRPr="0003739C">
        <w:rPr>
          <w:color w:val="767171" w:themeColor="background2" w:themeShade="80"/>
          <w:sz w:val="19"/>
          <w:szCs w:val="19"/>
        </w:rPr>
        <w:t>[ver tema 3.B.1</w:t>
      </w:r>
      <w:r w:rsidR="00D41E30">
        <w:rPr>
          <w:color w:val="767171" w:themeColor="background2" w:themeShade="80"/>
          <w:sz w:val="19"/>
          <w:szCs w:val="19"/>
        </w:rPr>
        <w:t>1</w:t>
      </w:r>
      <w:r w:rsidR="0003739C" w:rsidRPr="0003739C">
        <w:rPr>
          <w:color w:val="767171" w:themeColor="background2" w:themeShade="80"/>
          <w:sz w:val="19"/>
          <w:szCs w:val="19"/>
        </w:rPr>
        <w:t>]</w:t>
      </w:r>
      <w:r>
        <w:t>.</w:t>
      </w:r>
    </w:p>
    <w:p w14:paraId="018A77E9" w14:textId="53A592FB" w:rsidR="00860CC2" w:rsidRDefault="00860CC2">
      <w:pPr>
        <w:spacing w:after="160"/>
        <w:jc w:val="left"/>
      </w:pPr>
      <w:r>
        <w:br w:type="page"/>
      </w:r>
    </w:p>
    <w:p w14:paraId="77048F45" w14:textId="038FCFD0" w:rsidR="00342648" w:rsidRDefault="00342648" w:rsidP="00342648">
      <w:pPr>
        <w:pStyle w:val="Ttulo4"/>
      </w:pPr>
      <w:r>
        <w:lastRenderedPageBreak/>
        <w:t>Bibliografía</w:t>
      </w:r>
    </w:p>
    <w:p w14:paraId="284CD717" w14:textId="71CCACC8" w:rsidR="000C0979" w:rsidRDefault="000C0979" w:rsidP="00FD13D3">
      <w:r>
        <w:t>Tema ICEX-CECO</w:t>
      </w:r>
    </w:p>
    <w:p w14:paraId="7B19539E" w14:textId="6FF64ACD" w:rsidR="00196694" w:rsidRDefault="00FD13D3" w:rsidP="00196694">
      <w:pPr>
        <w:spacing w:line="240" w:lineRule="auto"/>
        <w:jc w:val="left"/>
        <w:rPr>
          <w:rStyle w:val="Hipervnculo"/>
        </w:rPr>
      </w:pPr>
      <w:r>
        <w:t xml:space="preserve">Muñoz </w:t>
      </w:r>
      <w:proofErr w:type="spellStart"/>
      <w:r>
        <w:t>Cidad</w:t>
      </w:r>
      <w:proofErr w:type="spellEnd"/>
      <w:r>
        <w:t xml:space="preserve">, C., </w:t>
      </w:r>
      <w:proofErr w:type="spellStart"/>
      <w:r>
        <w:t>Iráizoz</w:t>
      </w:r>
      <w:proofErr w:type="spellEnd"/>
      <w:r>
        <w:t xml:space="preserve"> </w:t>
      </w:r>
      <w:proofErr w:type="spellStart"/>
      <w:r>
        <w:t>Apezteguía</w:t>
      </w:r>
      <w:proofErr w:type="spellEnd"/>
      <w:r>
        <w:t xml:space="preserve">, B. &amp; </w:t>
      </w:r>
      <w:proofErr w:type="spellStart"/>
      <w:r>
        <w:t>Rapún</w:t>
      </w:r>
      <w:proofErr w:type="spellEnd"/>
      <w:r>
        <w:t xml:space="preserve"> Gárate, M. (2020). </w:t>
      </w:r>
      <w:r>
        <w:rPr>
          <w:i/>
          <w:iCs/>
        </w:rPr>
        <w:t>Introducción a la economía aplicada: Magnitudes y cuentas económicas</w:t>
      </w:r>
      <w:r>
        <w:t>.</w:t>
      </w:r>
      <w:r w:rsidR="00196694">
        <w:t xml:space="preserve"> Capítulos 6, 7 y 8. </w:t>
      </w:r>
      <w:hyperlink r:id="rId33" w:history="1">
        <w:r w:rsidR="00436A74" w:rsidRPr="00436A74">
          <w:rPr>
            <w:rStyle w:val="Hipervnculo"/>
          </w:rPr>
          <w:t>https://proview.thomsonreuters.com/launchapp/title/aranz/monografias/116004025/v6/page/RB-6.1</w:t>
        </w:r>
      </w:hyperlink>
    </w:p>
    <w:p w14:paraId="7B2C9A4F" w14:textId="321EBD33" w:rsidR="00FA516E" w:rsidRDefault="00FA516E" w:rsidP="00FA516E">
      <w:pPr>
        <w:ind w:right="-72"/>
        <w:rPr>
          <w:spacing w:val="-5"/>
        </w:rPr>
      </w:pPr>
      <w:r w:rsidRPr="00D62638">
        <w:rPr>
          <w:spacing w:val="-6"/>
          <w:lang w:val="en-US"/>
        </w:rPr>
        <w:t>International Monetary Fund</w:t>
      </w:r>
      <w:r w:rsidRPr="00D62638">
        <w:rPr>
          <w:spacing w:val="-5"/>
          <w:lang w:val="en-US"/>
        </w:rPr>
        <w:t xml:space="preserve"> (2013</w:t>
      </w:r>
      <w:r>
        <w:rPr>
          <w:spacing w:val="-5"/>
          <w:lang w:val="en-US"/>
        </w:rPr>
        <w:t>).</w:t>
      </w:r>
      <w:r w:rsidRPr="00D62638">
        <w:rPr>
          <w:spacing w:val="-5"/>
          <w:lang w:val="en-US"/>
        </w:rPr>
        <w:t xml:space="preserve"> </w:t>
      </w:r>
      <w:hyperlink r:id="rId34" w:history="1">
        <w:r w:rsidRPr="00D62638">
          <w:rPr>
            <w:rStyle w:val="Hipervnculo"/>
            <w:spacing w:val="-5"/>
            <w:lang w:val="en-US"/>
          </w:rPr>
          <w:t>Analytical and methodological background for a country case study</w:t>
        </w:r>
      </w:hyperlink>
      <w:r w:rsidRPr="00D62638">
        <w:rPr>
          <w:rStyle w:val="Hipervnculo"/>
          <w:color w:val="auto"/>
          <w:spacing w:val="-5"/>
          <w:u w:val="none"/>
          <w:lang w:val="en-US"/>
        </w:rPr>
        <w:t xml:space="preserve">. </w:t>
      </w:r>
      <w:r w:rsidRPr="000A4004">
        <w:rPr>
          <w:rStyle w:val="Hipervnculo"/>
          <w:i/>
          <w:iCs/>
          <w:color w:val="auto"/>
          <w:spacing w:val="-5"/>
          <w:u w:val="none"/>
        </w:rPr>
        <w:t xml:space="preserve">IMF </w:t>
      </w:r>
      <w:proofErr w:type="spellStart"/>
      <w:r w:rsidRPr="000A4004">
        <w:rPr>
          <w:rStyle w:val="Hipervnculo"/>
          <w:i/>
          <w:iCs/>
          <w:color w:val="auto"/>
          <w:spacing w:val="-5"/>
          <w:u w:val="none"/>
        </w:rPr>
        <w:t>Institute</w:t>
      </w:r>
      <w:proofErr w:type="spellEnd"/>
      <w:r w:rsidRPr="000A4004">
        <w:rPr>
          <w:rStyle w:val="Hipervnculo"/>
          <w:i/>
          <w:iCs/>
          <w:color w:val="auto"/>
          <w:spacing w:val="-5"/>
          <w:u w:val="none"/>
        </w:rPr>
        <w:t xml:space="preserve"> </w:t>
      </w:r>
      <w:proofErr w:type="spellStart"/>
      <w:r w:rsidRPr="000A4004">
        <w:rPr>
          <w:rStyle w:val="Hipervnculo"/>
          <w:i/>
          <w:iCs/>
          <w:color w:val="auto"/>
          <w:spacing w:val="-5"/>
          <w:u w:val="none"/>
        </w:rPr>
        <w:t>for</w:t>
      </w:r>
      <w:proofErr w:type="spellEnd"/>
      <w:r w:rsidRPr="000A4004">
        <w:rPr>
          <w:rStyle w:val="Hipervnculo"/>
          <w:i/>
          <w:iCs/>
          <w:color w:val="auto"/>
          <w:spacing w:val="-5"/>
          <w:u w:val="none"/>
        </w:rPr>
        <w:t xml:space="preserve"> </w:t>
      </w:r>
      <w:proofErr w:type="spellStart"/>
      <w:r w:rsidRPr="000A4004">
        <w:rPr>
          <w:rStyle w:val="Hipervnculo"/>
          <w:i/>
          <w:iCs/>
          <w:color w:val="auto"/>
          <w:spacing w:val="-5"/>
          <w:u w:val="none"/>
        </w:rPr>
        <w:t>Capacity</w:t>
      </w:r>
      <w:proofErr w:type="spellEnd"/>
      <w:r w:rsidRPr="000A4004">
        <w:rPr>
          <w:rStyle w:val="Hipervnculo"/>
          <w:i/>
          <w:iCs/>
          <w:color w:val="auto"/>
          <w:spacing w:val="-5"/>
          <w:u w:val="none"/>
        </w:rPr>
        <w:t xml:space="preserve"> </w:t>
      </w:r>
      <w:proofErr w:type="spellStart"/>
      <w:r w:rsidRPr="000A4004">
        <w:rPr>
          <w:rStyle w:val="Hipervnculo"/>
          <w:i/>
          <w:iCs/>
          <w:color w:val="auto"/>
          <w:spacing w:val="-5"/>
          <w:u w:val="none"/>
        </w:rPr>
        <w:t>Development</w:t>
      </w:r>
      <w:proofErr w:type="spellEnd"/>
      <w:r w:rsidRPr="000A4004">
        <w:rPr>
          <w:rStyle w:val="Hipervnculo"/>
          <w:color w:val="auto"/>
          <w:spacing w:val="-5"/>
          <w:u w:val="none"/>
        </w:rPr>
        <w:t>.</w:t>
      </w:r>
      <w:r w:rsidRPr="000A4004">
        <w:rPr>
          <w:spacing w:val="-5"/>
        </w:rPr>
        <w:t xml:space="preserve"> </w:t>
      </w:r>
      <w:proofErr w:type="spellStart"/>
      <w:r w:rsidRPr="000A4004">
        <w:rPr>
          <w:spacing w:val="-5"/>
        </w:rPr>
        <w:t>Chapter</w:t>
      </w:r>
      <w:proofErr w:type="spellEnd"/>
      <w:r w:rsidRPr="000A4004">
        <w:rPr>
          <w:spacing w:val="-5"/>
        </w:rPr>
        <w:t xml:space="preserve"> 2.</w:t>
      </w:r>
    </w:p>
    <w:p w14:paraId="6FC6EDCE" w14:textId="36075F6C" w:rsidR="00E14C08" w:rsidRPr="000A4004" w:rsidRDefault="00E14C08" w:rsidP="00FA516E">
      <w:pPr>
        <w:ind w:right="-72"/>
        <w:rPr>
          <w:spacing w:val="-5"/>
        </w:rPr>
      </w:pPr>
      <w:r>
        <w:rPr>
          <w:spacing w:val="-5"/>
        </w:rPr>
        <w:t>Tema Juan Luis Cordero Tarifa</w:t>
      </w:r>
    </w:p>
    <w:p w14:paraId="12FF5DA9" w14:textId="0A4FA028" w:rsidR="00196694" w:rsidRDefault="006566C7" w:rsidP="00196694">
      <w:pPr>
        <w:spacing w:line="240" w:lineRule="auto"/>
        <w:rPr>
          <w:rStyle w:val="Hipervnculo"/>
          <w:noProof/>
          <w:color w:val="auto"/>
          <w:u w:val="none"/>
        </w:rPr>
      </w:pPr>
      <w:r>
        <w:t xml:space="preserve">Sistema Europeo de Cuentas </w:t>
      </w:r>
      <w:r w:rsidR="00BC549A">
        <w:t>SEC 2010</w:t>
      </w:r>
      <w:r>
        <w:t>, publicado por Eurostat</w:t>
      </w:r>
      <w:r w:rsidR="00867429">
        <w:t xml:space="preserve"> (Reglamento 459/2013) – el </w:t>
      </w:r>
      <w:hyperlink r:id="rId35" w:history="1">
        <w:r w:rsidR="00867429" w:rsidRPr="00A3694B">
          <w:rPr>
            <w:rStyle w:val="Hipervnculo"/>
            <w:rFonts w:cs="Times New Roman"/>
            <w:shd w:val="clear" w:color="auto" w:fill="FFFFFF"/>
          </w:rPr>
          <w:t>Anexo A</w:t>
        </w:r>
      </w:hyperlink>
      <w:r w:rsidR="00867429" w:rsidRPr="00867429">
        <w:rPr>
          <w:rFonts w:cs="Times New Roman"/>
          <w:color w:val="000000"/>
          <w:shd w:val="clear" w:color="auto" w:fill="FFFFFF"/>
        </w:rPr>
        <w:t xml:space="preserve"> es sorprendentemente muy explicativo</w:t>
      </w:r>
      <w:r>
        <w:t>.</w:t>
      </w:r>
      <w:r w:rsidR="00196694">
        <w:t xml:space="preserve"> </w:t>
      </w:r>
      <w:hyperlink r:id="rId36" w:history="1">
        <w:r w:rsidR="00196694" w:rsidRPr="009C36A2">
          <w:rPr>
            <w:rStyle w:val="Hipervnculo"/>
          </w:rPr>
          <w:t>https://www.boe.es/doue/2013/174/L00001-00727.pdf</w:t>
        </w:r>
      </w:hyperlink>
    </w:p>
    <w:p w14:paraId="1BAD820D" w14:textId="679615D5" w:rsidR="00196694" w:rsidRDefault="00000000" w:rsidP="00196694">
      <w:pPr>
        <w:pStyle w:val="Nivel2"/>
        <w:ind w:left="851"/>
        <w:rPr>
          <w:noProof/>
        </w:rPr>
      </w:pPr>
      <w:hyperlink r:id="rId37" w:history="1">
        <w:r w:rsidR="00462980" w:rsidRPr="00196694">
          <w:rPr>
            <w:rStyle w:val="Hipervnculo"/>
          </w:rPr>
          <w:t>Capítulo 1</w:t>
        </w:r>
      </w:hyperlink>
      <w:r w:rsidR="00462980">
        <w:t xml:space="preserve"> (Características generales y principios fundamentales</w:t>
      </w:r>
      <w:r w:rsidR="00196694">
        <w:t xml:space="preserve"> – Este capítulo es la base del tema, consta de rigor y de los apartados fundamentales que hay que mencionar</w:t>
      </w:r>
      <w:r w:rsidR="00462980">
        <w:t>)</w:t>
      </w:r>
      <w:r w:rsidR="00196694">
        <w:t xml:space="preserve"> Es importante desarrollar la cuentas (ver tema ICEX-CECO o </w:t>
      </w:r>
      <w:r w:rsidR="00196694">
        <w:rPr>
          <w:i/>
          <w:iCs/>
        </w:rPr>
        <w:t>Introducción a la economía aplicada: Magnitudes y cuentas económicas</w:t>
      </w:r>
      <w:r w:rsidR="00196694">
        <w:t>)</w:t>
      </w:r>
    </w:p>
    <w:p w14:paraId="433C3FB9" w14:textId="7164C2BF" w:rsidR="00196694" w:rsidRDefault="00196694" w:rsidP="00196694">
      <w:pPr>
        <w:pStyle w:val="Nivel2"/>
        <w:ind w:left="851"/>
        <w:rPr>
          <w:noProof/>
        </w:rPr>
      </w:pPr>
      <w:r>
        <w:t>Capítulo</w:t>
      </w:r>
      <w:r w:rsidR="00462980">
        <w:t xml:space="preserve"> 8 (Sucesión de cuentas)</w:t>
      </w:r>
      <w:r>
        <w:t xml:space="preserve"> – Nombres oficiales de las cuentas para dar rigor.</w:t>
      </w:r>
    </w:p>
    <w:p w14:paraId="7DA73C77" w14:textId="1207EDEC" w:rsidR="00462980" w:rsidRDefault="00196694" w:rsidP="00196694">
      <w:pPr>
        <w:pStyle w:val="Nivel2"/>
        <w:ind w:left="851"/>
        <w:rPr>
          <w:noProof/>
        </w:rPr>
      </w:pPr>
      <w:r>
        <w:t xml:space="preserve">Capítulo </w:t>
      </w:r>
      <w:r w:rsidR="00462980">
        <w:t>11 (</w:t>
      </w:r>
      <w:r w:rsidR="0071228F">
        <w:t>Población y empleo</w:t>
      </w:r>
      <w:r w:rsidR="00462980">
        <w:t>-</w:t>
      </w:r>
      <w:r w:rsidR="0071228F">
        <w:t xml:space="preserve"> Puede ser interesante para el dictamen de coyuntura</w:t>
      </w:r>
      <w:r w:rsidR="00462980">
        <w:t>)</w:t>
      </w:r>
      <w:r>
        <w:t>.</w:t>
      </w:r>
    </w:p>
    <w:p w14:paraId="3E5E3280" w14:textId="3ED9CFA2" w:rsidR="00867429" w:rsidRDefault="006566C7" w:rsidP="00196694">
      <w:pPr>
        <w:spacing w:line="240" w:lineRule="auto"/>
      </w:pPr>
      <w:proofErr w:type="spellStart"/>
      <w:r>
        <w:t>Lequiller</w:t>
      </w:r>
      <w:proofErr w:type="spellEnd"/>
      <w:r>
        <w:t xml:space="preserve"> y Blades, “</w:t>
      </w:r>
      <w:hyperlink r:id="rId38" w:history="1">
        <w:r w:rsidRPr="00A3694B">
          <w:rPr>
            <w:rStyle w:val="Hipervnculo"/>
            <w:i/>
          </w:rPr>
          <w:t>Comprendiendo las Cuentas Nacionales</w:t>
        </w:r>
      </w:hyperlink>
      <w:r>
        <w:rPr>
          <w:i/>
        </w:rPr>
        <w:t>”</w:t>
      </w:r>
    </w:p>
    <w:p w14:paraId="5C7CA60C" w14:textId="48B3688A" w:rsidR="002908B3" w:rsidRDefault="002908B3" w:rsidP="00342648">
      <w:pPr>
        <w:pStyle w:val="Ttulo4"/>
      </w:pPr>
      <w:r>
        <w:t>Preguntas de otros exámenes</w:t>
      </w:r>
    </w:p>
    <w:p w14:paraId="7F2CBEF5" w14:textId="77777777" w:rsidR="002908B3" w:rsidRPr="002908B3" w:rsidRDefault="002908B3" w:rsidP="002908B3">
      <w:pPr>
        <w:pStyle w:val="Nivel2SM"/>
      </w:pPr>
    </w:p>
    <w:p w14:paraId="502A71FD" w14:textId="488E6994" w:rsidR="002908B3" w:rsidRDefault="002908B3" w:rsidP="00342648">
      <w:pPr>
        <w:pStyle w:val="Ttulo4"/>
      </w:pPr>
      <w:r>
        <w:t>Enlace a preguntas tipo test</w:t>
      </w:r>
    </w:p>
    <w:p w14:paraId="1EAA80A0" w14:textId="1AEE95FE" w:rsidR="002908B3" w:rsidRPr="002908B3" w:rsidRDefault="00000000" w:rsidP="002908B3">
      <w:hyperlink r:id="rId39" w:history="1">
        <w:r w:rsidR="002908B3" w:rsidRPr="00491859">
          <w:rPr>
            <w:rStyle w:val="Hipervnculo"/>
          </w:rPr>
          <w:t>https://www.quia.com/quiz/6550397.html</w:t>
        </w:r>
      </w:hyperlink>
    </w:p>
    <w:p w14:paraId="685A1517" w14:textId="77E9673C" w:rsidR="00342648" w:rsidRDefault="00342648" w:rsidP="00342648">
      <w:pPr>
        <w:pStyle w:val="Ttulo4"/>
      </w:pPr>
      <w:r w:rsidRPr="00342648">
        <w:t>Anexos</w:t>
      </w:r>
    </w:p>
    <w:p w14:paraId="62E8113C" w14:textId="75065CD7" w:rsidR="00342648" w:rsidRDefault="00342648" w:rsidP="00A3694B">
      <w:pPr>
        <w:pStyle w:val="Ttulo5"/>
        <w:rPr>
          <w:u w:val="none"/>
        </w:rPr>
      </w:pPr>
      <w:bookmarkStart w:id="143" w:name="_Ref102983140"/>
      <w:r w:rsidRPr="0002549F">
        <w:t>Anexo</w:t>
      </w:r>
      <w:r w:rsidR="00BC549A">
        <w:t> </w:t>
      </w:r>
      <w:r w:rsidRPr="0002549F">
        <w:t>1</w:t>
      </w:r>
      <w:r w:rsidR="00D564BC">
        <w:rPr>
          <w:i w:val="0"/>
          <w:iCs w:val="0"/>
          <w:u w:val="none"/>
        </w:rPr>
        <w:t>:</w:t>
      </w:r>
      <w:r w:rsidR="00D564BC" w:rsidRPr="00C776C2">
        <w:rPr>
          <w:i w:val="0"/>
          <w:iCs w:val="0"/>
          <w:u w:val="none"/>
        </w:rPr>
        <w:t xml:space="preserve"> </w:t>
      </w:r>
      <w:bookmarkStart w:id="144" w:name="_Hlk72691611"/>
      <w:r w:rsidR="00437EC2" w:rsidRPr="00C776C2">
        <w:rPr>
          <w:i w:val="0"/>
          <w:iCs w:val="0"/>
          <w:u w:val="none"/>
        </w:rPr>
        <w:t xml:space="preserve">Principales modificaciones del </w:t>
      </w:r>
      <w:r w:rsidR="00BC549A">
        <w:rPr>
          <w:i w:val="0"/>
          <w:iCs w:val="0"/>
          <w:u w:val="none"/>
        </w:rPr>
        <w:t>SEC 2010</w:t>
      </w:r>
      <w:r w:rsidR="00437EC2" w:rsidRPr="00C776C2">
        <w:rPr>
          <w:i w:val="0"/>
          <w:iCs w:val="0"/>
          <w:u w:val="none"/>
        </w:rPr>
        <w:t xml:space="preserve"> respecto al SEC-95</w:t>
      </w:r>
      <w:bookmarkEnd w:id="143"/>
    </w:p>
    <w:p w14:paraId="794132B3" w14:textId="26BF2914" w:rsidR="00C776C2" w:rsidRPr="00C776C2" w:rsidRDefault="00C776C2" w:rsidP="00C776C2">
      <w:r>
        <w:t xml:space="preserve">Ver </w:t>
      </w:r>
      <w:hyperlink r:id="rId40" w:history="1">
        <w:r>
          <w:rPr>
            <w:rStyle w:val="Hipervnculo"/>
          </w:rPr>
          <w:t xml:space="preserve">IGAE (2014) </w:t>
        </w:r>
        <w:r w:rsidRPr="00C776C2">
          <w:rPr>
            <w:rStyle w:val="Hipervnculo"/>
            <w:i/>
            <w:iCs/>
          </w:rPr>
          <w:t xml:space="preserve">Nota sobre los cambios metodológicos de aplicación del nuevo </w:t>
        </w:r>
        <w:r w:rsidR="00BC549A">
          <w:rPr>
            <w:rStyle w:val="Hipervnculo"/>
            <w:i/>
            <w:iCs/>
          </w:rPr>
          <w:t>SEC 2010</w:t>
        </w:r>
        <w:r w:rsidRPr="00C776C2">
          <w:rPr>
            <w:rStyle w:val="Hipervnculo"/>
            <w:i/>
            <w:iCs/>
          </w:rPr>
          <w:t xml:space="preserve"> que afectan a las Cuentas de las Administ</w:t>
        </w:r>
        <w:r>
          <w:rPr>
            <w:rStyle w:val="Hipervnculo"/>
            <w:i/>
            <w:iCs/>
          </w:rPr>
          <w:t>r</w:t>
        </w:r>
        <w:r w:rsidRPr="00C776C2">
          <w:rPr>
            <w:rStyle w:val="Hipervnculo"/>
            <w:i/>
            <w:iCs/>
          </w:rPr>
          <w:t>aciones Públicas</w:t>
        </w:r>
      </w:hyperlink>
      <w:r>
        <w:t xml:space="preserve"> y </w:t>
      </w:r>
      <w:hyperlink r:id="rId41" w:history="1">
        <w:r w:rsidRPr="00C776C2">
          <w:rPr>
            <w:rStyle w:val="Hipervnculo"/>
          </w:rPr>
          <w:t>Muriel de la Riva</w:t>
        </w:r>
        <w:r>
          <w:rPr>
            <w:rStyle w:val="Hipervnculo"/>
          </w:rPr>
          <w:t>, S.</w:t>
        </w:r>
        <w:r w:rsidRPr="00C776C2">
          <w:rPr>
            <w:rStyle w:val="Hipervnculo"/>
          </w:rPr>
          <w:t xml:space="preserve"> (201</w:t>
        </w:r>
        <w:r>
          <w:rPr>
            <w:rStyle w:val="Hipervnculo"/>
          </w:rPr>
          <w:t>5</w:t>
        </w:r>
        <w:r w:rsidRPr="00C776C2">
          <w:rPr>
            <w:rStyle w:val="Hipervnculo"/>
          </w:rPr>
          <w:t xml:space="preserve">) </w:t>
        </w:r>
        <w:r w:rsidRPr="00C776C2">
          <w:rPr>
            <w:rStyle w:val="Hipervnculo"/>
            <w:i/>
            <w:iCs/>
          </w:rPr>
          <w:t xml:space="preserve">Las novedades metodológicas del </w:t>
        </w:r>
        <w:r w:rsidR="00BC549A">
          <w:rPr>
            <w:rStyle w:val="Hipervnculo"/>
            <w:i/>
            <w:iCs/>
          </w:rPr>
          <w:t>SEC 2010</w:t>
        </w:r>
        <w:r w:rsidRPr="00C776C2">
          <w:rPr>
            <w:rStyle w:val="Hipervnculo"/>
            <w:i/>
            <w:iCs/>
          </w:rPr>
          <w:t xml:space="preserve"> desde el enfoque institucional de la Contabilidad Nacional</w:t>
        </w:r>
      </w:hyperlink>
    </w:p>
    <w:bookmarkEnd w:id="144"/>
    <w:p w14:paraId="27402D15" w14:textId="23C9E6C1" w:rsidR="00437EC2" w:rsidRDefault="00437EC2" w:rsidP="008A10EC">
      <w:pPr>
        <w:pStyle w:val="Nivel1"/>
        <w:keepNext/>
        <w:spacing w:after="0"/>
      </w:pPr>
      <w:r>
        <w:t xml:space="preserve">El </w:t>
      </w:r>
      <w:r w:rsidR="00BC549A">
        <w:t>SEC 2010</w:t>
      </w:r>
      <w:r>
        <w:t xml:space="preserve"> sustituye al SEC</w:t>
      </w:r>
      <w:r w:rsidR="00EF5B93">
        <w:t> </w:t>
      </w:r>
      <w:r>
        <w:t xml:space="preserve">95 con el </w:t>
      </w:r>
      <w:r w:rsidRPr="008A10EC">
        <w:rPr>
          <w:i/>
          <w:iCs/>
        </w:rPr>
        <w:t>objetivo de adaptar las cuentas nacionales en mayor medida al nuevo entorno económico</w:t>
      </w:r>
      <w:r w:rsidRPr="002C5A3D">
        <w:t xml:space="preserve"> caracterizado por:</w:t>
      </w:r>
    </w:p>
    <w:p w14:paraId="640E41BA" w14:textId="77777777" w:rsidR="00437EC2" w:rsidRDefault="00437EC2" w:rsidP="008A10EC">
      <w:pPr>
        <w:pStyle w:val="Nivel2"/>
      </w:pPr>
      <w:r w:rsidRPr="00B60190">
        <w:t xml:space="preserve">El </w:t>
      </w:r>
      <w:r w:rsidRPr="008A65EB">
        <w:t>creciente papel de las</w:t>
      </w:r>
      <w:r w:rsidRPr="008A65EB">
        <w:rPr>
          <w:i/>
          <w:iCs/>
        </w:rPr>
        <w:t xml:space="preserve"> tecnologías de la información y las comunicaciones</w:t>
      </w:r>
      <w:r w:rsidRPr="00B60190">
        <w:t xml:space="preserve"> en los </w:t>
      </w:r>
      <w:r w:rsidRPr="00C95FBD">
        <w:t>procesos productivos</w:t>
      </w:r>
      <w:r>
        <w:t>.</w:t>
      </w:r>
    </w:p>
    <w:p w14:paraId="11FC5C85" w14:textId="77777777" w:rsidR="00437EC2" w:rsidRDefault="00437EC2" w:rsidP="008A10EC">
      <w:pPr>
        <w:pStyle w:val="Nivel2"/>
      </w:pPr>
      <w:r>
        <w:t>L</w:t>
      </w:r>
      <w:r w:rsidRPr="00B60190">
        <w:t xml:space="preserve">a </w:t>
      </w:r>
      <w:r w:rsidRPr="00C95FBD">
        <w:t>importancia</w:t>
      </w:r>
      <w:r w:rsidRPr="00B60190">
        <w:t xml:space="preserve"> cada vez mayor de los </w:t>
      </w:r>
      <w:r w:rsidRPr="008A65EB">
        <w:rPr>
          <w:i/>
          <w:iCs/>
        </w:rPr>
        <w:t>activos inmateriales</w:t>
      </w:r>
      <w:r>
        <w:t>.</w:t>
      </w:r>
    </w:p>
    <w:p w14:paraId="61831057" w14:textId="609C1254" w:rsidR="00437EC2" w:rsidRPr="00437EC2" w:rsidRDefault="00437EC2" w:rsidP="008A10EC">
      <w:pPr>
        <w:pStyle w:val="Nivel2"/>
        <w:rPr>
          <w:b/>
        </w:rPr>
      </w:pPr>
      <w:r>
        <w:t>L</w:t>
      </w:r>
      <w:r w:rsidRPr="00B60190">
        <w:t xml:space="preserve">a </w:t>
      </w:r>
      <w:r w:rsidRPr="008A65EB">
        <w:rPr>
          <w:i/>
          <w:iCs/>
        </w:rPr>
        <w:t>globalización creciente de los sistemas económicos nacionales</w:t>
      </w:r>
      <w:r>
        <w:t>.</w:t>
      </w:r>
    </w:p>
    <w:p w14:paraId="0D95D219" w14:textId="3B4512D1" w:rsidR="00437EC2" w:rsidRPr="008A10EC" w:rsidRDefault="00437EC2" w:rsidP="008A10EC">
      <w:pPr>
        <w:keepNext/>
        <w:spacing w:before="60" w:after="0"/>
        <w:rPr>
          <w:b/>
          <w:bCs/>
          <w:color w:val="5F2987"/>
          <w:u w:val="single"/>
        </w:rPr>
      </w:pPr>
      <w:r w:rsidRPr="008A10EC">
        <w:rPr>
          <w:b/>
          <w:bCs/>
          <w:color w:val="5F2987"/>
          <w:u w:val="single"/>
        </w:rPr>
        <w:t>Principales cambios metodológicos</w:t>
      </w:r>
    </w:p>
    <w:p w14:paraId="47A9C8D9" w14:textId="3E463B44" w:rsidR="00437EC2" w:rsidRPr="00B60190" w:rsidRDefault="00437EC2" w:rsidP="00BC549A">
      <w:pPr>
        <w:pStyle w:val="Nivel1"/>
        <w:keepNext/>
        <w:spacing w:before="0" w:after="0"/>
        <w:rPr>
          <w:b/>
        </w:rPr>
      </w:pPr>
      <w:r>
        <w:t xml:space="preserve">Existen numerosos cambios metodológicos en el </w:t>
      </w:r>
      <w:r w:rsidR="00BC549A">
        <w:t>SEC 2010</w:t>
      </w:r>
      <w:r>
        <w:t xml:space="preserve"> respecto al SEC</w:t>
      </w:r>
      <w:r w:rsidR="005C0FFC">
        <w:t> </w:t>
      </w:r>
      <w:r>
        <w:t xml:space="preserve">95. No obstante, </w:t>
      </w:r>
      <w:r w:rsidRPr="00C95FBD">
        <w:t>los principales incluyen</w:t>
      </w:r>
      <w:r>
        <w:t>:</w:t>
      </w:r>
    </w:p>
    <w:p w14:paraId="578AF669" w14:textId="77777777" w:rsidR="00437EC2" w:rsidRPr="008917DF" w:rsidRDefault="00437EC2" w:rsidP="008A65EB">
      <w:pPr>
        <w:pStyle w:val="Nivel2"/>
        <w:keepNext/>
        <w:spacing w:after="0"/>
        <w:rPr>
          <w:b/>
        </w:rPr>
      </w:pPr>
      <w:r w:rsidRPr="00C95FBD">
        <w:t>Reconocimiento del gasto en investigación y desarrollo (I+D) como formación bruta de capital</w:t>
      </w:r>
      <w:r>
        <w:t>.</w:t>
      </w:r>
    </w:p>
    <w:p w14:paraId="091C0239" w14:textId="65F3A94E" w:rsidR="00437EC2" w:rsidRPr="008917DF" w:rsidRDefault="00437EC2" w:rsidP="008A65EB">
      <w:pPr>
        <w:pStyle w:val="Nivel3"/>
        <w:rPr>
          <w:b/>
        </w:rPr>
      </w:pPr>
      <w:r>
        <w:t>En el SEC</w:t>
      </w:r>
      <w:r w:rsidR="00EF5B93">
        <w:t> </w:t>
      </w:r>
      <w:r>
        <w:t>95 no se reconocía la I+D como formación bruta de capital a pesar de que se supone que tiene una importante contribución al crecimiento económico. En vez de eso, el gasto en I+D se consideraba como consumo intermedio.</w:t>
      </w:r>
    </w:p>
    <w:p w14:paraId="128E03A6" w14:textId="77777777" w:rsidR="00437EC2" w:rsidRPr="00B60190" w:rsidRDefault="00437EC2" w:rsidP="008A65EB">
      <w:pPr>
        <w:pStyle w:val="Nivel3"/>
        <w:rPr>
          <w:b/>
        </w:rPr>
      </w:pPr>
      <w:r>
        <w:t>Sin embargo, la investigación y desarrollo (I+D) ha sido desde hace tiempo considerada por los expertos como poseedora de las características propias de un activo fijo: tiene derechos de propiedad definidos, un uso repetido y continuado en el tiempo y produce beneficios en los procesos de producción.</w:t>
      </w:r>
    </w:p>
    <w:p w14:paraId="6D2EC0F5" w14:textId="77777777" w:rsidR="00437EC2" w:rsidRPr="008917DF" w:rsidRDefault="00437EC2" w:rsidP="008A65EB">
      <w:pPr>
        <w:pStyle w:val="Nivel2"/>
        <w:keepNext/>
        <w:spacing w:after="0"/>
        <w:rPr>
          <w:b/>
        </w:rPr>
      </w:pPr>
      <w:r w:rsidRPr="00C95FBD">
        <w:lastRenderedPageBreak/>
        <w:t>Reconocimiento del gasto militar como formación bruta de capital</w:t>
      </w:r>
      <w:r>
        <w:t>.</w:t>
      </w:r>
    </w:p>
    <w:p w14:paraId="35AD660C" w14:textId="6E880DF7" w:rsidR="00437EC2" w:rsidRPr="008917DF" w:rsidRDefault="00437EC2" w:rsidP="008A65EB">
      <w:pPr>
        <w:pStyle w:val="Nivel3"/>
        <w:rPr>
          <w:b/>
        </w:rPr>
      </w:pPr>
      <w:r>
        <w:t>Según el SEC</w:t>
      </w:r>
      <w:r w:rsidR="00EF5B93">
        <w:t> </w:t>
      </w:r>
      <w:r>
        <w:t>95, solamente la adquisición de estructuras y equipamiento militar que se consideraba que tenían un equivalente en uso civil se registraban como formación bruta de capital (por ejemplo, aeródromos, carreteras, hospitales, etc.).</w:t>
      </w:r>
    </w:p>
    <w:p w14:paraId="5830BBB1" w14:textId="26EBAE5A" w:rsidR="00437EC2" w:rsidRPr="00B60190" w:rsidRDefault="00437EC2" w:rsidP="008A65EB">
      <w:pPr>
        <w:pStyle w:val="Nivel3"/>
        <w:rPr>
          <w:b/>
        </w:rPr>
      </w:pPr>
      <w:r>
        <w:t xml:space="preserve">En </w:t>
      </w:r>
      <w:r w:rsidR="00BC549A">
        <w:t>SEC 2010</w:t>
      </w:r>
      <w:r>
        <w:t xml:space="preserve"> se extiende a las armas y sistemas de apoyo, incluso si carecen de un equivalente para uso civil.</w:t>
      </w:r>
    </w:p>
    <w:p w14:paraId="609D4D44" w14:textId="77777777" w:rsidR="00437EC2" w:rsidRPr="00A16E01" w:rsidRDefault="00437EC2" w:rsidP="008A65EB">
      <w:pPr>
        <w:pStyle w:val="Nivel2"/>
        <w:keepNext/>
        <w:spacing w:after="0"/>
        <w:rPr>
          <w:b/>
        </w:rPr>
      </w:pPr>
      <w:r w:rsidRPr="00A16E01">
        <w:t>Ampliación de los límites de las actividades financieras</w:t>
      </w:r>
    </w:p>
    <w:p w14:paraId="0DAA0CFD" w14:textId="77777777" w:rsidR="00437EC2" w:rsidRPr="00A16E01" w:rsidRDefault="00437EC2" w:rsidP="008A65EB">
      <w:pPr>
        <w:pStyle w:val="Nivel3"/>
        <w:rPr>
          <w:b/>
        </w:rPr>
      </w:pPr>
      <w:r>
        <w:t>Con el fin de incluir un mayor número de contratos con derivados financ</w:t>
      </w:r>
      <w:r w:rsidRPr="008A65EB">
        <w:rPr>
          <w:rStyle w:val="Nivel3Car"/>
        </w:rPr>
        <w:t>ie</w:t>
      </w:r>
      <w:r>
        <w:t>ros</w:t>
      </w:r>
      <w:r>
        <w:rPr>
          <w:b/>
        </w:rPr>
        <w:t>.</w:t>
      </w:r>
    </w:p>
    <w:p w14:paraId="4FC0ECDF" w14:textId="7812E8C2" w:rsidR="00437EC2" w:rsidRPr="00B60190" w:rsidRDefault="00437EC2" w:rsidP="008A65EB">
      <w:pPr>
        <w:pStyle w:val="Nivel2"/>
        <w:keepNext/>
        <w:spacing w:after="0"/>
        <w:rPr>
          <w:b/>
        </w:rPr>
      </w:pPr>
      <w:r w:rsidRPr="00C95FBD">
        <w:t>Delimitación del sector de las AAPP</w:t>
      </w:r>
      <w:r>
        <w:t>.</w:t>
      </w:r>
    </w:p>
    <w:p w14:paraId="7C645EDC" w14:textId="270E4767" w:rsidR="00437EC2" w:rsidRPr="00437EC2" w:rsidRDefault="00437EC2" w:rsidP="008A65EB">
      <w:pPr>
        <w:pStyle w:val="Nivel3"/>
        <w:rPr>
          <w:b/>
        </w:rPr>
      </w:pPr>
      <w:r w:rsidRPr="008A65EB">
        <w:rPr>
          <w:rStyle w:val="Nivel3Car"/>
        </w:rPr>
        <w:t>Tratamiento más extenso y exhaustivo de cuestiones relacionadas con el sector p</w:t>
      </w:r>
      <w:r>
        <w:t>úblico.</w:t>
      </w:r>
    </w:p>
    <w:p w14:paraId="319820AC" w14:textId="5338EC24" w:rsidR="00437EC2" w:rsidRPr="00433891" w:rsidRDefault="00437EC2" w:rsidP="008A65EB">
      <w:pPr>
        <w:pStyle w:val="Nivel1"/>
        <w:keepNext/>
        <w:spacing w:after="0"/>
        <w:rPr>
          <w:b/>
        </w:rPr>
      </w:pPr>
      <w:r>
        <w:t xml:space="preserve">Recibe las siguientes </w:t>
      </w:r>
      <w:r w:rsidRPr="00437EC2">
        <w:rPr>
          <w:u w:val="single"/>
        </w:rPr>
        <w:t>críticas</w:t>
      </w:r>
      <w:r>
        <w:t>:</w:t>
      </w:r>
    </w:p>
    <w:p w14:paraId="187A46FE" w14:textId="22B7B1C7" w:rsidR="00437EC2" w:rsidRPr="008A65EB" w:rsidRDefault="00437EC2" w:rsidP="008A65EB">
      <w:pPr>
        <w:pStyle w:val="Nivel2"/>
        <w:rPr>
          <w:b/>
        </w:rPr>
      </w:pPr>
      <w:r w:rsidRPr="008A65EB">
        <w:rPr>
          <w:i/>
          <w:iCs/>
        </w:rPr>
        <w:t>No tiene en cuenta la</w:t>
      </w:r>
      <w:r w:rsidRPr="008A65EB">
        <w:t xml:space="preserve"> </w:t>
      </w:r>
      <w:r w:rsidRPr="008A65EB">
        <w:rPr>
          <w:i/>
          <w:iCs/>
        </w:rPr>
        <w:t>economía sumergida</w:t>
      </w:r>
      <w:r w:rsidRPr="008A65EB">
        <w:t xml:space="preserve"> aunque s</w:t>
      </w:r>
      <w:r w:rsidR="008A65EB">
        <w:t>í que</w:t>
      </w:r>
      <w:r w:rsidRPr="008A65EB">
        <w:t xml:space="preserve"> tiene en cuenta prostitución y drogas.</w:t>
      </w:r>
    </w:p>
    <w:p w14:paraId="7BEA0AA0" w14:textId="7C2BD790" w:rsidR="0015013E" w:rsidRPr="008A65EB" w:rsidRDefault="00437EC2" w:rsidP="008A65EB">
      <w:pPr>
        <w:pStyle w:val="Nivel2"/>
        <w:rPr>
          <w:b/>
        </w:rPr>
      </w:pPr>
      <w:r w:rsidRPr="008A65EB">
        <w:rPr>
          <w:i/>
          <w:iCs/>
        </w:rPr>
        <w:t>No se considera la inversión en bienes intangibles</w:t>
      </w:r>
      <w:r w:rsidR="008A65EB">
        <w:t>,</w:t>
      </w:r>
      <w:r w:rsidRPr="008A65EB">
        <w:t xml:space="preserve"> como por ejemplo el capital humano.</w:t>
      </w:r>
    </w:p>
    <w:p w14:paraId="042CECC3" w14:textId="3ADBCDC1" w:rsidR="00B91167" w:rsidRDefault="00B91167" w:rsidP="00B91167">
      <w:pPr>
        <w:pStyle w:val="Ttulo5"/>
        <w:rPr>
          <w:i w:val="0"/>
          <w:iCs w:val="0"/>
          <w:u w:val="none"/>
        </w:rPr>
      </w:pPr>
      <w:r>
        <w:t>Anexo</w:t>
      </w:r>
      <w:r w:rsidR="00BC549A">
        <w:t> </w:t>
      </w:r>
      <w:r>
        <w:t>2</w:t>
      </w:r>
      <w:r>
        <w:rPr>
          <w:i w:val="0"/>
          <w:iCs w:val="0"/>
          <w:u w:val="none"/>
        </w:rPr>
        <w:t xml:space="preserve">: </w:t>
      </w:r>
      <w:r w:rsidR="005B5B3C">
        <w:rPr>
          <w:i w:val="0"/>
          <w:iCs w:val="0"/>
          <w:u w:val="none"/>
        </w:rPr>
        <w:t xml:space="preserve">Diferencias entre el </w:t>
      </w:r>
      <w:r w:rsidR="00BC549A">
        <w:rPr>
          <w:i w:val="0"/>
          <w:iCs w:val="0"/>
          <w:u w:val="none"/>
        </w:rPr>
        <w:t>SEC 2010</w:t>
      </w:r>
      <w:r w:rsidR="005B5B3C">
        <w:rPr>
          <w:i w:val="0"/>
          <w:iCs w:val="0"/>
          <w:u w:val="none"/>
        </w:rPr>
        <w:t xml:space="preserve"> y el SCN-2008</w:t>
      </w:r>
    </w:p>
    <w:p w14:paraId="15E1E535" w14:textId="74819261" w:rsidR="00C300A4" w:rsidRDefault="00C300A4" w:rsidP="007404F7">
      <w:pPr>
        <w:keepNext/>
        <w:spacing w:after="0"/>
      </w:pPr>
      <w:r>
        <w:t xml:space="preserve">El </w:t>
      </w:r>
      <w:r w:rsidR="00BC549A">
        <w:t>SEC 2010</w:t>
      </w:r>
      <w:r>
        <w:t xml:space="preserve"> está basado en los conceptos del </w:t>
      </w:r>
      <w:r w:rsidR="003A75BC">
        <w:t>SCN 2008</w:t>
      </w:r>
      <w:r>
        <w:t xml:space="preserve">, que proporciona las directrices sobre contabilidad nacional para todos los países del mundo. No obstante, existen algunas diferencias entre el </w:t>
      </w:r>
      <w:r w:rsidR="00BC549A">
        <w:t>SEC 2010</w:t>
      </w:r>
      <w:r>
        <w:t xml:space="preserve"> y el </w:t>
      </w:r>
      <w:r w:rsidR="003A75BC">
        <w:t>SCN 2008</w:t>
      </w:r>
      <w:r>
        <w:t>:</w:t>
      </w:r>
    </w:p>
    <w:p w14:paraId="3A1C4FF5" w14:textId="58FAF585" w:rsidR="00C300A4" w:rsidRDefault="00C300A4" w:rsidP="007404F7">
      <w:pPr>
        <w:pStyle w:val="Nivel1"/>
        <w:keepNext/>
        <w:spacing w:after="0"/>
      </w:pPr>
      <w:r>
        <w:t>Diferencias de presentación:</w:t>
      </w:r>
    </w:p>
    <w:p w14:paraId="2EA9E076" w14:textId="17F20AB8" w:rsidR="002373D5" w:rsidRDefault="002373D5" w:rsidP="002373D5">
      <w:pPr>
        <w:pStyle w:val="Nivel2"/>
        <w:spacing w:after="0"/>
      </w:pPr>
      <w:r>
        <w:t xml:space="preserve">En el </w:t>
      </w:r>
      <w:r w:rsidR="00BC549A">
        <w:t>SEC 2010</w:t>
      </w:r>
      <w:r>
        <w:t xml:space="preserve"> existen capítulos diferentes para las operaciones con bienes y servicios, las operaciones de distribución y las operaciones financieras. En cambio, en el </w:t>
      </w:r>
      <w:r w:rsidR="003A75BC">
        <w:t>SCN 2008</w:t>
      </w:r>
      <w:r>
        <w:t xml:space="preserve"> estas operaciones se explican en capítulos ordenados por cuentas, como, por ejemplo, los capítulos de la cuenta de producción, la cuenta de distribución primaria de la renta, la cuenta de capital o la cuenta del resto del mundo.</w:t>
      </w:r>
    </w:p>
    <w:p w14:paraId="683F6AEF" w14:textId="688A37F3" w:rsidR="002373D5" w:rsidRDefault="002373D5" w:rsidP="002373D5">
      <w:pPr>
        <w:pStyle w:val="Nivel2"/>
        <w:spacing w:after="0"/>
      </w:pPr>
      <w:r>
        <w:t xml:space="preserve">En el </w:t>
      </w:r>
      <w:r w:rsidR="00BC549A">
        <w:t>SEC 2010</w:t>
      </w:r>
      <w:r>
        <w:t xml:space="preserve"> los conceptos se describen dando una definición y una relación de los elementos que se incluyen y los que se excluyen. En el </w:t>
      </w:r>
      <w:r w:rsidR="003A75BC">
        <w:t>SCN 2008</w:t>
      </w:r>
      <w:r>
        <w:t xml:space="preserve"> los conceptos se describen, normalmente, en términos más generales y se explican los motivos que han llevado a adoptar determinadas convenciones.</w:t>
      </w:r>
    </w:p>
    <w:p w14:paraId="278D9D4D" w14:textId="76A4B73F" w:rsidR="00C300A4" w:rsidRDefault="00C300A4" w:rsidP="007404F7">
      <w:pPr>
        <w:pStyle w:val="Nivel1"/>
        <w:keepNext/>
        <w:spacing w:after="0"/>
      </w:pPr>
      <w:r>
        <w:t xml:space="preserve">En varios casos, los conceptos del </w:t>
      </w:r>
      <w:r w:rsidR="00BC549A">
        <w:t>SEC 2010</w:t>
      </w:r>
      <w:r>
        <w:t xml:space="preserve"> son </w:t>
      </w:r>
      <w:proofErr w:type="gramStart"/>
      <w:r>
        <w:t>más específicos y más precisos</w:t>
      </w:r>
      <w:proofErr w:type="gramEnd"/>
      <w:r>
        <w:t xml:space="preserve"> que los del </w:t>
      </w:r>
      <w:r w:rsidR="003A75BC">
        <w:t>SCN 2008</w:t>
      </w:r>
      <w:r>
        <w:t>:</w:t>
      </w:r>
    </w:p>
    <w:p w14:paraId="6B7C8CF9" w14:textId="0F558398" w:rsidR="00C300A4" w:rsidRDefault="00C300A4" w:rsidP="002373D5">
      <w:pPr>
        <w:pStyle w:val="Nivel2"/>
        <w:spacing w:after="0"/>
      </w:pPr>
      <w:r>
        <w:t xml:space="preserve">El </w:t>
      </w:r>
      <w:r w:rsidR="003A75BC">
        <w:t>SCN 2008</w:t>
      </w:r>
      <w:r>
        <w:t xml:space="preserve"> no contiene criterios específicos sobre la distinción entre producción de mercado, producción para uso final propio y producción no de mercado. Por consiguiente, el </w:t>
      </w:r>
      <w:r w:rsidR="00BC549A">
        <w:t>SEC 2010</w:t>
      </w:r>
      <w:r>
        <w:t xml:space="preserve"> ha introducido orientaciones más detalladas a fin de lograr un enfoque uniforme;</w:t>
      </w:r>
    </w:p>
    <w:p w14:paraId="70307B0B" w14:textId="7A29841B" w:rsidR="00C300A4" w:rsidRDefault="00C300A4" w:rsidP="00C300A4">
      <w:pPr>
        <w:pStyle w:val="Nivel2"/>
      </w:pPr>
      <w:r>
        <w:t xml:space="preserve">En el </w:t>
      </w:r>
      <w:r w:rsidR="00BC549A">
        <w:t>SEC 2010</w:t>
      </w:r>
      <w:r>
        <w:t xml:space="preserve"> se considera que diversos tipos de producción de bienes por los hogares, tales como la confección textil o la fabricación de muebles, no son significativos en los Estados miembros y, por lo tanto, no deben registrarse;</w:t>
      </w:r>
    </w:p>
    <w:p w14:paraId="46767FE4" w14:textId="034FF938" w:rsidR="00C300A4" w:rsidRDefault="00C300A4" w:rsidP="00C300A4">
      <w:pPr>
        <w:pStyle w:val="Nivel2"/>
      </w:pPr>
      <w:r>
        <w:t xml:space="preserve">En el </w:t>
      </w:r>
      <w:r w:rsidR="00BC549A">
        <w:t>SEC 2010</w:t>
      </w:r>
      <w:r>
        <w:t xml:space="preserve"> se hace referencia a disposiciones institucionales de la UE, tales como el sistema Intrastat para el registro de los flujos de bienes en el interior de la UE o las contribuciones de los Estados miembros a la UE;</w:t>
      </w:r>
    </w:p>
    <w:p w14:paraId="6B8CF004" w14:textId="001E379D" w:rsidR="00C300A4" w:rsidRDefault="00C300A4" w:rsidP="00C300A4">
      <w:pPr>
        <w:pStyle w:val="Nivel2"/>
      </w:pPr>
      <w:r>
        <w:t xml:space="preserve">El </w:t>
      </w:r>
      <w:r w:rsidR="00BC549A">
        <w:t>SEC 2010</w:t>
      </w:r>
      <w:r>
        <w:t xml:space="preserve"> contiene clasificaciones específicas de la UE, por ejemplo, la clasificación de productos por actividades (CPA) para los productos y la NACE Rev. 2</w:t>
      </w:r>
      <w:r w:rsidR="002373D5">
        <w:t xml:space="preserve"> para las ramas de actividad (ambas están armonizadas con las correspondientes clasificaciones de las Naciones Unidas);</w:t>
      </w:r>
    </w:p>
    <w:p w14:paraId="506E8015" w14:textId="454B4A82" w:rsidR="002373D5" w:rsidRDefault="002373D5" w:rsidP="00C300A4">
      <w:pPr>
        <w:pStyle w:val="Nivel2"/>
      </w:pPr>
      <w:r>
        <w:lastRenderedPageBreak/>
        <w:t xml:space="preserve">El </w:t>
      </w:r>
      <w:r w:rsidR="00BC549A">
        <w:t>SEC 2010</w:t>
      </w:r>
      <w:r>
        <w:t xml:space="preserve"> contiene una clasificación adicional para las operaciones exteriores: estas se dividen en las realizadas entre residentes de la UE y las realizadas con residentes de fuera de la UE;</w:t>
      </w:r>
    </w:p>
    <w:p w14:paraId="54571280" w14:textId="58BD8B06" w:rsidR="002373D5" w:rsidRPr="005B5B3C" w:rsidRDefault="002373D5" w:rsidP="00C300A4">
      <w:pPr>
        <w:pStyle w:val="Nivel2"/>
      </w:pPr>
      <w:r>
        <w:t xml:space="preserve">El </w:t>
      </w:r>
      <w:r w:rsidR="00BC549A">
        <w:t>SEC 2010</w:t>
      </w:r>
      <w:r>
        <w:t xml:space="preserve"> contiene una reorganización de los subsectores del </w:t>
      </w:r>
      <w:r w:rsidR="003A75BC">
        <w:t>SCN 2008</w:t>
      </w:r>
      <w:r>
        <w:t xml:space="preserve"> en lo que respecta a las instituciones financieras, con objeto de satisfacer las necesidades de la unión monetaria europea. El </w:t>
      </w:r>
      <w:r w:rsidR="00BC549A">
        <w:t>SEC 2010</w:t>
      </w:r>
      <w:r>
        <w:t xml:space="preserve"> puede ser más específico que el </w:t>
      </w:r>
      <w:r w:rsidR="003A75BC">
        <w:t>SCN 2008</w:t>
      </w:r>
      <w:r>
        <w:t xml:space="preserve">, porque se aplica principalmente en los Estados miembros. Para cubrir las necesidades de información de la Unión, el </w:t>
      </w:r>
      <w:r w:rsidR="00BC549A">
        <w:t>SEC 2010</w:t>
      </w:r>
      <w:r>
        <w:t xml:space="preserve"> es conveniente que también sea más específico.</w:t>
      </w:r>
    </w:p>
    <w:p w14:paraId="7A3D2CBF" w14:textId="42AF8C16" w:rsidR="00FA516E" w:rsidRDefault="00A3694B" w:rsidP="00A3694B">
      <w:pPr>
        <w:pStyle w:val="Ttulo5"/>
        <w:rPr>
          <w:i w:val="0"/>
          <w:iCs w:val="0"/>
          <w:u w:val="none"/>
        </w:rPr>
      </w:pPr>
      <w:r>
        <w:t>Anexo</w:t>
      </w:r>
      <w:r w:rsidR="00BC549A">
        <w:t> </w:t>
      </w:r>
      <w:r w:rsidR="00B91167">
        <w:t>3</w:t>
      </w:r>
      <w:r w:rsidRPr="00A3694B">
        <w:rPr>
          <w:i w:val="0"/>
          <w:iCs w:val="0"/>
          <w:u w:val="none"/>
        </w:rPr>
        <w:t xml:space="preserve">: </w:t>
      </w:r>
      <w:r w:rsidR="00FA516E">
        <w:rPr>
          <w:i w:val="0"/>
          <w:iCs w:val="0"/>
          <w:u w:val="none"/>
        </w:rPr>
        <w:t>Problemas con la medición del PIB</w:t>
      </w:r>
    </w:p>
    <w:p w14:paraId="452B63B5" w14:textId="4A9A96D4" w:rsidR="00FA516E" w:rsidRDefault="00FA516E" w:rsidP="00FA516E">
      <w:r>
        <w:t>A pesar de que el PIB es ampliamente utilizado para medir la producción y la renta, no es una medida perfecta. De hecho, algunos tipos de producción, como los servicios voluntarios o de caridad son medidos de forma imprecisa porque no son comerciados en los mercados. Otro ejemplo son las mejoras en la calidad de los bienes que podrían no reflejarse adecuadamente en las cuentas nacionales, por lo tanto la producción podría ser infraestimada.</w:t>
      </w:r>
    </w:p>
    <w:p w14:paraId="2A399C76" w14:textId="6574379B" w:rsidR="00FA516E" w:rsidRDefault="00FA516E" w:rsidP="00FA516E">
      <w:r>
        <w:t xml:space="preserve">Otro motivo por el cual la producción económica es medida de forma imprecisa es la actividad del mercado negro o economía sumergida. Los agentes económicos tratan de encubrir las transacciones por diversas razones: evitar impuestos, eludir la regulación u ocultar actividades ilegales como el tráfico de drogas o el contrabando. Como la mayoría de actividades del mercado negro se realizan en efectivo, los cambios en la tenencia de dinero en efectivo se pueden utilizar para estimar el tamaño de la economía sumergida. Otras estimaciones se basan en inconsistencias entre las medidas del PIB (estos es la diferencia entre la </w:t>
      </w:r>
      <w:proofErr w:type="gramStart"/>
      <w:r>
        <w:t>renta total y los gastos totales</w:t>
      </w:r>
      <w:proofErr w:type="gramEnd"/>
      <w:r>
        <w:t xml:space="preserve">). Además, la economía sumergida puede causar </w:t>
      </w:r>
      <w:r w:rsidR="00336B1E">
        <w:t>imprecisiones en la medición del crecimiento económico, pues si la economía sumergida crece más rápido que las medidas oficiales, el crecimiento económico será infraestimado.</w:t>
      </w:r>
    </w:p>
    <w:p w14:paraId="59B5A408" w14:textId="3C9CDDE0" w:rsidR="007C48A3" w:rsidRPr="007C48A3" w:rsidRDefault="00FA516E" w:rsidP="00A3694B">
      <w:pPr>
        <w:pStyle w:val="Ttulo5"/>
      </w:pPr>
      <w:r>
        <w:lastRenderedPageBreak/>
        <w:t>Anexo</w:t>
      </w:r>
      <w:r w:rsidR="00BC549A">
        <w:t> </w:t>
      </w:r>
      <w:r>
        <w:t>4</w:t>
      </w:r>
      <w:r>
        <w:rPr>
          <w:i w:val="0"/>
          <w:iCs w:val="0"/>
          <w:u w:val="none"/>
        </w:rPr>
        <w:t xml:space="preserve">: </w:t>
      </w:r>
      <w:r w:rsidR="00241BDB" w:rsidRPr="00FA516E">
        <w:rPr>
          <w:i w:val="0"/>
          <w:iCs w:val="0"/>
          <w:u w:val="none"/>
        </w:rPr>
        <w:t>La</w:t>
      </w:r>
      <w:r w:rsidR="00241BDB" w:rsidRPr="00A3694B">
        <w:rPr>
          <w:i w:val="0"/>
          <w:iCs w:val="0"/>
          <w:u w:val="none"/>
        </w:rPr>
        <w:t xml:space="preserve"> sucesión completa de cuentas</w:t>
      </w:r>
    </w:p>
    <w:p w14:paraId="6D94F083" w14:textId="556A4094" w:rsidR="00241BDB" w:rsidRDefault="00241BDB" w:rsidP="00241BDB">
      <w:pPr>
        <w:spacing w:line="240" w:lineRule="auto"/>
        <w:rPr>
          <w:b/>
        </w:rPr>
      </w:pPr>
      <w:r>
        <w:rPr>
          <w:noProof/>
        </w:rPr>
        <w:drawing>
          <wp:inline distT="0" distB="0" distL="0" distR="0" wp14:anchorId="03A49992" wp14:editId="7CDC46EC">
            <wp:extent cx="6645910" cy="7868285"/>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cstate="print">
                      <a:extLst>
                        <a:ext uri="{BEBA8EAE-BF5A-486C-A8C5-ECC9F3942E4B}">
                          <a14:imgProps xmlns:a14="http://schemas.microsoft.com/office/drawing/2010/main">
                            <a14:imgLayer r:embed="rId43">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6645910" cy="7868285"/>
                    </a:xfrm>
                    <a:prstGeom prst="rect">
                      <a:avLst/>
                    </a:prstGeom>
                    <a:ln>
                      <a:noFill/>
                    </a:ln>
                    <a:effectLst>
                      <a:softEdge rad="112500"/>
                    </a:effectLst>
                  </pic:spPr>
                </pic:pic>
              </a:graphicData>
            </a:graphic>
          </wp:inline>
        </w:drawing>
      </w:r>
    </w:p>
    <w:p w14:paraId="683C5204" w14:textId="26ADE499" w:rsidR="00B34128" w:rsidRDefault="00A3694B" w:rsidP="00A3694B">
      <w:pPr>
        <w:pStyle w:val="Ttulo5"/>
      </w:pPr>
      <w:r>
        <w:lastRenderedPageBreak/>
        <w:t>Anexo</w:t>
      </w:r>
      <w:r w:rsidR="00BC549A">
        <w:t> </w:t>
      </w:r>
      <w:r w:rsidR="008A10EC">
        <w:t>5</w:t>
      </w:r>
      <w:r w:rsidRPr="00A3694B">
        <w:rPr>
          <w:i w:val="0"/>
          <w:iCs w:val="0"/>
          <w:u w:val="none"/>
        </w:rPr>
        <w:t xml:space="preserve">: </w:t>
      </w:r>
      <w:r w:rsidR="00B34128" w:rsidRPr="00A3694B">
        <w:rPr>
          <w:i w:val="0"/>
          <w:iCs w:val="0"/>
          <w:u w:val="none"/>
        </w:rPr>
        <w:t>Resumen de las principales cuentas, agregados y saldos contables</w:t>
      </w:r>
    </w:p>
    <w:p w14:paraId="1C57646E" w14:textId="77777777" w:rsidR="00C11D71" w:rsidRDefault="00A45F50" w:rsidP="00A45F50">
      <w:pPr>
        <w:spacing w:line="240" w:lineRule="auto"/>
        <w:jc w:val="center"/>
        <w:rPr>
          <w:b/>
        </w:rPr>
      </w:pPr>
      <w:r>
        <w:rPr>
          <w:noProof/>
        </w:rPr>
        <w:drawing>
          <wp:inline distT="0" distB="0" distL="0" distR="0" wp14:anchorId="52329D3F" wp14:editId="5A155A79">
            <wp:extent cx="5112673" cy="386861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117280" cy="3872102"/>
                    </a:xfrm>
                    <a:prstGeom prst="rect">
                      <a:avLst/>
                    </a:prstGeom>
                  </pic:spPr>
                </pic:pic>
              </a:graphicData>
            </a:graphic>
          </wp:inline>
        </w:drawing>
      </w:r>
    </w:p>
    <w:p w14:paraId="78F62EC2" w14:textId="70D8100F" w:rsidR="00C252FB" w:rsidRPr="00C252FB" w:rsidRDefault="00C252FB" w:rsidP="00C252FB">
      <w:pPr>
        <w:pStyle w:val="Ttulo5"/>
      </w:pPr>
      <w:bookmarkStart w:id="145" w:name="_Ref103163548"/>
      <w:r>
        <w:t>Anexo 6</w:t>
      </w:r>
      <w:r w:rsidRPr="00C252FB">
        <w:rPr>
          <w:i w:val="0"/>
          <w:iCs w:val="0"/>
          <w:u w:val="none"/>
        </w:rPr>
        <w:t>: Matriz de contabilidad social</w:t>
      </w:r>
    </w:p>
    <w:p w14:paraId="176CC3A9" w14:textId="0C74AAF1" w:rsidR="00C252FB" w:rsidRDefault="00C252FB" w:rsidP="00C252FB">
      <w:pPr>
        <w:pStyle w:val="Ttuloimagen"/>
      </w:pPr>
      <w:r>
        <w:t>Imagen</w:t>
      </w:r>
      <w:r w:rsidR="00887D70">
        <w:t> </w:t>
      </w:r>
      <w:r>
        <w:fldChar w:fldCharType="begin"/>
      </w:r>
      <w:r>
        <w:instrText xml:space="preserve"> SEQ Ilustración \* ARABIC </w:instrText>
      </w:r>
      <w:r>
        <w:fldChar w:fldCharType="separate"/>
      </w:r>
      <w:r w:rsidR="001A65F8">
        <w:t>7</w:t>
      </w:r>
      <w:r>
        <w:fldChar w:fldCharType="end"/>
      </w:r>
      <w:r w:rsidRPr="00C252FB">
        <w:rPr>
          <w:smallCaps w:val="0"/>
        </w:rPr>
        <w:t xml:space="preserve">.– </w:t>
      </w:r>
      <w:r w:rsidR="000E2E47">
        <w:rPr>
          <w:i/>
          <w:iCs/>
          <w:smallCaps w:val="0"/>
        </w:rPr>
        <w:t>Estructura simplificada de una m</w:t>
      </w:r>
      <w:r>
        <w:rPr>
          <w:i/>
          <w:iCs/>
          <w:smallCaps w:val="0"/>
        </w:rPr>
        <w:t>atriz de contabilidad social</w:t>
      </w:r>
    </w:p>
    <w:p w14:paraId="429AF58C" w14:textId="77777777" w:rsidR="00C252FB" w:rsidRDefault="00C252FB" w:rsidP="00C252FB">
      <w:pPr>
        <w:pStyle w:val="Imagen"/>
      </w:pPr>
      <w:r>
        <w:drawing>
          <wp:inline distT="0" distB="0" distL="0" distR="0" wp14:anchorId="0589C909" wp14:editId="375EBB63">
            <wp:extent cx="4606313" cy="2492828"/>
            <wp:effectExtent l="0" t="0" r="3810" b="3175"/>
            <wp:docPr id="11" name="Imagen 1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Tabla&#10;&#10;Descripción generada automáticament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16236" cy="2498198"/>
                    </a:xfrm>
                    <a:prstGeom prst="rect">
                      <a:avLst/>
                    </a:prstGeom>
                    <a:noFill/>
                  </pic:spPr>
                </pic:pic>
              </a:graphicData>
            </a:graphic>
          </wp:inline>
        </w:drawing>
      </w:r>
    </w:p>
    <w:p w14:paraId="4DCADCD1" w14:textId="063A5685" w:rsidR="00C252FB" w:rsidRPr="00C252FB" w:rsidRDefault="00C252FB" w:rsidP="00C252FB">
      <w:pPr>
        <w:pStyle w:val="PiedeImagen"/>
        <w:rPr>
          <w:i w:val="0"/>
          <w:iCs/>
        </w:rPr>
      </w:pPr>
      <w:r>
        <w:t>Fuente</w:t>
      </w:r>
      <w:r>
        <w:rPr>
          <w:i w:val="0"/>
          <w:iCs/>
        </w:rPr>
        <w:t xml:space="preserve">: </w:t>
      </w:r>
      <w:r w:rsidR="000E2E47" w:rsidRPr="000E2E47">
        <w:rPr>
          <w:i w:val="0"/>
          <w:iCs/>
        </w:rPr>
        <w:t>Cardenete y Moniche (2001).</w:t>
      </w:r>
      <w:r w:rsidR="000E2E47">
        <w:rPr>
          <w:i w:val="0"/>
          <w:iCs/>
        </w:rPr>
        <w:t xml:space="preserve"> El nuevo Marco Input-Output y la SAM de Andalucía para 1995.</w:t>
      </w:r>
    </w:p>
    <w:p w14:paraId="46EF4DD0" w14:textId="7E64D959" w:rsidR="00C252FB" w:rsidRDefault="00C252FB" w:rsidP="00C252FB">
      <w:r>
        <w:t>La matriz de contabilidad social represent</w:t>
      </w:r>
      <w:r w:rsidR="000E2E47">
        <w:t>a</w:t>
      </w:r>
      <w:r>
        <w:t xml:space="preserve"> en forma de matriz el flujo circular de la renta.</w:t>
      </w:r>
    </w:p>
    <w:p w14:paraId="7A861969" w14:textId="780610AB" w:rsidR="00C252FB" w:rsidRDefault="00C252FB" w:rsidP="00C252FB">
      <w:r>
        <w:t>Pero, más interesante, las matrices de contabilidad social también ofrecen un marco de referencia óptimo para la calibración de modelos de equilibrio general aplicado.</w:t>
      </w:r>
    </w:p>
    <w:p w14:paraId="25BE4722" w14:textId="50075A88" w:rsidR="00C252FB" w:rsidRPr="00C252FB" w:rsidRDefault="00C252FB" w:rsidP="00C252FB">
      <w:r>
        <w:t>Pese a cumplir con las restricciones que impone el equilibrio walrasiano, incluir un mayor nivel de desagregación que otros modelos macroeconómicos, y darle un papel central a los hogares y las personas, las Matrices de Contabilidad han sido ignoradas.</w:t>
      </w:r>
    </w:p>
    <w:p w14:paraId="3710A033" w14:textId="1D1BAE1D" w:rsidR="00EE0EF7" w:rsidRDefault="00EE0EF7" w:rsidP="00EE0EF7">
      <w:pPr>
        <w:pStyle w:val="Ttulo5"/>
        <w:rPr>
          <w:i w:val="0"/>
          <w:iCs w:val="0"/>
          <w:u w:val="none"/>
        </w:rPr>
      </w:pPr>
      <w:r>
        <w:t>Anexo</w:t>
      </w:r>
      <w:r w:rsidR="00BC549A">
        <w:t> </w:t>
      </w:r>
      <w:r w:rsidR="00C252FB">
        <w:t>7</w:t>
      </w:r>
      <w:r>
        <w:rPr>
          <w:i w:val="0"/>
          <w:iCs w:val="0"/>
          <w:u w:val="none"/>
        </w:rPr>
        <w:t>: El PIB como medida del bienestar</w:t>
      </w:r>
      <w:bookmarkEnd w:id="145"/>
    </w:p>
    <w:p w14:paraId="21B086D5" w14:textId="6CC86FAD" w:rsidR="007F28F7" w:rsidRPr="007F28F7" w:rsidRDefault="00000000" w:rsidP="007F28F7">
      <w:pPr>
        <w:pStyle w:val="Cajadeanotaciones"/>
        <w:keepNext/>
      </w:pPr>
      <w:hyperlink r:id="rId46" w:history="1">
        <w:r w:rsidR="007F28F7" w:rsidRPr="00C36DDF">
          <w:rPr>
            <w:rStyle w:val="Hipervnculo"/>
          </w:rPr>
          <w:t>https://youtu.be/DRg-HM2GzXw</w:t>
        </w:r>
      </w:hyperlink>
    </w:p>
    <w:p w14:paraId="29127A0B" w14:textId="385C672F" w:rsidR="00774CF1" w:rsidRDefault="00C50516" w:rsidP="00774CF1">
      <w:pPr>
        <w:pStyle w:val="Nivel1SM"/>
      </w:pPr>
      <w:r>
        <w:t>El PIB per cápita, es utilizado de forma habitual como medida del bienestar y del nivel de vida de una región. Es una estadística cuantificable, objetiva y</w:t>
      </w:r>
      <w:r w:rsidRPr="00C50516">
        <w:t xml:space="preserve"> </w:t>
      </w:r>
      <w:r>
        <w:t xml:space="preserve">fácilmente comparable. El SCN, dota a las </w:t>
      </w:r>
      <w:r>
        <w:lastRenderedPageBreak/>
        <w:t>cuentas nacionales de suficiente homogeneidad para permitir esto (con la excepción de algunos países como China</w:t>
      </w:r>
      <w:r w:rsidR="00D278BB">
        <w:rPr>
          <w:rStyle w:val="Refdenotaalpie"/>
        </w:rPr>
        <w:footnoteReference w:id="33"/>
      </w:r>
      <w:r>
        <w:t>).</w:t>
      </w:r>
    </w:p>
    <w:p w14:paraId="4F47D598" w14:textId="263E82D0" w:rsidR="00C50516" w:rsidRDefault="00774CF1" w:rsidP="00C50516">
      <w:pPr>
        <w:pStyle w:val="Nivel1SM"/>
        <w:keepNext/>
        <w:spacing w:after="0"/>
      </w:pPr>
      <w:r>
        <w:t>Sin embargo, h</w:t>
      </w:r>
      <w:r w:rsidR="00EE0EF7">
        <w:t xml:space="preserve">an sido muchos los economistas que </w:t>
      </w:r>
      <w:r w:rsidR="00EE0EF7" w:rsidRPr="005C7C6C">
        <w:rPr>
          <w:b/>
          <w:bCs/>
        </w:rPr>
        <w:t>han criticado al PIB como aproximación del bienestar</w:t>
      </w:r>
      <w:r w:rsidR="00EE0EF7">
        <w:t xml:space="preserve">. </w:t>
      </w:r>
      <w:r w:rsidR="00C50516">
        <w:t>El PIB se olvida de otras variables que influyen en la calidad de vida (p.ej. desarrollo, igualdad…) y contiene sesgos, ya que no considera los autoconsumos, el trabajo doméstico o la economía sumergida.</w:t>
      </w:r>
    </w:p>
    <w:p w14:paraId="1F91DE7B" w14:textId="59D63312" w:rsidR="00C50516" w:rsidRDefault="00C50516" w:rsidP="00C50516">
      <w:pPr>
        <w:pStyle w:val="Nivel2SM"/>
        <w:keepNext/>
        <w:spacing w:after="0"/>
      </w:pPr>
      <w:r>
        <w:t>Desde un punto de vista empírico,</w:t>
      </w:r>
    </w:p>
    <w:p w14:paraId="73E08645" w14:textId="7BA2B71C" w:rsidR="00D7658C" w:rsidRPr="00D7658C" w:rsidRDefault="00D7658C" w:rsidP="00C50516">
      <w:pPr>
        <w:pStyle w:val="Nivel3SM"/>
      </w:pPr>
      <w:r>
        <w:t xml:space="preserve">Según la </w:t>
      </w:r>
      <w:r>
        <w:rPr>
          <w:i/>
          <w:iCs/>
        </w:rPr>
        <w:t>Paradoja de Easterlin</w:t>
      </w:r>
      <w:r>
        <w:t xml:space="preserve">, no existe ninguna relación entre el PIB per cápita que alcanza un país y el nivel de felicidad que reportan sus habitantes. Esta conclusión se basa en el </w:t>
      </w:r>
      <w:proofErr w:type="spellStart"/>
      <w:r>
        <w:rPr>
          <w:i/>
          <w:iCs/>
        </w:rPr>
        <w:t>World</w:t>
      </w:r>
      <w:proofErr w:type="spellEnd"/>
      <w:r>
        <w:rPr>
          <w:i/>
          <w:iCs/>
        </w:rPr>
        <w:t xml:space="preserve"> </w:t>
      </w:r>
      <w:proofErr w:type="spellStart"/>
      <w:r>
        <w:rPr>
          <w:i/>
          <w:iCs/>
        </w:rPr>
        <w:t>Happiness</w:t>
      </w:r>
      <w:proofErr w:type="spellEnd"/>
      <w:r>
        <w:rPr>
          <w:i/>
          <w:iCs/>
        </w:rPr>
        <w:t xml:space="preserve"> </w:t>
      </w:r>
      <w:proofErr w:type="spellStart"/>
      <w:r>
        <w:rPr>
          <w:i/>
          <w:iCs/>
        </w:rPr>
        <w:t>Report</w:t>
      </w:r>
      <w:proofErr w:type="spellEnd"/>
      <w:r>
        <w:t>.</w:t>
      </w:r>
    </w:p>
    <w:p w14:paraId="34C0C7B4" w14:textId="6043DC8B" w:rsidR="00C50516" w:rsidRDefault="00D7658C" w:rsidP="00C50516">
      <w:pPr>
        <w:pStyle w:val="Nivel3SM"/>
      </w:pPr>
      <w:r w:rsidRPr="00D7658C">
        <w:t>Sin embargo,</w:t>
      </w:r>
      <w:r>
        <w:rPr>
          <w:smallCaps/>
        </w:rPr>
        <w:t xml:space="preserve"> </w:t>
      </w:r>
      <w:r w:rsidR="00C50516" w:rsidRPr="00C50516">
        <w:rPr>
          <w:smallCaps/>
        </w:rPr>
        <w:t>Jones</w:t>
      </w:r>
      <w:r w:rsidR="00C50516">
        <w:t xml:space="preserve"> y </w:t>
      </w:r>
      <w:r w:rsidR="00C50516">
        <w:rPr>
          <w:smallCaps/>
        </w:rPr>
        <w:t>Klenow</w:t>
      </w:r>
      <w:r w:rsidR="00C50516">
        <w:t xml:space="preserve"> (2016) </w:t>
      </w:r>
      <w:r>
        <w:t>hallan que el PIB puede ser adecuado para aproximar el bienestar ya que el PIB está fuertemente correlacionado con otras medidas de bienestar ausentes en la medición del PIB (p.ej. tiempo de ocio, esperanza de vida y desigualdad).</w:t>
      </w:r>
    </w:p>
    <w:p w14:paraId="29ECC115" w14:textId="7E586656" w:rsidR="00C50516" w:rsidRDefault="00C50516" w:rsidP="00D7658C">
      <w:pPr>
        <w:pStyle w:val="Nivel4"/>
        <w:spacing w:after="100"/>
        <w:ind w:left="1474"/>
      </w:pPr>
      <w:r>
        <w:t>Estos dos enfoques son consistentes con la presencia de términos relativos en la función de utilidad</w:t>
      </w:r>
      <w:r w:rsidR="00D7658C">
        <w:t>. Según esta aproximación,</w:t>
      </w:r>
      <w:r>
        <w:t xml:space="preserve"> lo que </w:t>
      </w:r>
      <w:r w:rsidR="00D7658C">
        <w:t>verdaderamente</w:t>
      </w:r>
      <w:r>
        <w:t xml:space="preserve"> importa en términos de felicidad</w:t>
      </w:r>
      <w:r w:rsidR="00D7658C">
        <w:t xml:space="preserve"> no es el nivel absoluto de ingreso de una persona, sino cómo se compara el ingreso, el consumo o cualquier otro determinante del bienestar con el de otras personas (comparación social) o con su propio pasado (hábitos).</w:t>
      </w:r>
    </w:p>
    <w:p w14:paraId="440C69AF" w14:textId="5AC3D78D" w:rsidR="00EE0EF7" w:rsidRDefault="00C50516" w:rsidP="000C239E">
      <w:pPr>
        <w:pStyle w:val="Nivel1SM"/>
        <w:keepNext/>
        <w:spacing w:after="0"/>
      </w:pPr>
      <w:r>
        <w:t>En conclusión, el PIB es un indicador imperfecto pero útil, y es difícil que un indicador de bienestar agregado pueda captar todos los matices que contribuyen a la felicidad de las personas.</w:t>
      </w:r>
      <w:r w:rsidR="00D7658C">
        <w:t xml:space="preserve"> </w:t>
      </w:r>
      <w:r>
        <w:t xml:space="preserve">Para superar estas limitaciones, los economistas han planteado </w:t>
      </w:r>
      <w:r w:rsidRPr="008A626A">
        <w:rPr>
          <w:b/>
          <w:bCs/>
        </w:rPr>
        <w:t>medidas alternativas</w:t>
      </w:r>
      <w:r>
        <w:t xml:space="preserve"> que complementan el PIB con otros indicadores:</w:t>
      </w:r>
    </w:p>
    <w:p w14:paraId="7B395179" w14:textId="584C4DB3" w:rsidR="00EE0EF7" w:rsidRDefault="00EE0EF7" w:rsidP="007A4A2A">
      <w:pPr>
        <w:pStyle w:val="Nivel2SM"/>
        <w:keepNext/>
        <w:spacing w:after="0"/>
      </w:pPr>
      <w:r w:rsidRPr="00EE0EF7">
        <w:t xml:space="preserve">En 1972, </w:t>
      </w:r>
      <w:r w:rsidRPr="00EE0EF7">
        <w:rPr>
          <w:smallCaps/>
        </w:rPr>
        <w:t>Nordhaus</w:t>
      </w:r>
      <w:r w:rsidRPr="00EE0EF7">
        <w:t xml:space="preserve"> y </w:t>
      </w:r>
      <w:r w:rsidRPr="00EE0EF7">
        <w:rPr>
          <w:smallCaps/>
        </w:rPr>
        <w:t>Tobin</w:t>
      </w:r>
      <w:r w:rsidRPr="00EE0EF7">
        <w:t xml:space="preserve"> publicar</w:t>
      </w:r>
      <w:r>
        <w:t xml:space="preserve">on un artículo en el que planteaban la necesidad de superar el concepto de PIB como medida de bienestar económico. Para ello, plantearon como alternativa la llamada </w:t>
      </w:r>
      <w:r w:rsidRPr="00EE0EF7">
        <w:rPr>
          <w:i/>
          <w:iCs/>
        </w:rPr>
        <w:t>“</w:t>
      </w:r>
      <w:proofErr w:type="spellStart"/>
      <w:r w:rsidRPr="00EE0EF7">
        <w:rPr>
          <w:i/>
          <w:iCs/>
        </w:rPr>
        <w:t>Measure</w:t>
      </w:r>
      <w:proofErr w:type="spellEnd"/>
      <w:r w:rsidRPr="00EE0EF7">
        <w:rPr>
          <w:i/>
          <w:iCs/>
        </w:rPr>
        <w:t xml:space="preserve"> </w:t>
      </w:r>
      <w:proofErr w:type="spellStart"/>
      <w:r w:rsidRPr="00EE0EF7">
        <w:rPr>
          <w:i/>
          <w:iCs/>
        </w:rPr>
        <w:t>of</w:t>
      </w:r>
      <w:proofErr w:type="spellEnd"/>
      <w:r w:rsidRPr="00EE0EF7">
        <w:rPr>
          <w:i/>
          <w:iCs/>
        </w:rPr>
        <w:t xml:space="preserve"> </w:t>
      </w:r>
      <w:proofErr w:type="spellStart"/>
      <w:r w:rsidRPr="00EE0EF7">
        <w:rPr>
          <w:i/>
          <w:iCs/>
        </w:rPr>
        <w:t>Economic</w:t>
      </w:r>
      <w:proofErr w:type="spellEnd"/>
      <w:r w:rsidRPr="00EE0EF7">
        <w:rPr>
          <w:i/>
          <w:iCs/>
        </w:rPr>
        <w:t xml:space="preserve"> </w:t>
      </w:r>
      <w:proofErr w:type="spellStart"/>
      <w:r w:rsidRPr="00EE0EF7">
        <w:rPr>
          <w:i/>
          <w:iCs/>
        </w:rPr>
        <w:t>Welfare</w:t>
      </w:r>
      <w:proofErr w:type="spellEnd"/>
      <w:r w:rsidRPr="00EE0EF7">
        <w:rPr>
          <w:i/>
          <w:iCs/>
        </w:rPr>
        <w:t>”</w:t>
      </w:r>
      <w:r>
        <w:t xml:space="preserve"> que parte del PIB, pero lo ajusta para incluir valoraciones del ocio, del trabajo no remunerado y del medio ambiente.</w:t>
      </w:r>
    </w:p>
    <w:p w14:paraId="024DBB3A" w14:textId="7D64A10E" w:rsidR="00EE0EF7" w:rsidRPr="007A4A2A" w:rsidRDefault="00234050" w:rsidP="007A4A2A">
      <w:pPr>
        <w:pStyle w:val="Nivel1"/>
        <w:numPr>
          <w:ilvl w:val="0"/>
          <w:numId w:val="0"/>
        </w:numPr>
        <w:spacing w:before="40"/>
        <w:ind w:right="-852"/>
        <w:rPr>
          <w:i/>
          <w:iCs/>
          <w:spacing w:val="-3"/>
          <w:sz w:val="19"/>
          <w:szCs w:val="19"/>
        </w:rPr>
      </w:pPr>
      <w:proofErr w:type="spellStart"/>
      <m:oMathPara>
        <m:oMath>
          <m:r>
            <m:rPr>
              <m:nor/>
            </m:rPr>
            <w:rPr>
              <w:i/>
              <w:iCs/>
              <w:spacing w:val="-3"/>
              <w:sz w:val="19"/>
              <w:szCs w:val="19"/>
            </w:rPr>
            <m:t>Measure</m:t>
          </m:r>
          <w:proofErr w:type="spellEnd"/>
          <m:r>
            <m:rPr>
              <m:nor/>
            </m:rPr>
            <w:rPr>
              <w:i/>
              <w:iCs/>
              <w:spacing w:val="-3"/>
              <w:sz w:val="19"/>
              <w:szCs w:val="19"/>
            </w:rPr>
            <m:t xml:space="preserve"> </m:t>
          </m:r>
          <w:proofErr w:type="spellStart"/>
          <m:r>
            <m:rPr>
              <m:nor/>
            </m:rPr>
            <w:rPr>
              <w:i/>
              <w:iCs/>
              <w:spacing w:val="-3"/>
              <w:sz w:val="19"/>
              <w:szCs w:val="19"/>
            </w:rPr>
            <m:t>of</m:t>
          </m:r>
          <w:proofErr w:type="spellEnd"/>
          <m:r>
            <m:rPr>
              <m:nor/>
            </m:rPr>
            <w:rPr>
              <w:i/>
              <w:iCs/>
              <w:spacing w:val="-3"/>
              <w:sz w:val="19"/>
              <w:szCs w:val="19"/>
            </w:rPr>
            <m:t xml:space="preserve"> </m:t>
          </m:r>
          <w:proofErr w:type="spellStart"/>
          <m:r>
            <m:rPr>
              <m:nor/>
            </m:rPr>
            <w:rPr>
              <w:i/>
              <w:iCs/>
              <w:spacing w:val="-3"/>
              <w:sz w:val="19"/>
              <w:szCs w:val="19"/>
            </w:rPr>
            <m:t>Economic</m:t>
          </m:r>
          <w:proofErr w:type="spellEnd"/>
          <m:r>
            <m:rPr>
              <m:nor/>
            </m:rPr>
            <w:rPr>
              <w:i/>
              <w:iCs/>
              <w:spacing w:val="-3"/>
              <w:sz w:val="19"/>
              <w:szCs w:val="19"/>
            </w:rPr>
            <m:t xml:space="preserve"> </m:t>
          </m:r>
          <w:proofErr w:type="spellStart"/>
          <m:r>
            <m:rPr>
              <m:nor/>
            </m:rPr>
            <w:rPr>
              <w:i/>
              <w:iCs/>
              <w:spacing w:val="-3"/>
              <w:sz w:val="19"/>
              <w:szCs w:val="19"/>
            </w:rPr>
            <m:t>Welfare</m:t>
          </m:r>
          <w:proofErr w:type="spellEnd"/>
          <m:r>
            <w:rPr>
              <w:rFonts w:ascii="Cambria Math" w:hAnsi="Cambria Math"/>
              <w:spacing w:val="-3"/>
              <w:sz w:val="19"/>
              <w:szCs w:val="19"/>
            </w:rPr>
            <m:t>=</m:t>
          </m:r>
          <m:r>
            <m:rPr>
              <m:nor/>
            </m:rPr>
            <w:rPr>
              <w:i/>
              <w:iCs/>
              <w:spacing w:val="-3"/>
              <w:sz w:val="19"/>
              <w:szCs w:val="19"/>
            </w:rPr>
            <m:t>Valor del PIB</m:t>
          </m:r>
          <m:r>
            <w:rPr>
              <w:rFonts w:ascii="Cambria Math" w:hAnsi="Cambria Math"/>
              <w:spacing w:val="-3"/>
              <w:sz w:val="19"/>
              <w:szCs w:val="19"/>
            </w:rPr>
            <m:t>+</m:t>
          </m:r>
          <m:r>
            <m:rPr>
              <m:nor/>
            </m:rPr>
            <w:rPr>
              <w:i/>
              <w:iCs/>
              <w:spacing w:val="-3"/>
              <w:sz w:val="19"/>
              <w:szCs w:val="19"/>
            </w:rPr>
            <m:t>Valor del ocio</m:t>
          </m:r>
          <m:r>
            <w:rPr>
              <w:rFonts w:ascii="Cambria Math" w:hAnsi="Cambria Math"/>
              <w:spacing w:val="-3"/>
              <w:sz w:val="19"/>
              <w:szCs w:val="19"/>
            </w:rPr>
            <m:t>+</m:t>
          </m:r>
          <m:r>
            <m:rPr>
              <m:nor/>
            </m:rPr>
            <w:rPr>
              <w:i/>
              <w:iCs/>
              <w:spacing w:val="-3"/>
              <w:sz w:val="19"/>
              <w:szCs w:val="19"/>
            </w:rPr>
            <m:t>Valor del trabajo no remunerado</m:t>
          </m:r>
          <m:r>
            <w:rPr>
              <w:rFonts w:ascii="Cambria Math" w:hAnsi="Cambria Math"/>
              <w:spacing w:val="-3"/>
              <w:sz w:val="19"/>
              <w:szCs w:val="19"/>
            </w:rPr>
            <m:t>-</m:t>
          </m:r>
          <m:r>
            <m:rPr>
              <m:nor/>
            </m:rPr>
            <w:rPr>
              <w:i/>
              <w:iCs/>
              <w:spacing w:val="-3"/>
              <w:sz w:val="19"/>
              <w:szCs w:val="19"/>
            </w:rPr>
            <m:t>Valor del daño al medio ambiente</m:t>
          </m:r>
        </m:oMath>
      </m:oMathPara>
    </w:p>
    <w:p w14:paraId="553649CD" w14:textId="2478D9CB" w:rsidR="00EE0EF7" w:rsidRDefault="00234050" w:rsidP="007A4A2A">
      <w:pPr>
        <w:pStyle w:val="Nivel2SM"/>
        <w:keepNext/>
        <w:spacing w:after="0"/>
      </w:pPr>
      <w:r>
        <w:t xml:space="preserve">Éste índice sirvió como antecedente de intentos posteriores para desarrollar índices de crecimiento sostenible. Uno de los ejemplos más recientes se puede encontrar en la cumbre de Davos de 2018: el </w:t>
      </w:r>
      <w:r>
        <w:rPr>
          <w:i/>
          <w:iCs/>
        </w:rPr>
        <w:t>Índice de Crecimiento Inclusivo Davos 2018</w:t>
      </w:r>
      <w:r>
        <w:t>.</w:t>
      </w:r>
    </w:p>
    <w:p w14:paraId="4B480FF2" w14:textId="72602841" w:rsidR="00234050" w:rsidRDefault="00234050" w:rsidP="007A4A2A">
      <w:pPr>
        <w:pStyle w:val="Nivel3SM"/>
      </w:pPr>
      <w:r>
        <w:t>El Foro de Davos, consciente</w:t>
      </w:r>
      <w:r w:rsidR="00C65061">
        <w:t xml:space="preserve"> de los riesgos de una creciente desigualdad, alertó de que</w:t>
      </w:r>
      <w:r w:rsidR="008A626A">
        <w:t>,</w:t>
      </w:r>
      <w:r w:rsidR="00C65061">
        <w:t xml:space="preserve"> en los </w:t>
      </w:r>
      <w:r w:rsidR="008A626A">
        <w:t>5 </w:t>
      </w:r>
      <w:r w:rsidR="00C65061">
        <w:t>años anteriores</w:t>
      </w:r>
      <w:r w:rsidR="008A626A">
        <w:t>,</w:t>
      </w:r>
      <w:r w:rsidR="00C65061">
        <w:t xml:space="preserve"> el crecimiento no había servido para reducir la pobreza ni aumentar los ingresos de los hogares. Y es que, a pesar de que el crecimiento había vuelto de forma generalizada a las principales economías del mundo, resultaba evidente que la recuperación no estaba llegando a todos.</w:t>
      </w:r>
    </w:p>
    <w:p w14:paraId="0A24EDF7" w14:textId="1256A68B" w:rsidR="00C65061" w:rsidRDefault="00C65061" w:rsidP="007A4A2A">
      <w:pPr>
        <w:pStyle w:val="Nivel3SM"/>
      </w:pPr>
      <w:r>
        <w:t>Para poner cifras a esa disparidad, el Foro de Davos ha puesto en marcha un Índice de Crecimiento Inclusivo que tiene en cuenta otros indicadores para valorar la evolución de las economías: posibilidad de encontrar empleo, esperanza de vida, ingresos medios de los hogares, tasa de pobreza, uso de carbón de la economía, peso de la deuda pública…</w:t>
      </w:r>
    </w:p>
    <w:p w14:paraId="7593C921" w14:textId="63436FD7" w:rsidR="00C65061" w:rsidRPr="00EE0EF7" w:rsidRDefault="00C65061" w:rsidP="007A4A2A">
      <w:pPr>
        <w:pStyle w:val="Nivel3SM"/>
      </w:pPr>
      <w:r>
        <w:t>España no sale bien parada en el nuevo índice; ocupa el puesto</w:t>
      </w:r>
      <w:r w:rsidR="005C0FFC">
        <w:t> </w:t>
      </w:r>
      <w:r>
        <w:t>26 de los 29</w:t>
      </w:r>
      <w:r w:rsidR="005C0FFC">
        <w:t> </w:t>
      </w:r>
      <w:r>
        <w:t>países desarrollado</w:t>
      </w:r>
      <w:r w:rsidR="00AA38AF">
        <w:t>s</w:t>
      </w:r>
      <w:r>
        <w:t>, por debajo del puesto</w:t>
      </w:r>
      <w:r w:rsidR="005C0FFC">
        <w:t> </w:t>
      </w:r>
      <w:r>
        <w:t>23 que ocupa en términos de PIB per cápita y sólo por delante de Italia, Portugal e Italia. De acuerdo a este Índice de Crecimiento Inclusivo, Noruega es la primera clasificada.</w:t>
      </w:r>
    </w:p>
    <w:p w14:paraId="79CED212" w14:textId="0D848E79" w:rsidR="00234050" w:rsidRPr="00EE0EF7" w:rsidRDefault="00234050" w:rsidP="00EE0EF7">
      <w:pPr>
        <w:spacing w:line="240" w:lineRule="auto"/>
        <w:rPr>
          <w:b/>
        </w:rPr>
        <w:sectPr w:rsidR="00234050" w:rsidRPr="00EE0EF7" w:rsidSect="00B33A73">
          <w:headerReference w:type="even" r:id="rId47"/>
          <w:headerReference w:type="default" r:id="rId48"/>
          <w:footerReference w:type="even" r:id="rId49"/>
          <w:footerReference w:type="default" r:id="rId50"/>
          <w:headerReference w:type="first" r:id="rId51"/>
          <w:footerReference w:type="first" r:id="rId52"/>
          <w:pgSz w:w="11906" w:h="16838"/>
          <w:pgMar w:top="567" w:right="1134" w:bottom="567" w:left="1134" w:header="113" w:footer="113" w:gutter="0"/>
          <w:cols w:space="708"/>
          <w:titlePg/>
          <w:docGrid w:linePitch="360"/>
        </w:sectPr>
      </w:pPr>
    </w:p>
    <w:p w14:paraId="7793826C" w14:textId="1803D30D" w:rsidR="00C11D71" w:rsidRDefault="00C11D71" w:rsidP="00C11D71">
      <w:pPr>
        <w:pStyle w:val="Ttulo5"/>
        <w:rPr>
          <w:i w:val="0"/>
          <w:iCs w:val="0"/>
          <w:u w:val="none"/>
        </w:rPr>
      </w:pPr>
      <w:bookmarkStart w:id="147" w:name="_Ref103164407"/>
      <w:r>
        <w:lastRenderedPageBreak/>
        <w:t>Anexo</w:t>
      </w:r>
      <w:r w:rsidR="00BC549A">
        <w:t> </w:t>
      </w:r>
      <w:r w:rsidR="00C252FB">
        <w:t>8</w:t>
      </w:r>
      <w:r>
        <w:rPr>
          <w:i w:val="0"/>
          <w:iCs w:val="0"/>
          <w:u w:val="none"/>
        </w:rPr>
        <w:t>: Presentación sinóptica de las cuentas, los saldos contables y los principales agregados</w:t>
      </w:r>
      <w:bookmarkEnd w:id="147"/>
    </w:p>
    <w:tbl>
      <w:tblPr>
        <w:tblStyle w:val="Tablaconcuadrcula"/>
        <w:tblW w:w="15876" w:type="dxa"/>
        <w:tblLook w:val="04A0" w:firstRow="1" w:lastRow="0" w:firstColumn="1" w:lastColumn="0" w:noHBand="0" w:noVBand="1"/>
      </w:tblPr>
      <w:tblGrid>
        <w:gridCol w:w="526"/>
        <w:gridCol w:w="1742"/>
        <w:gridCol w:w="2268"/>
        <w:gridCol w:w="1843"/>
        <w:gridCol w:w="3119"/>
        <w:gridCol w:w="3189"/>
        <w:gridCol w:w="3189"/>
      </w:tblGrid>
      <w:tr w:rsidR="00F41FB4" w14:paraId="11050300" w14:textId="77777777" w:rsidTr="005E0871">
        <w:trPr>
          <w:trHeight w:val="454"/>
        </w:trPr>
        <w:tc>
          <w:tcPr>
            <w:tcW w:w="526" w:type="dxa"/>
            <w:vMerge w:val="restart"/>
            <w:tcBorders>
              <w:top w:val="nil"/>
              <w:left w:val="nil"/>
              <w:right w:val="nil"/>
            </w:tcBorders>
            <w:textDirection w:val="btLr"/>
            <w:vAlign w:val="center"/>
          </w:tcPr>
          <w:p w14:paraId="2A7A3115" w14:textId="77777777" w:rsidR="00F41FB4" w:rsidRDefault="00F41FB4" w:rsidP="00C11D71">
            <w:pPr>
              <w:spacing w:after="0"/>
              <w:ind w:left="113" w:right="113"/>
              <w:jc w:val="center"/>
            </w:pPr>
          </w:p>
        </w:tc>
        <w:tc>
          <w:tcPr>
            <w:tcW w:w="8972" w:type="dxa"/>
            <w:gridSpan w:val="4"/>
            <w:tcBorders>
              <w:top w:val="nil"/>
              <w:left w:val="nil"/>
              <w:bottom w:val="double" w:sz="4" w:space="0" w:color="auto"/>
              <w:right w:val="nil"/>
            </w:tcBorders>
            <w:vAlign w:val="center"/>
          </w:tcPr>
          <w:p w14:paraId="2CB9C9D9" w14:textId="77777777" w:rsidR="00F41FB4" w:rsidRPr="00C11D71" w:rsidRDefault="00F41FB4" w:rsidP="00B24AC1">
            <w:pPr>
              <w:spacing w:after="0"/>
              <w:rPr>
                <w:sz w:val="20"/>
                <w:szCs w:val="20"/>
              </w:rPr>
            </w:pPr>
          </w:p>
        </w:tc>
        <w:tc>
          <w:tcPr>
            <w:tcW w:w="3189" w:type="dxa"/>
            <w:tcBorders>
              <w:top w:val="nil"/>
              <w:left w:val="nil"/>
              <w:bottom w:val="double" w:sz="4" w:space="0" w:color="auto"/>
              <w:right w:val="nil"/>
            </w:tcBorders>
            <w:vAlign w:val="center"/>
          </w:tcPr>
          <w:p w14:paraId="6E814DCA" w14:textId="0A45B421" w:rsidR="00F41FB4" w:rsidRPr="00B24AC1" w:rsidRDefault="00B24AC1" w:rsidP="00F41FB4">
            <w:pPr>
              <w:spacing w:after="0"/>
              <w:jc w:val="center"/>
              <w:rPr>
                <w:sz w:val="20"/>
                <w:szCs w:val="20"/>
              </w:rPr>
            </w:pPr>
            <w:r w:rsidRPr="00B24AC1">
              <w:rPr>
                <w:sz w:val="20"/>
                <w:szCs w:val="20"/>
              </w:rPr>
              <w:t>Saldos contables</w:t>
            </w:r>
          </w:p>
        </w:tc>
        <w:tc>
          <w:tcPr>
            <w:tcW w:w="3189" w:type="dxa"/>
            <w:tcBorders>
              <w:top w:val="nil"/>
              <w:left w:val="nil"/>
              <w:bottom w:val="double" w:sz="4" w:space="0" w:color="auto"/>
              <w:right w:val="nil"/>
            </w:tcBorders>
            <w:vAlign w:val="center"/>
          </w:tcPr>
          <w:p w14:paraId="719234EB" w14:textId="5A17F089" w:rsidR="00F41FB4" w:rsidRPr="00B24AC1" w:rsidRDefault="00B24AC1" w:rsidP="00F41FB4">
            <w:pPr>
              <w:spacing w:after="0"/>
              <w:jc w:val="center"/>
              <w:rPr>
                <w:sz w:val="20"/>
                <w:szCs w:val="20"/>
              </w:rPr>
            </w:pPr>
            <w:r w:rsidRPr="00B24AC1">
              <w:rPr>
                <w:sz w:val="20"/>
                <w:szCs w:val="20"/>
              </w:rPr>
              <w:t>Principales agregados</w:t>
            </w:r>
          </w:p>
        </w:tc>
      </w:tr>
      <w:tr w:rsidR="00F41FB4" w14:paraId="0990B3DE" w14:textId="604175E4" w:rsidTr="00246176">
        <w:trPr>
          <w:trHeight w:val="454"/>
        </w:trPr>
        <w:tc>
          <w:tcPr>
            <w:tcW w:w="526" w:type="dxa"/>
            <w:vMerge/>
            <w:tcBorders>
              <w:left w:val="nil"/>
              <w:bottom w:val="double" w:sz="4" w:space="0" w:color="auto"/>
              <w:right w:val="double" w:sz="4" w:space="0" w:color="auto"/>
            </w:tcBorders>
            <w:textDirection w:val="btLr"/>
            <w:vAlign w:val="center"/>
          </w:tcPr>
          <w:p w14:paraId="3334BBD6" w14:textId="77777777" w:rsidR="00F41FB4" w:rsidRDefault="00F41FB4" w:rsidP="00C11D71">
            <w:pPr>
              <w:spacing w:after="0"/>
              <w:ind w:left="113" w:right="113"/>
              <w:jc w:val="center"/>
            </w:pPr>
          </w:p>
        </w:tc>
        <w:tc>
          <w:tcPr>
            <w:tcW w:w="8972" w:type="dxa"/>
            <w:gridSpan w:val="4"/>
            <w:tcBorders>
              <w:top w:val="double" w:sz="4" w:space="0" w:color="auto"/>
              <w:left w:val="double" w:sz="4" w:space="0" w:color="auto"/>
              <w:bottom w:val="double" w:sz="4" w:space="0" w:color="auto"/>
            </w:tcBorders>
            <w:vAlign w:val="center"/>
          </w:tcPr>
          <w:p w14:paraId="24847BDE" w14:textId="6F4C374E" w:rsidR="00F41FB4" w:rsidRPr="00C11D71" w:rsidRDefault="00F41FB4" w:rsidP="00C11D71">
            <w:pPr>
              <w:spacing w:after="0"/>
              <w:jc w:val="left"/>
              <w:rPr>
                <w:sz w:val="20"/>
                <w:szCs w:val="20"/>
              </w:rPr>
            </w:pPr>
            <w:r w:rsidRPr="00C11D71">
              <w:rPr>
                <w:sz w:val="20"/>
                <w:szCs w:val="20"/>
              </w:rPr>
              <w:t>0. Cuenta de bienes y servicios</w:t>
            </w:r>
          </w:p>
        </w:tc>
        <w:tc>
          <w:tcPr>
            <w:tcW w:w="3189" w:type="dxa"/>
            <w:tcBorders>
              <w:top w:val="double" w:sz="4" w:space="0" w:color="auto"/>
              <w:bottom w:val="double" w:sz="4" w:space="0" w:color="auto"/>
            </w:tcBorders>
            <w:vAlign w:val="center"/>
          </w:tcPr>
          <w:p w14:paraId="15C0EE6F" w14:textId="6F5D9397" w:rsidR="00F41FB4" w:rsidRPr="00B425BC" w:rsidRDefault="00B24AC1" w:rsidP="005E0871">
            <w:pPr>
              <w:spacing w:after="0"/>
              <w:jc w:val="left"/>
              <w:rPr>
                <w:i/>
                <w:iCs/>
                <w:color w:val="767171" w:themeColor="background2" w:themeShade="80"/>
                <w:sz w:val="16"/>
                <w:szCs w:val="16"/>
              </w:rPr>
            </w:pPr>
            <w:r w:rsidRPr="00B425BC">
              <w:rPr>
                <w:i/>
                <w:iCs/>
                <w:color w:val="767171" w:themeColor="background2" w:themeShade="80"/>
                <w:sz w:val="16"/>
                <w:szCs w:val="16"/>
              </w:rPr>
              <w:t>Identidad contable</w:t>
            </w:r>
          </w:p>
        </w:tc>
        <w:tc>
          <w:tcPr>
            <w:tcW w:w="3189" w:type="dxa"/>
            <w:tcBorders>
              <w:top w:val="double" w:sz="4" w:space="0" w:color="auto"/>
              <w:bottom w:val="double" w:sz="4" w:space="0" w:color="auto"/>
              <w:right w:val="double" w:sz="4" w:space="0" w:color="auto"/>
            </w:tcBorders>
            <w:vAlign w:val="center"/>
          </w:tcPr>
          <w:p w14:paraId="4A5499E6" w14:textId="77777777" w:rsidR="00F41FB4" w:rsidRPr="00B24AC1" w:rsidRDefault="00F41FB4" w:rsidP="00B24AC1">
            <w:pPr>
              <w:spacing w:after="0"/>
              <w:jc w:val="left"/>
              <w:rPr>
                <w:sz w:val="16"/>
                <w:szCs w:val="16"/>
              </w:rPr>
            </w:pPr>
          </w:p>
        </w:tc>
      </w:tr>
      <w:tr w:rsidR="00F41FB4" w14:paraId="720E3BD4" w14:textId="2AA0DFE0" w:rsidTr="00246176">
        <w:trPr>
          <w:trHeight w:val="454"/>
        </w:trPr>
        <w:tc>
          <w:tcPr>
            <w:tcW w:w="526" w:type="dxa"/>
            <w:vMerge w:val="restart"/>
            <w:tcBorders>
              <w:top w:val="double" w:sz="4" w:space="0" w:color="auto"/>
              <w:left w:val="double" w:sz="4" w:space="0" w:color="auto"/>
              <w:right w:val="double" w:sz="4" w:space="0" w:color="auto"/>
            </w:tcBorders>
            <w:textDirection w:val="btLr"/>
            <w:vAlign w:val="center"/>
          </w:tcPr>
          <w:p w14:paraId="45722945" w14:textId="4DD41110" w:rsidR="00F41FB4" w:rsidRPr="00B24AC1" w:rsidRDefault="00F41FB4" w:rsidP="00C11D71">
            <w:pPr>
              <w:spacing w:after="0"/>
              <w:ind w:left="113" w:right="113"/>
              <w:jc w:val="center"/>
              <w:rPr>
                <w:b/>
                <w:bCs/>
                <w:i/>
                <w:iCs/>
              </w:rPr>
            </w:pPr>
            <w:r w:rsidRPr="00B24AC1">
              <w:rPr>
                <w:b/>
                <w:bCs/>
                <w:i/>
                <w:iCs/>
              </w:rPr>
              <w:t>Cuentas corrientes</w:t>
            </w:r>
          </w:p>
        </w:tc>
        <w:tc>
          <w:tcPr>
            <w:tcW w:w="8972" w:type="dxa"/>
            <w:gridSpan w:val="4"/>
            <w:tcBorders>
              <w:top w:val="double" w:sz="4" w:space="0" w:color="auto"/>
              <w:left w:val="double" w:sz="4" w:space="0" w:color="auto"/>
            </w:tcBorders>
            <w:vAlign w:val="center"/>
          </w:tcPr>
          <w:p w14:paraId="33AF95AF" w14:textId="52DD6E57" w:rsidR="00F41FB4" w:rsidRPr="00C11D71" w:rsidRDefault="001D0D41" w:rsidP="00C11D71">
            <w:pPr>
              <w:spacing w:after="0"/>
              <w:jc w:val="left"/>
              <w:rPr>
                <w:sz w:val="20"/>
                <w:szCs w:val="20"/>
              </w:rPr>
            </w:pPr>
            <w:r>
              <w:rPr>
                <w:noProof/>
              </w:rPr>
              <mc:AlternateContent>
                <mc:Choice Requires="wps">
                  <w:drawing>
                    <wp:anchor distT="0" distB="0" distL="114300" distR="114300" simplePos="0" relativeHeight="251670528" behindDoc="0" locked="0" layoutInCell="1" allowOverlap="1" wp14:anchorId="0126B108" wp14:editId="631C61B6">
                      <wp:simplePos x="0" y="0"/>
                      <wp:positionH relativeFrom="column">
                        <wp:posOffset>4148455</wp:posOffset>
                      </wp:positionH>
                      <wp:positionV relativeFrom="paragraph">
                        <wp:posOffset>149860</wp:posOffset>
                      </wp:positionV>
                      <wp:extent cx="1485900" cy="247650"/>
                      <wp:effectExtent l="38100" t="0" r="0" b="57150"/>
                      <wp:wrapNone/>
                      <wp:docPr id="32969712" name="Conector recto de flecha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485900" cy="247650"/>
                              </a:xfrm>
                              <a:prstGeom prst="straightConnector1">
                                <a:avLst/>
                              </a:prstGeom>
                              <a:ln>
                                <a:tailEnd type="stealt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DCC77F" id="Conector recto de flecha 9" o:spid="_x0000_s1026" type="#_x0000_t32" style="position:absolute;margin-left:326.65pt;margin-top:11.8pt;width:117pt;height:19.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" strokecolor="black [3200]" strokeweight=".5pt">
                      <v:stroke endarrow="classic" joinstyle="miter"/>
                      <o:lock v:ext="edit" shapetype="f"/>
                    </v:shape>
                  </w:pict>
                </mc:Fallback>
              </mc:AlternateContent>
            </w:r>
            <w:r w:rsidR="00F41FB4" w:rsidRPr="00C11D71">
              <w:rPr>
                <w:sz w:val="20"/>
                <w:szCs w:val="20"/>
              </w:rPr>
              <w:t>I. Cuenta de producción</w:t>
            </w:r>
          </w:p>
        </w:tc>
        <w:tc>
          <w:tcPr>
            <w:tcW w:w="3189" w:type="dxa"/>
            <w:tcBorders>
              <w:top w:val="double" w:sz="4" w:space="0" w:color="auto"/>
            </w:tcBorders>
            <w:vAlign w:val="center"/>
          </w:tcPr>
          <w:p w14:paraId="6879886C" w14:textId="5B5EAB15" w:rsidR="00F41FB4" w:rsidRPr="00B24AC1" w:rsidRDefault="00B24AC1" w:rsidP="00B24AC1">
            <w:pPr>
              <w:spacing w:after="0"/>
              <w:jc w:val="left"/>
              <w:rPr>
                <w:sz w:val="16"/>
                <w:szCs w:val="16"/>
              </w:rPr>
            </w:pPr>
            <w:r w:rsidRPr="00B24AC1">
              <w:rPr>
                <w:sz w:val="16"/>
                <w:szCs w:val="16"/>
              </w:rPr>
              <w:t>Valor añadido bruto (VAB)</w:t>
            </w:r>
          </w:p>
        </w:tc>
        <w:tc>
          <w:tcPr>
            <w:tcW w:w="3189" w:type="dxa"/>
            <w:tcBorders>
              <w:top w:val="double" w:sz="4" w:space="0" w:color="auto"/>
              <w:right w:val="double" w:sz="4" w:space="0" w:color="auto"/>
            </w:tcBorders>
            <w:vAlign w:val="center"/>
          </w:tcPr>
          <w:p w14:paraId="78B96D9D" w14:textId="52CA3AA1" w:rsidR="00F41FB4" w:rsidRPr="00B24AC1" w:rsidRDefault="00B24AC1" w:rsidP="00B24AC1">
            <w:pPr>
              <w:spacing w:after="0"/>
              <w:jc w:val="left"/>
              <w:rPr>
                <w:sz w:val="16"/>
                <w:szCs w:val="16"/>
              </w:rPr>
            </w:pPr>
            <w:r w:rsidRPr="00B24AC1">
              <w:rPr>
                <w:sz w:val="16"/>
                <w:szCs w:val="16"/>
              </w:rPr>
              <w:t>Producto interior bruto (PIB)</w:t>
            </w:r>
          </w:p>
        </w:tc>
      </w:tr>
      <w:tr w:rsidR="00F41FB4" w14:paraId="2C856D42" w14:textId="7CAF06AF" w:rsidTr="00246176">
        <w:trPr>
          <w:trHeight w:val="454"/>
        </w:trPr>
        <w:tc>
          <w:tcPr>
            <w:tcW w:w="526" w:type="dxa"/>
            <w:vMerge/>
            <w:tcBorders>
              <w:left w:val="double" w:sz="4" w:space="0" w:color="auto"/>
              <w:right w:val="double" w:sz="4" w:space="0" w:color="auto"/>
            </w:tcBorders>
          </w:tcPr>
          <w:p w14:paraId="271A2B61" w14:textId="77777777" w:rsidR="00F41FB4" w:rsidRPr="00B24AC1" w:rsidRDefault="00F41FB4" w:rsidP="00C11D71">
            <w:pPr>
              <w:spacing w:after="0"/>
              <w:rPr>
                <w:b/>
                <w:bCs/>
                <w:i/>
                <w:iCs/>
              </w:rPr>
            </w:pPr>
          </w:p>
        </w:tc>
        <w:tc>
          <w:tcPr>
            <w:tcW w:w="1742" w:type="dxa"/>
            <w:vMerge w:val="restart"/>
            <w:tcBorders>
              <w:left w:val="double" w:sz="4" w:space="0" w:color="auto"/>
            </w:tcBorders>
            <w:vAlign w:val="center"/>
          </w:tcPr>
          <w:p w14:paraId="31FEE95A" w14:textId="6138D680" w:rsidR="00F41FB4" w:rsidRPr="00C11D71" w:rsidRDefault="00F41FB4" w:rsidP="00C11D71">
            <w:pPr>
              <w:spacing w:after="0"/>
              <w:jc w:val="left"/>
              <w:rPr>
                <w:sz w:val="20"/>
                <w:szCs w:val="20"/>
              </w:rPr>
            </w:pPr>
            <w:r w:rsidRPr="00C11D71">
              <w:rPr>
                <w:sz w:val="20"/>
                <w:szCs w:val="20"/>
              </w:rPr>
              <w:t>II. Cuentas de distribución y utilización de la renta de la renta</w:t>
            </w:r>
          </w:p>
        </w:tc>
        <w:tc>
          <w:tcPr>
            <w:tcW w:w="2268" w:type="dxa"/>
            <w:vMerge w:val="restart"/>
            <w:vAlign w:val="center"/>
          </w:tcPr>
          <w:p w14:paraId="1B4AF59E" w14:textId="1047EC3B" w:rsidR="00F41FB4" w:rsidRPr="00C11D71" w:rsidRDefault="00F41FB4" w:rsidP="00C11D71">
            <w:pPr>
              <w:spacing w:after="0"/>
              <w:jc w:val="left"/>
              <w:rPr>
                <w:sz w:val="20"/>
                <w:szCs w:val="20"/>
              </w:rPr>
            </w:pPr>
            <w:r w:rsidRPr="00C11D71">
              <w:rPr>
                <w:sz w:val="20"/>
                <w:szCs w:val="20"/>
              </w:rPr>
              <w:t>II.1</w:t>
            </w:r>
            <w:r>
              <w:rPr>
                <w:sz w:val="20"/>
                <w:szCs w:val="20"/>
              </w:rPr>
              <w:t>.</w:t>
            </w:r>
            <w:r w:rsidRPr="00C11D71">
              <w:rPr>
                <w:sz w:val="20"/>
                <w:szCs w:val="20"/>
              </w:rPr>
              <w:t xml:space="preserve"> Cuentas de distribución primaria de la renta</w:t>
            </w:r>
          </w:p>
        </w:tc>
        <w:tc>
          <w:tcPr>
            <w:tcW w:w="4962" w:type="dxa"/>
            <w:gridSpan w:val="2"/>
            <w:vAlign w:val="center"/>
          </w:tcPr>
          <w:p w14:paraId="6FE48313" w14:textId="0FABCA34" w:rsidR="00F41FB4" w:rsidRPr="00C11D71" w:rsidRDefault="001D0D41" w:rsidP="00C11D71">
            <w:pPr>
              <w:spacing w:after="0"/>
              <w:jc w:val="left"/>
              <w:rPr>
                <w:sz w:val="20"/>
                <w:szCs w:val="20"/>
              </w:rPr>
            </w:pPr>
            <w:r>
              <w:rPr>
                <w:noProof/>
              </w:rPr>
              <mc:AlternateContent>
                <mc:Choice Requires="wps">
                  <w:drawing>
                    <wp:anchor distT="0" distB="0" distL="114300" distR="114300" simplePos="0" relativeHeight="251671552" behindDoc="0" locked="0" layoutInCell="1" allowOverlap="1" wp14:anchorId="728792BF" wp14:editId="788B3637">
                      <wp:simplePos x="0" y="0"/>
                      <wp:positionH relativeFrom="column">
                        <wp:posOffset>925195</wp:posOffset>
                      </wp:positionH>
                      <wp:positionV relativeFrom="paragraph">
                        <wp:posOffset>178435</wp:posOffset>
                      </wp:positionV>
                      <wp:extent cx="2162175" cy="209550"/>
                      <wp:effectExtent l="38100" t="0" r="9525" b="76200"/>
                      <wp:wrapNone/>
                      <wp:docPr id="112783135" name="Conector recto de flecha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162175" cy="209550"/>
                              </a:xfrm>
                              <a:prstGeom prst="straightConnector1">
                                <a:avLst/>
                              </a:prstGeom>
                              <a:ln>
                                <a:tailEnd type="stealth"/>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04B0C1E" id="Conector recto de flecha 8" o:spid="_x0000_s1026" type="#_x0000_t32" style="position:absolute;margin-left:72.85pt;margin-top:14.05pt;width:170.25pt;height:16.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" strokecolor="black [3200]" strokeweight=".5pt">
                      <v:stroke endarrow="classic" joinstyle="miter"/>
                      <o:lock v:ext="edit" shapetype="f"/>
                    </v:shape>
                  </w:pict>
                </mc:Fallback>
              </mc:AlternateContent>
            </w:r>
            <w:r w:rsidR="00F41FB4" w:rsidRPr="00F41FB4">
              <w:rPr>
                <w:sz w:val="18"/>
                <w:szCs w:val="18"/>
              </w:rPr>
              <w:t>II.1.1. Cuenta de explotación</w:t>
            </w:r>
          </w:p>
        </w:tc>
        <w:tc>
          <w:tcPr>
            <w:tcW w:w="3189" w:type="dxa"/>
            <w:vAlign w:val="center"/>
          </w:tcPr>
          <w:p w14:paraId="45220F0C" w14:textId="77777777" w:rsidR="00F41FB4" w:rsidRPr="00B24AC1" w:rsidRDefault="00B24AC1" w:rsidP="00B24AC1">
            <w:pPr>
              <w:spacing w:after="0"/>
              <w:jc w:val="left"/>
              <w:rPr>
                <w:sz w:val="16"/>
                <w:szCs w:val="16"/>
              </w:rPr>
            </w:pPr>
            <w:r w:rsidRPr="00B24AC1">
              <w:rPr>
                <w:sz w:val="16"/>
                <w:szCs w:val="16"/>
              </w:rPr>
              <w:t>Excedente de explotación bruto</w:t>
            </w:r>
          </w:p>
          <w:p w14:paraId="016EA1E8" w14:textId="5F0CBB58" w:rsidR="00B24AC1" w:rsidRPr="00B24AC1" w:rsidRDefault="00B24AC1" w:rsidP="00B24AC1">
            <w:pPr>
              <w:spacing w:after="0"/>
              <w:jc w:val="left"/>
              <w:rPr>
                <w:sz w:val="16"/>
                <w:szCs w:val="16"/>
              </w:rPr>
            </w:pPr>
            <w:r w:rsidRPr="00B24AC1">
              <w:rPr>
                <w:sz w:val="16"/>
                <w:szCs w:val="16"/>
              </w:rPr>
              <w:t>Renta mixta bruta</w:t>
            </w:r>
          </w:p>
        </w:tc>
        <w:tc>
          <w:tcPr>
            <w:tcW w:w="3189" w:type="dxa"/>
            <w:tcBorders>
              <w:right w:val="double" w:sz="4" w:space="0" w:color="auto"/>
            </w:tcBorders>
            <w:vAlign w:val="center"/>
          </w:tcPr>
          <w:p w14:paraId="61A06215" w14:textId="77777777" w:rsidR="00F41FB4" w:rsidRPr="00B24AC1" w:rsidRDefault="00F41FB4" w:rsidP="00B24AC1">
            <w:pPr>
              <w:spacing w:after="0"/>
              <w:jc w:val="left"/>
              <w:rPr>
                <w:sz w:val="16"/>
                <w:szCs w:val="16"/>
              </w:rPr>
            </w:pPr>
          </w:p>
        </w:tc>
      </w:tr>
      <w:tr w:rsidR="005E0871" w14:paraId="3549A7EC" w14:textId="60DF98DE" w:rsidTr="00246176">
        <w:trPr>
          <w:trHeight w:val="454"/>
        </w:trPr>
        <w:tc>
          <w:tcPr>
            <w:tcW w:w="526" w:type="dxa"/>
            <w:vMerge/>
            <w:tcBorders>
              <w:left w:val="double" w:sz="4" w:space="0" w:color="auto"/>
              <w:right w:val="double" w:sz="4" w:space="0" w:color="auto"/>
            </w:tcBorders>
          </w:tcPr>
          <w:p w14:paraId="15BD5279" w14:textId="77777777" w:rsidR="00F41FB4" w:rsidRPr="00B24AC1" w:rsidRDefault="00F41FB4" w:rsidP="00C11D71">
            <w:pPr>
              <w:spacing w:after="0"/>
              <w:rPr>
                <w:b/>
                <w:bCs/>
                <w:i/>
                <w:iCs/>
              </w:rPr>
            </w:pPr>
          </w:p>
        </w:tc>
        <w:tc>
          <w:tcPr>
            <w:tcW w:w="1742" w:type="dxa"/>
            <w:vMerge/>
            <w:tcBorders>
              <w:left w:val="double" w:sz="4" w:space="0" w:color="auto"/>
            </w:tcBorders>
            <w:vAlign w:val="center"/>
          </w:tcPr>
          <w:p w14:paraId="1B11A91A" w14:textId="77777777" w:rsidR="00F41FB4" w:rsidRPr="00C11D71" w:rsidRDefault="00F41FB4" w:rsidP="00C11D71">
            <w:pPr>
              <w:spacing w:after="0"/>
              <w:jc w:val="left"/>
              <w:rPr>
                <w:sz w:val="20"/>
                <w:szCs w:val="20"/>
              </w:rPr>
            </w:pPr>
          </w:p>
        </w:tc>
        <w:tc>
          <w:tcPr>
            <w:tcW w:w="2268" w:type="dxa"/>
            <w:vMerge/>
            <w:vAlign w:val="center"/>
          </w:tcPr>
          <w:p w14:paraId="0F910651" w14:textId="77777777" w:rsidR="00F41FB4" w:rsidRPr="00C11D71" w:rsidRDefault="00F41FB4" w:rsidP="00C11D71">
            <w:pPr>
              <w:spacing w:after="0"/>
              <w:jc w:val="left"/>
              <w:rPr>
                <w:sz w:val="20"/>
                <w:szCs w:val="20"/>
              </w:rPr>
            </w:pPr>
          </w:p>
        </w:tc>
        <w:tc>
          <w:tcPr>
            <w:tcW w:w="1843" w:type="dxa"/>
            <w:vMerge w:val="restart"/>
            <w:vAlign w:val="center"/>
          </w:tcPr>
          <w:p w14:paraId="05D390C7" w14:textId="77777777" w:rsidR="00F41FB4" w:rsidRPr="00F41FB4" w:rsidRDefault="00F41FB4" w:rsidP="00C11D71">
            <w:pPr>
              <w:spacing w:after="0"/>
              <w:jc w:val="left"/>
              <w:rPr>
                <w:sz w:val="18"/>
                <w:szCs w:val="18"/>
              </w:rPr>
            </w:pPr>
            <w:r w:rsidRPr="00F41FB4">
              <w:rPr>
                <w:sz w:val="18"/>
                <w:szCs w:val="18"/>
              </w:rPr>
              <w:t>II.1.2. Cuenta de asignación de la renta primaria</w:t>
            </w:r>
          </w:p>
        </w:tc>
        <w:tc>
          <w:tcPr>
            <w:tcW w:w="3119" w:type="dxa"/>
            <w:vAlign w:val="center"/>
          </w:tcPr>
          <w:p w14:paraId="68057AEC" w14:textId="7B2C3228" w:rsidR="00F41FB4" w:rsidRPr="00F41FB4" w:rsidRDefault="00F41FB4" w:rsidP="00C11D71">
            <w:pPr>
              <w:spacing w:after="0"/>
              <w:jc w:val="left"/>
              <w:rPr>
                <w:sz w:val="16"/>
                <w:szCs w:val="16"/>
              </w:rPr>
            </w:pPr>
            <w:r w:rsidRPr="00F41FB4">
              <w:rPr>
                <w:sz w:val="16"/>
                <w:szCs w:val="16"/>
              </w:rPr>
              <w:t>C.II.1.2.1. Cuenta de renta empresarial</w:t>
            </w:r>
          </w:p>
        </w:tc>
        <w:tc>
          <w:tcPr>
            <w:tcW w:w="3189" w:type="dxa"/>
            <w:vAlign w:val="center"/>
          </w:tcPr>
          <w:p w14:paraId="75244D1E" w14:textId="5F7DA879" w:rsidR="00F41FB4" w:rsidRPr="00B24AC1" w:rsidRDefault="005E0871" w:rsidP="00B24AC1">
            <w:pPr>
              <w:spacing w:after="0"/>
              <w:jc w:val="left"/>
              <w:rPr>
                <w:sz w:val="16"/>
                <w:szCs w:val="16"/>
              </w:rPr>
            </w:pPr>
            <w:r>
              <w:rPr>
                <w:sz w:val="16"/>
                <w:szCs w:val="16"/>
              </w:rPr>
              <w:t>Cuenta de la renta empresarial</w:t>
            </w:r>
          </w:p>
        </w:tc>
        <w:tc>
          <w:tcPr>
            <w:tcW w:w="3189" w:type="dxa"/>
            <w:tcBorders>
              <w:right w:val="double" w:sz="4" w:space="0" w:color="auto"/>
            </w:tcBorders>
            <w:vAlign w:val="center"/>
          </w:tcPr>
          <w:p w14:paraId="7CF8634C" w14:textId="77777777" w:rsidR="00F41FB4" w:rsidRPr="00B24AC1" w:rsidRDefault="00F41FB4" w:rsidP="00B24AC1">
            <w:pPr>
              <w:spacing w:after="0"/>
              <w:jc w:val="left"/>
              <w:rPr>
                <w:sz w:val="16"/>
                <w:szCs w:val="16"/>
              </w:rPr>
            </w:pPr>
          </w:p>
        </w:tc>
      </w:tr>
      <w:tr w:rsidR="005E0871" w14:paraId="4F298A34" w14:textId="77777777" w:rsidTr="00246176">
        <w:trPr>
          <w:trHeight w:val="454"/>
        </w:trPr>
        <w:tc>
          <w:tcPr>
            <w:tcW w:w="526" w:type="dxa"/>
            <w:vMerge/>
            <w:tcBorders>
              <w:left w:val="double" w:sz="4" w:space="0" w:color="auto"/>
              <w:right w:val="double" w:sz="4" w:space="0" w:color="auto"/>
            </w:tcBorders>
          </w:tcPr>
          <w:p w14:paraId="42C8A7F5" w14:textId="77777777" w:rsidR="00F41FB4" w:rsidRPr="00B24AC1" w:rsidRDefault="00F41FB4" w:rsidP="00C11D71">
            <w:pPr>
              <w:spacing w:after="0"/>
              <w:rPr>
                <w:b/>
                <w:bCs/>
                <w:i/>
                <w:iCs/>
              </w:rPr>
            </w:pPr>
          </w:p>
        </w:tc>
        <w:tc>
          <w:tcPr>
            <w:tcW w:w="1742" w:type="dxa"/>
            <w:vMerge/>
            <w:tcBorders>
              <w:left w:val="double" w:sz="4" w:space="0" w:color="auto"/>
            </w:tcBorders>
            <w:vAlign w:val="center"/>
          </w:tcPr>
          <w:p w14:paraId="26E02A29" w14:textId="77777777" w:rsidR="00F41FB4" w:rsidRPr="00C11D71" w:rsidRDefault="00F41FB4" w:rsidP="00C11D71">
            <w:pPr>
              <w:spacing w:after="0"/>
              <w:jc w:val="left"/>
              <w:rPr>
                <w:sz w:val="20"/>
                <w:szCs w:val="20"/>
              </w:rPr>
            </w:pPr>
          </w:p>
        </w:tc>
        <w:tc>
          <w:tcPr>
            <w:tcW w:w="2268" w:type="dxa"/>
            <w:vMerge/>
            <w:vAlign w:val="center"/>
          </w:tcPr>
          <w:p w14:paraId="00BE3DAA" w14:textId="77777777" w:rsidR="00F41FB4" w:rsidRPr="00C11D71" w:rsidRDefault="00F41FB4" w:rsidP="00C11D71">
            <w:pPr>
              <w:spacing w:after="0"/>
              <w:jc w:val="left"/>
              <w:rPr>
                <w:sz w:val="20"/>
                <w:szCs w:val="20"/>
              </w:rPr>
            </w:pPr>
          </w:p>
        </w:tc>
        <w:tc>
          <w:tcPr>
            <w:tcW w:w="1843" w:type="dxa"/>
            <w:vMerge/>
            <w:vAlign w:val="center"/>
          </w:tcPr>
          <w:p w14:paraId="470A9A61" w14:textId="77777777" w:rsidR="00F41FB4" w:rsidRPr="00C11D71" w:rsidRDefault="00F41FB4" w:rsidP="00C11D71">
            <w:pPr>
              <w:spacing w:after="0"/>
              <w:jc w:val="left"/>
              <w:rPr>
                <w:sz w:val="20"/>
                <w:szCs w:val="20"/>
              </w:rPr>
            </w:pPr>
          </w:p>
        </w:tc>
        <w:tc>
          <w:tcPr>
            <w:tcW w:w="3119" w:type="dxa"/>
            <w:vAlign w:val="center"/>
          </w:tcPr>
          <w:p w14:paraId="1D506346" w14:textId="2DB68A3C" w:rsidR="00F41FB4" w:rsidRPr="00F41FB4" w:rsidRDefault="001D0D41" w:rsidP="00C11D71">
            <w:pPr>
              <w:spacing w:after="0"/>
              <w:jc w:val="left"/>
              <w:rPr>
                <w:sz w:val="16"/>
                <w:szCs w:val="16"/>
              </w:rPr>
            </w:pPr>
            <w:r>
              <w:rPr>
                <w:noProof/>
              </w:rPr>
              <mc:AlternateContent>
                <mc:Choice Requires="wps">
                  <w:drawing>
                    <wp:anchor distT="0" distB="0" distL="114300" distR="114300" simplePos="0" relativeHeight="251672576" behindDoc="0" locked="0" layoutInCell="1" allowOverlap="1" wp14:anchorId="72B9306A" wp14:editId="4044E29D">
                      <wp:simplePos x="0" y="0"/>
                      <wp:positionH relativeFrom="column">
                        <wp:posOffset>288290</wp:posOffset>
                      </wp:positionH>
                      <wp:positionV relativeFrom="paragraph">
                        <wp:posOffset>141605</wp:posOffset>
                      </wp:positionV>
                      <wp:extent cx="1628775" cy="304800"/>
                      <wp:effectExtent l="38100" t="0" r="9525" b="57150"/>
                      <wp:wrapNone/>
                      <wp:docPr id="299372411" name="Conector recto de flecha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28775" cy="304800"/>
                              </a:xfrm>
                              <a:prstGeom prst="straightConnector1">
                                <a:avLst/>
                              </a:prstGeom>
                              <a:ln>
                                <a:tailEnd type="stealth"/>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C1E3FDA" id="Conector recto de flecha 7" o:spid="_x0000_s1026" type="#_x0000_t32" style="position:absolute;margin-left:22.7pt;margin-top:11.15pt;width:128.25pt;height:24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" strokecolor="black [3200]" strokeweight=".5pt">
                      <v:stroke endarrow="classic" joinstyle="miter"/>
                      <o:lock v:ext="edit" shapetype="f"/>
                    </v:shape>
                  </w:pict>
                </mc:Fallback>
              </mc:AlternateContent>
            </w:r>
            <w:r w:rsidR="00F41FB4" w:rsidRPr="00F41FB4">
              <w:rPr>
                <w:sz w:val="16"/>
                <w:szCs w:val="16"/>
              </w:rPr>
              <w:t>C.II.1.2.2. Cuenta de asignación de otra renta primaria</w:t>
            </w:r>
          </w:p>
        </w:tc>
        <w:tc>
          <w:tcPr>
            <w:tcW w:w="3189" w:type="dxa"/>
            <w:vAlign w:val="center"/>
          </w:tcPr>
          <w:p w14:paraId="2FFD36F8" w14:textId="51F77D27" w:rsidR="00F41FB4" w:rsidRPr="00B24AC1" w:rsidRDefault="00B24AC1" w:rsidP="00B24AC1">
            <w:pPr>
              <w:spacing w:after="0"/>
              <w:jc w:val="left"/>
              <w:rPr>
                <w:sz w:val="16"/>
                <w:szCs w:val="16"/>
              </w:rPr>
            </w:pPr>
            <w:r>
              <w:rPr>
                <w:sz w:val="16"/>
                <w:szCs w:val="16"/>
              </w:rPr>
              <w:t>Saldo de rentas primarias</w:t>
            </w:r>
          </w:p>
        </w:tc>
        <w:tc>
          <w:tcPr>
            <w:tcW w:w="3189" w:type="dxa"/>
            <w:tcBorders>
              <w:right w:val="double" w:sz="4" w:space="0" w:color="auto"/>
            </w:tcBorders>
            <w:vAlign w:val="center"/>
          </w:tcPr>
          <w:p w14:paraId="20329276" w14:textId="5D2D226E" w:rsidR="00F41FB4" w:rsidRPr="00B24AC1" w:rsidRDefault="00B24AC1" w:rsidP="00B24AC1">
            <w:pPr>
              <w:spacing w:after="0"/>
              <w:jc w:val="left"/>
              <w:rPr>
                <w:sz w:val="16"/>
                <w:szCs w:val="16"/>
              </w:rPr>
            </w:pPr>
            <w:r>
              <w:rPr>
                <w:sz w:val="16"/>
                <w:szCs w:val="16"/>
              </w:rPr>
              <w:t>Renta nacional bruta (RNB)</w:t>
            </w:r>
          </w:p>
        </w:tc>
      </w:tr>
      <w:tr w:rsidR="00F41FB4" w14:paraId="6342500C" w14:textId="600654F7" w:rsidTr="00246176">
        <w:trPr>
          <w:trHeight w:val="454"/>
        </w:trPr>
        <w:tc>
          <w:tcPr>
            <w:tcW w:w="526" w:type="dxa"/>
            <w:vMerge/>
            <w:tcBorders>
              <w:left w:val="double" w:sz="4" w:space="0" w:color="auto"/>
              <w:right w:val="double" w:sz="4" w:space="0" w:color="auto"/>
            </w:tcBorders>
          </w:tcPr>
          <w:p w14:paraId="65BBC9B2" w14:textId="77777777" w:rsidR="00F41FB4" w:rsidRPr="00B24AC1" w:rsidRDefault="00F41FB4" w:rsidP="00C11D71">
            <w:pPr>
              <w:spacing w:after="0"/>
              <w:rPr>
                <w:b/>
                <w:bCs/>
                <w:i/>
                <w:iCs/>
              </w:rPr>
            </w:pPr>
          </w:p>
        </w:tc>
        <w:tc>
          <w:tcPr>
            <w:tcW w:w="1742" w:type="dxa"/>
            <w:vMerge/>
            <w:tcBorders>
              <w:left w:val="double" w:sz="4" w:space="0" w:color="auto"/>
            </w:tcBorders>
            <w:vAlign w:val="center"/>
          </w:tcPr>
          <w:p w14:paraId="70359E02" w14:textId="77777777" w:rsidR="00F41FB4" w:rsidRPr="00C11D71" w:rsidRDefault="00F41FB4" w:rsidP="00C11D71">
            <w:pPr>
              <w:spacing w:after="0"/>
              <w:jc w:val="left"/>
              <w:rPr>
                <w:sz w:val="20"/>
                <w:szCs w:val="20"/>
              </w:rPr>
            </w:pPr>
          </w:p>
        </w:tc>
        <w:tc>
          <w:tcPr>
            <w:tcW w:w="7230" w:type="dxa"/>
            <w:gridSpan w:val="3"/>
            <w:vAlign w:val="center"/>
          </w:tcPr>
          <w:p w14:paraId="122CFF14" w14:textId="2D5CE0A2" w:rsidR="00F41FB4" w:rsidRPr="00C11D71" w:rsidRDefault="001D0D41" w:rsidP="00C11D71">
            <w:pPr>
              <w:spacing w:after="0"/>
              <w:jc w:val="left"/>
              <w:rPr>
                <w:sz w:val="20"/>
                <w:szCs w:val="20"/>
              </w:rPr>
            </w:pPr>
            <w:r>
              <w:rPr>
                <w:noProof/>
              </w:rPr>
              <mc:AlternateContent>
                <mc:Choice Requires="wps">
                  <w:drawing>
                    <wp:anchor distT="0" distB="0" distL="114300" distR="114300" simplePos="0" relativeHeight="251674624" behindDoc="0" locked="0" layoutInCell="1" allowOverlap="1" wp14:anchorId="35DEC45B" wp14:editId="3310FA3E">
                      <wp:simplePos x="0" y="0"/>
                      <wp:positionH relativeFrom="column">
                        <wp:posOffset>4013200</wp:posOffset>
                      </wp:positionH>
                      <wp:positionV relativeFrom="paragraph">
                        <wp:posOffset>151765</wp:posOffset>
                      </wp:positionV>
                      <wp:extent cx="514350" cy="504190"/>
                      <wp:effectExtent l="38100" t="0" r="0" b="29210"/>
                      <wp:wrapNone/>
                      <wp:docPr id="404819173" name="Conector recto de flecha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14350" cy="504190"/>
                              </a:xfrm>
                              <a:prstGeom prst="straightConnector1">
                                <a:avLst/>
                              </a:prstGeom>
                              <a:ln>
                                <a:tailEnd type="stealth"/>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3C019B2D" id="Conector recto de flecha 6" o:spid="_x0000_s1026" type="#_x0000_t32" style="position:absolute;margin-left:316pt;margin-top:11.95pt;width:40.5pt;height:39.7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" strokecolor="black [3200]" strokeweight=".5pt">
                      <v:stroke endarrow="classic" joinstyle="miter"/>
                      <o:lock v:ext="edit" shapetype="f"/>
                    </v:shape>
                  </w:pict>
                </mc:Fallback>
              </mc:AlternateContent>
            </w:r>
            <w:r>
              <w:rPr>
                <w:noProof/>
              </w:rPr>
              <mc:AlternateContent>
                <mc:Choice Requires="wps">
                  <w:drawing>
                    <wp:anchor distT="0" distB="0" distL="114300" distR="114300" simplePos="0" relativeHeight="251673600" behindDoc="0" locked="0" layoutInCell="1" allowOverlap="1" wp14:anchorId="402704C0" wp14:editId="5CEEEEE5">
                      <wp:simplePos x="0" y="0"/>
                      <wp:positionH relativeFrom="column">
                        <wp:posOffset>2946400</wp:posOffset>
                      </wp:positionH>
                      <wp:positionV relativeFrom="paragraph">
                        <wp:posOffset>151765</wp:posOffset>
                      </wp:positionV>
                      <wp:extent cx="1581150" cy="304800"/>
                      <wp:effectExtent l="38100" t="0" r="0" b="57150"/>
                      <wp:wrapNone/>
                      <wp:docPr id="730129085" name="Conector recto de flecha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81150" cy="304800"/>
                              </a:xfrm>
                              <a:prstGeom prst="straightConnector1">
                                <a:avLst/>
                              </a:prstGeom>
                              <a:ln>
                                <a:tailEnd type="stealth"/>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BE893B8" id="Conector recto de flecha 5" o:spid="_x0000_s1026" type="#_x0000_t32" style="position:absolute;margin-left:232pt;margin-top:11.95pt;width:124.5pt;height:24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" strokecolor="black [3200]" strokeweight=".5pt">
                      <v:stroke endarrow="classic" joinstyle="miter"/>
                      <o:lock v:ext="edit" shapetype="f"/>
                    </v:shape>
                  </w:pict>
                </mc:Fallback>
              </mc:AlternateContent>
            </w:r>
            <w:r w:rsidR="00F41FB4" w:rsidRPr="00C11D71">
              <w:rPr>
                <w:sz w:val="20"/>
                <w:szCs w:val="20"/>
              </w:rPr>
              <w:t>II.2</w:t>
            </w:r>
            <w:r w:rsidR="00F41FB4">
              <w:rPr>
                <w:sz w:val="20"/>
                <w:szCs w:val="20"/>
              </w:rPr>
              <w:t>.</w:t>
            </w:r>
            <w:r w:rsidR="00F41FB4" w:rsidRPr="00C11D71">
              <w:rPr>
                <w:sz w:val="20"/>
                <w:szCs w:val="20"/>
              </w:rPr>
              <w:t xml:space="preserve"> Cuenta de distribución secundaria de la renta</w:t>
            </w:r>
          </w:p>
        </w:tc>
        <w:tc>
          <w:tcPr>
            <w:tcW w:w="3189" w:type="dxa"/>
            <w:vAlign w:val="center"/>
          </w:tcPr>
          <w:p w14:paraId="41AF49F4" w14:textId="6557163F" w:rsidR="00F41FB4" w:rsidRPr="00B24AC1" w:rsidRDefault="00E72DFA" w:rsidP="00B24AC1">
            <w:pPr>
              <w:spacing w:after="0"/>
              <w:jc w:val="left"/>
              <w:rPr>
                <w:sz w:val="16"/>
                <w:szCs w:val="16"/>
              </w:rPr>
            </w:pPr>
            <w:r>
              <w:rPr>
                <w:sz w:val="16"/>
                <w:szCs w:val="16"/>
              </w:rPr>
              <w:t>Renta disponible bruta</w:t>
            </w:r>
          </w:p>
        </w:tc>
        <w:tc>
          <w:tcPr>
            <w:tcW w:w="3189" w:type="dxa"/>
            <w:tcBorders>
              <w:right w:val="double" w:sz="4" w:space="0" w:color="auto"/>
            </w:tcBorders>
            <w:vAlign w:val="center"/>
          </w:tcPr>
          <w:p w14:paraId="6DF67965" w14:textId="61073729" w:rsidR="00F41FB4" w:rsidRPr="00B24AC1" w:rsidRDefault="00E72DFA" w:rsidP="00B24AC1">
            <w:pPr>
              <w:spacing w:after="0"/>
              <w:jc w:val="left"/>
              <w:rPr>
                <w:sz w:val="16"/>
                <w:szCs w:val="16"/>
              </w:rPr>
            </w:pPr>
            <w:r>
              <w:rPr>
                <w:sz w:val="16"/>
                <w:szCs w:val="16"/>
              </w:rPr>
              <w:t>Renta nacional bruta disponible (RNBD)</w:t>
            </w:r>
          </w:p>
        </w:tc>
      </w:tr>
      <w:tr w:rsidR="00F41FB4" w14:paraId="6AF5B87E" w14:textId="239C0696" w:rsidTr="00246176">
        <w:trPr>
          <w:trHeight w:val="454"/>
        </w:trPr>
        <w:tc>
          <w:tcPr>
            <w:tcW w:w="526" w:type="dxa"/>
            <w:vMerge/>
            <w:tcBorders>
              <w:left w:val="double" w:sz="4" w:space="0" w:color="auto"/>
              <w:right w:val="double" w:sz="4" w:space="0" w:color="auto"/>
            </w:tcBorders>
          </w:tcPr>
          <w:p w14:paraId="0205B587" w14:textId="77777777" w:rsidR="00F41FB4" w:rsidRPr="00B24AC1" w:rsidRDefault="00F41FB4" w:rsidP="00C11D71">
            <w:pPr>
              <w:spacing w:after="0"/>
              <w:rPr>
                <w:b/>
                <w:bCs/>
                <w:i/>
                <w:iCs/>
              </w:rPr>
            </w:pPr>
          </w:p>
        </w:tc>
        <w:tc>
          <w:tcPr>
            <w:tcW w:w="1742" w:type="dxa"/>
            <w:vMerge/>
            <w:tcBorders>
              <w:left w:val="double" w:sz="4" w:space="0" w:color="auto"/>
            </w:tcBorders>
            <w:vAlign w:val="center"/>
          </w:tcPr>
          <w:p w14:paraId="3011B55D" w14:textId="77777777" w:rsidR="00F41FB4" w:rsidRPr="00C11D71" w:rsidRDefault="00F41FB4" w:rsidP="00C11D71">
            <w:pPr>
              <w:spacing w:after="0"/>
              <w:jc w:val="left"/>
              <w:rPr>
                <w:sz w:val="20"/>
                <w:szCs w:val="20"/>
              </w:rPr>
            </w:pPr>
          </w:p>
        </w:tc>
        <w:tc>
          <w:tcPr>
            <w:tcW w:w="7230" w:type="dxa"/>
            <w:gridSpan w:val="3"/>
            <w:vAlign w:val="center"/>
          </w:tcPr>
          <w:p w14:paraId="02F77951" w14:textId="00B59586" w:rsidR="00F41FB4" w:rsidRPr="00C11D71" w:rsidRDefault="00F41FB4" w:rsidP="00C11D71">
            <w:pPr>
              <w:spacing w:after="0"/>
              <w:jc w:val="left"/>
              <w:rPr>
                <w:sz w:val="20"/>
                <w:szCs w:val="20"/>
              </w:rPr>
            </w:pPr>
            <w:r w:rsidRPr="00C11D71">
              <w:rPr>
                <w:sz w:val="20"/>
                <w:szCs w:val="20"/>
              </w:rPr>
              <w:t>II.3</w:t>
            </w:r>
            <w:r>
              <w:rPr>
                <w:sz w:val="20"/>
                <w:szCs w:val="20"/>
              </w:rPr>
              <w:t>.</w:t>
            </w:r>
            <w:r w:rsidRPr="00C11D71">
              <w:rPr>
                <w:sz w:val="20"/>
                <w:szCs w:val="20"/>
              </w:rPr>
              <w:t xml:space="preserve"> Cuenta de redistribución de la renta en especie</w:t>
            </w:r>
          </w:p>
        </w:tc>
        <w:tc>
          <w:tcPr>
            <w:tcW w:w="3189" w:type="dxa"/>
            <w:vAlign w:val="center"/>
          </w:tcPr>
          <w:p w14:paraId="449BF01F" w14:textId="2DA6C26F" w:rsidR="00F41FB4" w:rsidRPr="00B24AC1" w:rsidRDefault="00E72DFA" w:rsidP="00B24AC1">
            <w:pPr>
              <w:spacing w:after="0"/>
              <w:jc w:val="left"/>
              <w:rPr>
                <w:sz w:val="16"/>
                <w:szCs w:val="16"/>
              </w:rPr>
            </w:pPr>
            <w:r>
              <w:rPr>
                <w:sz w:val="16"/>
                <w:szCs w:val="16"/>
              </w:rPr>
              <w:t>Renta disponible ajustada bruta</w:t>
            </w:r>
          </w:p>
        </w:tc>
        <w:tc>
          <w:tcPr>
            <w:tcW w:w="3189" w:type="dxa"/>
            <w:tcBorders>
              <w:right w:val="double" w:sz="4" w:space="0" w:color="auto"/>
            </w:tcBorders>
            <w:vAlign w:val="center"/>
          </w:tcPr>
          <w:p w14:paraId="33B57BBD" w14:textId="77777777" w:rsidR="00F41FB4" w:rsidRPr="00B24AC1" w:rsidRDefault="00F41FB4" w:rsidP="00B24AC1">
            <w:pPr>
              <w:spacing w:after="0"/>
              <w:jc w:val="left"/>
              <w:rPr>
                <w:sz w:val="16"/>
                <w:szCs w:val="16"/>
              </w:rPr>
            </w:pPr>
          </w:p>
        </w:tc>
      </w:tr>
      <w:tr w:rsidR="00F41FB4" w14:paraId="46B2D05C" w14:textId="5458D3EE" w:rsidTr="00246176">
        <w:trPr>
          <w:trHeight w:val="454"/>
        </w:trPr>
        <w:tc>
          <w:tcPr>
            <w:tcW w:w="526" w:type="dxa"/>
            <w:vMerge/>
            <w:tcBorders>
              <w:left w:val="double" w:sz="4" w:space="0" w:color="auto"/>
              <w:right w:val="double" w:sz="4" w:space="0" w:color="auto"/>
            </w:tcBorders>
          </w:tcPr>
          <w:p w14:paraId="6FB3B016" w14:textId="77777777" w:rsidR="00F41FB4" w:rsidRPr="00B24AC1" w:rsidRDefault="00F41FB4" w:rsidP="00C11D71">
            <w:pPr>
              <w:spacing w:after="0"/>
              <w:rPr>
                <w:b/>
                <w:bCs/>
                <w:i/>
                <w:iCs/>
              </w:rPr>
            </w:pPr>
          </w:p>
        </w:tc>
        <w:tc>
          <w:tcPr>
            <w:tcW w:w="1742" w:type="dxa"/>
            <w:vMerge/>
            <w:tcBorders>
              <w:left w:val="double" w:sz="4" w:space="0" w:color="auto"/>
            </w:tcBorders>
            <w:vAlign w:val="center"/>
          </w:tcPr>
          <w:p w14:paraId="5B772591" w14:textId="77777777" w:rsidR="00F41FB4" w:rsidRPr="00C11D71" w:rsidRDefault="00F41FB4" w:rsidP="00C11D71">
            <w:pPr>
              <w:spacing w:after="0"/>
              <w:jc w:val="left"/>
              <w:rPr>
                <w:sz w:val="20"/>
                <w:szCs w:val="20"/>
              </w:rPr>
            </w:pPr>
          </w:p>
        </w:tc>
        <w:tc>
          <w:tcPr>
            <w:tcW w:w="2268" w:type="dxa"/>
            <w:vMerge w:val="restart"/>
            <w:vAlign w:val="center"/>
          </w:tcPr>
          <w:p w14:paraId="04E902F9" w14:textId="74563A13" w:rsidR="00F41FB4" w:rsidRPr="00C11D71" w:rsidRDefault="00F41FB4" w:rsidP="00C11D71">
            <w:pPr>
              <w:spacing w:after="0"/>
              <w:jc w:val="left"/>
              <w:rPr>
                <w:sz w:val="20"/>
                <w:szCs w:val="20"/>
              </w:rPr>
            </w:pPr>
            <w:r w:rsidRPr="00C11D71">
              <w:rPr>
                <w:sz w:val="20"/>
                <w:szCs w:val="20"/>
              </w:rPr>
              <w:t>II.4</w:t>
            </w:r>
            <w:r>
              <w:rPr>
                <w:sz w:val="20"/>
                <w:szCs w:val="20"/>
              </w:rPr>
              <w:t>.</w:t>
            </w:r>
            <w:r w:rsidRPr="00C11D71">
              <w:rPr>
                <w:sz w:val="20"/>
                <w:szCs w:val="20"/>
              </w:rPr>
              <w:t xml:space="preserve"> Cuenta de utilización de la renta</w:t>
            </w:r>
          </w:p>
        </w:tc>
        <w:tc>
          <w:tcPr>
            <w:tcW w:w="4962" w:type="dxa"/>
            <w:gridSpan w:val="2"/>
            <w:vAlign w:val="center"/>
          </w:tcPr>
          <w:p w14:paraId="45FE453B" w14:textId="6C1BDCFC" w:rsidR="00F41FB4" w:rsidRPr="00C11D71" w:rsidRDefault="001D0D41" w:rsidP="00C11D71">
            <w:pPr>
              <w:spacing w:after="0"/>
              <w:jc w:val="left"/>
              <w:rPr>
                <w:sz w:val="20"/>
                <w:szCs w:val="20"/>
              </w:rPr>
            </w:pPr>
            <w:r>
              <w:rPr>
                <w:noProof/>
              </w:rPr>
              <mc:AlternateContent>
                <mc:Choice Requires="wps">
                  <w:drawing>
                    <wp:anchor distT="0" distB="0" distL="114300" distR="114300" simplePos="0" relativeHeight="251679744" behindDoc="0" locked="0" layoutInCell="1" allowOverlap="1" wp14:anchorId="55B9AA4D" wp14:editId="1E4F87DD">
                      <wp:simplePos x="0" y="0"/>
                      <wp:positionH relativeFrom="column">
                        <wp:posOffset>2970530</wp:posOffset>
                      </wp:positionH>
                      <wp:positionV relativeFrom="paragraph">
                        <wp:posOffset>196850</wp:posOffset>
                      </wp:positionV>
                      <wp:extent cx="143510" cy="485775"/>
                      <wp:effectExtent l="38100" t="0" r="8890" b="28575"/>
                      <wp:wrapNone/>
                      <wp:docPr id="1661310725" name="Conector recto de flecha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43510" cy="485775"/>
                              </a:xfrm>
                              <a:prstGeom prst="straightConnector1">
                                <a:avLst/>
                              </a:prstGeom>
                              <a:ln>
                                <a:solidFill>
                                  <a:schemeClr val="tx1">
                                    <a:lumMod val="50000"/>
                                    <a:lumOff val="50000"/>
                                  </a:schemeClr>
                                </a:solidFill>
                                <a:prstDash val="dash"/>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67ADDF" id="Conector recto de flecha 4" o:spid="_x0000_s1026" type="#_x0000_t32" style="position:absolute;margin-left:233.9pt;margin-top:15.5pt;width:11.3pt;height:38.2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" strokecolor="gray [1629]" strokeweight=".5pt">
                      <v:stroke dashstyle="dash" endarrow="classic" joinstyle="miter"/>
                      <o:lock v:ext="edit" shapetype="f"/>
                    </v:shape>
                  </w:pict>
                </mc:Fallback>
              </mc:AlternateContent>
            </w:r>
            <w:r>
              <w:rPr>
                <w:noProof/>
              </w:rPr>
              <mc:AlternateContent>
                <mc:Choice Requires="wps">
                  <w:drawing>
                    <wp:anchor distT="0" distB="0" distL="114300" distR="114300" simplePos="0" relativeHeight="251675648" behindDoc="0" locked="0" layoutInCell="1" allowOverlap="1" wp14:anchorId="5431342A" wp14:editId="3F7C423E">
                      <wp:simplePos x="0" y="0"/>
                      <wp:positionH relativeFrom="column">
                        <wp:posOffset>2952750</wp:posOffset>
                      </wp:positionH>
                      <wp:positionV relativeFrom="paragraph">
                        <wp:posOffset>-132080</wp:posOffset>
                      </wp:positionV>
                      <wp:extent cx="143510" cy="467995"/>
                      <wp:effectExtent l="38100" t="0" r="8890" b="46355"/>
                      <wp:wrapNone/>
                      <wp:docPr id="85952901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43510" cy="467995"/>
                              </a:xfrm>
                              <a:prstGeom prst="straightConnector1">
                                <a:avLst/>
                              </a:prstGeom>
                              <a:ln>
                                <a:tailEnd type="stealt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85009D" id="Conector recto de flecha 3" o:spid="_x0000_s1026" type="#_x0000_t32" style="position:absolute;margin-left:232.5pt;margin-top:-10.4pt;width:11.3pt;height:36.8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" strokecolor="black [3200]" strokeweight=".5pt">
                      <v:stroke endarrow="classic" joinstyle="miter"/>
                      <o:lock v:ext="edit" shapetype="f"/>
                    </v:shape>
                  </w:pict>
                </mc:Fallback>
              </mc:AlternateContent>
            </w:r>
            <w:r w:rsidR="00F41FB4" w:rsidRPr="00F41FB4">
              <w:rPr>
                <w:sz w:val="18"/>
                <w:szCs w:val="18"/>
              </w:rPr>
              <w:t>II.4.1. Cuenta de utilización de la renta disponible</w:t>
            </w:r>
          </w:p>
        </w:tc>
        <w:tc>
          <w:tcPr>
            <w:tcW w:w="3189" w:type="dxa"/>
            <w:vAlign w:val="center"/>
          </w:tcPr>
          <w:p w14:paraId="19A5B5F2" w14:textId="0C9EBA8E" w:rsidR="00F41FB4" w:rsidRPr="00B24AC1" w:rsidRDefault="00E72DFA" w:rsidP="00B24AC1">
            <w:pPr>
              <w:spacing w:after="0"/>
              <w:jc w:val="left"/>
              <w:rPr>
                <w:sz w:val="16"/>
                <w:szCs w:val="16"/>
              </w:rPr>
            </w:pPr>
            <w:r>
              <w:rPr>
                <w:sz w:val="16"/>
                <w:szCs w:val="16"/>
              </w:rPr>
              <w:t>Ahorro bruto</w:t>
            </w:r>
          </w:p>
        </w:tc>
        <w:tc>
          <w:tcPr>
            <w:tcW w:w="3189" w:type="dxa"/>
            <w:tcBorders>
              <w:right w:val="double" w:sz="4" w:space="0" w:color="auto"/>
            </w:tcBorders>
            <w:vAlign w:val="center"/>
          </w:tcPr>
          <w:p w14:paraId="6EC73C3B" w14:textId="62F9ACD5" w:rsidR="00F41FB4" w:rsidRPr="00B24AC1" w:rsidRDefault="00E72DFA" w:rsidP="00B24AC1">
            <w:pPr>
              <w:spacing w:after="0"/>
              <w:jc w:val="left"/>
              <w:rPr>
                <w:sz w:val="16"/>
                <w:szCs w:val="16"/>
              </w:rPr>
            </w:pPr>
            <w:r>
              <w:rPr>
                <w:sz w:val="16"/>
                <w:szCs w:val="16"/>
              </w:rPr>
              <w:t>Ahorro bruto nacional</w:t>
            </w:r>
          </w:p>
        </w:tc>
      </w:tr>
      <w:tr w:rsidR="005E0871" w14:paraId="6ABBFE1E" w14:textId="6C5E9D6A" w:rsidTr="00246176">
        <w:trPr>
          <w:trHeight w:val="454"/>
        </w:trPr>
        <w:tc>
          <w:tcPr>
            <w:tcW w:w="526" w:type="dxa"/>
            <w:vMerge/>
            <w:tcBorders>
              <w:left w:val="double" w:sz="4" w:space="0" w:color="auto"/>
              <w:bottom w:val="double" w:sz="4" w:space="0" w:color="auto"/>
              <w:right w:val="double" w:sz="4" w:space="0" w:color="auto"/>
            </w:tcBorders>
          </w:tcPr>
          <w:p w14:paraId="54F030CA" w14:textId="77777777" w:rsidR="00F41FB4" w:rsidRPr="00B24AC1" w:rsidRDefault="00F41FB4" w:rsidP="00C11D71">
            <w:pPr>
              <w:spacing w:after="0"/>
              <w:rPr>
                <w:b/>
                <w:bCs/>
                <w:i/>
                <w:iCs/>
              </w:rPr>
            </w:pPr>
          </w:p>
        </w:tc>
        <w:tc>
          <w:tcPr>
            <w:tcW w:w="1742" w:type="dxa"/>
            <w:vMerge/>
            <w:tcBorders>
              <w:left w:val="double" w:sz="4" w:space="0" w:color="auto"/>
              <w:bottom w:val="double" w:sz="4" w:space="0" w:color="auto"/>
            </w:tcBorders>
            <w:vAlign w:val="center"/>
          </w:tcPr>
          <w:p w14:paraId="1D8C8748" w14:textId="77777777" w:rsidR="00F41FB4" w:rsidRPr="00C11D71" w:rsidRDefault="00F41FB4" w:rsidP="00C11D71">
            <w:pPr>
              <w:spacing w:after="0"/>
              <w:jc w:val="left"/>
              <w:rPr>
                <w:sz w:val="20"/>
                <w:szCs w:val="20"/>
              </w:rPr>
            </w:pPr>
          </w:p>
        </w:tc>
        <w:tc>
          <w:tcPr>
            <w:tcW w:w="2268" w:type="dxa"/>
            <w:vMerge/>
            <w:tcBorders>
              <w:bottom w:val="double" w:sz="4" w:space="0" w:color="auto"/>
            </w:tcBorders>
            <w:vAlign w:val="center"/>
          </w:tcPr>
          <w:p w14:paraId="332E9D17" w14:textId="77777777" w:rsidR="00F41FB4" w:rsidRPr="00C11D71" w:rsidRDefault="00F41FB4" w:rsidP="00C11D71">
            <w:pPr>
              <w:spacing w:after="0"/>
              <w:jc w:val="left"/>
              <w:rPr>
                <w:sz w:val="20"/>
                <w:szCs w:val="20"/>
              </w:rPr>
            </w:pPr>
          </w:p>
        </w:tc>
        <w:tc>
          <w:tcPr>
            <w:tcW w:w="4962" w:type="dxa"/>
            <w:gridSpan w:val="2"/>
            <w:tcBorders>
              <w:bottom w:val="double" w:sz="4" w:space="0" w:color="auto"/>
            </w:tcBorders>
            <w:vAlign w:val="center"/>
          </w:tcPr>
          <w:p w14:paraId="14325A39" w14:textId="3648911A" w:rsidR="00F41FB4" w:rsidRPr="00C11D71" w:rsidRDefault="001D0D41" w:rsidP="00C11D71">
            <w:pPr>
              <w:spacing w:after="0"/>
              <w:jc w:val="left"/>
              <w:rPr>
                <w:sz w:val="20"/>
                <w:szCs w:val="20"/>
              </w:rPr>
            </w:pPr>
            <w:r>
              <w:rPr>
                <w:noProof/>
              </w:rPr>
              <mc:AlternateContent>
                <mc:Choice Requires="wps">
                  <w:drawing>
                    <wp:anchor distT="0" distB="0" distL="114300" distR="114300" simplePos="0" relativeHeight="251678720" behindDoc="0" locked="0" layoutInCell="1" allowOverlap="1" wp14:anchorId="49C8782C" wp14:editId="3415757A">
                      <wp:simplePos x="0" y="0"/>
                      <wp:positionH relativeFrom="column">
                        <wp:posOffset>2954020</wp:posOffset>
                      </wp:positionH>
                      <wp:positionV relativeFrom="paragraph">
                        <wp:posOffset>172720</wp:posOffset>
                      </wp:positionV>
                      <wp:extent cx="143510" cy="219075"/>
                      <wp:effectExtent l="38100" t="0" r="8890" b="28575"/>
                      <wp:wrapNone/>
                      <wp:docPr id="638188609"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43510" cy="219075"/>
                              </a:xfrm>
                              <a:prstGeom prst="straightConnector1">
                                <a:avLst/>
                              </a:prstGeom>
                              <a:ln>
                                <a:solidFill>
                                  <a:schemeClr val="tx1">
                                    <a:lumMod val="50000"/>
                                    <a:lumOff val="50000"/>
                                  </a:schemeClr>
                                </a:solidFill>
                                <a:prstDash val="dash"/>
                                <a:headEnd type="none"/>
                                <a:tailEnd type="stealth"/>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0D73BF9" id="Conector recto de flecha 2" o:spid="_x0000_s1026" type="#_x0000_t32" style="position:absolute;margin-left:232.6pt;margin-top:13.6pt;width:11.3pt;height:17.2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" strokecolor="gray [1629]" strokeweight=".5pt">
                      <v:stroke dashstyle="dash" endarrow="classic" joinstyle="miter"/>
                      <o:lock v:ext="edit" shapetype="f"/>
                    </v:shape>
                  </w:pict>
                </mc:Fallback>
              </mc:AlternateContent>
            </w:r>
            <w:r w:rsidR="00F41FB4" w:rsidRPr="00F41FB4">
              <w:rPr>
                <w:sz w:val="18"/>
                <w:szCs w:val="18"/>
              </w:rPr>
              <w:t>II.4.2. Cuenta de utilización de la renta disponible ajustada</w:t>
            </w:r>
          </w:p>
        </w:tc>
        <w:tc>
          <w:tcPr>
            <w:tcW w:w="3189" w:type="dxa"/>
            <w:tcBorders>
              <w:bottom w:val="double" w:sz="4" w:space="0" w:color="auto"/>
            </w:tcBorders>
            <w:vAlign w:val="center"/>
          </w:tcPr>
          <w:p w14:paraId="469ED6BD" w14:textId="01D450F6" w:rsidR="00F41FB4" w:rsidRPr="00B24AC1" w:rsidRDefault="00E72DFA" w:rsidP="00B24AC1">
            <w:pPr>
              <w:spacing w:after="0"/>
              <w:jc w:val="left"/>
              <w:rPr>
                <w:sz w:val="16"/>
                <w:szCs w:val="16"/>
              </w:rPr>
            </w:pPr>
            <w:r>
              <w:rPr>
                <w:sz w:val="16"/>
                <w:szCs w:val="16"/>
              </w:rPr>
              <w:t>Ahorro bruto</w:t>
            </w:r>
          </w:p>
        </w:tc>
        <w:tc>
          <w:tcPr>
            <w:tcW w:w="3189" w:type="dxa"/>
            <w:tcBorders>
              <w:bottom w:val="double" w:sz="4" w:space="0" w:color="auto"/>
              <w:right w:val="double" w:sz="4" w:space="0" w:color="auto"/>
            </w:tcBorders>
            <w:vAlign w:val="center"/>
          </w:tcPr>
          <w:p w14:paraId="04C9E0A0" w14:textId="7898B2F1" w:rsidR="00F41FB4" w:rsidRPr="00B24AC1" w:rsidRDefault="00E72DFA" w:rsidP="00B24AC1">
            <w:pPr>
              <w:spacing w:after="0"/>
              <w:jc w:val="left"/>
              <w:rPr>
                <w:sz w:val="16"/>
                <w:szCs w:val="16"/>
              </w:rPr>
            </w:pPr>
            <w:r>
              <w:rPr>
                <w:sz w:val="16"/>
                <w:szCs w:val="16"/>
              </w:rPr>
              <w:t>Ahorro bruto nacional</w:t>
            </w:r>
          </w:p>
        </w:tc>
      </w:tr>
      <w:tr w:rsidR="005E0871" w14:paraId="74D24990" w14:textId="4FBB0A01" w:rsidTr="00246176">
        <w:trPr>
          <w:cantSplit/>
          <w:trHeight w:val="454"/>
        </w:trPr>
        <w:tc>
          <w:tcPr>
            <w:tcW w:w="526" w:type="dxa"/>
            <w:vMerge w:val="restart"/>
            <w:tcBorders>
              <w:top w:val="double" w:sz="4" w:space="0" w:color="auto"/>
              <w:left w:val="double" w:sz="4" w:space="0" w:color="auto"/>
              <w:right w:val="double" w:sz="4" w:space="0" w:color="auto"/>
            </w:tcBorders>
            <w:textDirection w:val="btLr"/>
            <w:vAlign w:val="center"/>
          </w:tcPr>
          <w:p w14:paraId="4910B4B1" w14:textId="63E4A9F1" w:rsidR="00F41FB4" w:rsidRPr="00B24AC1" w:rsidRDefault="00F41FB4" w:rsidP="007B40B2">
            <w:pPr>
              <w:spacing w:after="0"/>
              <w:ind w:left="113" w:right="113"/>
              <w:jc w:val="center"/>
              <w:rPr>
                <w:b/>
                <w:bCs/>
                <w:i/>
                <w:iCs/>
              </w:rPr>
            </w:pPr>
            <w:r w:rsidRPr="00B24AC1">
              <w:rPr>
                <w:b/>
                <w:bCs/>
                <w:i/>
                <w:iCs/>
              </w:rPr>
              <w:t>Cuentas de acumulación</w:t>
            </w:r>
          </w:p>
        </w:tc>
        <w:tc>
          <w:tcPr>
            <w:tcW w:w="1742" w:type="dxa"/>
            <w:vMerge w:val="restart"/>
            <w:tcBorders>
              <w:top w:val="double" w:sz="4" w:space="0" w:color="auto"/>
              <w:left w:val="double" w:sz="4" w:space="0" w:color="auto"/>
            </w:tcBorders>
            <w:vAlign w:val="center"/>
          </w:tcPr>
          <w:p w14:paraId="20F0C471" w14:textId="185184A7" w:rsidR="00F41FB4" w:rsidRPr="00C11D71" w:rsidRDefault="00F41FB4" w:rsidP="00C11D71">
            <w:pPr>
              <w:spacing w:after="0"/>
              <w:jc w:val="left"/>
              <w:rPr>
                <w:sz w:val="20"/>
                <w:szCs w:val="20"/>
              </w:rPr>
            </w:pPr>
            <w:r>
              <w:rPr>
                <w:sz w:val="20"/>
                <w:szCs w:val="20"/>
              </w:rPr>
              <w:t>III. Cuentas de acumulación</w:t>
            </w:r>
          </w:p>
        </w:tc>
        <w:tc>
          <w:tcPr>
            <w:tcW w:w="2268" w:type="dxa"/>
            <w:vMerge w:val="restart"/>
            <w:tcBorders>
              <w:top w:val="double" w:sz="4" w:space="0" w:color="auto"/>
            </w:tcBorders>
            <w:vAlign w:val="center"/>
          </w:tcPr>
          <w:p w14:paraId="4FACEA3B" w14:textId="106E9DE8" w:rsidR="00F41FB4" w:rsidRPr="00C11D71" w:rsidRDefault="00F41FB4" w:rsidP="00C11D71">
            <w:pPr>
              <w:spacing w:after="0"/>
              <w:jc w:val="left"/>
              <w:rPr>
                <w:sz w:val="20"/>
                <w:szCs w:val="20"/>
              </w:rPr>
            </w:pPr>
            <w:r>
              <w:rPr>
                <w:sz w:val="20"/>
                <w:szCs w:val="20"/>
              </w:rPr>
              <w:t>III.1. Cuenta de capital</w:t>
            </w:r>
          </w:p>
        </w:tc>
        <w:tc>
          <w:tcPr>
            <w:tcW w:w="4962" w:type="dxa"/>
            <w:gridSpan w:val="2"/>
            <w:tcBorders>
              <w:top w:val="double" w:sz="4" w:space="0" w:color="auto"/>
            </w:tcBorders>
            <w:vAlign w:val="center"/>
          </w:tcPr>
          <w:p w14:paraId="7AFA711C" w14:textId="64760635" w:rsidR="00F41FB4" w:rsidRPr="00C11D71" w:rsidRDefault="001D0D41" w:rsidP="00C11D71">
            <w:pPr>
              <w:spacing w:after="0"/>
              <w:jc w:val="left"/>
              <w:rPr>
                <w:sz w:val="20"/>
                <w:szCs w:val="20"/>
              </w:rPr>
            </w:pPr>
            <w:r>
              <w:rPr>
                <w:noProof/>
              </w:rPr>
              <mc:AlternateContent>
                <mc:Choice Requires="wps">
                  <w:drawing>
                    <wp:anchor distT="0" distB="0" distL="114300" distR="114300" simplePos="0" relativeHeight="251677696" behindDoc="0" locked="0" layoutInCell="1" allowOverlap="1" wp14:anchorId="5A79AF10" wp14:editId="134F4E28">
                      <wp:simplePos x="0" y="0"/>
                      <wp:positionH relativeFrom="column">
                        <wp:posOffset>2887345</wp:posOffset>
                      </wp:positionH>
                      <wp:positionV relativeFrom="paragraph">
                        <wp:posOffset>151130</wp:posOffset>
                      </wp:positionV>
                      <wp:extent cx="209550" cy="247650"/>
                      <wp:effectExtent l="38100" t="0" r="0" b="38100"/>
                      <wp:wrapNone/>
                      <wp:docPr id="2035016636"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9550" cy="247650"/>
                              </a:xfrm>
                              <a:prstGeom prst="straightConnector1">
                                <a:avLst/>
                              </a:prstGeom>
                              <a:ln>
                                <a:tailEnd type="stealth"/>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22B86EC" id="Conector recto de flecha 1" o:spid="_x0000_s1026" type="#_x0000_t32" style="position:absolute;margin-left:227.35pt;margin-top:11.9pt;width:16.5pt;height:19.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" strokecolor="black [3200]" strokeweight=".5pt">
                      <v:stroke endarrow="classic" joinstyle="miter"/>
                      <o:lock v:ext="edit" shapetype="f"/>
                    </v:shape>
                  </w:pict>
                </mc:Fallback>
              </mc:AlternateContent>
            </w:r>
            <w:r w:rsidR="00F41FB4" w:rsidRPr="00F41FB4">
              <w:rPr>
                <w:sz w:val="18"/>
                <w:szCs w:val="18"/>
              </w:rPr>
              <w:t>III.1.1. Cuenta de variaciones del patrimonio neto debidas al ahorro y a las transferencias de capital</w:t>
            </w:r>
          </w:p>
        </w:tc>
        <w:tc>
          <w:tcPr>
            <w:tcW w:w="3189" w:type="dxa"/>
            <w:tcBorders>
              <w:top w:val="double" w:sz="4" w:space="0" w:color="auto"/>
            </w:tcBorders>
            <w:vAlign w:val="center"/>
          </w:tcPr>
          <w:p w14:paraId="781CED7A" w14:textId="6DD64AFB" w:rsidR="00F41FB4" w:rsidRPr="00B24AC1" w:rsidRDefault="00E72DFA" w:rsidP="00B24AC1">
            <w:pPr>
              <w:spacing w:after="0"/>
              <w:jc w:val="left"/>
              <w:rPr>
                <w:sz w:val="16"/>
                <w:szCs w:val="16"/>
              </w:rPr>
            </w:pPr>
            <w:r>
              <w:rPr>
                <w:sz w:val="16"/>
                <w:szCs w:val="16"/>
              </w:rPr>
              <w:t>Variaciones del patrimonio neto debidas al ahorro y a las transferencias de capital</w:t>
            </w:r>
          </w:p>
        </w:tc>
        <w:tc>
          <w:tcPr>
            <w:tcW w:w="3189" w:type="dxa"/>
            <w:tcBorders>
              <w:top w:val="double" w:sz="4" w:space="0" w:color="auto"/>
              <w:right w:val="double" w:sz="4" w:space="0" w:color="auto"/>
            </w:tcBorders>
            <w:vAlign w:val="center"/>
          </w:tcPr>
          <w:p w14:paraId="557BA4D3" w14:textId="77777777" w:rsidR="00F41FB4" w:rsidRPr="00B24AC1" w:rsidRDefault="00F41FB4" w:rsidP="00B24AC1">
            <w:pPr>
              <w:spacing w:after="0"/>
              <w:jc w:val="left"/>
              <w:rPr>
                <w:sz w:val="16"/>
                <w:szCs w:val="16"/>
              </w:rPr>
            </w:pPr>
          </w:p>
        </w:tc>
      </w:tr>
      <w:tr w:rsidR="00F41FB4" w14:paraId="37A72EDF" w14:textId="036F120A" w:rsidTr="00246176">
        <w:trPr>
          <w:cantSplit/>
          <w:trHeight w:val="454"/>
        </w:trPr>
        <w:tc>
          <w:tcPr>
            <w:tcW w:w="526" w:type="dxa"/>
            <w:vMerge/>
            <w:tcBorders>
              <w:left w:val="double" w:sz="4" w:space="0" w:color="auto"/>
              <w:right w:val="double" w:sz="4" w:space="0" w:color="auto"/>
            </w:tcBorders>
            <w:textDirection w:val="btLr"/>
          </w:tcPr>
          <w:p w14:paraId="524EE054" w14:textId="77777777" w:rsidR="00F41FB4" w:rsidRPr="00B24AC1" w:rsidRDefault="00F41FB4" w:rsidP="00C11D71">
            <w:pPr>
              <w:spacing w:after="0"/>
              <w:ind w:left="113" w:right="113"/>
              <w:rPr>
                <w:b/>
                <w:bCs/>
                <w:i/>
                <w:iCs/>
              </w:rPr>
            </w:pPr>
          </w:p>
        </w:tc>
        <w:tc>
          <w:tcPr>
            <w:tcW w:w="1742" w:type="dxa"/>
            <w:vMerge/>
            <w:tcBorders>
              <w:left w:val="double" w:sz="4" w:space="0" w:color="auto"/>
            </w:tcBorders>
            <w:vAlign w:val="center"/>
          </w:tcPr>
          <w:p w14:paraId="3700D500" w14:textId="77777777" w:rsidR="00F41FB4" w:rsidRDefault="00F41FB4" w:rsidP="00C11D71">
            <w:pPr>
              <w:spacing w:after="0"/>
              <w:jc w:val="left"/>
              <w:rPr>
                <w:sz w:val="20"/>
                <w:szCs w:val="20"/>
              </w:rPr>
            </w:pPr>
          </w:p>
        </w:tc>
        <w:tc>
          <w:tcPr>
            <w:tcW w:w="2268" w:type="dxa"/>
            <w:vMerge/>
            <w:vAlign w:val="center"/>
          </w:tcPr>
          <w:p w14:paraId="35F83CB7" w14:textId="5A2D0A81" w:rsidR="00F41FB4" w:rsidRDefault="00F41FB4" w:rsidP="00C11D71">
            <w:pPr>
              <w:spacing w:after="0"/>
              <w:jc w:val="left"/>
              <w:rPr>
                <w:sz w:val="20"/>
                <w:szCs w:val="20"/>
              </w:rPr>
            </w:pPr>
          </w:p>
        </w:tc>
        <w:tc>
          <w:tcPr>
            <w:tcW w:w="4962" w:type="dxa"/>
            <w:gridSpan w:val="2"/>
            <w:vAlign w:val="center"/>
          </w:tcPr>
          <w:p w14:paraId="5774D1F3" w14:textId="19C639EA" w:rsidR="00F41FB4" w:rsidRPr="00C11D71" w:rsidRDefault="00F41FB4" w:rsidP="00C11D71">
            <w:pPr>
              <w:spacing w:after="0"/>
              <w:jc w:val="left"/>
              <w:rPr>
                <w:sz w:val="20"/>
                <w:szCs w:val="20"/>
              </w:rPr>
            </w:pPr>
            <w:r w:rsidRPr="00F41FB4">
              <w:rPr>
                <w:sz w:val="18"/>
                <w:szCs w:val="18"/>
              </w:rPr>
              <w:t>III.1.2. Cuenta de adquisiciones de activos no financieros</w:t>
            </w:r>
          </w:p>
        </w:tc>
        <w:tc>
          <w:tcPr>
            <w:tcW w:w="3189" w:type="dxa"/>
            <w:vAlign w:val="center"/>
          </w:tcPr>
          <w:p w14:paraId="15B7F09F" w14:textId="735EDFD0" w:rsidR="00F41FB4" w:rsidRPr="00B24AC1" w:rsidRDefault="00E72DFA" w:rsidP="00B24AC1">
            <w:pPr>
              <w:spacing w:after="0"/>
              <w:jc w:val="left"/>
              <w:rPr>
                <w:sz w:val="16"/>
                <w:szCs w:val="16"/>
              </w:rPr>
            </w:pPr>
            <w:r>
              <w:rPr>
                <w:sz w:val="16"/>
                <w:szCs w:val="16"/>
              </w:rPr>
              <w:t>Capacidad/necesidad de financiación</w:t>
            </w:r>
          </w:p>
        </w:tc>
        <w:tc>
          <w:tcPr>
            <w:tcW w:w="3189" w:type="dxa"/>
            <w:tcBorders>
              <w:right w:val="double" w:sz="4" w:space="0" w:color="auto"/>
            </w:tcBorders>
            <w:vAlign w:val="center"/>
          </w:tcPr>
          <w:p w14:paraId="5713C5E0" w14:textId="77777777" w:rsidR="00F41FB4" w:rsidRPr="00B24AC1" w:rsidRDefault="00F41FB4" w:rsidP="00B24AC1">
            <w:pPr>
              <w:spacing w:after="0"/>
              <w:jc w:val="left"/>
              <w:rPr>
                <w:sz w:val="16"/>
                <w:szCs w:val="16"/>
              </w:rPr>
            </w:pPr>
          </w:p>
        </w:tc>
      </w:tr>
      <w:tr w:rsidR="00F41FB4" w14:paraId="4C6DD36C" w14:textId="2C9AFDB7" w:rsidTr="00246176">
        <w:trPr>
          <w:cantSplit/>
          <w:trHeight w:val="454"/>
        </w:trPr>
        <w:tc>
          <w:tcPr>
            <w:tcW w:w="526" w:type="dxa"/>
            <w:vMerge/>
            <w:tcBorders>
              <w:left w:val="double" w:sz="4" w:space="0" w:color="auto"/>
              <w:right w:val="double" w:sz="4" w:space="0" w:color="auto"/>
            </w:tcBorders>
            <w:textDirection w:val="btLr"/>
          </w:tcPr>
          <w:p w14:paraId="15B17AC3" w14:textId="77777777" w:rsidR="00F41FB4" w:rsidRPr="00B24AC1" w:rsidRDefault="00F41FB4" w:rsidP="00C11D71">
            <w:pPr>
              <w:spacing w:after="0"/>
              <w:ind w:left="113" w:right="113"/>
              <w:rPr>
                <w:b/>
                <w:bCs/>
                <w:i/>
                <w:iCs/>
              </w:rPr>
            </w:pPr>
          </w:p>
        </w:tc>
        <w:tc>
          <w:tcPr>
            <w:tcW w:w="1742" w:type="dxa"/>
            <w:vMerge/>
            <w:tcBorders>
              <w:left w:val="double" w:sz="4" w:space="0" w:color="auto"/>
            </w:tcBorders>
            <w:vAlign w:val="center"/>
          </w:tcPr>
          <w:p w14:paraId="54BF3B8B" w14:textId="77777777" w:rsidR="00F41FB4" w:rsidRDefault="00F41FB4" w:rsidP="00C11D71">
            <w:pPr>
              <w:spacing w:after="0"/>
              <w:jc w:val="left"/>
              <w:rPr>
                <w:sz w:val="20"/>
                <w:szCs w:val="20"/>
              </w:rPr>
            </w:pPr>
          </w:p>
        </w:tc>
        <w:tc>
          <w:tcPr>
            <w:tcW w:w="7230" w:type="dxa"/>
            <w:gridSpan w:val="3"/>
            <w:vAlign w:val="center"/>
          </w:tcPr>
          <w:p w14:paraId="53C5201D" w14:textId="1932AB35" w:rsidR="00F41FB4" w:rsidRPr="00C11D71" w:rsidRDefault="00F41FB4" w:rsidP="00C11D71">
            <w:pPr>
              <w:spacing w:after="0"/>
              <w:jc w:val="left"/>
              <w:rPr>
                <w:sz w:val="20"/>
                <w:szCs w:val="20"/>
              </w:rPr>
            </w:pPr>
            <w:r>
              <w:rPr>
                <w:sz w:val="20"/>
                <w:szCs w:val="20"/>
              </w:rPr>
              <w:t>III.2. Cuenta financiera</w:t>
            </w:r>
          </w:p>
        </w:tc>
        <w:tc>
          <w:tcPr>
            <w:tcW w:w="3189" w:type="dxa"/>
            <w:vAlign w:val="center"/>
          </w:tcPr>
          <w:p w14:paraId="4DBB486D" w14:textId="0D40F2F4" w:rsidR="00F41FB4" w:rsidRPr="00B425BC" w:rsidRDefault="00B425BC" w:rsidP="00B24AC1">
            <w:pPr>
              <w:spacing w:after="0"/>
              <w:jc w:val="left"/>
              <w:rPr>
                <w:color w:val="767171" w:themeColor="background2" w:themeShade="80"/>
                <w:sz w:val="16"/>
                <w:szCs w:val="16"/>
              </w:rPr>
            </w:pPr>
            <w:r w:rsidRPr="00B425BC">
              <w:rPr>
                <w:i/>
                <w:iCs/>
                <w:color w:val="767171" w:themeColor="background2" w:themeShade="80"/>
                <w:sz w:val="16"/>
                <w:szCs w:val="16"/>
              </w:rPr>
              <w:t>Identidad contable</w:t>
            </w:r>
          </w:p>
        </w:tc>
        <w:tc>
          <w:tcPr>
            <w:tcW w:w="3189" w:type="dxa"/>
            <w:tcBorders>
              <w:right w:val="double" w:sz="4" w:space="0" w:color="auto"/>
            </w:tcBorders>
            <w:vAlign w:val="center"/>
          </w:tcPr>
          <w:p w14:paraId="51041911" w14:textId="77777777" w:rsidR="00F41FB4" w:rsidRPr="00B24AC1" w:rsidRDefault="00F41FB4" w:rsidP="00B24AC1">
            <w:pPr>
              <w:spacing w:after="0"/>
              <w:jc w:val="left"/>
              <w:rPr>
                <w:sz w:val="16"/>
                <w:szCs w:val="16"/>
              </w:rPr>
            </w:pPr>
          </w:p>
        </w:tc>
      </w:tr>
      <w:tr w:rsidR="00F41FB4" w14:paraId="4419DA08" w14:textId="254274DF" w:rsidTr="00246176">
        <w:trPr>
          <w:cantSplit/>
          <w:trHeight w:val="454"/>
        </w:trPr>
        <w:tc>
          <w:tcPr>
            <w:tcW w:w="526" w:type="dxa"/>
            <w:vMerge/>
            <w:tcBorders>
              <w:left w:val="double" w:sz="4" w:space="0" w:color="auto"/>
              <w:right w:val="double" w:sz="4" w:space="0" w:color="auto"/>
            </w:tcBorders>
            <w:textDirection w:val="btLr"/>
          </w:tcPr>
          <w:p w14:paraId="283C6D9C" w14:textId="77777777" w:rsidR="00F41FB4" w:rsidRPr="00B24AC1" w:rsidRDefault="00F41FB4" w:rsidP="00C11D71">
            <w:pPr>
              <w:spacing w:after="0"/>
              <w:ind w:left="113" w:right="113"/>
              <w:rPr>
                <w:b/>
                <w:bCs/>
                <w:i/>
                <w:iCs/>
              </w:rPr>
            </w:pPr>
          </w:p>
        </w:tc>
        <w:tc>
          <w:tcPr>
            <w:tcW w:w="1742" w:type="dxa"/>
            <w:vMerge/>
            <w:tcBorders>
              <w:left w:val="double" w:sz="4" w:space="0" w:color="auto"/>
            </w:tcBorders>
            <w:vAlign w:val="center"/>
          </w:tcPr>
          <w:p w14:paraId="3145CEB7" w14:textId="77777777" w:rsidR="00F41FB4" w:rsidRDefault="00F41FB4" w:rsidP="00C11D71">
            <w:pPr>
              <w:spacing w:after="0"/>
              <w:jc w:val="left"/>
              <w:rPr>
                <w:sz w:val="20"/>
                <w:szCs w:val="20"/>
              </w:rPr>
            </w:pPr>
          </w:p>
        </w:tc>
        <w:tc>
          <w:tcPr>
            <w:tcW w:w="2268" w:type="dxa"/>
            <w:vMerge w:val="restart"/>
            <w:vAlign w:val="center"/>
          </w:tcPr>
          <w:p w14:paraId="5E182289" w14:textId="3BCE78E6" w:rsidR="00F41FB4" w:rsidRDefault="00F41FB4" w:rsidP="00C11D71">
            <w:pPr>
              <w:spacing w:after="0"/>
              <w:jc w:val="left"/>
              <w:rPr>
                <w:sz w:val="20"/>
                <w:szCs w:val="20"/>
              </w:rPr>
            </w:pPr>
            <w:r>
              <w:rPr>
                <w:sz w:val="20"/>
                <w:szCs w:val="20"/>
              </w:rPr>
              <w:t>III.3. Cuenta de otras variaciones de los activos</w:t>
            </w:r>
          </w:p>
        </w:tc>
        <w:tc>
          <w:tcPr>
            <w:tcW w:w="4962" w:type="dxa"/>
            <w:gridSpan w:val="2"/>
            <w:vAlign w:val="center"/>
          </w:tcPr>
          <w:p w14:paraId="7FADA82E" w14:textId="663A3415" w:rsidR="00F41FB4" w:rsidRPr="00F41FB4" w:rsidRDefault="00F41FB4" w:rsidP="00C11D71">
            <w:pPr>
              <w:spacing w:after="0"/>
              <w:jc w:val="left"/>
              <w:rPr>
                <w:sz w:val="18"/>
                <w:szCs w:val="18"/>
              </w:rPr>
            </w:pPr>
            <w:r w:rsidRPr="00F41FB4">
              <w:rPr>
                <w:sz w:val="18"/>
                <w:szCs w:val="18"/>
              </w:rPr>
              <w:t>III.3.1. Cuenta de otras variaciones del volumen de los activos</w:t>
            </w:r>
          </w:p>
        </w:tc>
        <w:tc>
          <w:tcPr>
            <w:tcW w:w="3189" w:type="dxa"/>
            <w:vAlign w:val="center"/>
          </w:tcPr>
          <w:p w14:paraId="4DEDD4F9" w14:textId="11C41677" w:rsidR="00F41FB4" w:rsidRPr="00B24AC1" w:rsidRDefault="00E72DFA" w:rsidP="00B24AC1">
            <w:pPr>
              <w:spacing w:after="0"/>
              <w:jc w:val="left"/>
              <w:rPr>
                <w:sz w:val="16"/>
                <w:szCs w:val="16"/>
              </w:rPr>
            </w:pPr>
            <w:r>
              <w:rPr>
                <w:sz w:val="16"/>
                <w:szCs w:val="16"/>
              </w:rPr>
              <w:t xml:space="preserve">Variaciones del patrimonio neto debidas </w:t>
            </w:r>
            <w:r w:rsidR="005E0871" w:rsidRPr="005E0871">
              <w:rPr>
                <w:sz w:val="16"/>
                <w:szCs w:val="16"/>
              </w:rPr>
              <w:t xml:space="preserve">a </w:t>
            </w:r>
            <w:r w:rsidR="005E0871">
              <w:rPr>
                <w:sz w:val="16"/>
                <w:szCs w:val="16"/>
              </w:rPr>
              <w:t>otras variaciones del volumen de los activos</w:t>
            </w:r>
          </w:p>
        </w:tc>
        <w:tc>
          <w:tcPr>
            <w:tcW w:w="3189" w:type="dxa"/>
            <w:tcBorders>
              <w:right w:val="double" w:sz="4" w:space="0" w:color="auto"/>
            </w:tcBorders>
            <w:vAlign w:val="center"/>
          </w:tcPr>
          <w:p w14:paraId="018A64BC" w14:textId="77777777" w:rsidR="00F41FB4" w:rsidRPr="00B24AC1" w:rsidRDefault="00F41FB4" w:rsidP="00B24AC1">
            <w:pPr>
              <w:spacing w:after="0"/>
              <w:jc w:val="left"/>
              <w:rPr>
                <w:sz w:val="16"/>
                <w:szCs w:val="16"/>
              </w:rPr>
            </w:pPr>
          </w:p>
        </w:tc>
      </w:tr>
      <w:tr w:rsidR="005E0871" w14:paraId="73F0EA9A" w14:textId="35472BFB" w:rsidTr="00246176">
        <w:trPr>
          <w:cantSplit/>
          <w:trHeight w:val="454"/>
        </w:trPr>
        <w:tc>
          <w:tcPr>
            <w:tcW w:w="526" w:type="dxa"/>
            <w:vMerge/>
            <w:tcBorders>
              <w:left w:val="double" w:sz="4" w:space="0" w:color="auto"/>
              <w:right w:val="double" w:sz="4" w:space="0" w:color="auto"/>
            </w:tcBorders>
            <w:textDirection w:val="btLr"/>
          </w:tcPr>
          <w:p w14:paraId="3883E831" w14:textId="77777777" w:rsidR="005E0871" w:rsidRPr="00B24AC1" w:rsidRDefault="005E0871" w:rsidP="005E0871">
            <w:pPr>
              <w:spacing w:after="0"/>
              <w:ind w:left="113" w:right="113"/>
              <w:rPr>
                <w:b/>
                <w:bCs/>
                <w:i/>
                <w:iCs/>
              </w:rPr>
            </w:pPr>
          </w:p>
        </w:tc>
        <w:tc>
          <w:tcPr>
            <w:tcW w:w="1742" w:type="dxa"/>
            <w:vMerge/>
            <w:tcBorders>
              <w:left w:val="double" w:sz="4" w:space="0" w:color="auto"/>
            </w:tcBorders>
            <w:vAlign w:val="center"/>
          </w:tcPr>
          <w:p w14:paraId="376F74C5" w14:textId="77777777" w:rsidR="005E0871" w:rsidRDefault="005E0871" w:rsidP="005E0871">
            <w:pPr>
              <w:spacing w:after="0"/>
              <w:jc w:val="left"/>
              <w:rPr>
                <w:sz w:val="20"/>
                <w:szCs w:val="20"/>
              </w:rPr>
            </w:pPr>
          </w:p>
        </w:tc>
        <w:tc>
          <w:tcPr>
            <w:tcW w:w="2268" w:type="dxa"/>
            <w:vMerge/>
            <w:vAlign w:val="center"/>
          </w:tcPr>
          <w:p w14:paraId="49DF82A8" w14:textId="77777777" w:rsidR="005E0871" w:rsidRDefault="005E0871" w:rsidP="005E0871">
            <w:pPr>
              <w:spacing w:after="0"/>
              <w:jc w:val="left"/>
              <w:rPr>
                <w:sz w:val="20"/>
                <w:szCs w:val="20"/>
              </w:rPr>
            </w:pPr>
          </w:p>
        </w:tc>
        <w:tc>
          <w:tcPr>
            <w:tcW w:w="1843" w:type="dxa"/>
            <w:vMerge w:val="restart"/>
            <w:vAlign w:val="center"/>
          </w:tcPr>
          <w:p w14:paraId="1EA43FC0" w14:textId="4205650E" w:rsidR="005E0871" w:rsidRDefault="005E0871" w:rsidP="005E0871">
            <w:pPr>
              <w:spacing w:after="0"/>
              <w:jc w:val="left"/>
              <w:rPr>
                <w:sz w:val="20"/>
                <w:szCs w:val="20"/>
              </w:rPr>
            </w:pPr>
            <w:r w:rsidRPr="00F41FB4">
              <w:rPr>
                <w:sz w:val="18"/>
                <w:szCs w:val="18"/>
              </w:rPr>
              <w:t>III.3.2. Cuentas de revalorización</w:t>
            </w:r>
          </w:p>
        </w:tc>
        <w:tc>
          <w:tcPr>
            <w:tcW w:w="3119" w:type="dxa"/>
            <w:vAlign w:val="center"/>
          </w:tcPr>
          <w:p w14:paraId="1E2E5EA0" w14:textId="743A704A" w:rsidR="005E0871" w:rsidRPr="00597C98" w:rsidRDefault="005E0871" w:rsidP="005E0871">
            <w:pPr>
              <w:spacing w:after="0"/>
              <w:jc w:val="left"/>
              <w:rPr>
                <w:sz w:val="16"/>
                <w:szCs w:val="16"/>
              </w:rPr>
            </w:pPr>
            <w:r w:rsidRPr="00597C98">
              <w:rPr>
                <w:sz w:val="16"/>
                <w:szCs w:val="16"/>
              </w:rPr>
              <w:t xml:space="preserve">C.III.3.2.1. Cuenta de ganancias y pérdidas de posesión neutrales </w:t>
            </w:r>
          </w:p>
        </w:tc>
        <w:tc>
          <w:tcPr>
            <w:tcW w:w="3189" w:type="dxa"/>
            <w:vAlign w:val="center"/>
          </w:tcPr>
          <w:p w14:paraId="5DE16165" w14:textId="572F46C0" w:rsidR="005E0871" w:rsidRPr="00B24AC1" w:rsidRDefault="005E0871" w:rsidP="005E0871">
            <w:pPr>
              <w:spacing w:after="0"/>
              <w:jc w:val="left"/>
              <w:rPr>
                <w:sz w:val="16"/>
                <w:szCs w:val="16"/>
              </w:rPr>
            </w:pPr>
            <w:r>
              <w:rPr>
                <w:sz w:val="16"/>
                <w:szCs w:val="16"/>
              </w:rPr>
              <w:t xml:space="preserve">Variaciones del patrimonio neto debidas </w:t>
            </w:r>
            <w:r w:rsidRPr="005E0871">
              <w:rPr>
                <w:sz w:val="16"/>
                <w:szCs w:val="16"/>
              </w:rPr>
              <w:t>a ganancias</w:t>
            </w:r>
            <w:r>
              <w:rPr>
                <w:sz w:val="16"/>
                <w:szCs w:val="16"/>
              </w:rPr>
              <w:t>/</w:t>
            </w:r>
            <w:r w:rsidRPr="005E0871">
              <w:rPr>
                <w:sz w:val="16"/>
                <w:szCs w:val="16"/>
              </w:rPr>
              <w:t xml:space="preserve">pérdidas de posesión </w:t>
            </w:r>
            <w:r>
              <w:rPr>
                <w:sz w:val="16"/>
                <w:szCs w:val="16"/>
              </w:rPr>
              <w:t>neutrales</w:t>
            </w:r>
          </w:p>
        </w:tc>
        <w:tc>
          <w:tcPr>
            <w:tcW w:w="3189" w:type="dxa"/>
            <w:vMerge w:val="restart"/>
            <w:tcBorders>
              <w:right w:val="double" w:sz="4" w:space="0" w:color="auto"/>
            </w:tcBorders>
            <w:vAlign w:val="center"/>
          </w:tcPr>
          <w:p w14:paraId="066F120E" w14:textId="2E09EA2E" w:rsidR="005E0871" w:rsidRPr="00B24AC1" w:rsidRDefault="005E0871" w:rsidP="005E0871">
            <w:pPr>
              <w:spacing w:after="0"/>
              <w:jc w:val="left"/>
              <w:rPr>
                <w:sz w:val="16"/>
                <w:szCs w:val="16"/>
              </w:rPr>
            </w:pPr>
            <w:r>
              <w:rPr>
                <w:sz w:val="16"/>
                <w:szCs w:val="16"/>
              </w:rPr>
              <w:t xml:space="preserve">Variaciones del patrimonio neto debidas </w:t>
            </w:r>
            <w:r w:rsidRPr="005E0871">
              <w:rPr>
                <w:sz w:val="16"/>
                <w:szCs w:val="16"/>
              </w:rPr>
              <w:t>a ganancias y pérdidas de posesión nominales</w:t>
            </w:r>
          </w:p>
        </w:tc>
      </w:tr>
      <w:tr w:rsidR="005E0871" w14:paraId="2150D618" w14:textId="6E146834" w:rsidTr="00246176">
        <w:trPr>
          <w:cantSplit/>
          <w:trHeight w:val="454"/>
        </w:trPr>
        <w:tc>
          <w:tcPr>
            <w:tcW w:w="526" w:type="dxa"/>
            <w:vMerge/>
            <w:tcBorders>
              <w:left w:val="double" w:sz="4" w:space="0" w:color="auto"/>
              <w:bottom w:val="double" w:sz="4" w:space="0" w:color="auto"/>
              <w:right w:val="double" w:sz="4" w:space="0" w:color="auto"/>
            </w:tcBorders>
            <w:textDirection w:val="btLr"/>
          </w:tcPr>
          <w:p w14:paraId="12D86A2B" w14:textId="77777777" w:rsidR="005E0871" w:rsidRPr="00B24AC1" w:rsidRDefault="005E0871" w:rsidP="005E0871">
            <w:pPr>
              <w:spacing w:after="0"/>
              <w:ind w:left="113" w:right="113"/>
              <w:rPr>
                <w:b/>
                <w:bCs/>
                <w:i/>
                <w:iCs/>
              </w:rPr>
            </w:pPr>
          </w:p>
        </w:tc>
        <w:tc>
          <w:tcPr>
            <w:tcW w:w="1742" w:type="dxa"/>
            <w:vMerge/>
            <w:tcBorders>
              <w:left w:val="double" w:sz="4" w:space="0" w:color="auto"/>
              <w:bottom w:val="double" w:sz="4" w:space="0" w:color="auto"/>
            </w:tcBorders>
            <w:vAlign w:val="center"/>
          </w:tcPr>
          <w:p w14:paraId="136DAF0B" w14:textId="77777777" w:rsidR="005E0871" w:rsidRDefault="005E0871" w:rsidP="005E0871">
            <w:pPr>
              <w:spacing w:after="0"/>
              <w:jc w:val="left"/>
              <w:rPr>
                <w:sz w:val="20"/>
                <w:szCs w:val="20"/>
              </w:rPr>
            </w:pPr>
          </w:p>
        </w:tc>
        <w:tc>
          <w:tcPr>
            <w:tcW w:w="2268" w:type="dxa"/>
            <w:vMerge/>
            <w:tcBorders>
              <w:bottom w:val="double" w:sz="4" w:space="0" w:color="auto"/>
            </w:tcBorders>
            <w:vAlign w:val="center"/>
          </w:tcPr>
          <w:p w14:paraId="71E0EE0B" w14:textId="77777777" w:rsidR="005E0871" w:rsidRDefault="005E0871" w:rsidP="005E0871">
            <w:pPr>
              <w:spacing w:after="0"/>
              <w:jc w:val="left"/>
              <w:rPr>
                <w:sz w:val="20"/>
                <w:szCs w:val="20"/>
              </w:rPr>
            </w:pPr>
          </w:p>
        </w:tc>
        <w:tc>
          <w:tcPr>
            <w:tcW w:w="1843" w:type="dxa"/>
            <w:vMerge/>
            <w:tcBorders>
              <w:bottom w:val="double" w:sz="4" w:space="0" w:color="auto"/>
            </w:tcBorders>
            <w:vAlign w:val="center"/>
          </w:tcPr>
          <w:p w14:paraId="5D190CE9" w14:textId="77777777" w:rsidR="005E0871" w:rsidRDefault="005E0871" w:rsidP="005E0871">
            <w:pPr>
              <w:spacing w:after="0"/>
              <w:jc w:val="left"/>
              <w:rPr>
                <w:sz w:val="20"/>
                <w:szCs w:val="20"/>
              </w:rPr>
            </w:pPr>
          </w:p>
        </w:tc>
        <w:tc>
          <w:tcPr>
            <w:tcW w:w="3119" w:type="dxa"/>
            <w:tcBorders>
              <w:bottom w:val="double" w:sz="4" w:space="0" w:color="auto"/>
            </w:tcBorders>
            <w:vAlign w:val="center"/>
          </w:tcPr>
          <w:p w14:paraId="25113CA9" w14:textId="7074E170" w:rsidR="005E0871" w:rsidRPr="00597C98" w:rsidRDefault="005E0871" w:rsidP="005E0871">
            <w:pPr>
              <w:spacing w:after="0"/>
              <w:jc w:val="left"/>
              <w:rPr>
                <w:sz w:val="16"/>
                <w:szCs w:val="16"/>
              </w:rPr>
            </w:pPr>
            <w:r w:rsidRPr="00597C98">
              <w:rPr>
                <w:sz w:val="16"/>
                <w:szCs w:val="16"/>
              </w:rPr>
              <w:t>C.III.3.2.2. Cuenta de ganancias y pérdidas de posesión reales</w:t>
            </w:r>
          </w:p>
        </w:tc>
        <w:tc>
          <w:tcPr>
            <w:tcW w:w="3189" w:type="dxa"/>
            <w:tcBorders>
              <w:bottom w:val="double" w:sz="4" w:space="0" w:color="auto"/>
            </w:tcBorders>
            <w:vAlign w:val="center"/>
          </w:tcPr>
          <w:p w14:paraId="1753F06A" w14:textId="1E8BE2E6" w:rsidR="005E0871" w:rsidRPr="00B24AC1" w:rsidRDefault="005E0871" w:rsidP="005E0871">
            <w:pPr>
              <w:spacing w:after="0"/>
              <w:jc w:val="left"/>
              <w:rPr>
                <w:sz w:val="16"/>
                <w:szCs w:val="16"/>
              </w:rPr>
            </w:pPr>
            <w:r>
              <w:rPr>
                <w:sz w:val="16"/>
                <w:szCs w:val="16"/>
              </w:rPr>
              <w:t xml:space="preserve">Variaciones del patrimonio neto debidas </w:t>
            </w:r>
            <w:r w:rsidRPr="005E0871">
              <w:rPr>
                <w:sz w:val="16"/>
                <w:szCs w:val="16"/>
              </w:rPr>
              <w:t>a ganancias</w:t>
            </w:r>
            <w:r>
              <w:rPr>
                <w:sz w:val="16"/>
                <w:szCs w:val="16"/>
              </w:rPr>
              <w:t>/</w:t>
            </w:r>
            <w:r w:rsidRPr="005E0871">
              <w:rPr>
                <w:sz w:val="16"/>
                <w:szCs w:val="16"/>
              </w:rPr>
              <w:t xml:space="preserve">pérdidas de posesión </w:t>
            </w:r>
            <w:r>
              <w:rPr>
                <w:sz w:val="16"/>
                <w:szCs w:val="16"/>
              </w:rPr>
              <w:t>reales</w:t>
            </w:r>
          </w:p>
        </w:tc>
        <w:tc>
          <w:tcPr>
            <w:tcW w:w="3189" w:type="dxa"/>
            <w:vMerge/>
            <w:tcBorders>
              <w:right w:val="double" w:sz="4" w:space="0" w:color="auto"/>
            </w:tcBorders>
            <w:vAlign w:val="center"/>
          </w:tcPr>
          <w:p w14:paraId="1FEE9588" w14:textId="77777777" w:rsidR="005E0871" w:rsidRPr="00B24AC1" w:rsidRDefault="005E0871" w:rsidP="005E0871">
            <w:pPr>
              <w:spacing w:after="0"/>
              <w:jc w:val="left"/>
              <w:rPr>
                <w:sz w:val="16"/>
                <w:szCs w:val="16"/>
              </w:rPr>
            </w:pPr>
          </w:p>
        </w:tc>
      </w:tr>
      <w:tr w:rsidR="005E0871" w14:paraId="60D0A541" w14:textId="1EEB3D3A" w:rsidTr="00246176">
        <w:trPr>
          <w:cantSplit/>
          <w:trHeight w:val="454"/>
        </w:trPr>
        <w:tc>
          <w:tcPr>
            <w:tcW w:w="526" w:type="dxa"/>
            <w:vMerge w:val="restart"/>
            <w:tcBorders>
              <w:top w:val="double" w:sz="4" w:space="0" w:color="auto"/>
              <w:left w:val="double" w:sz="4" w:space="0" w:color="auto"/>
              <w:right w:val="double" w:sz="4" w:space="0" w:color="auto"/>
            </w:tcBorders>
            <w:textDirection w:val="btLr"/>
            <w:vAlign w:val="center"/>
          </w:tcPr>
          <w:p w14:paraId="5BA5D1C5" w14:textId="334BA511" w:rsidR="005E0871" w:rsidRPr="00B24AC1" w:rsidRDefault="005E0871" w:rsidP="005E0871">
            <w:pPr>
              <w:spacing w:after="0"/>
              <w:ind w:left="113" w:right="113"/>
              <w:jc w:val="center"/>
              <w:rPr>
                <w:b/>
                <w:bCs/>
                <w:i/>
                <w:iCs/>
              </w:rPr>
            </w:pPr>
            <w:r w:rsidRPr="00B24AC1">
              <w:rPr>
                <w:b/>
                <w:bCs/>
                <w:i/>
                <w:iCs/>
              </w:rPr>
              <w:t>Balances</w:t>
            </w:r>
          </w:p>
        </w:tc>
        <w:tc>
          <w:tcPr>
            <w:tcW w:w="1742" w:type="dxa"/>
            <w:vMerge w:val="restart"/>
            <w:tcBorders>
              <w:top w:val="double" w:sz="4" w:space="0" w:color="auto"/>
              <w:left w:val="double" w:sz="4" w:space="0" w:color="auto"/>
            </w:tcBorders>
            <w:vAlign w:val="center"/>
          </w:tcPr>
          <w:p w14:paraId="036D637D" w14:textId="09E2A543" w:rsidR="005E0871" w:rsidRDefault="005E0871" w:rsidP="005E0871">
            <w:pPr>
              <w:spacing w:after="0"/>
              <w:jc w:val="left"/>
              <w:rPr>
                <w:sz w:val="20"/>
                <w:szCs w:val="20"/>
              </w:rPr>
            </w:pPr>
            <w:r>
              <w:rPr>
                <w:sz w:val="20"/>
                <w:szCs w:val="20"/>
              </w:rPr>
              <w:t>IV. Balances</w:t>
            </w:r>
          </w:p>
        </w:tc>
        <w:tc>
          <w:tcPr>
            <w:tcW w:w="7230" w:type="dxa"/>
            <w:gridSpan w:val="3"/>
            <w:tcBorders>
              <w:top w:val="double" w:sz="4" w:space="0" w:color="auto"/>
            </w:tcBorders>
            <w:vAlign w:val="center"/>
          </w:tcPr>
          <w:p w14:paraId="1C897816" w14:textId="78D1BAF4" w:rsidR="005E0871" w:rsidRPr="007B40B2" w:rsidRDefault="005E0871" w:rsidP="005E0871">
            <w:pPr>
              <w:spacing w:after="0"/>
              <w:jc w:val="left"/>
              <w:rPr>
                <w:sz w:val="20"/>
                <w:szCs w:val="20"/>
              </w:rPr>
            </w:pPr>
            <w:r>
              <w:rPr>
                <w:sz w:val="20"/>
                <w:szCs w:val="20"/>
              </w:rPr>
              <w:t>IV.1. Balance inicial</w:t>
            </w:r>
          </w:p>
        </w:tc>
        <w:tc>
          <w:tcPr>
            <w:tcW w:w="3189" w:type="dxa"/>
            <w:tcBorders>
              <w:top w:val="double" w:sz="4" w:space="0" w:color="auto"/>
            </w:tcBorders>
            <w:vAlign w:val="center"/>
          </w:tcPr>
          <w:p w14:paraId="0DAFF05E" w14:textId="640F3EA7" w:rsidR="005E0871" w:rsidRPr="00B24AC1" w:rsidRDefault="005E0871" w:rsidP="005E0871">
            <w:pPr>
              <w:spacing w:after="0"/>
              <w:jc w:val="left"/>
              <w:rPr>
                <w:sz w:val="16"/>
                <w:szCs w:val="16"/>
              </w:rPr>
            </w:pPr>
            <w:r>
              <w:rPr>
                <w:sz w:val="16"/>
                <w:szCs w:val="16"/>
              </w:rPr>
              <w:t>Patrimonio neto</w:t>
            </w:r>
          </w:p>
        </w:tc>
        <w:tc>
          <w:tcPr>
            <w:tcW w:w="3189" w:type="dxa"/>
            <w:tcBorders>
              <w:top w:val="double" w:sz="4" w:space="0" w:color="auto"/>
              <w:right w:val="double" w:sz="4" w:space="0" w:color="auto"/>
            </w:tcBorders>
            <w:vAlign w:val="center"/>
          </w:tcPr>
          <w:p w14:paraId="4198A41A" w14:textId="4B5AF7FC" w:rsidR="005E0871" w:rsidRPr="00B24AC1" w:rsidRDefault="005E0871" w:rsidP="005E0871">
            <w:pPr>
              <w:spacing w:after="0"/>
              <w:jc w:val="left"/>
              <w:rPr>
                <w:sz w:val="16"/>
                <w:szCs w:val="16"/>
              </w:rPr>
            </w:pPr>
            <w:r>
              <w:rPr>
                <w:sz w:val="16"/>
                <w:szCs w:val="16"/>
              </w:rPr>
              <w:t>Patrimonio nacional</w:t>
            </w:r>
          </w:p>
        </w:tc>
      </w:tr>
      <w:tr w:rsidR="005E0871" w14:paraId="77F1190F" w14:textId="17DC3E9B" w:rsidTr="00246176">
        <w:trPr>
          <w:cantSplit/>
          <w:trHeight w:val="454"/>
        </w:trPr>
        <w:tc>
          <w:tcPr>
            <w:tcW w:w="526" w:type="dxa"/>
            <w:vMerge/>
            <w:tcBorders>
              <w:left w:val="double" w:sz="4" w:space="0" w:color="auto"/>
              <w:right w:val="double" w:sz="4" w:space="0" w:color="auto"/>
            </w:tcBorders>
            <w:textDirection w:val="btLr"/>
          </w:tcPr>
          <w:p w14:paraId="3450DDAB" w14:textId="77777777" w:rsidR="005E0871" w:rsidRDefault="005E0871" w:rsidP="005E0871">
            <w:pPr>
              <w:spacing w:after="0"/>
              <w:ind w:left="113" w:right="113"/>
            </w:pPr>
          </w:p>
        </w:tc>
        <w:tc>
          <w:tcPr>
            <w:tcW w:w="1742" w:type="dxa"/>
            <w:vMerge/>
            <w:tcBorders>
              <w:left w:val="double" w:sz="4" w:space="0" w:color="auto"/>
            </w:tcBorders>
            <w:vAlign w:val="center"/>
          </w:tcPr>
          <w:p w14:paraId="1D54AE5B" w14:textId="77777777" w:rsidR="005E0871" w:rsidRDefault="005E0871" w:rsidP="005E0871">
            <w:pPr>
              <w:spacing w:after="0"/>
              <w:jc w:val="left"/>
              <w:rPr>
                <w:sz w:val="20"/>
                <w:szCs w:val="20"/>
              </w:rPr>
            </w:pPr>
          </w:p>
        </w:tc>
        <w:tc>
          <w:tcPr>
            <w:tcW w:w="7230" w:type="dxa"/>
            <w:gridSpan w:val="3"/>
            <w:vAlign w:val="center"/>
          </w:tcPr>
          <w:p w14:paraId="4EED12A5" w14:textId="69846773" w:rsidR="005E0871" w:rsidRPr="007B40B2" w:rsidRDefault="005E0871" w:rsidP="005E0871">
            <w:pPr>
              <w:spacing w:after="0"/>
              <w:jc w:val="left"/>
              <w:rPr>
                <w:sz w:val="20"/>
                <w:szCs w:val="20"/>
              </w:rPr>
            </w:pPr>
            <w:r>
              <w:rPr>
                <w:sz w:val="20"/>
                <w:szCs w:val="20"/>
              </w:rPr>
              <w:t>IV.2. Variaciones del balance</w:t>
            </w:r>
          </w:p>
        </w:tc>
        <w:tc>
          <w:tcPr>
            <w:tcW w:w="3189" w:type="dxa"/>
            <w:vAlign w:val="center"/>
          </w:tcPr>
          <w:p w14:paraId="2014EBCB" w14:textId="1AB2DD6F" w:rsidR="005E0871" w:rsidRPr="00B24AC1" w:rsidRDefault="005E0871" w:rsidP="005E0871">
            <w:pPr>
              <w:spacing w:after="0"/>
              <w:jc w:val="left"/>
              <w:rPr>
                <w:sz w:val="16"/>
                <w:szCs w:val="16"/>
              </w:rPr>
            </w:pPr>
            <w:r>
              <w:rPr>
                <w:sz w:val="16"/>
                <w:szCs w:val="16"/>
              </w:rPr>
              <w:t>Total de variaciones del patrimonio neto</w:t>
            </w:r>
          </w:p>
        </w:tc>
        <w:tc>
          <w:tcPr>
            <w:tcW w:w="3189" w:type="dxa"/>
            <w:tcBorders>
              <w:right w:val="double" w:sz="4" w:space="0" w:color="auto"/>
            </w:tcBorders>
            <w:vAlign w:val="center"/>
          </w:tcPr>
          <w:p w14:paraId="775A8CE2" w14:textId="60633B8B" w:rsidR="005E0871" w:rsidRPr="00B24AC1" w:rsidRDefault="005E0871" w:rsidP="005E0871">
            <w:pPr>
              <w:spacing w:after="0"/>
              <w:jc w:val="left"/>
              <w:rPr>
                <w:sz w:val="16"/>
                <w:szCs w:val="16"/>
              </w:rPr>
            </w:pPr>
            <w:r>
              <w:rPr>
                <w:sz w:val="16"/>
                <w:szCs w:val="16"/>
              </w:rPr>
              <w:t>Variaciones del patrimonio nacional</w:t>
            </w:r>
          </w:p>
        </w:tc>
      </w:tr>
      <w:tr w:rsidR="005E0871" w14:paraId="566B1FA4" w14:textId="67DBAC5D" w:rsidTr="00246176">
        <w:trPr>
          <w:cantSplit/>
          <w:trHeight w:val="454"/>
        </w:trPr>
        <w:tc>
          <w:tcPr>
            <w:tcW w:w="526" w:type="dxa"/>
            <w:vMerge/>
            <w:tcBorders>
              <w:left w:val="double" w:sz="4" w:space="0" w:color="auto"/>
              <w:bottom w:val="double" w:sz="4" w:space="0" w:color="auto"/>
              <w:right w:val="double" w:sz="4" w:space="0" w:color="auto"/>
            </w:tcBorders>
            <w:textDirection w:val="btLr"/>
          </w:tcPr>
          <w:p w14:paraId="7C9C6C61" w14:textId="77777777" w:rsidR="005E0871" w:rsidRDefault="005E0871" w:rsidP="005E0871">
            <w:pPr>
              <w:spacing w:after="0"/>
              <w:ind w:left="113" w:right="113"/>
            </w:pPr>
          </w:p>
        </w:tc>
        <w:tc>
          <w:tcPr>
            <w:tcW w:w="1742" w:type="dxa"/>
            <w:vMerge/>
            <w:tcBorders>
              <w:left w:val="double" w:sz="4" w:space="0" w:color="auto"/>
              <w:bottom w:val="double" w:sz="4" w:space="0" w:color="auto"/>
            </w:tcBorders>
            <w:vAlign w:val="center"/>
          </w:tcPr>
          <w:p w14:paraId="17F6B808" w14:textId="77777777" w:rsidR="005E0871" w:rsidRDefault="005E0871" w:rsidP="005E0871">
            <w:pPr>
              <w:spacing w:after="0"/>
              <w:jc w:val="left"/>
              <w:rPr>
                <w:sz w:val="20"/>
                <w:szCs w:val="20"/>
              </w:rPr>
            </w:pPr>
          </w:p>
        </w:tc>
        <w:tc>
          <w:tcPr>
            <w:tcW w:w="7230" w:type="dxa"/>
            <w:gridSpan w:val="3"/>
            <w:tcBorders>
              <w:bottom w:val="double" w:sz="4" w:space="0" w:color="auto"/>
            </w:tcBorders>
            <w:vAlign w:val="center"/>
          </w:tcPr>
          <w:p w14:paraId="52064AA9" w14:textId="2123D7B8" w:rsidR="005E0871" w:rsidRPr="007B40B2" w:rsidRDefault="005E0871" w:rsidP="005E0871">
            <w:pPr>
              <w:spacing w:after="0"/>
              <w:jc w:val="left"/>
              <w:rPr>
                <w:sz w:val="20"/>
                <w:szCs w:val="20"/>
              </w:rPr>
            </w:pPr>
            <w:r>
              <w:rPr>
                <w:sz w:val="20"/>
                <w:szCs w:val="20"/>
              </w:rPr>
              <w:t>IV.3. Balance final</w:t>
            </w:r>
          </w:p>
        </w:tc>
        <w:tc>
          <w:tcPr>
            <w:tcW w:w="3189" w:type="dxa"/>
            <w:tcBorders>
              <w:bottom w:val="double" w:sz="4" w:space="0" w:color="auto"/>
            </w:tcBorders>
            <w:vAlign w:val="center"/>
          </w:tcPr>
          <w:p w14:paraId="57F47A7D" w14:textId="394F7203" w:rsidR="005E0871" w:rsidRPr="00B24AC1" w:rsidRDefault="005E0871" w:rsidP="005E0871">
            <w:pPr>
              <w:spacing w:after="0"/>
              <w:jc w:val="left"/>
              <w:rPr>
                <w:sz w:val="16"/>
                <w:szCs w:val="16"/>
              </w:rPr>
            </w:pPr>
            <w:r w:rsidRPr="005E0871">
              <w:rPr>
                <w:sz w:val="16"/>
                <w:szCs w:val="16"/>
              </w:rPr>
              <w:t>Patrimonio neto</w:t>
            </w:r>
          </w:p>
        </w:tc>
        <w:tc>
          <w:tcPr>
            <w:tcW w:w="3189" w:type="dxa"/>
            <w:tcBorders>
              <w:bottom w:val="double" w:sz="4" w:space="0" w:color="auto"/>
              <w:right w:val="double" w:sz="4" w:space="0" w:color="auto"/>
            </w:tcBorders>
            <w:vAlign w:val="center"/>
          </w:tcPr>
          <w:p w14:paraId="71706C22" w14:textId="595CF346" w:rsidR="005E0871" w:rsidRPr="00B24AC1" w:rsidRDefault="005E0871" w:rsidP="005E0871">
            <w:pPr>
              <w:spacing w:after="0"/>
              <w:jc w:val="left"/>
              <w:rPr>
                <w:sz w:val="16"/>
                <w:szCs w:val="16"/>
              </w:rPr>
            </w:pPr>
            <w:r>
              <w:rPr>
                <w:sz w:val="16"/>
                <w:szCs w:val="16"/>
              </w:rPr>
              <w:t>Patrimonio nacional</w:t>
            </w:r>
          </w:p>
        </w:tc>
      </w:tr>
    </w:tbl>
    <w:p w14:paraId="0E2A39C1" w14:textId="419592C1" w:rsidR="00C11D71" w:rsidRPr="00246176" w:rsidRDefault="00246176" w:rsidP="00C11D71">
      <w:pPr>
        <w:rPr>
          <w:b/>
          <w:bCs/>
          <w:i/>
          <w:iCs/>
        </w:rPr>
      </w:pPr>
      <w:r>
        <w:t xml:space="preserve">+ </w:t>
      </w:r>
      <w:r>
        <w:rPr>
          <w:b/>
          <w:bCs/>
          <w:i/>
          <w:iCs/>
        </w:rPr>
        <w:t>Cuentas del resto del mundo</w:t>
      </w:r>
    </w:p>
    <w:sectPr w:rsidR="00C11D71" w:rsidRPr="00246176" w:rsidSect="00B33A73">
      <w:headerReference w:type="first" r:id="rId53"/>
      <w:footerReference w:type="first" r:id="rId54"/>
      <w:pgSz w:w="16838" w:h="11906" w:orient="landscape"/>
      <w:pgMar w:top="709" w:right="709" w:bottom="709" w:left="709"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5576FC" w14:textId="77777777" w:rsidR="008961C4" w:rsidRDefault="008961C4" w:rsidP="00B77C0F">
      <w:r>
        <w:separator/>
      </w:r>
    </w:p>
  </w:endnote>
  <w:endnote w:type="continuationSeparator" w:id="0">
    <w:p w14:paraId="391C5AAA" w14:textId="77777777" w:rsidR="008961C4" w:rsidRDefault="008961C4"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80BBD" w:rsidRPr="00B33A73" w14:paraId="773D73F6" w14:textId="77777777" w:rsidTr="000C239E">
      <w:trPr>
        <w:trHeight w:val="138"/>
        <w:jc w:val="center"/>
      </w:trPr>
      <w:tc>
        <w:tcPr>
          <w:tcW w:w="1134" w:type="dxa"/>
        </w:tcPr>
        <w:p w14:paraId="55E9ED24" w14:textId="531E174C" w:rsidR="00C80BBD" w:rsidRPr="00B33A73" w:rsidRDefault="00C80BBD" w:rsidP="00B12D00">
          <w:pPr>
            <w:pStyle w:val="Encabezado"/>
            <w:tabs>
              <w:tab w:val="clear" w:pos="4252"/>
              <w:tab w:val="clear" w:pos="8504"/>
              <w:tab w:val="right" w:pos="924"/>
              <w:tab w:val="center" w:pos="1310"/>
            </w:tabs>
            <w:spacing w:after="0"/>
            <w:contextualSpacing/>
            <w:jc w:val="left"/>
            <w:rPr>
              <w:i/>
              <w:iCs/>
              <w:color w:val="5F2987"/>
              <w:sz w:val="18"/>
              <w:szCs w:val="18"/>
            </w:rPr>
          </w:pPr>
          <w:r w:rsidRPr="00B33A73">
            <w:rPr>
              <w:b/>
              <w:bCs/>
              <w:i/>
              <w:iCs/>
              <w:color w:val="5F2987"/>
              <w:spacing w:val="-6"/>
              <w:sz w:val="18"/>
              <w:szCs w:val="18"/>
            </w:rPr>
            <w:fldChar w:fldCharType="begin"/>
          </w:r>
          <w:r w:rsidRPr="00B33A73">
            <w:rPr>
              <w:b/>
              <w:bCs/>
              <w:i/>
              <w:iCs/>
              <w:color w:val="5F2987"/>
              <w:spacing w:val="-6"/>
              <w:sz w:val="18"/>
              <w:szCs w:val="18"/>
            </w:rPr>
            <w:instrText>PAGE  \* Arabic  \* MERGEFORMAT</w:instrText>
          </w:r>
          <w:r w:rsidRPr="00B33A73">
            <w:rPr>
              <w:b/>
              <w:bCs/>
              <w:i/>
              <w:iCs/>
              <w:color w:val="5F2987"/>
              <w:spacing w:val="-6"/>
              <w:sz w:val="18"/>
              <w:szCs w:val="18"/>
            </w:rPr>
            <w:fldChar w:fldCharType="separate"/>
          </w:r>
          <w:r w:rsidRPr="00B33A73">
            <w:rPr>
              <w:b/>
              <w:bCs/>
              <w:i/>
              <w:iCs/>
              <w:color w:val="5F2987"/>
              <w:spacing w:val="-6"/>
              <w:sz w:val="18"/>
              <w:szCs w:val="18"/>
            </w:rPr>
            <w:t>2</w:t>
          </w:r>
          <w:r w:rsidRPr="00B33A73">
            <w:rPr>
              <w:b/>
              <w:bCs/>
              <w:i/>
              <w:iCs/>
              <w:color w:val="5F2987"/>
              <w:spacing w:val="-6"/>
              <w:sz w:val="18"/>
              <w:szCs w:val="18"/>
            </w:rPr>
            <w:fldChar w:fldCharType="end"/>
          </w:r>
          <w:r w:rsidRPr="00B33A73">
            <w:rPr>
              <w:b/>
              <w:bCs/>
              <w:i/>
              <w:iCs/>
              <w:color w:val="5F2987"/>
              <w:spacing w:val="-6"/>
              <w:sz w:val="18"/>
              <w:szCs w:val="18"/>
            </w:rPr>
            <w:t>/</w:t>
          </w:r>
          <w:r w:rsidRPr="00B33A73">
            <w:rPr>
              <w:b/>
              <w:bCs/>
              <w:i/>
              <w:iCs/>
              <w:color w:val="5F2987"/>
              <w:spacing w:val="-6"/>
              <w:sz w:val="18"/>
              <w:szCs w:val="18"/>
            </w:rPr>
            <w:fldChar w:fldCharType="begin"/>
          </w:r>
          <w:r w:rsidRPr="00B33A73">
            <w:rPr>
              <w:b/>
              <w:bCs/>
              <w:i/>
              <w:iCs/>
              <w:color w:val="5F2987"/>
              <w:spacing w:val="-6"/>
              <w:sz w:val="18"/>
              <w:szCs w:val="18"/>
            </w:rPr>
            <w:instrText>NUMPAGES  \* Arabic  \* MERGEFORMAT</w:instrText>
          </w:r>
          <w:r w:rsidRPr="00B33A73">
            <w:rPr>
              <w:b/>
              <w:bCs/>
              <w:i/>
              <w:iCs/>
              <w:color w:val="5F2987"/>
              <w:spacing w:val="-6"/>
              <w:sz w:val="18"/>
              <w:szCs w:val="18"/>
            </w:rPr>
            <w:fldChar w:fldCharType="separate"/>
          </w:r>
          <w:r w:rsidRPr="00B33A73">
            <w:rPr>
              <w:b/>
              <w:bCs/>
              <w:i/>
              <w:iCs/>
              <w:color w:val="5F2987"/>
              <w:spacing w:val="-6"/>
              <w:sz w:val="18"/>
              <w:szCs w:val="18"/>
            </w:rPr>
            <w:t>3</w:t>
          </w:r>
          <w:r w:rsidRPr="00B33A73">
            <w:rPr>
              <w:b/>
              <w:bCs/>
              <w:i/>
              <w:iCs/>
              <w:color w:val="5F2987"/>
              <w:spacing w:val="-6"/>
              <w:sz w:val="18"/>
              <w:szCs w:val="18"/>
            </w:rPr>
            <w:fldChar w:fldCharType="end"/>
          </w:r>
        </w:p>
      </w:tc>
      <w:tc>
        <w:tcPr>
          <w:tcW w:w="7088" w:type="dxa"/>
          <w:vAlign w:val="center"/>
        </w:tcPr>
        <w:p w14:paraId="0A3B58E5" w14:textId="77777777" w:rsidR="00C80BBD" w:rsidRPr="00B33A73" w:rsidRDefault="00C80BBD" w:rsidP="00B12D00">
          <w:pPr>
            <w:pStyle w:val="Encabezado"/>
            <w:spacing w:after="0"/>
            <w:ind w:right="-110"/>
            <w:contextualSpacing/>
            <w:jc w:val="center"/>
            <w:rPr>
              <w:i/>
              <w:iCs/>
              <w:color w:val="5F2987"/>
              <w:sz w:val="18"/>
              <w:szCs w:val="18"/>
            </w:rPr>
          </w:pPr>
        </w:p>
      </w:tc>
      <w:tc>
        <w:tcPr>
          <w:tcW w:w="2551" w:type="dxa"/>
          <w:vAlign w:val="center"/>
        </w:tcPr>
        <w:p w14:paraId="21CE025D" w14:textId="77777777" w:rsidR="00C80BBD" w:rsidRPr="00B33A73" w:rsidRDefault="00C80BBD" w:rsidP="00B12D00">
          <w:pPr>
            <w:pStyle w:val="Encabezado"/>
            <w:spacing w:after="0"/>
            <w:contextualSpacing/>
            <w:jc w:val="right"/>
            <w:rPr>
              <w:b/>
              <w:bCs/>
              <w:i/>
              <w:iCs/>
              <w:color w:val="5F2987"/>
              <w:spacing w:val="-6"/>
              <w:sz w:val="18"/>
              <w:szCs w:val="18"/>
            </w:rPr>
          </w:pPr>
        </w:p>
      </w:tc>
    </w:tr>
  </w:tbl>
  <w:p w14:paraId="5D6F0E92" w14:textId="77777777" w:rsidR="00155802" w:rsidRPr="00C80BBD" w:rsidRDefault="00155802" w:rsidP="00B12D00">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80BBD" w:rsidRPr="00B33A73" w14:paraId="7EA29937" w14:textId="77777777" w:rsidTr="000C239E">
          <w:trPr>
            <w:trHeight w:val="138"/>
            <w:jc w:val="center"/>
          </w:trPr>
          <w:tc>
            <w:tcPr>
              <w:tcW w:w="1134" w:type="dxa"/>
              <w:vAlign w:val="center"/>
            </w:tcPr>
            <w:p w14:paraId="360A223D" w14:textId="71FF7B00" w:rsidR="00C80BBD" w:rsidRPr="00B33A73" w:rsidRDefault="00C80BBD" w:rsidP="00B12D00">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DD05D3F" w14:textId="77777777" w:rsidR="00C80BBD" w:rsidRPr="00B33A73" w:rsidRDefault="00C80BBD" w:rsidP="00B12D00">
              <w:pPr>
                <w:pStyle w:val="Encabezado"/>
                <w:spacing w:after="0"/>
                <w:ind w:right="-110"/>
                <w:contextualSpacing/>
                <w:jc w:val="center"/>
                <w:rPr>
                  <w:i/>
                  <w:iCs/>
                  <w:color w:val="5F2987"/>
                  <w:sz w:val="18"/>
                  <w:szCs w:val="18"/>
                </w:rPr>
              </w:pPr>
            </w:p>
          </w:tc>
          <w:tc>
            <w:tcPr>
              <w:tcW w:w="2551" w:type="dxa"/>
              <w:vAlign w:val="center"/>
            </w:tcPr>
            <w:p w14:paraId="7D96009E" w14:textId="77777777" w:rsidR="00C80BBD" w:rsidRPr="00B33A73" w:rsidRDefault="00C80BBD" w:rsidP="00B12D00">
              <w:pPr>
                <w:pStyle w:val="Encabezado"/>
                <w:spacing w:after="0"/>
                <w:contextualSpacing/>
                <w:jc w:val="right"/>
                <w:rPr>
                  <w:b/>
                  <w:bCs/>
                  <w:i/>
                  <w:iCs/>
                  <w:color w:val="5F2987"/>
                  <w:spacing w:val="-6"/>
                  <w:sz w:val="18"/>
                  <w:szCs w:val="18"/>
                </w:rPr>
              </w:pPr>
              <w:r w:rsidRPr="00B33A73">
                <w:rPr>
                  <w:b/>
                  <w:bCs/>
                  <w:i/>
                  <w:iCs/>
                  <w:color w:val="5F2987"/>
                  <w:spacing w:val="-6"/>
                  <w:sz w:val="18"/>
                  <w:szCs w:val="18"/>
                </w:rPr>
                <w:fldChar w:fldCharType="begin"/>
              </w:r>
              <w:r w:rsidRPr="00B33A73">
                <w:rPr>
                  <w:b/>
                  <w:bCs/>
                  <w:i/>
                  <w:iCs/>
                  <w:color w:val="5F2987"/>
                  <w:spacing w:val="-6"/>
                  <w:sz w:val="18"/>
                  <w:szCs w:val="18"/>
                </w:rPr>
                <w:instrText>PAGE  \* Arabic  \* MERGEFORMAT</w:instrText>
              </w:r>
              <w:r w:rsidRPr="00B33A73">
                <w:rPr>
                  <w:b/>
                  <w:bCs/>
                  <w:i/>
                  <w:iCs/>
                  <w:color w:val="5F2987"/>
                  <w:spacing w:val="-6"/>
                  <w:sz w:val="18"/>
                  <w:szCs w:val="18"/>
                </w:rPr>
                <w:fldChar w:fldCharType="separate"/>
              </w:r>
              <w:r w:rsidRPr="00B33A73">
                <w:rPr>
                  <w:b/>
                  <w:bCs/>
                  <w:i/>
                  <w:iCs/>
                  <w:color w:val="5F2987"/>
                  <w:spacing w:val="-6"/>
                  <w:sz w:val="18"/>
                  <w:szCs w:val="18"/>
                </w:rPr>
                <w:t>1</w:t>
              </w:r>
              <w:r w:rsidRPr="00B33A73">
                <w:rPr>
                  <w:b/>
                  <w:bCs/>
                  <w:i/>
                  <w:iCs/>
                  <w:color w:val="5F2987"/>
                  <w:spacing w:val="-6"/>
                  <w:sz w:val="18"/>
                  <w:szCs w:val="18"/>
                </w:rPr>
                <w:fldChar w:fldCharType="end"/>
              </w:r>
              <w:r w:rsidRPr="00B33A73">
                <w:rPr>
                  <w:b/>
                  <w:bCs/>
                  <w:i/>
                  <w:iCs/>
                  <w:color w:val="5F2987"/>
                  <w:spacing w:val="-6"/>
                  <w:sz w:val="18"/>
                  <w:szCs w:val="18"/>
                </w:rPr>
                <w:t>/</w:t>
              </w:r>
              <w:r w:rsidRPr="00B33A73">
                <w:rPr>
                  <w:b/>
                  <w:bCs/>
                  <w:i/>
                  <w:iCs/>
                  <w:color w:val="5F2987"/>
                  <w:spacing w:val="-6"/>
                  <w:sz w:val="18"/>
                  <w:szCs w:val="18"/>
                </w:rPr>
                <w:fldChar w:fldCharType="begin"/>
              </w:r>
              <w:r w:rsidRPr="00B33A73">
                <w:rPr>
                  <w:b/>
                  <w:bCs/>
                  <w:i/>
                  <w:iCs/>
                  <w:color w:val="5F2987"/>
                  <w:spacing w:val="-6"/>
                  <w:sz w:val="18"/>
                  <w:szCs w:val="18"/>
                </w:rPr>
                <w:instrText>NUMPAGES  \* Arabic  \* MERGEFORMAT</w:instrText>
              </w:r>
              <w:r w:rsidRPr="00B33A73">
                <w:rPr>
                  <w:b/>
                  <w:bCs/>
                  <w:i/>
                  <w:iCs/>
                  <w:color w:val="5F2987"/>
                  <w:spacing w:val="-6"/>
                  <w:sz w:val="18"/>
                  <w:szCs w:val="18"/>
                </w:rPr>
                <w:fldChar w:fldCharType="separate"/>
              </w:r>
              <w:r w:rsidRPr="00B33A73">
                <w:rPr>
                  <w:b/>
                  <w:bCs/>
                  <w:i/>
                  <w:iCs/>
                  <w:color w:val="5F2987"/>
                  <w:spacing w:val="-6"/>
                  <w:sz w:val="18"/>
                  <w:szCs w:val="18"/>
                </w:rPr>
                <w:t>2</w:t>
              </w:r>
              <w:r w:rsidRPr="00B33A73">
                <w:rPr>
                  <w:b/>
                  <w:bCs/>
                  <w:i/>
                  <w:iCs/>
                  <w:color w:val="5F2987"/>
                  <w:spacing w:val="-6"/>
                  <w:sz w:val="18"/>
                  <w:szCs w:val="18"/>
                </w:rPr>
                <w:fldChar w:fldCharType="end"/>
              </w:r>
            </w:p>
          </w:tc>
        </w:tr>
      </w:tbl>
      <w:p w14:paraId="0EE4BDAE" w14:textId="00B0034A" w:rsidR="00724CFE" w:rsidRPr="00C80BBD" w:rsidRDefault="00000000" w:rsidP="00B12D00">
        <w:pPr>
          <w:spacing w:after="0" w:line="240" w:lineRule="auto"/>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1594075105"/>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D75CC2" w:rsidRPr="00B33A73" w14:paraId="364EA981" w14:textId="77777777" w:rsidTr="000C239E">
          <w:trPr>
            <w:trHeight w:val="138"/>
            <w:jc w:val="center"/>
          </w:trPr>
          <w:tc>
            <w:tcPr>
              <w:tcW w:w="1134" w:type="dxa"/>
              <w:vAlign w:val="center"/>
            </w:tcPr>
            <w:p w14:paraId="70D57E9C" w14:textId="77777777" w:rsidR="00D75CC2" w:rsidRPr="00B33A73" w:rsidRDefault="00D75CC2" w:rsidP="00B12D00">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967132B" w14:textId="77777777" w:rsidR="00D75CC2" w:rsidRPr="00B33A73" w:rsidRDefault="00D75CC2" w:rsidP="00B12D00">
              <w:pPr>
                <w:pStyle w:val="Encabezado"/>
                <w:spacing w:after="0"/>
                <w:ind w:right="-110"/>
                <w:contextualSpacing/>
                <w:jc w:val="center"/>
                <w:rPr>
                  <w:i/>
                  <w:iCs/>
                  <w:color w:val="5F2987"/>
                  <w:sz w:val="18"/>
                  <w:szCs w:val="18"/>
                </w:rPr>
              </w:pPr>
            </w:p>
          </w:tc>
          <w:tc>
            <w:tcPr>
              <w:tcW w:w="2551" w:type="dxa"/>
              <w:vAlign w:val="center"/>
            </w:tcPr>
            <w:p w14:paraId="12573310" w14:textId="77777777" w:rsidR="00D75CC2" w:rsidRPr="00B33A73" w:rsidRDefault="00D75CC2" w:rsidP="00B12D00">
              <w:pPr>
                <w:pStyle w:val="Encabezado"/>
                <w:spacing w:after="0"/>
                <w:contextualSpacing/>
                <w:jc w:val="right"/>
                <w:rPr>
                  <w:b/>
                  <w:bCs/>
                  <w:i/>
                  <w:iCs/>
                  <w:color w:val="5F2987"/>
                  <w:spacing w:val="-6"/>
                  <w:sz w:val="18"/>
                  <w:szCs w:val="18"/>
                </w:rPr>
              </w:pPr>
              <w:r w:rsidRPr="00B33A73">
                <w:rPr>
                  <w:b/>
                  <w:bCs/>
                  <w:i/>
                  <w:iCs/>
                  <w:color w:val="5F2987"/>
                  <w:spacing w:val="-6"/>
                  <w:sz w:val="18"/>
                  <w:szCs w:val="18"/>
                </w:rPr>
                <w:fldChar w:fldCharType="begin"/>
              </w:r>
              <w:r w:rsidRPr="00B33A73">
                <w:rPr>
                  <w:b/>
                  <w:bCs/>
                  <w:i/>
                  <w:iCs/>
                  <w:color w:val="5F2987"/>
                  <w:spacing w:val="-6"/>
                  <w:sz w:val="18"/>
                  <w:szCs w:val="18"/>
                </w:rPr>
                <w:instrText>PAGE  \* Arabic  \* MERGEFORMAT</w:instrText>
              </w:r>
              <w:r w:rsidRPr="00B33A73">
                <w:rPr>
                  <w:b/>
                  <w:bCs/>
                  <w:i/>
                  <w:iCs/>
                  <w:color w:val="5F2987"/>
                  <w:spacing w:val="-6"/>
                  <w:sz w:val="18"/>
                  <w:szCs w:val="18"/>
                </w:rPr>
                <w:fldChar w:fldCharType="separate"/>
              </w:r>
              <w:r w:rsidRPr="00B33A73">
                <w:rPr>
                  <w:b/>
                  <w:bCs/>
                  <w:i/>
                  <w:iCs/>
                  <w:color w:val="5F2987"/>
                  <w:spacing w:val="-6"/>
                  <w:sz w:val="18"/>
                  <w:szCs w:val="18"/>
                </w:rPr>
                <w:t>1</w:t>
              </w:r>
              <w:r w:rsidRPr="00B33A73">
                <w:rPr>
                  <w:b/>
                  <w:bCs/>
                  <w:i/>
                  <w:iCs/>
                  <w:color w:val="5F2987"/>
                  <w:spacing w:val="-6"/>
                  <w:sz w:val="18"/>
                  <w:szCs w:val="18"/>
                </w:rPr>
                <w:fldChar w:fldCharType="end"/>
              </w:r>
              <w:r w:rsidRPr="00B33A73">
                <w:rPr>
                  <w:b/>
                  <w:bCs/>
                  <w:i/>
                  <w:iCs/>
                  <w:color w:val="5F2987"/>
                  <w:spacing w:val="-6"/>
                  <w:sz w:val="18"/>
                  <w:szCs w:val="18"/>
                </w:rPr>
                <w:t>/</w:t>
              </w:r>
              <w:r w:rsidRPr="00B33A73">
                <w:rPr>
                  <w:b/>
                  <w:bCs/>
                  <w:i/>
                  <w:iCs/>
                  <w:color w:val="5F2987"/>
                  <w:spacing w:val="-6"/>
                  <w:sz w:val="18"/>
                  <w:szCs w:val="18"/>
                </w:rPr>
                <w:fldChar w:fldCharType="begin"/>
              </w:r>
              <w:r w:rsidRPr="00B33A73">
                <w:rPr>
                  <w:b/>
                  <w:bCs/>
                  <w:i/>
                  <w:iCs/>
                  <w:color w:val="5F2987"/>
                  <w:spacing w:val="-6"/>
                  <w:sz w:val="18"/>
                  <w:szCs w:val="18"/>
                </w:rPr>
                <w:instrText>NUMPAGES  \* Arabic  \* MERGEFORMAT</w:instrText>
              </w:r>
              <w:r w:rsidRPr="00B33A73">
                <w:rPr>
                  <w:b/>
                  <w:bCs/>
                  <w:i/>
                  <w:iCs/>
                  <w:color w:val="5F2987"/>
                  <w:spacing w:val="-6"/>
                  <w:sz w:val="18"/>
                  <w:szCs w:val="18"/>
                </w:rPr>
                <w:fldChar w:fldCharType="separate"/>
              </w:r>
              <w:r w:rsidRPr="00B33A73">
                <w:rPr>
                  <w:b/>
                  <w:bCs/>
                  <w:i/>
                  <w:iCs/>
                  <w:color w:val="5F2987"/>
                  <w:spacing w:val="-6"/>
                  <w:sz w:val="18"/>
                  <w:szCs w:val="18"/>
                </w:rPr>
                <w:t>2</w:t>
              </w:r>
              <w:r w:rsidRPr="00B33A73">
                <w:rPr>
                  <w:b/>
                  <w:bCs/>
                  <w:i/>
                  <w:iCs/>
                  <w:color w:val="5F2987"/>
                  <w:spacing w:val="-6"/>
                  <w:sz w:val="18"/>
                  <w:szCs w:val="18"/>
                </w:rPr>
                <w:fldChar w:fldCharType="end"/>
              </w:r>
            </w:p>
          </w:tc>
        </w:tr>
      </w:tbl>
      <w:p w14:paraId="2AAFA548" w14:textId="78326860" w:rsidR="00D957F4" w:rsidRPr="00C80BBD" w:rsidRDefault="00000000" w:rsidP="00B12D00">
        <w:pPr>
          <w:spacing w:after="0" w:line="240" w:lineRule="auto"/>
          <w:ind w:right="-449"/>
          <w:jc w:val="left"/>
          <w:rPr>
            <w:color w:val="5F2987"/>
            <w:sz w:val="2"/>
            <w:szCs w:val="2"/>
          </w:rP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1240098917"/>
      <w:docPartObj>
        <w:docPartGallery w:val="Page Numbers (Bottom of Page)"/>
        <w:docPartUnique/>
      </w:docPartObj>
    </w:sdtPr>
    <w:sdtEndPr>
      <w:rPr>
        <w:noProof/>
      </w:rPr>
    </w:sdtEndPr>
    <w:sdtContent>
      <w:tbl>
        <w:tblPr>
          <w:tblStyle w:val="Tablaconcuadrcula"/>
          <w:tblW w:w="1644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938"/>
          <w:gridCol w:w="7371"/>
        </w:tblGrid>
        <w:tr w:rsidR="00D75CC2" w:rsidRPr="00B33A73" w14:paraId="7A7CC080" w14:textId="77777777" w:rsidTr="00B33A73">
          <w:trPr>
            <w:trHeight w:val="138"/>
            <w:jc w:val="center"/>
          </w:trPr>
          <w:tc>
            <w:tcPr>
              <w:tcW w:w="1134" w:type="dxa"/>
              <w:vAlign w:val="center"/>
            </w:tcPr>
            <w:p w14:paraId="68EA2DA8" w14:textId="652A04E3" w:rsidR="00D75CC2" w:rsidRPr="00B33A73" w:rsidRDefault="00D75CC2" w:rsidP="00903B04">
              <w:pPr>
                <w:pStyle w:val="Encabezado"/>
                <w:tabs>
                  <w:tab w:val="clear" w:pos="4252"/>
                  <w:tab w:val="clear" w:pos="8504"/>
                  <w:tab w:val="right" w:pos="924"/>
                  <w:tab w:val="center" w:pos="1310"/>
                </w:tabs>
                <w:spacing w:after="0"/>
                <w:contextualSpacing/>
                <w:rPr>
                  <w:i/>
                  <w:iCs/>
                  <w:color w:val="5F2987"/>
                  <w:sz w:val="18"/>
                  <w:szCs w:val="18"/>
                </w:rPr>
              </w:pPr>
            </w:p>
          </w:tc>
          <w:tc>
            <w:tcPr>
              <w:tcW w:w="7938" w:type="dxa"/>
              <w:vAlign w:val="center"/>
            </w:tcPr>
            <w:p w14:paraId="7AE679A4" w14:textId="77777777" w:rsidR="00D75CC2" w:rsidRPr="00B33A73" w:rsidRDefault="00D75CC2" w:rsidP="00903B04">
              <w:pPr>
                <w:pStyle w:val="Encabezado"/>
                <w:spacing w:after="0"/>
                <w:ind w:right="-110"/>
                <w:contextualSpacing/>
                <w:jc w:val="center"/>
                <w:rPr>
                  <w:i/>
                  <w:iCs/>
                  <w:color w:val="5F2987"/>
                  <w:sz w:val="18"/>
                  <w:szCs w:val="18"/>
                </w:rPr>
              </w:pPr>
            </w:p>
          </w:tc>
          <w:tc>
            <w:tcPr>
              <w:tcW w:w="7371" w:type="dxa"/>
              <w:vAlign w:val="center"/>
            </w:tcPr>
            <w:p w14:paraId="76D59331" w14:textId="77777777" w:rsidR="00D75CC2" w:rsidRPr="00B33A73" w:rsidRDefault="00D75CC2" w:rsidP="00903B04">
              <w:pPr>
                <w:pStyle w:val="Encabezado"/>
                <w:spacing w:after="0"/>
                <w:contextualSpacing/>
                <w:jc w:val="right"/>
                <w:rPr>
                  <w:b/>
                  <w:bCs/>
                  <w:i/>
                  <w:iCs/>
                  <w:color w:val="5F2987"/>
                  <w:spacing w:val="-6"/>
                  <w:sz w:val="18"/>
                  <w:szCs w:val="18"/>
                </w:rPr>
              </w:pPr>
              <w:r w:rsidRPr="00B33A73">
                <w:rPr>
                  <w:b/>
                  <w:bCs/>
                  <w:i/>
                  <w:iCs/>
                  <w:color w:val="5F2987"/>
                  <w:spacing w:val="-6"/>
                  <w:sz w:val="18"/>
                  <w:szCs w:val="18"/>
                </w:rPr>
                <w:fldChar w:fldCharType="begin"/>
              </w:r>
              <w:r w:rsidRPr="00B33A73">
                <w:rPr>
                  <w:b/>
                  <w:bCs/>
                  <w:i/>
                  <w:iCs/>
                  <w:color w:val="5F2987"/>
                  <w:spacing w:val="-6"/>
                  <w:sz w:val="18"/>
                  <w:szCs w:val="18"/>
                </w:rPr>
                <w:instrText>PAGE  \* Arabic  \* MERGEFORMAT</w:instrText>
              </w:r>
              <w:r w:rsidRPr="00B33A73">
                <w:rPr>
                  <w:b/>
                  <w:bCs/>
                  <w:i/>
                  <w:iCs/>
                  <w:color w:val="5F2987"/>
                  <w:spacing w:val="-6"/>
                  <w:sz w:val="18"/>
                  <w:szCs w:val="18"/>
                </w:rPr>
                <w:fldChar w:fldCharType="separate"/>
              </w:r>
              <w:r w:rsidRPr="00B33A73">
                <w:rPr>
                  <w:b/>
                  <w:bCs/>
                  <w:i/>
                  <w:iCs/>
                  <w:color w:val="5F2987"/>
                  <w:spacing w:val="-6"/>
                  <w:sz w:val="18"/>
                  <w:szCs w:val="18"/>
                </w:rPr>
                <w:t>1</w:t>
              </w:r>
              <w:r w:rsidRPr="00B33A73">
                <w:rPr>
                  <w:b/>
                  <w:bCs/>
                  <w:i/>
                  <w:iCs/>
                  <w:color w:val="5F2987"/>
                  <w:spacing w:val="-6"/>
                  <w:sz w:val="18"/>
                  <w:szCs w:val="18"/>
                </w:rPr>
                <w:fldChar w:fldCharType="end"/>
              </w:r>
              <w:r w:rsidRPr="00B33A73">
                <w:rPr>
                  <w:b/>
                  <w:bCs/>
                  <w:i/>
                  <w:iCs/>
                  <w:color w:val="5F2987"/>
                  <w:spacing w:val="-6"/>
                  <w:sz w:val="18"/>
                  <w:szCs w:val="18"/>
                </w:rPr>
                <w:t>/</w:t>
              </w:r>
              <w:r w:rsidRPr="00B33A73">
                <w:rPr>
                  <w:b/>
                  <w:bCs/>
                  <w:i/>
                  <w:iCs/>
                  <w:color w:val="5F2987"/>
                  <w:spacing w:val="-6"/>
                  <w:sz w:val="18"/>
                  <w:szCs w:val="18"/>
                </w:rPr>
                <w:fldChar w:fldCharType="begin"/>
              </w:r>
              <w:r w:rsidRPr="00B33A73">
                <w:rPr>
                  <w:b/>
                  <w:bCs/>
                  <w:i/>
                  <w:iCs/>
                  <w:color w:val="5F2987"/>
                  <w:spacing w:val="-6"/>
                  <w:sz w:val="18"/>
                  <w:szCs w:val="18"/>
                </w:rPr>
                <w:instrText>NUMPAGES  \* Arabic  \* MERGEFORMAT</w:instrText>
              </w:r>
              <w:r w:rsidRPr="00B33A73">
                <w:rPr>
                  <w:b/>
                  <w:bCs/>
                  <w:i/>
                  <w:iCs/>
                  <w:color w:val="5F2987"/>
                  <w:spacing w:val="-6"/>
                  <w:sz w:val="18"/>
                  <w:szCs w:val="18"/>
                </w:rPr>
                <w:fldChar w:fldCharType="separate"/>
              </w:r>
              <w:r w:rsidRPr="00B33A73">
                <w:rPr>
                  <w:b/>
                  <w:bCs/>
                  <w:i/>
                  <w:iCs/>
                  <w:color w:val="5F2987"/>
                  <w:spacing w:val="-6"/>
                  <w:sz w:val="18"/>
                  <w:szCs w:val="18"/>
                </w:rPr>
                <w:t>2</w:t>
              </w:r>
              <w:r w:rsidRPr="00B33A73">
                <w:rPr>
                  <w:b/>
                  <w:bCs/>
                  <w:i/>
                  <w:iCs/>
                  <w:color w:val="5F2987"/>
                  <w:spacing w:val="-6"/>
                  <w:sz w:val="18"/>
                  <w:szCs w:val="18"/>
                </w:rPr>
                <w:fldChar w:fldCharType="end"/>
              </w:r>
            </w:p>
          </w:tc>
        </w:tr>
      </w:tbl>
      <w:p w14:paraId="1EF1D887" w14:textId="67E74A76" w:rsidR="00D75CC2" w:rsidRPr="00C80BBD" w:rsidRDefault="00000000" w:rsidP="00903B04">
        <w:pPr>
          <w:spacing w:after="0" w:line="240" w:lineRule="auto"/>
          <w:ind w:right="-449"/>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96CB1E" w14:textId="77777777" w:rsidR="008961C4" w:rsidRPr="00F7167D" w:rsidRDefault="008961C4" w:rsidP="00F7167D">
      <w:pPr>
        <w:spacing w:after="0" w:line="240" w:lineRule="auto"/>
        <w:rPr>
          <w:sz w:val="16"/>
          <w:szCs w:val="16"/>
        </w:rPr>
      </w:pPr>
      <w:r w:rsidRPr="00F7167D">
        <w:rPr>
          <w:sz w:val="16"/>
          <w:szCs w:val="16"/>
        </w:rPr>
        <w:separator/>
      </w:r>
    </w:p>
  </w:footnote>
  <w:footnote w:type="continuationSeparator" w:id="0">
    <w:p w14:paraId="4A428BEF" w14:textId="77777777" w:rsidR="008961C4" w:rsidRPr="00F7167D" w:rsidRDefault="008961C4" w:rsidP="00B77C0F">
      <w:pPr>
        <w:rPr>
          <w:sz w:val="16"/>
          <w:szCs w:val="16"/>
        </w:rPr>
      </w:pPr>
      <w:r w:rsidRPr="00F7167D">
        <w:rPr>
          <w:sz w:val="16"/>
          <w:szCs w:val="16"/>
        </w:rPr>
        <w:continuationSeparator/>
      </w:r>
    </w:p>
  </w:footnote>
  <w:footnote w:type="continuationNotice" w:id="1">
    <w:p w14:paraId="5B5274E2" w14:textId="77777777" w:rsidR="008961C4" w:rsidRPr="00F7167D" w:rsidRDefault="008961C4" w:rsidP="00F7167D">
      <w:pPr>
        <w:spacing w:after="0" w:line="192" w:lineRule="auto"/>
        <w:jc w:val="right"/>
        <w:rPr>
          <w:sz w:val="16"/>
          <w:szCs w:val="16"/>
        </w:rPr>
      </w:pPr>
      <w:r w:rsidRPr="00F7167D">
        <w:rPr>
          <w:rFonts w:ascii="Cambria Math" w:hAnsi="Cambria Math" w:cs="Cambria Math"/>
          <w:color w:val="202122"/>
          <w:sz w:val="16"/>
          <w:szCs w:val="16"/>
          <w:shd w:val="clear" w:color="auto" w:fill="FFFFFF"/>
        </w:rPr>
        <w:t>↪</w:t>
      </w:r>
    </w:p>
  </w:footnote>
  <w:footnote w:id="2">
    <w:p w14:paraId="6CF94267" w14:textId="0EA76520" w:rsidR="006F4AAB" w:rsidRDefault="006F4AAB" w:rsidP="00F6714C">
      <w:pPr>
        <w:pStyle w:val="Textonotapie"/>
        <w:spacing w:after="0"/>
      </w:pPr>
      <w:r>
        <w:rPr>
          <w:rStyle w:val="Refdenotaalpie"/>
        </w:rPr>
        <w:footnoteRef/>
      </w:r>
      <w:r>
        <w:t xml:space="preserve"> A pesar de que fue inicialmente la revolución keynesiana en economía lo que causó el principal impulso hacia el desarrollo de los sistemas de cuentas nacionales, estos sistemas pueden ser entendidos hoy en día como neutrales, tanto desde el punto de vista analítico como desde el punto de vista ideológico.</w:t>
      </w:r>
    </w:p>
    <w:p w14:paraId="46DF46A7" w14:textId="609B1C05" w:rsidR="00254C13" w:rsidRPr="00254C13" w:rsidRDefault="00254C13">
      <w:pPr>
        <w:pStyle w:val="Textonotapie"/>
      </w:pPr>
      <w:r>
        <w:rPr>
          <w:smallCaps/>
        </w:rPr>
        <w:t>Keynes</w:t>
      </w:r>
      <w:r>
        <w:t xml:space="preserve"> impulsó a autores como </w:t>
      </w:r>
      <w:r>
        <w:rPr>
          <w:smallCaps/>
        </w:rPr>
        <w:t>Stone</w:t>
      </w:r>
      <w:r>
        <w:t xml:space="preserve"> y </w:t>
      </w:r>
      <w:r>
        <w:rPr>
          <w:smallCaps/>
        </w:rPr>
        <w:t>Meade</w:t>
      </w:r>
      <w:r>
        <w:t xml:space="preserve"> a recoger datos para analizar los desequilibrios de la economía británica.</w:t>
      </w:r>
    </w:p>
  </w:footnote>
  <w:footnote w:id="3">
    <w:p w14:paraId="23D02B75" w14:textId="1FFB1DCD" w:rsidR="00F6714C" w:rsidRPr="00F6714C" w:rsidRDefault="00F6714C" w:rsidP="00F6714C">
      <w:pPr>
        <w:pStyle w:val="Textonotapie"/>
        <w:rPr>
          <w:i/>
          <w:iCs/>
        </w:rPr>
      </w:pPr>
      <w:r>
        <w:rPr>
          <w:rStyle w:val="Refdenotaalpie"/>
        </w:rPr>
        <w:footnoteRef/>
      </w:r>
      <w:r>
        <w:t xml:space="preserve"> </w:t>
      </w:r>
      <w:r>
        <w:rPr>
          <w:smallCaps/>
        </w:rPr>
        <w:t>Simon Kuznets</w:t>
      </w:r>
      <w:r>
        <w:t xml:space="preserve"> fue galardonado con el Premio Nobel de Economía en 1971 </w:t>
      </w:r>
      <w:r w:rsidRPr="00A6227E">
        <w:t>«Por su interpretación empíricamente fundada del crecimiento económico, que ha llevado a un nuevo y más profundo acercamiento a la estructura económica y social y a los procesos de desarrollo».</w:t>
      </w:r>
      <w:r>
        <w:t xml:space="preserve"> </w:t>
      </w:r>
      <w:r>
        <w:rPr>
          <w:i/>
          <w:iCs/>
        </w:rPr>
        <w:t>Nótese que no lo recibe tanto por contabilidad nacional sino por sus trabajos empíricos en macroeconomía.</w:t>
      </w:r>
    </w:p>
  </w:footnote>
  <w:footnote w:id="4">
    <w:p w14:paraId="3032CE01" w14:textId="268E616D" w:rsidR="00254C13" w:rsidRPr="00410B74" w:rsidRDefault="00254C13">
      <w:pPr>
        <w:pStyle w:val="Textonotapie"/>
      </w:pPr>
      <w:r>
        <w:rPr>
          <w:rStyle w:val="Refdenotaalpie"/>
        </w:rPr>
        <w:footnoteRef/>
      </w:r>
      <w:r>
        <w:t xml:space="preserve"> Cuando los Estados Unidos entran en la guerra, </w:t>
      </w:r>
      <w:r w:rsidR="00410B74">
        <w:t xml:space="preserve">el </w:t>
      </w:r>
      <w:r>
        <w:t xml:space="preserve">ejército, </w:t>
      </w:r>
      <w:r w:rsidR="00410B74">
        <w:t xml:space="preserve">la </w:t>
      </w:r>
      <w:r>
        <w:t xml:space="preserve">marina, </w:t>
      </w:r>
      <w:r w:rsidR="00410B74">
        <w:t xml:space="preserve">las </w:t>
      </w:r>
      <w:r>
        <w:t>agencias federales</w:t>
      </w:r>
      <w:r w:rsidR="00410B74">
        <w:t>, etc.</w:t>
      </w:r>
      <w:r>
        <w:t xml:space="preserve"> empiezan a pedir </w:t>
      </w:r>
      <w:r w:rsidR="00410B74">
        <w:t xml:space="preserve">muchos recursos. </w:t>
      </w:r>
      <w:r w:rsidR="00410B74">
        <w:rPr>
          <w:smallCaps/>
        </w:rPr>
        <w:t>Simon Kuznets</w:t>
      </w:r>
      <w:r w:rsidR="00410B74">
        <w:t xml:space="preserve"> se da cuenta, empleando contabilidad nacional, de que </w:t>
      </w:r>
      <w:r w:rsidR="001F35F3">
        <w:t>Estados Unidos</w:t>
      </w:r>
      <w:r w:rsidR="00410B74">
        <w:t xml:space="preserve"> no puede producir todo esto a la vez y convence (indirectamente) al presidente de </w:t>
      </w:r>
      <w:r w:rsidR="00DF47E4">
        <w:t xml:space="preserve">la necesidad de </w:t>
      </w:r>
      <w:r w:rsidR="00410B74">
        <w:t>ten</w:t>
      </w:r>
      <w:r w:rsidR="001F35F3">
        <w:t>er</w:t>
      </w:r>
      <w:r w:rsidR="00410B74">
        <w:t xml:space="preserve"> un ejército más pequeño pero más sostenible durante el esfuerzo bélico. De hecho, EEUU tuvo muy pocas divisiones en la Segunda Guerra Mundial (aunque muy bien suministradas). Los alemanes, por el contrario, nunca pudieron organizar correctamente su producción.</w:t>
      </w:r>
    </w:p>
  </w:footnote>
  <w:footnote w:id="5">
    <w:p w14:paraId="4264DD51" w14:textId="10F5AE3C" w:rsidR="00F6714C" w:rsidRPr="00A6227E" w:rsidRDefault="00F6714C" w:rsidP="00F6714C">
      <w:pPr>
        <w:pStyle w:val="Textonotapie"/>
      </w:pPr>
      <w:r>
        <w:rPr>
          <w:rStyle w:val="Refdenotaalpie"/>
        </w:rPr>
        <w:footnoteRef/>
      </w:r>
      <w:r>
        <w:t xml:space="preserve"> </w:t>
      </w:r>
      <w:r w:rsidRPr="00A6227E">
        <w:rPr>
          <w:smallCaps/>
        </w:rPr>
        <w:t>Richard Stone</w:t>
      </w:r>
      <w:r w:rsidRPr="00A6227E">
        <w:t xml:space="preserve"> fue galardonado con </w:t>
      </w:r>
      <w:r>
        <w:t xml:space="preserve">el Premio Nobel de Economía en 1984 </w:t>
      </w:r>
      <w:r w:rsidRPr="00A6227E">
        <w:t xml:space="preserve">«Por sus contribuciones fundamentales al desarrollo de las </w:t>
      </w:r>
      <w:r w:rsidRPr="00254C13">
        <w:rPr>
          <w:u w:val="single"/>
        </w:rPr>
        <w:t>cuentas nacionales</w:t>
      </w:r>
      <w:r w:rsidRPr="00A6227E">
        <w:t>, desde el cual se han podido mejorar en gran medida las bases para el análisis económico empírico».</w:t>
      </w:r>
    </w:p>
  </w:footnote>
  <w:footnote w:id="6">
    <w:p w14:paraId="73BEE29F" w14:textId="5FCB6BA0" w:rsidR="006A1F8D" w:rsidRDefault="006A1F8D">
      <w:pPr>
        <w:pStyle w:val="Textonotapie"/>
      </w:pPr>
      <w:r>
        <w:rPr>
          <w:rStyle w:val="Refdenotaalpie"/>
        </w:rPr>
        <w:footnoteRef/>
      </w:r>
      <w:r>
        <w:t xml:space="preserve"> </w:t>
      </w:r>
      <w:hyperlink r:id="rId1" w:history="1">
        <w:r w:rsidRPr="0070195C">
          <w:rPr>
            <w:rStyle w:val="Hipervnculo"/>
          </w:rPr>
          <w:t>https://www.boe.es/doue/2013/174/L00001-00727.pdf</w:t>
        </w:r>
      </w:hyperlink>
    </w:p>
  </w:footnote>
  <w:footnote w:id="7">
    <w:p w14:paraId="5A6F10BD" w14:textId="4C95A8B2" w:rsidR="006A1F8D" w:rsidRDefault="006A1F8D">
      <w:pPr>
        <w:pStyle w:val="Textonotapie"/>
      </w:pPr>
      <w:r>
        <w:rPr>
          <w:rStyle w:val="Refdenotaalpie"/>
        </w:rPr>
        <w:footnoteRef/>
      </w:r>
      <w:r>
        <w:t xml:space="preserve"> Ahora bien, la autonomía de un sector institucional no implica la ausencia de interrelaciones con otros, todo lo contrario.</w:t>
      </w:r>
    </w:p>
  </w:footnote>
  <w:footnote w:id="8">
    <w:p w14:paraId="23F7BED1" w14:textId="5CBC3D65" w:rsidR="00B97998" w:rsidRDefault="00B97998">
      <w:pPr>
        <w:pStyle w:val="Textonotapie"/>
      </w:pPr>
      <w:r>
        <w:rPr>
          <w:rStyle w:val="Refdenotaalpie"/>
        </w:rPr>
        <w:footnoteRef/>
      </w:r>
      <w:r>
        <w:t xml:space="preserve"> El SEC considera un productor de mercado a aquel cuyas ventas cubran al menos el 50 % de sus costes de producción.</w:t>
      </w:r>
    </w:p>
  </w:footnote>
  <w:footnote w:id="9">
    <w:p w14:paraId="461E1991" w14:textId="03B81623" w:rsidR="00E34A0C" w:rsidRPr="00E34A0C" w:rsidRDefault="00E34A0C">
      <w:pPr>
        <w:pStyle w:val="Textonotapie"/>
      </w:pPr>
      <w:r>
        <w:rPr>
          <w:rStyle w:val="Refdenotaalpie"/>
        </w:rPr>
        <w:footnoteRef/>
      </w:r>
      <w:r>
        <w:t xml:space="preserve"> A diferencia de las sociedades no financieras y las instituciones financieras, las administraciones públicas son productores </w:t>
      </w:r>
      <w:r>
        <w:rPr>
          <w:i/>
          <w:iCs/>
        </w:rPr>
        <w:t>no</w:t>
      </w:r>
      <w:r>
        <w:t xml:space="preserve"> de mercado, esto es, su objetivo no es la producción a precios económicamente significativos. Se consideran unidades no de mercado aquellas cuyas ventas cubran menos del 50</w:t>
      </w:r>
      <w:r w:rsidR="00AB38B0">
        <w:t> </w:t>
      </w:r>
      <w:r>
        <w:t>% de sus costes de producción.</w:t>
      </w:r>
    </w:p>
  </w:footnote>
  <w:footnote w:id="10">
    <w:p w14:paraId="66FE8801" w14:textId="207BD0F7" w:rsidR="00AB38B0" w:rsidRDefault="00AB38B0" w:rsidP="00AB38B0">
      <w:pPr>
        <w:pStyle w:val="Textonotapie"/>
      </w:pPr>
      <w:r>
        <w:rPr>
          <w:rStyle w:val="Refdenotaalpie"/>
        </w:rPr>
        <w:footnoteRef/>
      </w:r>
      <w:r>
        <w:t xml:space="preserve"> En su condición de consumidores, los hogares pueden definirse como pequeños grupos de personas que comparten una misma vivienda y ponen en común sus rentas y su patrimonio y consumen colectivamente determinados bienes y servicios (principalmente la vivienda y la alimentación).</w:t>
      </w:r>
    </w:p>
  </w:footnote>
  <w:footnote w:id="11">
    <w:p w14:paraId="7804EE83" w14:textId="4F267A69" w:rsidR="00AB38B0" w:rsidRDefault="00AB38B0">
      <w:pPr>
        <w:pStyle w:val="Textonotapie"/>
      </w:pPr>
      <w:r>
        <w:rPr>
          <w:rStyle w:val="Refdenotaalpie"/>
        </w:rPr>
        <w:footnoteRef/>
      </w:r>
      <w:r>
        <w:t xml:space="preserve"> También se incluye la producción para uso final propio.</w:t>
      </w:r>
    </w:p>
  </w:footnote>
  <w:footnote w:id="12">
    <w:p w14:paraId="3884A3F4" w14:textId="3EB719CA" w:rsidR="006308DB" w:rsidRDefault="006308DB">
      <w:pPr>
        <w:pStyle w:val="Textonotapie"/>
      </w:pPr>
      <w:r>
        <w:rPr>
          <w:rStyle w:val="Refdenotaalpie"/>
        </w:rPr>
        <w:footnoteRef/>
      </w:r>
      <w:r>
        <w:t xml:space="preserve"> Están dotadas de personalidad jurídica. Algunos ejemplos de ISFLSH son: sindicatos, asociaciones pro</w:t>
      </w:r>
      <w:r w:rsidR="00780019">
        <w:t>fes</w:t>
      </w:r>
      <w:r>
        <w:t>ionales o científicas, asociaciones de consumidores, partidos políticos, asociaciones religiosas, clubs sociales,</w:t>
      </w:r>
      <w:r w:rsidR="00780019">
        <w:t xml:space="preserve"> clubs culturales, clubs recreativos, clubs deportivos, asociaciones de beneficencia, etc.</w:t>
      </w:r>
    </w:p>
  </w:footnote>
  <w:footnote w:id="13">
    <w:p w14:paraId="5B0D61CF" w14:textId="375F8A85" w:rsidR="00E7603B" w:rsidRDefault="00E7603B">
      <w:pPr>
        <w:pStyle w:val="Textonotapie"/>
      </w:pPr>
      <w:r>
        <w:rPr>
          <w:rStyle w:val="Refdenotaalpie"/>
        </w:rPr>
        <w:footnoteRef/>
      </w:r>
      <w:r>
        <w:t xml:space="preserve"> Estos sectores institucionales aparecen también en el Sexto Manual de la Balanza de Pagos (6MBP) del FMI, pero la forma de agruparlos difiere </w:t>
      </w:r>
      <w:r w:rsidRPr="00E7603B">
        <w:rPr>
          <w:color w:val="767171" w:themeColor="background2" w:themeShade="80"/>
          <w:sz w:val="14"/>
          <w:szCs w:val="18"/>
        </w:rPr>
        <w:t>[</w:t>
      </w:r>
      <w:r>
        <w:rPr>
          <w:color w:val="767171" w:themeColor="background2" w:themeShade="80"/>
          <w:sz w:val="14"/>
          <w:szCs w:val="18"/>
        </w:rPr>
        <w:t>ver tema 3.B.1</w:t>
      </w:r>
      <w:r w:rsidR="00D41E30">
        <w:rPr>
          <w:color w:val="767171" w:themeColor="background2" w:themeShade="80"/>
          <w:sz w:val="14"/>
          <w:szCs w:val="18"/>
        </w:rPr>
        <w:t>1</w:t>
      </w:r>
      <w:r w:rsidRPr="00E7603B">
        <w:rPr>
          <w:color w:val="767171" w:themeColor="background2" w:themeShade="80"/>
          <w:sz w:val="14"/>
          <w:szCs w:val="18"/>
        </w:rPr>
        <w:t>]</w:t>
      </w:r>
      <w:r>
        <w:t>. A diferencia de la clasificación funcional de sectores que aparece en el 6MBP, que privilegia una clasificación en función de que sectores interactúan más con el resto del mundo, el SEC 2010 privilegia una clasificación que resalta cuáles son los sectores institucionales que interactúan dentro de la economía nacional.</w:t>
      </w:r>
    </w:p>
  </w:footnote>
  <w:footnote w:id="14">
    <w:p w14:paraId="0F0F63B3" w14:textId="1F4BF75D" w:rsidR="00AF0047" w:rsidRDefault="00AF0047">
      <w:pPr>
        <w:pStyle w:val="Textonotapie"/>
      </w:pPr>
      <w:r>
        <w:rPr>
          <w:rStyle w:val="Refdenotaalpie"/>
        </w:rPr>
        <w:footnoteRef/>
      </w:r>
      <w:r>
        <w:t xml:space="preserve"> Es necesario realizar imputaciones para calcular el servicio de alojamiento que los propietarios proveen para ellos mismos. Si no lo hacemos, un cambio en el porcentaje de los hogares propietarios cambiaría el PIB.</w:t>
      </w:r>
    </w:p>
  </w:footnote>
  <w:footnote w:id="15">
    <w:p w14:paraId="2CCB87B6" w14:textId="3520781C" w:rsidR="00A318D2" w:rsidRDefault="00A318D2" w:rsidP="00A318D2">
      <w:pPr>
        <w:pStyle w:val="Textonotapie"/>
      </w:pPr>
      <w:r>
        <w:rPr>
          <w:rStyle w:val="Refdenotaalpie"/>
        </w:rPr>
        <w:footnoteRef/>
      </w:r>
      <w:r>
        <w:t xml:space="preserve"> Un </w:t>
      </w:r>
      <w:r w:rsidRPr="00A318D2">
        <w:rPr>
          <w:i/>
          <w:iCs/>
        </w:rPr>
        <w:t>cambio en el volumen</w:t>
      </w:r>
      <w:r>
        <w:t xml:space="preserve"> no es lo mismo que un </w:t>
      </w:r>
      <w:r w:rsidRPr="00A318D2">
        <w:rPr>
          <w:i/>
          <w:iCs/>
        </w:rPr>
        <w:t>cambio en cantidad</w:t>
      </w:r>
      <w:r>
        <w:t xml:space="preserve">. </w:t>
      </w:r>
      <w:r w:rsidR="00CD4D38">
        <w:t>E</w:t>
      </w:r>
      <w:r>
        <w:t>l cambio en volumen tiene en consideración diferencias en la calidad y en los niveles de precio de los productos. Por eso, el año base tiene que estar cerca o si no se utiliza una regla de la cadena (es decir, se realizan los cálculos a precio base del año pasado y luego se referencian al año base inicial).</w:t>
      </w:r>
    </w:p>
    <w:p w14:paraId="5DE787F5" w14:textId="152D06CD" w:rsidR="00A318D2" w:rsidRDefault="00A318D2" w:rsidP="00A318D2">
      <w:pPr>
        <w:pStyle w:val="Textonotapie"/>
      </w:pPr>
      <w:r>
        <w:t xml:space="preserve">Muchos flujos y stocks (p.ej. la renta) no tienen sus propias dimensiones de precio y cantidad (por lo que su variación nominal no se puede descomponer directamente en variaciones de volumen y variaciones de precios). No obstante, en estas circunstancias, la variación en volumen se aproxima por el poder de compra de tales variables deflactando los valores corrientes mediante un índice de precios adecuado. Se dice entonces que los flujos y stocks deflactados se expresan </w:t>
      </w:r>
      <w:r w:rsidRPr="005C3232">
        <w:rPr>
          <w:i/>
          <w:iCs/>
        </w:rPr>
        <w:t>en términos reales</w:t>
      </w:r>
      <w:r>
        <w:t>.</w:t>
      </w:r>
    </w:p>
  </w:footnote>
  <w:footnote w:id="16">
    <w:p w14:paraId="7DB11B15" w14:textId="77777777" w:rsidR="00ED75DC" w:rsidRPr="00CD4D38" w:rsidRDefault="00ED75DC" w:rsidP="00CD4D38">
      <w:pPr>
        <w:pStyle w:val="Textonotapie"/>
        <w:rPr>
          <w:spacing w:val="-2"/>
        </w:rPr>
      </w:pPr>
      <w:r w:rsidRPr="00CD4D38">
        <w:rPr>
          <w:rStyle w:val="Refdenotaalpie"/>
          <w:spacing w:val="-2"/>
        </w:rPr>
        <w:footnoteRef/>
      </w:r>
      <w:r w:rsidRPr="00CD4D38">
        <w:rPr>
          <w:spacing w:val="-2"/>
        </w:rPr>
        <w:t xml:space="preserve"> En la práctica se sugiere utilizar como referencia la permanencia en el país durante un año o más, aunque no se trata de una regla inflexible.</w:t>
      </w:r>
    </w:p>
  </w:footnote>
  <w:footnote w:id="17">
    <w:p w14:paraId="5E05CFC8" w14:textId="46934002" w:rsidR="001B2491" w:rsidRPr="001F21D6" w:rsidRDefault="001B2491">
      <w:pPr>
        <w:pStyle w:val="Textonotapie"/>
        <w:rPr>
          <w:spacing w:val="-4"/>
        </w:rPr>
      </w:pPr>
      <w:r w:rsidRPr="001F21D6">
        <w:rPr>
          <w:rStyle w:val="Refdenotaalpie"/>
          <w:spacing w:val="-4"/>
        </w:rPr>
        <w:footnoteRef/>
      </w:r>
      <w:r w:rsidRPr="001F21D6">
        <w:rPr>
          <w:spacing w:val="-4"/>
        </w:rPr>
        <w:t xml:space="preserve"> Se produce un cambio en el SEC</w:t>
      </w:r>
      <w:r w:rsidR="00516FB8" w:rsidRPr="001F21D6">
        <w:rPr>
          <w:spacing w:val="-4"/>
        </w:rPr>
        <w:t> </w:t>
      </w:r>
      <w:r w:rsidRPr="001F21D6">
        <w:rPr>
          <w:spacing w:val="-4"/>
        </w:rPr>
        <w:t>2010 respecto al SEC</w:t>
      </w:r>
      <w:r w:rsidR="00614953" w:rsidRPr="001F21D6">
        <w:rPr>
          <w:spacing w:val="-4"/>
        </w:rPr>
        <w:t>-</w:t>
      </w:r>
      <w:r w:rsidRPr="001F21D6">
        <w:rPr>
          <w:spacing w:val="-4"/>
        </w:rPr>
        <w:t>95: el gasto en I+D se considera ahora formación bruta de capital fijo y no un bien intermedio. Este cambio obedece a que el gasto en intangibles está cobrando una mayor importancia en las cuentas de explotación de las empresas.</w:t>
      </w:r>
    </w:p>
    <w:p w14:paraId="2938734D" w14:textId="5BCB0C33" w:rsidR="001B2491" w:rsidRDefault="001B2491">
      <w:pPr>
        <w:pStyle w:val="Textonotapie"/>
      </w:pPr>
      <w:r>
        <w:t xml:space="preserve">Esto tiene repercusiones sobre la distribución de la </w:t>
      </w:r>
      <w:r w:rsidR="00516CA1">
        <w:t>r</w:t>
      </w:r>
      <w:r>
        <w:t>enta: aumenta la parte de la renta que va para los capitalistas. Las rentas del trabajo como porcentaje del PIB están ahora cerca del 62</w:t>
      </w:r>
      <w:r w:rsidR="00516CA1">
        <w:t> </w:t>
      </w:r>
      <w:r>
        <w:t>%, mientras que antes rondaba el 66</w:t>
      </w:r>
      <w:r w:rsidR="00516CA1">
        <w:t> </w:t>
      </w:r>
      <w:r>
        <w:t>%.</w:t>
      </w:r>
    </w:p>
  </w:footnote>
  <w:footnote w:id="18">
    <w:p w14:paraId="69282BB1" w14:textId="4C2F4A1B" w:rsidR="00A63C98" w:rsidRPr="009E49B9" w:rsidRDefault="009F4FCC">
      <w:pPr>
        <w:pStyle w:val="Textonotapie"/>
      </w:pPr>
      <w:r>
        <w:rPr>
          <w:rStyle w:val="Refdenotaalpie"/>
        </w:rPr>
        <w:footnoteRef/>
      </w:r>
      <w:r>
        <w:t xml:space="preserve"> Gastos en marketing, contabilidad, transporte, alquiler de activos fijos (p.ej. arrendamiento de un vehículo), programas informáticos, </w:t>
      </w:r>
      <w:r w:rsidR="0051343D">
        <w:t>herramientas (p.ej. destornillador)… No entran los salarios ni los activos fijos</w:t>
      </w:r>
      <w:r w:rsidR="00A63C98">
        <w:t>.</w:t>
      </w:r>
    </w:p>
  </w:footnote>
  <w:footnote w:id="19">
    <w:p w14:paraId="0F91E0D9" w14:textId="552D8912" w:rsidR="006E0E52" w:rsidRPr="006E0E52" w:rsidRDefault="006E0E52">
      <w:pPr>
        <w:pStyle w:val="Textonotapie"/>
      </w:pPr>
      <w:r>
        <w:rPr>
          <w:rStyle w:val="Refdenotaalpie"/>
        </w:rPr>
        <w:footnoteRef/>
      </w:r>
      <w:r>
        <w:t xml:space="preserve"> El Producto Interior Bruto (PIB) es un concepto creado por el economista </w:t>
      </w:r>
      <w:r w:rsidRPr="006E0E52">
        <w:t>ruso-</w:t>
      </w:r>
      <w:r>
        <w:t xml:space="preserve">estadounidense </w:t>
      </w:r>
      <w:r>
        <w:rPr>
          <w:smallCaps/>
        </w:rPr>
        <w:t>Simon Kuznets</w:t>
      </w:r>
      <w:r>
        <w:t xml:space="preserve"> en 1932. Tras la Segunda Guerra Mundial se usó como base para calcular las transferencias monetarias del Plan Marshall</w:t>
      </w:r>
      <w:r w:rsidR="00D278BB">
        <w:t xml:space="preserve"> </w:t>
      </w:r>
      <w:r w:rsidR="00D278BB" w:rsidRPr="00D278BB">
        <w:rPr>
          <w:sz w:val="14"/>
          <w:szCs w:val="18"/>
        </w:rPr>
        <w:t>(así es como se convirtió en la medida estándar)</w:t>
      </w:r>
      <w:r>
        <w:t>.</w:t>
      </w:r>
    </w:p>
  </w:footnote>
  <w:footnote w:id="20">
    <w:p w14:paraId="4D323896" w14:textId="77777777" w:rsidR="00D63261" w:rsidRDefault="00D63261" w:rsidP="00430462">
      <w:pPr>
        <w:pStyle w:val="Textonotapie"/>
        <w:keepNext/>
        <w:spacing w:after="0"/>
      </w:pPr>
      <w:r>
        <w:rPr>
          <w:rStyle w:val="Refdenotaalpie"/>
        </w:rPr>
        <w:footnoteRef/>
      </w:r>
      <w:r>
        <w:t xml:space="preserve"> La fórmula compuesta para el PIB y reflejada en la cuenta de producción es la siguiente:</w:t>
      </w:r>
    </w:p>
    <w:p w14:paraId="1AB1AE82" w14:textId="77777777" w:rsidR="00D63261" w:rsidRPr="00D63261" w:rsidRDefault="00D63261" w:rsidP="00430462">
      <w:pPr>
        <w:pStyle w:val="Textonotapie"/>
        <w:spacing w:after="0"/>
        <w:rPr>
          <w:rFonts w:eastAsiaTheme="minorEastAsia"/>
          <w:i/>
          <w:iCs/>
        </w:rPr>
      </w:pPr>
      <m:oMathPara>
        <m:oMath>
          <m:r>
            <m:rPr>
              <m:nor/>
            </m:rPr>
            <w:rPr>
              <w:i/>
              <w:iCs/>
            </w:rPr>
            <m:t>PIB</m:t>
          </m:r>
          <m:r>
            <w:rPr>
              <w:rFonts w:ascii="Cambria Math" w:hAnsi="Cambria Math"/>
            </w:rPr>
            <m:t>=</m:t>
          </m:r>
          <m:r>
            <m:rPr>
              <m:nor/>
            </m:rPr>
            <w:rPr>
              <w:i/>
              <w:iCs/>
            </w:rPr>
            <m:t>Producción</m:t>
          </m:r>
          <m:r>
            <w:rPr>
              <w:rFonts w:ascii="Cambria Math" w:hAnsi="Cambria Math"/>
            </w:rPr>
            <m:t>-</m:t>
          </m:r>
          <m:r>
            <m:rPr>
              <m:nor/>
            </m:rPr>
            <w:rPr>
              <w:i/>
              <w:iCs/>
            </w:rPr>
            <m:t>Consumos intermedios</m:t>
          </m:r>
        </m:oMath>
      </m:oMathPara>
    </w:p>
    <w:p w14:paraId="2D8066CD" w14:textId="77777777" w:rsidR="00D63261" w:rsidRDefault="00D63261" w:rsidP="00430462">
      <w:pPr>
        <w:pStyle w:val="Textonotapie"/>
        <w:keepNext/>
        <w:spacing w:after="0"/>
        <w:rPr>
          <w:rFonts w:eastAsiaTheme="minorEastAsia"/>
        </w:rPr>
      </w:pPr>
      <w:r>
        <w:rPr>
          <w:rFonts w:eastAsiaTheme="minorEastAsia"/>
        </w:rPr>
        <w:t>La fórmula del PIB proporciona un buen ejemplo de las tres reglas esenciales seguidas por los contables nacionales cuando pasan del nivel microeconómico al macroeconómico:</w:t>
      </w:r>
    </w:p>
    <w:p w14:paraId="31F49B71" w14:textId="77777777" w:rsidR="00D63261" w:rsidRDefault="00D63261">
      <w:pPr>
        <w:pStyle w:val="Textonotapie"/>
        <w:numPr>
          <w:ilvl w:val="0"/>
          <w:numId w:val="15"/>
        </w:numPr>
        <w:spacing w:after="0"/>
        <w:ind w:left="426" w:hanging="142"/>
      </w:pPr>
      <w:r>
        <w:t>Evitar la doble contabilización;</w:t>
      </w:r>
    </w:p>
    <w:p w14:paraId="0FFC1725" w14:textId="77777777" w:rsidR="00D63261" w:rsidRDefault="00D63261">
      <w:pPr>
        <w:pStyle w:val="Textonotapie"/>
        <w:numPr>
          <w:ilvl w:val="0"/>
          <w:numId w:val="15"/>
        </w:numPr>
        <w:spacing w:after="0"/>
        <w:ind w:left="426" w:hanging="142"/>
      </w:pPr>
      <w:r>
        <w:t>Definir agregados significativos económicamente (es decir, que su valor es independiente de factores no-económicos); y</w:t>
      </w:r>
    </w:p>
    <w:p w14:paraId="551098CB" w14:textId="77777777" w:rsidR="00D63261" w:rsidRPr="00D63261" w:rsidRDefault="00D63261">
      <w:pPr>
        <w:pStyle w:val="Textonotapie"/>
        <w:numPr>
          <w:ilvl w:val="0"/>
          <w:numId w:val="15"/>
        </w:numPr>
        <w:ind w:left="426" w:hanging="142"/>
      </w:pPr>
      <w:r>
        <w:t>Crear indicadores que sean mensurables en la práctica.</w:t>
      </w:r>
    </w:p>
  </w:footnote>
  <w:footnote w:id="21">
    <w:p w14:paraId="0450A388" w14:textId="77777777" w:rsidR="00EC0A62" w:rsidRDefault="00EC0A62" w:rsidP="00EC0A62">
      <w:pPr>
        <w:pStyle w:val="Textonotapie"/>
      </w:pPr>
      <w:r>
        <w:rPr>
          <w:rStyle w:val="Refdenotaalpie"/>
        </w:rPr>
        <w:footnoteRef/>
      </w:r>
      <w:r>
        <w:t xml:space="preserve"> A su vez, el valor añadido puede desagregarse por sector institucional, y por tipo de actividad o rama de actividad que contribuye al total (p.ej. la agricultura, el sector manufacturero, la construcción, los servicios, etc.)</w:t>
      </w:r>
    </w:p>
  </w:footnote>
  <w:footnote w:id="22">
    <w:p w14:paraId="6B3C65A5" w14:textId="4BB06622" w:rsidR="00024225" w:rsidRDefault="00024225">
      <w:pPr>
        <w:pStyle w:val="Textonotapie"/>
      </w:pPr>
      <w:r>
        <w:rPr>
          <w:rStyle w:val="Refdenotaalpie"/>
        </w:rPr>
        <w:footnoteRef/>
      </w:r>
      <w:r>
        <w:t xml:space="preserve"> El consumo de capital fijo representa el montante de los activos fijos consumidos como consecuente del desgaste y la obsolescencia.</w:t>
      </w:r>
    </w:p>
  </w:footnote>
  <w:footnote w:id="23">
    <w:p w14:paraId="6DF0B6E6" w14:textId="789D7579" w:rsidR="00182344" w:rsidRDefault="00CD6B89" w:rsidP="00182344">
      <w:pPr>
        <w:pStyle w:val="Textonotapie"/>
        <w:keepNext/>
        <w:spacing w:after="0"/>
      </w:pPr>
      <w:r>
        <w:rPr>
          <w:rStyle w:val="Refdenotaalpie"/>
        </w:rPr>
        <w:footnoteRef/>
      </w:r>
      <w:r>
        <w:t xml:space="preserve"> </w:t>
      </w:r>
      <w:r w:rsidR="00182344">
        <w:t xml:space="preserve">No es lo mismo </w:t>
      </w:r>
      <w:r w:rsidR="00182344" w:rsidRPr="00182344">
        <w:rPr>
          <w:i/>
          <w:iCs/>
        </w:rPr>
        <w:t>sueldo</w:t>
      </w:r>
      <w:r w:rsidR="00182344">
        <w:t xml:space="preserve"> que </w:t>
      </w:r>
      <w:r w:rsidR="00182344" w:rsidRPr="00182344">
        <w:rPr>
          <w:i/>
          <w:iCs/>
        </w:rPr>
        <w:t>salario</w:t>
      </w:r>
      <w:r w:rsidR="00182344">
        <w:t>:</w:t>
      </w:r>
    </w:p>
    <w:p w14:paraId="73A95B9A" w14:textId="352B205D" w:rsidR="00CD6B89" w:rsidRDefault="00CD6B89">
      <w:pPr>
        <w:pStyle w:val="Textonotapie"/>
        <w:numPr>
          <w:ilvl w:val="0"/>
          <w:numId w:val="19"/>
        </w:numPr>
        <w:spacing w:after="0"/>
        <w:ind w:left="283" w:hanging="113"/>
      </w:pPr>
      <w:r>
        <w:t xml:space="preserve">El </w:t>
      </w:r>
      <w:r w:rsidRPr="001E0B53">
        <w:rPr>
          <w:i/>
          <w:iCs/>
        </w:rPr>
        <w:t>sueldo</w:t>
      </w:r>
      <w:r>
        <w:t xml:space="preserve"> es la remuneración o paga fija que recibe un trabajador. Esta referida a un mes normalmente. En este sentido, el sueldo no está sujeto a descuentos por días festivos y no variará si </w:t>
      </w:r>
      <w:r w:rsidR="002D2597">
        <w:t xml:space="preserve">en </w:t>
      </w:r>
      <w:r>
        <w:t>un mes hay menos días laborables que en otro.</w:t>
      </w:r>
    </w:p>
    <w:p w14:paraId="432C1E5A" w14:textId="77777777" w:rsidR="00CD6B89" w:rsidRPr="001E0B53" w:rsidRDefault="00CD6B89">
      <w:pPr>
        <w:pStyle w:val="Textonotapie"/>
        <w:numPr>
          <w:ilvl w:val="0"/>
          <w:numId w:val="19"/>
        </w:numPr>
        <w:ind w:left="283" w:hanging="113"/>
      </w:pPr>
      <w:r>
        <w:t xml:space="preserve">El </w:t>
      </w:r>
      <w:r>
        <w:rPr>
          <w:i/>
          <w:iCs/>
        </w:rPr>
        <w:t>salario</w:t>
      </w:r>
      <w:r>
        <w:t xml:space="preserve"> en cambio se calcula en base a días u horas de trabajo.</w:t>
      </w:r>
    </w:p>
  </w:footnote>
  <w:footnote w:id="24">
    <w:p w14:paraId="2E375811" w14:textId="04D8DC72" w:rsidR="00C60B65" w:rsidRDefault="0015484B">
      <w:pPr>
        <w:pStyle w:val="Textonotapie"/>
      </w:pPr>
      <w:r>
        <w:rPr>
          <w:rStyle w:val="Refdenotaalpie"/>
        </w:rPr>
        <w:footnoteRef/>
      </w:r>
      <w:r w:rsidR="00C60B65">
        <w:t xml:space="preserve"> En el caso de las empresas no constituidas en sociedad (autónomos) se denomina Renta Mixta Bruta.</w:t>
      </w:r>
    </w:p>
  </w:footnote>
  <w:footnote w:id="25">
    <w:p w14:paraId="2A007364" w14:textId="0C473730" w:rsidR="009B15E8" w:rsidRDefault="009B15E8">
      <w:pPr>
        <w:pStyle w:val="Textonotapie"/>
      </w:pPr>
      <w:r>
        <w:rPr>
          <w:rStyle w:val="Refdenotaalpie"/>
        </w:rPr>
        <w:footnoteRef/>
      </w:r>
      <w:r>
        <w:t xml:space="preserve"> El Producto Nacional Bruto (PNB) sería el valor de los bienes y servicios finales producidos por los residentes de un país.</w:t>
      </w:r>
    </w:p>
  </w:footnote>
  <w:footnote w:id="26">
    <w:p w14:paraId="35A5F89A" w14:textId="77777777" w:rsidR="00C45C10" w:rsidRPr="001C466E" w:rsidRDefault="00C45C10" w:rsidP="00C45C10">
      <w:pPr>
        <w:pStyle w:val="Textonotapie"/>
      </w:pPr>
      <w:r>
        <w:rPr>
          <w:rStyle w:val="Refdenotaalpie"/>
        </w:rPr>
        <w:footnoteRef/>
      </w:r>
      <w:r>
        <w:t xml:space="preserve"> La </w:t>
      </w:r>
      <w:r>
        <w:rPr>
          <w:i/>
          <w:iCs/>
        </w:rPr>
        <w:t xml:space="preserve">Renta </w:t>
      </w:r>
      <w:r w:rsidRPr="001C466E">
        <w:rPr>
          <w:i/>
          <w:iCs/>
          <w:u w:val="single"/>
        </w:rPr>
        <w:t>Nacional</w:t>
      </w:r>
      <w:r>
        <w:rPr>
          <w:i/>
          <w:iCs/>
        </w:rPr>
        <w:t xml:space="preserve"> Disponible Bruta </w:t>
      </w:r>
      <w:r w:rsidRPr="00FB5EDE">
        <w:rPr>
          <w:i/>
          <w:iCs/>
          <w:u w:val="single"/>
        </w:rPr>
        <w:t>Ajustada</w:t>
      </w:r>
      <w:r>
        <w:t xml:space="preserve"> sería igual a la </w:t>
      </w:r>
      <w:r>
        <w:rPr>
          <w:i/>
          <w:iCs/>
        </w:rPr>
        <w:t xml:space="preserve">Renta </w:t>
      </w:r>
      <w:r w:rsidRPr="00FB5EDE">
        <w:rPr>
          <w:i/>
          <w:iCs/>
          <w:u w:val="single"/>
        </w:rPr>
        <w:t>Nacional</w:t>
      </w:r>
      <w:r>
        <w:rPr>
          <w:i/>
          <w:iCs/>
        </w:rPr>
        <w:t xml:space="preserve"> Disponible Bruta</w:t>
      </w:r>
      <w:r>
        <w:t>, pues esta cuenta es sólo relevante entre sectores, y no a nivel agregado.</w:t>
      </w:r>
    </w:p>
  </w:footnote>
  <w:footnote w:id="27">
    <w:p w14:paraId="29FF8BCA" w14:textId="4BA2892B" w:rsidR="00FB5EDE" w:rsidRDefault="00BC1821">
      <w:pPr>
        <w:pStyle w:val="Textonotapie"/>
      </w:pPr>
      <w:r>
        <w:rPr>
          <w:rStyle w:val="Refdenotaalpie"/>
        </w:rPr>
        <w:footnoteRef/>
      </w:r>
      <w:r>
        <w:t xml:space="preserve"> Concretamente</w:t>
      </w:r>
      <w:r w:rsidR="00FB5EDE">
        <w:t>,</w:t>
      </w:r>
      <w:r>
        <w:t xml:space="preserve"> se considera que los hogares son los propietarios de las reservas de los sistemas privados de pensiones y, por lo tanto, que las variaciones de éstas forman parte de su ahorro.</w:t>
      </w:r>
    </w:p>
    <w:p w14:paraId="1D2ECFB5" w14:textId="614833FE" w:rsidR="00BC1821" w:rsidRPr="00FB5EDE" w:rsidRDefault="00BC1821">
      <w:pPr>
        <w:pStyle w:val="Textonotapie"/>
        <w:rPr>
          <w:spacing w:val="-2"/>
        </w:rPr>
      </w:pPr>
      <w:r w:rsidRPr="00FB5EDE">
        <w:rPr>
          <w:spacing w:val="-2"/>
        </w:rPr>
        <w:t>Por ello, la partida de ajuste figura en la cuenta de utilización de la renta de los hogares sumando en recursos, con lo que el saldo de la cuenta</w:t>
      </w:r>
      <w:r w:rsidR="00FB5EDE" w:rsidRPr="00FB5EDE">
        <w:rPr>
          <w:spacing w:val="-2"/>
        </w:rPr>
        <w:t xml:space="preserve"> (i.e. </w:t>
      </w:r>
      <w:r w:rsidRPr="00FB5EDE">
        <w:rPr>
          <w:spacing w:val="-2"/>
        </w:rPr>
        <w:t>ahorro bruto</w:t>
      </w:r>
      <w:r w:rsidR="00FB5EDE" w:rsidRPr="00FB5EDE">
        <w:rPr>
          <w:spacing w:val="-2"/>
        </w:rPr>
        <w:t>)</w:t>
      </w:r>
      <w:r w:rsidRPr="00FB5EDE">
        <w:rPr>
          <w:spacing w:val="-2"/>
        </w:rPr>
        <w:t xml:space="preserve"> se incrementará en la cuantía de </w:t>
      </w:r>
      <w:proofErr w:type="gramStart"/>
      <w:r w:rsidRPr="00FB5EDE">
        <w:rPr>
          <w:spacing w:val="-2"/>
        </w:rPr>
        <w:t>la misma</w:t>
      </w:r>
      <w:proofErr w:type="gramEnd"/>
      <w:r w:rsidRPr="00FB5EDE">
        <w:rPr>
          <w:spacing w:val="-2"/>
        </w:rPr>
        <w:t>. En las cuentas de utilización de rentas de las instituciones financieras y de las sociedades no financieras figurará en empleos, con lo que el ahorro bruto de las mismas se verá reducido en la cuantía del citado ajuste.</w:t>
      </w:r>
    </w:p>
  </w:footnote>
  <w:footnote w:id="28">
    <w:p w14:paraId="2DF1FA48" w14:textId="6491F15F" w:rsidR="004908F6" w:rsidRDefault="004908F6">
      <w:pPr>
        <w:pStyle w:val="Textonotapie"/>
      </w:pPr>
      <w:r>
        <w:rPr>
          <w:rStyle w:val="Refdenotaalpie"/>
        </w:rPr>
        <w:footnoteRef/>
      </w:r>
      <w:r>
        <w:t xml:space="preserve"> No incluye compras de vivienda (consideradas formación bruta de capital fijo).</w:t>
      </w:r>
    </w:p>
  </w:footnote>
  <w:footnote w:id="29">
    <w:p w14:paraId="3DF14E52" w14:textId="48D32D31" w:rsidR="00EF5B61" w:rsidRDefault="00EF5B61" w:rsidP="0071326D">
      <w:pPr>
        <w:pStyle w:val="Textonotapie"/>
        <w:keepNext/>
        <w:spacing w:after="0"/>
      </w:pPr>
      <w:r>
        <w:rPr>
          <w:rStyle w:val="Refdenotaalpie"/>
        </w:rPr>
        <w:footnoteRef/>
      </w:r>
      <w:r>
        <w:t xml:space="preserve"> Los activos no financieros se dividen en:</w:t>
      </w:r>
    </w:p>
    <w:p w14:paraId="687999EC" w14:textId="50E9E8B4" w:rsidR="00EF5B61" w:rsidRDefault="00EF5B61">
      <w:pPr>
        <w:pStyle w:val="Textonotapie"/>
        <w:numPr>
          <w:ilvl w:val="0"/>
          <w:numId w:val="17"/>
        </w:numPr>
        <w:spacing w:after="0"/>
        <w:ind w:left="426" w:hanging="142"/>
      </w:pPr>
      <w:r>
        <w:rPr>
          <w:i/>
          <w:iCs/>
        </w:rPr>
        <w:t>Producidos</w:t>
      </w:r>
      <w:r>
        <w:t xml:space="preserve">: </w:t>
      </w:r>
      <w:r w:rsidR="0085650E">
        <w:t>A</w:t>
      </w:r>
      <w:r>
        <w:t>ctivos fijos y existencias.</w:t>
      </w:r>
    </w:p>
    <w:p w14:paraId="1C923672" w14:textId="304A6991" w:rsidR="00EF5B61" w:rsidRDefault="00EF5B61">
      <w:pPr>
        <w:pStyle w:val="Textonotapie"/>
        <w:numPr>
          <w:ilvl w:val="0"/>
          <w:numId w:val="17"/>
        </w:numPr>
        <w:spacing w:after="0"/>
        <w:ind w:left="426" w:hanging="142"/>
      </w:pPr>
      <w:r>
        <w:rPr>
          <w:i/>
          <w:iCs/>
        </w:rPr>
        <w:t>No producidos</w:t>
      </w:r>
      <w:r>
        <w:t xml:space="preserve">: </w:t>
      </w:r>
      <w:r w:rsidR="0085650E">
        <w:t>R</w:t>
      </w:r>
      <w:r>
        <w:t>ecursos naturales y fondo de comercio.</w:t>
      </w:r>
    </w:p>
    <w:p w14:paraId="52A82D2E" w14:textId="29F600F2" w:rsidR="00EF5B61" w:rsidRPr="00EF5B61" w:rsidRDefault="00EF5B61" w:rsidP="00EF5B61">
      <w:pPr>
        <w:pStyle w:val="Textonotapie"/>
      </w:pPr>
      <w:r>
        <w:t>El fondo de comercio (</w:t>
      </w:r>
      <w:r w:rsidRPr="00EF5B61">
        <w:rPr>
          <w:i/>
          <w:iCs/>
        </w:rPr>
        <w:t>goodwill</w:t>
      </w:r>
      <w:r>
        <w:t>) corresponde al valor inmaterial derivado de factores como la clientela, la eficiencia, la organización, el crédito, el prestigio, la experiencia…</w:t>
      </w:r>
    </w:p>
  </w:footnote>
  <w:footnote w:id="30">
    <w:p w14:paraId="7E4FEA60" w14:textId="752E6951" w:rsidR="00B54AB7" w:rsidRDefault="00B54AB7">
      <w:pPr>
        <w:pStyle w:val="Textonotapie"/>
      </w:pPr>
      <w:r>
        <w:rPr>
          <w:rStyle w:val="Refdenotaalpie"/>
        </w:rPr>
        <w:footnoteRef/>
      </w:r>
      <w:r>
        <w:t xml:space="preserve"> Por superávit/déficit se entiende la capacidad/necesidad de financiación del sector Administraciones Públicas. El déficit/superávit es la diferencia entre los ingresos y gastos no financieros y se obtiene como saldo de la cuenta de capital de las AAPP.</w:t>
      </w:r>
    </w:p>
    <w:p w14:paraId="652B853D" w14:textId="54658784" w:rsidR="00B54AB7" w:rsidRDefault="00B54AB7">
      <w:pPr>
        <w:pStyle w:val="Textonotapie"/>
      </w:pPr>
      <w:r>
        <w:t xml:space="preserve">En cualquier caso, es importante hacer un </w:t>
      </w:r>
      <w:r>
        <w:rPr>
          <w:i/>
          <w:iCs/>
        </w:rPr>
        <w:t>d</w:t>
      </w:r>
      <w:r w:rsidRPr="00B54AB7">
        <w:rPr>
          <w:i/>
          <w:iCs/>
        </w:rPr>
        <w:t>isclaimer</w:t>
      </w:r>
      <w:r>
        <w:t>: El déficit en términos de contabilidad nacional (necesidad de financiación) no es lo mismo que el déficit de caja. El déficit de caja se obtiene a partir de la Ejecución del Presupuesto, como diferencia de cobros y pagos no financieros realizados durante el período.</w:t>
      </w:r>
    </w:p>
  </w:footnote>
  <w:footnote w:id="31">
    <w:p w14:paraId="1877405C" w14:textId="48AAEB9E" w:rsidR="00B54AB7" w:rsidRDefault="00B54AB7" w:rsidP="0085650E">
      <w:pPr>
        <w:pStyle w:val="Textonotapie"/>
        <w:keepNext/>
        <w:spacing w:after="0"/>
      </w:pPr>
      <w:r>
        <w:rPr>
          <w:rStyle w:val="Refdenotaalpie"/>
        </w:rPr>
        <w:footnoteRef/>
      </w:r>
      <w:r>
        <w:t xml:space="preserve"> Existe una controversia semántica entre el SEC</w:t>
      </w:r>
      <w:r w:rsidR="00FA6AEF">
        <w:t> </w:t>
      </w:r>
      <w:r>
        <w:t>2010 y el SCN-2008:</w:t>
      </w:r>
    </w:p>
    <w:p w14:paraId="31ECB542" w14:textId="26A03F3B" w:rsidR="00B54AB7" w:rsidRDefault="00B54AB7">
      <w:pPr>
        <w:pStyle w:val="Textonotapie"/>
        <w:numPr>
          <w:ilvl w:val="0"/>
          <w:numId w:val="18"/>
        </w:numPr>
        <w:spacing w:after="0"/>
        <w:ind w:left="283" w:hanging="113"/>
      </w:pPr>
      <w:r>
        <w:t xml:space="preserve">Según el </w:t>
      </w:r>
      <w:r>
        <w:rPr>
          <w:i/>
          <w:iCs/>
        </w:rPr>
        <w:t>SEC</w:t>
      </w:r>
      <w:r w:rsidR="00FA6AEF">
        <w:rPr>
          <w:i/>
          <w:iCs/>
        </w:rPr>
        <w:t> </w:t>
      </w:r>
      <w:r>
        <w:rPr>
          <w:i/>
          <w:iCs/>
        </w:rPr>
        <w:t>2010</w:t>
      </w:r>
      <w:r>
        <w:t xml:space="preserve"> esta cuenta refleja una identidad contable que registra como la capacidad necesidad de financiación se traslada a la variación de activos y pasivos financieros, de modo que </w:t>
      </w:r>
      <w:r>
        <w:rPr>
          <w:b/>
          <w:bCs/>
        </w:rPr>
        <w:t>no existe saldo contable</w:t>
      </w:r>
      <w:r>
        <w:t>.</w:t>
      </w:r>
    </w:p>
    <w:p w14:paraId="60F2626B" w14:textId="77777777" w:rsidR="00B54AB7" w:rsidRDefault="00B54AB7">
      <w:pPr>
        <w:pStyle w:val="Textonotapie"/>
        <w:numPr>
          <w:ilvl w:val="0"/>
          <w:numId w:val="18"/>
        </w:numPr>
        <w:ind w:left="283" w:hanging="113"/>
      </w:pPr>
      <w:r>
        <w:t xml:space="preserve">Según el </w:t>
      </w:r>
      <w:r>
        <w:rPr>
          <w:i/>
          <w:iCs/>
        </w:rPr>
        <w:t>SCN-2008</w:t>
      </w:r>
      <w:r>
        <w:t xml:space="preserve"> esta cuenta registra la variación de activos y pasivos financieros, por lo que </w:t>
      </w:r>
      <w:r w:rsidRPr="00B14E40">
        <w:rPr>
          <w:b/>
          <w:bCs/>
        </w:rPr>
        <w:t>el saldo conta</w:t>
      </w:r>
      <w:r>
        <w:rPr>
          <w:b/>
          <w:bCs/>
        </w:rPr>
        <w:t>ble será de nuevo la capacidad o necesidad de financiación</w:t>
      </w:r>
      <w:r w:rsidRPr="00B14E40">
        <w:t>.</w:t>
      </w:r>
    </w:p>
  </w:footnote>
  <w:footnote w:id="32">
    <w:p w14:paraId="78BA0764" w14:textId="53DE84B3" w:rsidR="00030ECD" w:rsidRDefault="00030ECD">
      <w:pPr>
        <w:pStyle w:val="Textonotapie"/>
      </w:pPr>
      <w:r>
        <w:rPr>
          <w:rStyle w:val="Refdenotaalpie"/>
        </w:rPr>
        <w:footnoteRef/>
      </w:r>
      <w:r>
        <w:t xml:space="preserve"> </w:t>
      </w:r>
      <w:r w:rsidRPr="00030ECD">
        <w:t>En la práctica, lograr esta identidad es una de las tareas más difíciles de lograr en la elaboración de la contabilidad nacional.</w:t>
      </w:r>
    </w:p>
  </w:footnote>
  <w:footnote w:id="33">
    <w:p w14:paraId="4BEF596E" w14:textId="31C26CF9" w:rsidR="00D278BB" w:rsidRPr="00D278BB" w:rsidRDefault="00D278BB">
      <w:pPr>
        <w:pStyle w:val="Textonotapie"/>
        <w:rPr>
          <w:lang w:val="en-US"/>
        </w:rPr>
      </w:pPr>
      <w:r>
        <w:rPr>
          <w:rStyle w:val="Refdenotaalpie"/>
        </w:rPr>
        <w:footnoteRef/>
      </w:r>
      <w:r w:rsidRPr="00D278BB">
        <w:rPr>
          <w:lang w:val="en-US"/>
        </w:rPr>
        <w:t xml:space="preserve"> </w:t>
      </w:r>
      <w:r w:rsidR="00000000">
        <w:fldChar w:fldCharType="begin"/>
      </w:r>
      <w:r w:rsidR="00000000" w:rsidRPr="0020537A">
        <w:rPr>
          <w:lang w:val="en-US"/>
        </w:rPr>
        <w:instrText>HYPERLINK "https://youtu.be/G632a6M2hC0"</w:instrText>
      </w:r>
      <w:r w:rsidR="00000000">
        <w:fldChar w:fldCharType="separate"/>
      </w:r>
      <w:r w:rsidRPr="00D278BB">
        <w:rPr>
          <w:rStyle w:val="Hipervnculo"/>
          <w:lang w:val="en-US"/>
        </w:rPr>
        <w:t>https://youtu.be/G632a6M2hC0</w:t>
      </w:r>
      <w:r w:rsidR="00000000">
        <w:rPr>
          <w:rStyle w:val="Hipervnculo"/>
          <w:lang w:val="en-US"/>
        </w:rPr>
        <w:fldChar w:fldCharType="end"/>
      </w:r>
      <w:r>
        <w:rPr>
          <w:lang w:val="en-US"/>
        </w:rPr>
        <w:t xml:space="preserve">: </w:t>
      </w:r>
      <w:r w:rsidRPr="00D278BB">
        <w:rPr>
          <w:i/>
          <w:iCs/>
          <w:lang w:val="en-US"/>
        </w:rPr>
        <w:t xml:space="preserve">Is </w:t>
      </w:r>
      <w:r>
        <w:rPr>
          <w:i/>
          <w:iCs/>
          <w:lang w:val="en-US"/>
        </w:rPr>
        <w:t>China lying</w:t>
      </w:r>
      <w:r w:rsidRPr="00D278BB">
        <w:rPr>
          <w:i/>
          <w:iCs/>
          <w:lang w:val="en-US"/>
        </w:rPr>
        <w:t xml:space="preserve"> about its GDP growth?</w:t>
      </w:r>
      <w:r w:rsidRPr="00D278BB">
        <w:rPr>
          <w:lang w:val="en-US"/>
        </w:rPr>
        <w:t xml:space="preserve"> - VisualPolitik 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80BBD" w:rsidRPr="00C44422" w14:paraId="531F72C2" w14:textId="77777777" w:rsidTr="000C239E">
      <w:trPr>
        <w:trHeight w:val="136"/>
        <w:jc w:val="center"/>
      </w:trPr>
      <w:bookmarkStart w:id="146" w:name="_Hlk72149218" w:displacedByCustomXml="next"/>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38C807E" w14:textId="27F46E38" w:rsidR="00C80BBD" w:rsidRPr="00C44422" w:rsidRDefault="00A85073" w:rsidP="00B12D00">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3.A.30</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402A26A2" w14:textId="6D2E0E38" w:rsidR="00C80BBD" w:rsidRPr="00C44422" w:rsidRDefault="00A85073" w:rsidP="00B12D00">
              <w:pPr>
                <w:pStyle w:val="Encabezado"/>
                <w:spacing w:after="0"/>
                <w:ind w:right="-110"/>
                <w:contextualSpacing/>
                <w:jc w:val="center"/>
                <w:rPr>
                  <w:i/>
                  <w:iCs/>
                  <w:color w:val="5F2987"/>
                  <w:sz w:val="18"/>
                  <w:szCs w:val="18"/>
                </w:rPr>
              </w:pPr>
              <w:r>
                <w:rPr>
                  <w:i/>
                  <w:iCs/>
                  <w:color w:val="5F2987"/>
                  <w:sz w:val="18"/>
                  <w:szCs w:val="18"/>
                </w:rPr>
                <w:t>Magnitudes macroeconómicas y contabilidad nacional.</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C18EBEB" w14:textId="77777777" w:rsidR="00C80BBD" w:rsidRPr="00C44422" w:rsidRDefault="00C80BBD" w:rsidP="00B12D00">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146"/>
  </w:tbl>
  <w:p w14:paraId="25FFF64B" w14:textId="77777777" w:rsidR="00155802" w:rsidRPr="00C80BBD" w:rsidRDefault="00155802" w:rsidP="00B12D00">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80BBD" w:rsidRPr="00C44422" w14:paraId="224D6A4B" w14:textId="77777777" w:rsidTr="000C239E">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C522982" w14:textId="7DB5910A" w:rsidR="00C80BBD" w:rsidRPr="00C44422" w:rsidRDefault="00A85073" w:rsidP="00B12D00">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3.A.30</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470F2A41" w14:textId="195443C9" w:rsidR="00C80BBD" w:rsidRPr="00C44422" w:rsidRDefault="00A85073" w:rsidP="00B12D00">
              <w:pPr>
                <w:pStyle w:val="Encabezado"/>
                <w:spacing w:after="0"/>
                <w:ind w:right="-110"/>
                <w:contextualSpacing/>
                <w:jc w:val="center"/>
                <w:rPr>
                  <w:i/>
                  <w:iCs/>
                  <w:color w:val="5F2987"/>
                  <w:sz w:val="18"/>
                  <w:szCs w:val="18"/>
                </w:rPr>
              </w:pPr>
              <w:r>
                <w:rPr>
                  <w:i/>
                  <w:iCs/>
                  <w:color w:val="5F2987"/>
                  <w:sz w:val="18"/>
                  <w:szCs w:val="18"/>
                </w:rPr>
                <w:t>Magnitudes macroeconómicas y contabilidad nacional.</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BD4EB23" w14:textId="77777777" w:rsidR="00C80BBD" w:rsidRPr="00C44422" w:rsidRDefault="00C80BBD" w:rsidP="00B12D00">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384A52C7" w14:textId="77777777" w:rsidR="00724CFE" w:rsidRPr="00300044" w:rsidRDefault="00724CFE" w:rsidP="00B12D00">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382937" w:rsidRPr="00BE1B62" w14:paraId="716D5D20" w14:textId="77777777" w:rsidTr="00B33A73">
      <w:tc>
        <w:tcPr>
          <w:tcW w:w="3261" w:type="dxa"/>
          <w:tcBorders>
            <w:bottom w:val="thickThinSmallGap" w:sz="12" w:space="0" w:color="5F2987"/>
          </w:tcBorders>
        </w:tcPr>
        <w:p w14:paraId="0484405F" w14:textId="0DFE5C25" w:rsidR="00382937" w:rsidRPr="00BE1B62" w:rsidRDefault="00382937" w:rsidP="00B12D00">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sidR="002756CB">
            <w:rPr>
              <w:i/>
              <w:iCs/>
              <w:color w:val="5F2987"/>
              <w:spacing w:val="-6"/>
              <w:sz w:val="18"/>
              <w:szCs w:val="18"/>
            </w:rPr>
            <w:t xml:space="preserve"> </w:t>
          </w:r>
          <w:r w:rsidR="00EF3CA2">
            <w:rPr>
              <w:i/>
              <w:iCs/>
              <w:color w:val="5F2987"/>
              <w:spacing w:val="-6"/>
              <w:sz w:val="18"/>
              <w:szCs w:val="18"/>
            </w:rPr>
            <w:fldChar w:fldCharType="begin"/>
          </w:r>
          <w:r w:rsidR="00EF3CA2">
            <w:rPr>
              <w:i/>
              <w:iCs/>
              <w:color w:val="5F2987"/>
              <w:spacing w:val="-6"/>
              <w:sz w:val="18"/>
              <w:szCs w:val="18"/>
            </w:rPr>
            <w:instrText xml:space="preserve"> SAVEDATE  \@ "dd/MM/yyyy"  \* MERGEFORMAT </w:instrText>
          </w:r>
          <w:r w:rsidR="00EF3CA2">
            <w:rPr>
              <w:i/>
              <w:iCs/>
              <w:color w:val="5F2987"/>
              <w:spacing w:val="-6"/>
              <w:sz w:val="18"/>
              <w:szCs w:val="18"/>
            </w:rPr>
            <w:fldChar w:fldCharType="separate"/>
          </w:r>
          <w:r w:rsidR="001A65F8">
            <w:rPr>
              <w:i/>
              <w:iCs/>
              <w:noProof/>
              <w:color w:val="5F2987"/>
              <w:spacing w:val="-6"/>
              <w:sz w:val="18"/>
              <w:szCs w:val="18"/>
            </w:rPr>
            <w:t>10/08/2024</w:t>
          </w:r>
          <w:r w:rsidR="00EF3CA2">
            <w:rPr>
              <w:i/>
              <w:iCs/>
              <w:color w:val="5F2987"/>
              <w:spacing w:val="-6"/>
              <w:sz w:val="18"/>
              <w:szCs w:val="18"/>
            </w:rPr>
            <w:fldChar w:fldCharType="end"/>
          </w:r>
        </w:p>
      </w:tc>
      <w:tc>
        <w:tcPr>
          <w:tcW w:w="4819" w:type="dxa"/>
          <w:tcBorders>
            <w:bottom w:val="thickThinSmallGap" w:sz="12" w:space="0" w:color="5F2987"/>
          </w:tcBorders>
        </w:tcPr>
        <w:p w14:paraId="60A62D83" w14:textId="77777777" w:rsidR="00382937" w:rsidRPr="00BE1B62" w:rsidRDefault="00382937" w:rsidP="00B12D00">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B13E0884CC4E4DD8A8A251ED45F37A80"/>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622CF2D9" w14:textId="02297F0C" w:rsidR="00382937" w:rsidRPr="00BE1B62" w:rsidRDefault="00A85073" w:rsidP="00B12D00">
              <w:pPr>
                <w:pStyle w:val="Encabezado"/>
                <w:spacing w:after="0"/>
                <w:jc w:val="right"/>
                <w:rPr>
                  <w:i/>
                  <w:iCs/>
                  <w:color w:val="5F2987"/>
                  <w:spacing w:val="-6"/>
                  <w:sz w:val="18"/>
                  <w:szCs w:val="18"/>
                </w:rPr>
              </w:pPr>
              <w:r>
                <w:rPr>
                  <w:i/>
                  <w:iCs/>
                  <w:color w:val="5F2987"/>
                  <w:spacing w:val="-6"/>
                  <w:sz w:val="20"/>
                  <w:szCs w:val="20"/>
                </w:rPr>
                <w:t>3.A.30</w:t>
              </w:r>
            </w:p>
          </w:tc>
        </w:sdtContent>
      </w:sdt>
    </w:tr>
  </w:tbl>
  <w:p w14:paraId="475C1F34" w14:textId="77777777" w:rsidR="00300044" w:rsidRPr="00C80BBD" w:rsidRDefault="00300044" w:rsidP="00B12D00">
    <w:pPr>
      <w:pStyle w:val="Encabezado"/>
      <w:spacing w:after="0" w:line="240" w:lineRule="auto"/>
      <w:rPr>
        <w:i/>
        <w:iCs/>
        <w:color w:val="5F2987"/>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6301"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3969"/>
      <w:gridCol w:w="9781"/>
      <w:gridCol w:w="2551"/>
    </w:tblGrid>
    <w:tr w:rsidR="00B24AC1" w:rsidRPr="00C44422" w14:paraId="0956B03C" w14:textId="77777777" w:rsidTr="00B24AC1">
      <w:trPr>
        <w:trHeight w:val="136"/>
        <w:jc w:val="center"/>
      </w:trPr>
      <w:sdt>
        <w:sdtPr>
          <w:rPr>
            <w:b/>
            <w:bCs/>
            <w:i/>
            <w:iCs/>
            <w:caps/>
            <w:color w:val="5F2987"/>
            <w:sz w:val="18"/>
            <w:szCs w:val="18"/>
          </w:rPr>
          <w:alias w:val="Title"/>
          <w:tag w:val=""/>
          <w:id w:val="-1304235855"/>
          <w:dataBinding w:prefixMappings="xmlns:ns0='http://purl.org/dc/elements/1.1/' xmlns:ns1='http://schemas.openxmlformats.org/package/2006/metadata/core-properties' " w:xpath="/ns1:coreProperties[1]/ns0:title[1]" w:storeItemID="{6C3C8BC8-F283-45AE-878A-BAB7291924A1}"/>
          <w:text/>
        </w:sdtPr>
        <w:sdtContent>
          <w:tc>
            <w:tcPr>
              <w:tcW w:w="3969" w:type="dxa"/>
              <w:vAlign w:val="center"/>
            </w:tcPr>
            <w:p w14:paraId="0128CFCD" w14:textId="2ED34433" w:rsidR="00B24AC1" w:rsidRPr="00C44422" w:rsidRDefault="00A85073" w:rsidP="00903B04">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3.A.30</w:t>
              </w:r>
            </w:p>
          </w:tc>
        </w:sdtContent>
      </w:sdt>
      <w:tc>
        <w:tcPr>
          <w:tcW w:w="9781" w:type="dxa"/>
          <w:vAlign w:val="center"/>
        </w:tcPr>
        <w:sdt>
          <w:sdtPr>
            <w:rPr>
              <w:i/>
              <w:iCs/>
              <w:color w:val="5F2987"/>
              <w:sz w:val="18"/>
              <w:szCs w:val="18"/>
            </w:rPr>
            <w:alias w:val="Subject"/>
            <w:tag w:val=""/>
            <w:id w:val="427926516"/>
            <w:dataBinding w:prefixMappings="xmlns:ns0='http://purl.org/dc/elements/1.1/' xmlns:ns1='http://schemas.openxmlformats.org/package/2006/metadata/core-properties' " w:xpath="/ns1:coreProperties[1]/ns0:subject[1]" w:storeItemID="{6C3C8BC8-F283-45AE-878A-BAB7291924A1}"/>
            <w:text/>
          </w:sdtPr>
          <w:sdtContent>
            <w:p w14:paraId="15B8A1A6" w14:textId="0ED7F7EF" w:rsidR="00B24AC1" w:rsidRPr="00C44422" w:rsidRDefault="00A85073" w:rsidP="00903B04">
              <w:pPr>
                <w:pStyle w:val="Encabezado"/>
                <w:spacing w:after="0"/>
                <w:ind w:right="-110"/>
                <w:contextualSpacing/>
                <w:jc w:val="center"/>
                <w:rPr>
                  <w:i/>
                  <w:iCs/>
                  <w:color w:val="5F2987"/>
                  <w:sz w:val="18"/>
                  <w:szCs w:val="18"/>
                </w:rPr>
              </w:pPr>
              <w:r>
                <w:rPr>
                  <w:i/>
                  <w:iCs/>
                  <w:color w:val="5F2987"/>
                  <w:sz w:val="18"/>
                  <w:szCs w:val="18"/>
                </w:rPr>
                <w:t>Magnitudes macroeconómicas y contabilidad nacional.</w:t>
              </w:r>
            </w:p>
          </w:sdtContent>
        </w:sdt>
      </w:tc>
      <w:sdt>
        <w:sdtPr>
          <w:rPr>
            <w:b/>
            <w:bCs/>
            <w:i/>
            <w:iCs/>
            <w:color w:val="5F2987"/>
            <w:spacing w:val="-6"/>
            <w:sz w:val="18"/>
            <w:szCs w:val="18"/>
          </w:rPr>
          <w:alias w:val="Author"/>
          <w:tag w:val=""/>
          <w:id w:val="898090073"/>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671E1D4B" w14:textId="77777777" w:rsidR="00B24AC1" w:rsidRPr="00C44422" w:rsidRDefault="00B24AC1" w:rsidP="00903B04">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4201C64F" w14:textId="77777777" w:rsidR="00B24AC1" w:rsidRPr="00C80BBD" w:rsidRDefault="00B24AC1" w:rsidP="00903B04">
    <w:pPr>
      <w:pStyle w:val="Encabezado"/>
      <w:spacing w:after="0" w:line="240" w:lineRule="auto"/>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042C83"/>
    <w:multiLevelType w:val="hybridMultilevel"/>
    <w:tmpl w:val="747051AA"/>
    <w:lvl w:ilvl="0" w:tplc="43C8DD3C">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A336EBF"/>
    <w:multiLevelType w:val="hybridMultilevel"/>
    <w:tmpl w:val="ADDEB786"/>
    <w:lvl w:ilvl="0" w:tplc="0D68C970">
      <w:start w:val="1"/>
      <w:numFmt w:val="lowerLetter"/>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4" w15:restartNumberingAfterBreak="0">
    <w:nsid w:val="0B3352EE"/>
    <w:multiLevelType w:val="hybridMultilevel"/>
    <w:tmpl w:val="747051AA"/>
    <w:lvl w:ilvl="0" w:tplc="FFFFFFFF">
      <w:start w:val="1"/>
      <w:numFmt w:val="lowerLetter"/>
      <w:lvlText w:val="%1."/>
      <w:lvlJc w:val="lef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69742B7"/>
    <w:multiLevelType w:val="multilevel"/>
    <w:tmpl w:val="63401EC6"/>
    <w:lvl w:ilvl="0">
      <w:start w:val="1"/>
      <w:numFmt w:val="lowerLetter"/>
      <w:lvlText w:val="%1."/>
      <w:lvlJc w:val="left"/>
      <w:pPr>
        <w:ind w:left="720" w:hanging="360"/>
      </w:pPr>
      <w:rPr>
        <w:rFonts w:hint="default"/>
        <w:i/>
        <w:iCs/>
        <w:u w:val="none"/>
      </w:rPr>
    </w:lvl>
    <w:lvl w:ilvl="1">
      <w:start w:val="1"/>
      <w:numFmt w:val="decimal"/>
      <w:lvlText w:val="b.%2."/>
      <w:lvlJc w:val="left"/>
      <w:pPr>
        <w:ind w:left="1440" w:hanging="360"/>
      </w:pPr>
      <w:rPr>
        <w:rFonts w:hint="default"/>
        <w:i/>
        <w:iC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9225D44"/>
    <w:multiLevelType w:val="hybridMultilevel"/>
    <w:tmpl w:val="8A5ED08C"/>
    <w:lvl w:ilvl="0" w:tplc="2044366E">
      <w:start w:val="1"/>
      <w:numFmt w:val="lowerLetter"/>
      <w:lvlText w:val="%1."/>
      <w:lvlJc w:val="left"/>
      <w:pPr>
        <w:ind w:left="720" w:hanging="360"/>
      </w:pPr>
      <w:rPr>
        <w:rFonts w:hint="default"/>
        <w:b/>
        <w:bCs w:val="0"/>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1" w15:restartNumberingAfterBreak="0">
    <w:nsid w:val="2ABE6C9E"/>
    <w:multiLevelType w:val="hybridMultilevel"/>
    <w:tmpl w:val="92C662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0435B32"/>
    <w:multiLevelType w:val="hybridMultilevel"/>
    <w:tmpl w:val="325AF1A8"/>
    <w:lvl w:ilvl="0" w:tplc="55448F2C">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0FB7C1A"/>
    <w:multiLevelType w:val="multilevel"/>
    <w:tmpl w:val="0809001D"/>
    <w:numStyleLink w:val="Lista1"/>
  </w:abstractNum>
  <w:abstractNum w:abstractNumId="26" w15:restartNumberingAfterBreak="0">
    <w:nsid w:val="539B1CFD"/>
    <w:multiLevelType w:val="hybridMultilevel"/>
    <w:tmpl w:val="B44EB5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8DB15BB"/>
    <w:multiLevelType w:val="hybridMultilevel"/>
    <w:tmpl w:val="996AF97E"/>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9932EA4"/>
    <w:multiLevelType w:val="hybridMultilevel"/>
    <w:tmpl w:val="126611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3"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18255C6"/>
    <w:multiLevelType w:val="hybridMultilevel"/>
    <w:tmpl w:val="32347A9C"/>
    <w:lvl w:ilvl="0" w:tplc="54863418">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71F22D5"/>
    <w:multiLevelType w:val="hybridMultilevel"/>
    <w:tmpl w:val="53F8D8FC"/>
    <w:lvl w:ilvl="0" w:tplc="B460434E">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8"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40" w15:restartNumberingAfterBreak="0">
    <w:nsid w:val="7B011AAF"/>
    <w:multiLevelType w:val="hybridMultilevel"/>
    <w:tmpl w:val="40FA47EE"/>
    <w:lvl w:ilvl="0" w:tplc="FFFFFFFF">
      <w:start w:val="1"/>
      <w:numFmt w:val="lowerLetter"/>
      <w:lvlText w:val="%1."/>
      <w:lvlJc w:val="left"/>
      <w:pPr>
        <w:ind w:left="720" w:hanging="360"/>
      </w:pPr>
      <w:rPr>
        <w:rFonts w:hint="default"/>
        <w:i/>
        <w:i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69487072">
    <w:abstractNumId w:val="13"/>
  </w:num>
  <w:num w:numId="2" w16cid:durableId="700783720">
    <w:abstractNumId w:val="38"/>
  </w:num>
  <w:num w:numId="3" w16cid:durableId="1728142875">
    <w:abstractNumId w:val="19"/>
  </w:num>
  <w:num w:numId="4" w16cid:durableId="544677338">
    <w:abstractNumId w:val="32"/>
  </w:num>
  <w:num w:numId="5" w16cid:durableId="1285773159">
    <w:abstractNumId w:val="20"/>
  </w:num>
  <w:num w:numId="6" w16cid:durableId="517235740">
    <w:abstractNumId w:val="23"/>
  </w:num>
  <w:num w:numId="7" w16cid:durableId="171993594">
    <w:abstractNumId w:val="32"/>
    <w:lvlOverride w:ilvl="0">
      <w:startOverride w:val="1"/>
    </w:lvlOverride>
  </w:num>
  <w:num w:numId="8" w16cid:durableId="1626080706">
    <w:abstractNumId w:val="10"/>
  </w:num>
  <w:num w:numId="9" w16cid:durableId="303704702">
    <w:abstractNumId w:val="17"/>
  </w:num>
  <w:num w:numId="10" w16cid:durableId="454107121">
    <w:abstractNumId w:val="32"/>
    <w:lvlOverride w:ilvl="0">
      <w:startOverride w:val="1"/>
    </w:lvlOverride>
  </w:num>
  <w:num w:numId="11" w16cid:durableId="200824068">
    <w:abstractNumId w:val="24"/>
  </w:num>
  <w:num w:numId="12" w16cid:durableId="1957758019">
    <w:abstractNumId w:val="36"/>
  </w:num>
  <w:num w:numId="13" w16cid:durableId="2090715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9353344">
    <w:abstractNumId w:val="16"/>
  </w:num>
  <w:num w:numId="15" w16cid:durableId="1770734591">
    <w:abstractNumId w:val="28"/>
  </w:num>
  <w:num w:numId="16" w16cid:durableId="1293512188">
    <w:abstractNumId w:val="15"/>
  </w:num>
  <w:num w:numId="17" w16cid:durableId="316763367">
    <w:abstractNumId w:val="21"/>
  </w:num>
  <w:num w:numId="18" w16cid:durableId="785006744">
    <w:abstractNumId w:val="26"/>
  </w:num>
  <w:num w:numId="19" w16cid:durableId="1181580438">
    <w:abstractNumId w:val="29"/>
  </w:num>
  <w:num w:numId="20" w16cid:durableId="750928122">
    <w:abstractNumId w:val="14"/>
  </w:num>
  <w:num w:numId="21" w16cid:durableId="1631550105">
    <w:abstractNumId w:val="40"/>
  </w:num>
  <w:num w:numId="22" w16cid:durableId="1346054592">
    <w:abstractNumId w:val="34"/>
  </w:num>
  <w:num w:numId="23" w16cid:durableId="1265000087">
    <w:abstractNumId w:val="12"/>
  </w:num>
  <w:num w:numId="24" w16cid:durableId="179856474">
    <w:abstractNumId w:val="31"/>
  </w:num>
  <w:num w:numId="25" w16cid:durableId="181676059">
    <w:abstractNumId w:val="33"/>
  </w:num>
  <w:num w:numId="26" w16cid:durableId="1281767471">
    <w:abstractNumId w:val="35"/>
  </w:num>
  <w:num w:numId="27" w16cid:durableId="259066400">
    <w:abstractNumId w:val="39"/>
  </w:num>
  <w:num w:numId="28" w16cid:durableId="373384582">
    <w:abstractNumId w:val="18"/>
  </w:num>
  <w:num w:numId="29" w16cid:durableId="829365101">
    <w:abstractNumId w:val="30"/>
  </w:num>
  <w:num w:numId="30" w16cid:durableId="25372873">
    <w:abstractNumId w:val="25"/>
  </w:num>
  <w:num w:numId="31" w16cid:durableId="159583792">
    <w:abstractNumId w:val="9"/>
  </w:num>
  <w:num w:numId="32" w16cid:durableId="1412461012">
    <w:abstractNumId w:val="7"/>
  </w:num>
  <w:num w:numId="33" w16cid:durableId="1049498149">
    <w:abstractNumId w:val="6"/>
  </w:num>
  <w:num w:numId="34" w16cid:durableId="480776684">
    <w:abstractNumId w:val="5"/>
  </w:num>
  <w:num w:numId="35" w16cid:durableId="1221096349">
    <w:abstractNumId w:val="4"/>
  </w:num>
  <w:num w:numId="36" w16cid:durableId="1127814330">
    <w:abstractNumId w:val="8"/>
  </w:num>
  <w:num w:numId="37" w16cid:durableId="953441926">
    <w:abstractNumId w:val="3"/>
  </w:num>
  <w:num w:numId="38" w16cid:durableId="1642999023">
    <w:abstractNumId w:val="2"/>
  </w:num>
  <w:num w:numId="39" w16cid:durableId="327173804">
    <w:abstractNumId w:val="1"/>
  </w:num>
  <w:num w:numId="40" w16cid:durableId="434401366">
    <w:abstractNumId w:val="0"/>
  </w:num>
  <w:num w:numId="41" w16cid:durableId="1051079801">
    <w:abstractNumId w:val="37"/>
  </w:num>
  <w:num w:numId="42" w16cid:durableId="623118318">
    <w:abstractNumId w:val="22"/>
  </w:num>
  <w:num w:numId="43" w16cid:durableId="7665390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79938890">
    <w:abstractNumId w:val="27"/>
  </w:num>
  <w:num w:numId="45" w16cid:durableId="494882035">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789"/>
    <w:rsid w:val="000002B3"/>
    <w:rsid w:val="00000DDB"/>
    <w:rsid w:val="00016BEA"/>
    <w:rsid w:val="00020AEE"/>
    <w:rsid w:val="000218E1"/>
    <w:rsid w:val="00024225"/>
    <w:rsid w:val="0002549F"/>
    <w:rsid w:val="000259BD"/>
    <w:rsid w:val="00030271"/>
    <w:rsid w:val="00030ECD"/>
    <w:rsid w:val="00031D43"/>
    <w:rsid w:val="00032BD7"/>
    <w:rsid w:val="0003739C"/>
    <w:rsid w:val="00046DA2"/>
    <w:rsid w:val="00055036"/>
    <w:rsid w:val="0005568C"/>
    <w:rsid w:val="0006536D"/>
    <w:rsid w:val="000713CB"/>
    <w:rsid w:val="00071AC4"/>
    <w:rsid w:val="0007235B"/>
    <w:rsid w:val="000809BC"/>
    <w:rsid w:val="00090516"/>
    <w:rsid w:val="000922F5"/>
    <w:rsid w:val="0009785C"/>
    <w:rsid w:val="000A035B"/>
    <w:rsid w:val="000A3137"/>
    <w:rsid w:val="000A4004"/>
    <w:rsid w:val="000A7CCC"/>
    <w:rsid w:val="000B1145"/>
    <w:rsid w:val="000B3A21"/>
    <w:rsid w:val="000B5B55"/>
    <w:rsid w:val="000B747D"/>
    <w:rsid w:val="000C0979"/>
    <w:rsid w:val="000C239E"/>
    <w:rsid w:val="000C30A1"/>
    <w:rsid w:val="000D0EB7"/>
    <w:rsid w:val="000D397E"/>
    <w:rsid w:val="000E2E47"/>
    <w:rsid w:val="000E3517"/>
    <w:rsid w:val="000E3A35"/>
    <w:rsid w:val="000E6C58"/>
    <w:rsid w:val="000F227E"/>
    <w:rsid w:val="000F23CF"/>
    <w:rsid w:val="000F3768"/>
    <w:rsid w:val="000F377E"/>
    <w:rsid w:val="000F38AD"/>
    <w:rsid w:val="000F5CB6"/>
    <w:rsid w:val="00102129"/>
    <w:rsid w:val="00102DBE"/>
    <w:rsid w:val="001030E6"/>
    <w:rsid w:val="001031FF"/>
    <w:rsid w:val="00117F65"/>
    <w:rsid w:val="00117F6B"/>
    <w:rsid w:val="001251F3"/>
    <w:rsid w:val="00131126"/>
    <w:rsid w:val="00135239"/>
    <w:rsid w:val="00145C8A"/>
    <w:rsid w:val="0015013E"/>
    <w:rsid w:val="00150D6A"/>
    <w:rsid w:val="001510A9"/>
    <w:rsid w:val="0015218F"/>
    <w:rsid w:val="001539DE"/>
    <w:rsid w:val="0015484B"/>
    <w:rsid w:val="00155802"/>
    <w:rsid w:val="00155905"/>
    <w:rsid w:val="00160C77"/>
    <w:rsid w:val="001633C2"/>
    <w:rsid w:val="00164226"/>
    <w:rsid w:val="0018192F"/>
    <w:rsid w:val="00182344"/>
    <w:rsid w:val="00183045"/>
    <w:rsid w:val="001869B6"/>
    <w:rsid w:val="00195451"/>
    <w:rsid w:val="001957CC"/>
    <w:rsid w:val="00196694"/>
    <w:rsid w:val="0019777B"/>
    <w:rsid w:val="001A1239"/>
    <w:rsid w:val="001A3A87"/>
    <w:rsid w:val="001A65F8"/>
    <w:rsid w:val="001B0402"/>
    <w:rsid w:val="001B2491"/>
    <w:rsid w:val="001B306B"/>
    <w:rsid w:val="001C04D2"/>
    <w:rsid w:val="001C3D28"/>
    <w:rsid w:val="001C466E"/>
    <w:rsid w:val="001C519D"/>
    <w:rsid w:val="001D0D41"/>
    <w:rsid w:val="001D4AB0"/>
    <w:rsid w:val="001D52DB"/>
    <w:rsid w:val="001E0B53"/>
    <w:rsid w:val="001E639B"/>
    <w:rsid w:val="001E7F94"/>
    <w:rsid w:val="001F21D6"/>
    <w:rsid w:val="001F2616"/>
    <w:rsid w:val="001F35F3"/>
    <w:rsid w:val="001F4343"/>
    <w:rsid w:val="001F6842"/>
    <w:rsid w:val="00202AA2"/>
    <w:rsid w:val="00204665"/>
    <w:rsid w:val="0020537A"/>
    <w:rsid w:val="0021107D"/>
    <w:rsid w:val="0021774E"/>
    <w:rsid w:val="002200E8"/>
    <w:rsid w:val="002244C1"/>
    <w:rsid w:val="0022499B"/>
    <w:rsid w:val="00234002"/>
    <w:rsid w:val="00234050"/>
    <w:rsid w:val="002373D5"/>
    <w:rsid w:val="0024104B"/>
    <w:rsid w:val="00241BDB"/>
    <w:rsid w:val="00242488"/>
    <w:rsid w:val="00242F6C"/>
    <w:rsid w:val="00243316"/>
    <w:rsid w:val="00246176"/>
    <w:rsid w:val="00252F87"/>
    <w:rsid w:val="002538B9"/>
    <w:rsid w:val="00254C13"/>
    <w:rsid w:val="00262D3B"/>
    <w:rsid w:val="002633C8"/>
    <w:rsid w:val="00263A1B"/>
    <w:rsid w:val="002644FF"/>
    <w:rsid w:val="00264EBE"/>
    <w:rsid w:val="00270412"/>
    <w:rsid w:val="0027347A"/>
    <w:rsid w:val="00274EAC"/>
    <w:rsid w:val="002756CB"/>
    <w:rsid w:val="00282E50"/>
    <w:rsid w:val="00283085"/>
    <w:rsid w:val="002845FF"/>
    <w:rsid w:val="002908B3"/>
    <w:rsid w:val="00293740"/>
    <w:rsid w:val="00294AD7"/>
    <w:rsid w:val="002A1386"/>
    <w:rsid w:val="002A17D0"/>
    <w:rsid w:val="002A26D5"/>
    <w:rsid w:val="002A3679"/>
    <w:rsid w:val="002A7603"/>
    <w:rsid w:val="002B27AC"/>
    <w:rsid w:val="002B33A6"/>
    <w:rsid w:val="002B70D1"/>
    <w:rsid w:val="002B7500"/>
    <w:rsid w:val="002C0495"/>
    <w:rsid w:val="002C059B"/>
    <w:rsid w:val="002C3DF0"/>
    <w:rsid w:val="002C54C0"/>
    <w:rsid w:val="002C5560"/>
    <w:rsid w:val="002D1F1C"/>
    <w:rsid w:val="002D2597"/>
    <w:rsid w:val="002D2E8F"/>
    <w:rsid w:val="002D59FB"/>
    <w:rsid w:val="002D77A8"/>
    <w:rsid w:val="002E0C48"/>
    <w:rsid w:val="002E2388"/>
    <w:rsid w:val="002E5F5F"/>
    <w:rsid w:val="002F02BA"/>
    <w:rsid w:val="002F2663"/>
    <w:rsid w:val="00300044"/>
    <w:rsid w:val="00302A0E"/>
    <w:rsid w:val="003031E9"/>
    <w:rsid w:val="00303293"/>
    <w:rsid w:val="00304ED4"/>
    <w:rsid w:val="00305472"/>
    <w:rsid w:val="00307C23"/>
    <w:rsid w:val="00311804"/>
    <w:rsid w:val="003142F9"/>
    <w:rsid w:val="00315EAB"/>
    <w:rsid w:val="0031762E"/>
    <w:rsid w:val="0032338C"/>
    <w:rsid w:val="00327BDF"/>
    <w:rsid w:val="00336B1E"/>
    <w:rsid w:val="00342374"/>
    <w:rsid w:val="00342648"/>
    <w:rsid w:val="00343DF0"/>
    <w:rsid w:val="003473A0"/>
    <w:rsid w:val="003514DC"/>
    <w:rsid w:val="00371001"/>
    <w:rsid w:val="00375AB5"/>
    <w:rsid w:val="00375EF3"/>
    <w:rsid w:val="003768F4"/>
    <w:rsid w:val="003773D2"/>
    <w:rsid w:val="00377677"/>
    <w:rsid w:val="0038051C"/>
    <w:rsid w:val="00381190"/>
    <w:rsid w:val="00382937"/>
    <w:rsid w:val="003854A1"/>
    <w:rsid w:val="00387530"/>
    <w:rsid w:val="003A75BC"/>
    <w:rsid w:val="003B5583"/>
    <w:rsid w:val="003B7E78"/>
    <w:rsid w:val="003C131D"/>
    <w:rsid w:val="003C2D6E"/>
    <w:rsid w:val="003D111D"/>
    <w:rsid w:val="003D2210"/>
    <w:rsid w:val="003E0C79"/>
    <w:rsid w:val="003E47C8"/>
    <w:rsid w:val="003E5799"/>
    <w:rsid w:val="003E5F35"/>
    <w:rsid w:val="003F529B"/>
    <w:rsid w:val="003F5B96"/>
    <w:rsid w:val="003F628F"/>
    <w:rsid w:val="003F66BA"/>
    <w:rsid w:val="003F6BAB"/>
    <w:rsid w:val="004005AD"/>
    <w:rsid w:val="00402A32"/>
    <w:rsid w:val="00403736"/>
    <w:rsid w:val="00404516"/>
    <w:rsid w:val="00404F9A"/>
    <w:rsid w:val="004100C5"/>
    <w:rsid w:val="00410B74"/>
    <w:rsid w:val="004138D2"/>
    <w:rsid w:val="0041473E"/>
    <w:rsid w:val="00430462"/>
    <w:rsid w:val="00431AE3"/>
    <w:rsid w:val="00434E4D"/>
    <w:rsid w:val="0043551D"/>
    <w:rsid w:val="00436A74"/>
    <w:rsid w:val="00437EC2"/>
    <w:rsid w:val="00440BF2"/>
    <w:rsid w:val="00440EDE"/>
    <w:rsid w:val="00444756"/>
    <w:rsid w:val="004464AC"/>
    <w:rsid w:val="00447376"/>
    <w:rsid w:val="00450592"/>
    <w:rsid w:val="00454430"/>
    <w:rsid w:val="004567F5"/>
    <w:rsid w:val="00457873"/>
    <w:rsid w:val="00462980"/>
    <w:rsid w:val="00465097"/>
    <w:rsid w:val="0047267B"/>
    <w:rsid w:val="004749B2"/>
    <w:rsid w:val="00481E21"/>
    <w:rsid w:val="00484A55"/>
    <w:rsid w:val="004908F6"/>
    <w:rsid w:val="00490A8D"/>
    <w:rsid w:val="00495635"/>
    <w:rsid w:val="00496292"/>
    <w:rsid w:val="004A1307"/>
    <w:rsid w:val="004A24A0"/>
    <w:rsid w:val="004A346E"/>
    <w:rsid w:val="004A424F"/>
    <w:rsid w:val="004A6BE1"/>
    <w:rsid w:val="004B0BE4"/>
    <w:rsid w:val="004B3B48"/>
    <w:rsid w:val="004B6B13"/>
    <w:rsid w:val="004C09B1"/>
    <w:rsid w:val="004C0C34"/>
    <w:rsid w:val="004C452C"/>
    <w:rsid w:val="004C5DE5"/>
    <w:rsid w:val="004C6EF5"/>
    <w:rsid w:val="004C708C"/>
    <w:rsid w:val="004D0AA0"/>
    <w:rsid w:val="004D0FF5"/>
    <w:rsid w:val="004D354F"/>
    <w:rsid w:val="004D3C9C"/>
    <w:rsid w:val="004D4FDA"/>
    <w:rsid w:val="004E0CEC"/>
    <w:rsid w:val="004E752A"/>
    <w:rsid w:val="004F31CD"/>
    <w:rsid w:val="004F3E21"/>
    <w:rsid w:val="004F4693"/>
    <w:rsid w:val="00502A72"/>
    <w:rsid w:val="005071AC"/>
    <w:rsid w:val="0051343D"/>
    <w:rsid w:val="00516CA1"/>
    <w:rsid w:val="00516FB8"/>
    <w:rsid w:val="00532ACB"/>
    <w:rsid w:val="00534DF7"/>
    <w:rsid w:val="00536EFA"/>
    <w:rsid w:val="00541F96"/>
    <w:rsid w:val="00543FAA"/>
    <w:rsid w:val="00546C00"/>
    <w:rsid w:val="00546DDE"/>
    <w:rsid w:val="0054701E"/>
    <w:rsid w:val="005508D2"/>
    <w:rsid w:val="00550E90"/>
    <w:rsid w:val="00554E7A"/>
    <w:rsid w:val="00556F6E"/>
    <w:rsid w:val="00572862"/>
    <w:rsid w:val="005733D8"/>
    <w:rsid w:val="00573806"/>
    <w:rsid w:val="005846A9"/>
    <w:rsid w:val="005846B1"/>
    <w:rsid w:val="005873AB"/>
    <w:rsid w:val="00591D49"/>
    <w:rsid w:val="00592177"/>
    <w:rsid w:val="00592AEA"/>
    <w:rsid w:val="0059436C"/>
    <w:rsid w:val="0059692D"/>
    <w:rsid w:val="00597C98"/>
    <w:rsid w:val="005A0192"/>
    <w:rsid w:val="005A3146"/>
    <w:rsid w:val="005A48A7"/>
    <w:rsid w:val="005A4A01"/>
    <w:rsid w:val="005A59CE"/>
    <w:rsid w:val="005A7362"/>
    <w:rsid w:val="005B5B3C"/>
    <w:rsid w:val="005B681A"/>
    <w:rsid w:val="005C0FFC"/>
    <w:rsid w:val="005C131B"/>
    <w:rsid w:val="005C3232"/>
    <w:rsid w:val="005C3BF4"/>
    <w:rsid w:val="005C7C6C"/>
    <w:rsid w:val="005D2902"/>
    <w:rsid w:val="005D48D5"/>
    <w:rsid w:val="005D60A6"/>
    <w:rsid w:val="005E0871"/>
    <w:rsid w:val="005E1321"/>
    <w:rsid w:val="005E3C00"/>
    <w:rsid w:val="005E5189"/>
    <w:rsid w:val="005E53B9"/>
    <w:rsid w:val="005F51AA"/>
    <w:rsid w:val="005F6CDD"/>
    <w:rsid w:val="005F6FE8"/>
    <w:rsid w:val="006010FB"/>
    <w:rsid w:val="00603BCB"/>
    <w:rsid w:val="00605BD2"/>
    <w:rsid w:val="0061006A"/>
    <w:rsid w:val="00610620"/>
    <w:rsid w:val="006118E2"/>
    <w:rsid w:val="00614953"/>
    <w:rsid w:val="006157FA"/>
    <w:rsid w:val="00616177"/>
    <w:rsid w:val="00616CCB"/>
    <w:rsid w:val="006225DE"/>
    <w:rsid w:val="0062504E"/>
    <w:rsid w:val="006276F6"/>
    <w:rsid w:val="006308DB"/>
    <w:rsid w:val="00631150"/>
    <w:rsid w:val="0063117B"/>
    <w:rsid w:val="00631223"/>
    <w:rsid w:val="006314A7"/>
    <w:rsid w:val="006330C7"/>
    <w:rsid w:val="0063543A"/>
    <w:rsid w:val="00635A80"/>
    <w:rsid w:val="00636938"/>
    <w:rsid w:val="006401DA"/>
    <w:rsid w:val="00642875"/>
    <w:rsid w:val="006434D0"/>
    <w:rsid w:val="00650DD5"/>
    <w:rsid w:val="00650E8E"/>
    <w:rsid w:val="00652C53"/>
    <w:rsid w:val="0065665F"/>
    <w:rsid w:val="006566C7"/>
    <w:rsid w:val="006567E5"/>
    <w:rsid w:val="00665367"/>
    <w:rsid w:val="006706A5"/>
    <w:rsid w:val="006741D1"/>
    <w:rsid w:val="00675B95"/>
    <w:rsid w:val="00681854"/>
    <w:rsid w:val="00684517"/>
    <w:rsid w:val="00684573"/>
    <w:rsid w:val="00687C9E"/>
    <w:rsid w:val="00693B21"/>
    <w:rsid w:val="00693E74"/>
    <w:rsid w:val="006A1C11"/>
    <w:rsid w:val="006A1F8D"/>
    <w:rsid w:val="006A7F98"/>
    <w:rsid w:val="006B06A3"/>
    <w:rsid w:val="006B0A98"/>
    <w:rsid w:val="006B2468"/>
    <w:rsid w:val="006B3E3E"/>
    <w:rsid w:val="006B3ED7"/>
    <w:rsid w:val="006B4314"/>
    <w:rsid w:val="006B5E72"/>
    <w:rsid w:val="006C0834"/>
    <w:rsid w:val="006C0F3A"/>
    <w:rsid w:val="006C5963"/>
    <w:rsid w:val="006C69B3"/>
    <w:rsid w:val="006C7D8B"/>
    <w:rsid w:val="006D26A6"/>
    <w:rsid w:val="006E0E52"/>
    <w:rsid w:val="006E1CC7"/>
    <w:rsid w:val="006E5D73"/>
    <w:rsid w:val="006F045E"/>
    <w:rsid w:val="006F09F5"/>
    <w:rsid w:val="006F2F1A"/>
    <w:rsid w:val="006F34E5"/>
    <w:rsid w:val="006F4AAB"/>
    <w:rsid w:val="00700777"/>
    <w:rsid w:val="00704CD4"/>
    <w:rsid w:val="0070630D"/>
    <w:rsid w:val="007118F6"/>
    <w:rsid w:val="00711C6A"/>
    <w:rsid w:val="0071228F"/>
    <w:rsid w:val="0071326D"/>
    <w:rsid w:val="00714790"/>
    <w:rsid w:val="007209C6"/>
    <w:rsid w:val="00724CFE"/>
    <w:rsid w:val="00730B64"/>
    <w:rsid w:val="0073442F"/>
    <w:rsid w:val="007404F7"/>
    <w:rsid w:val="00741B8A"/>
    <w:rsid w:val="00744C14"/>
    <w:rsid w:val="00744F3F"/>
    <w:rsid w:val="00750059"/>
    <w:rsid w:val="00753692"/>
    <w:rsid w:val="00753A23"/>
    <w:rsid w:val="00756ADF"/>
    <w:rsid w:val="0075734C"/>
    <w:rsid w:val="007672CC"/>
    <w:rsid w:val="00774CF1"/>
    <w:rsid w:val="00776753"/>
    <w:rsid w:val="00780019"/>
    <w:rsid w:val="0078048D"/>
    <w:rsid w:val="00784E3C"/>
    <w:rsid w:val="00793248"/>
    <w:rsid w:val="00793F42"/>
    <w:rsid w:val="007A3E00"/>
    <w:rsid w:val="007A4A2A"/>
    <w:rsid w:val="007A52E1"/>
    <w:rsid w:val="007B2440"/>
    <w:rsid w:val="007B40B2"/>
    <w:rsid w:val="007B554E"/>
    <w:rsid w:val="007B65E4"/>
    <w:rsid w:val="007C252C"/>
    <w:rsid w:val="007C2BD1"/>
    <w:rsid w:val="007C40D7"/>
    <w:rsid w:val="007C48A3"/>
    <w:rsid w:val="007C6321"/>
    <w:rsid w:val="007C68A4"/>
    <w:rsid w:val="007D1D96"/>
    <w:rsid w:val="007D2FC3"/>
    <w:rsid w:val="007D3AA1"/>
    <w:rsid w:val="007D42C7"/>
    <w:rsid w:val="007D5608"/>
    <w:rsid w:val="007D5F66"/>
    <w:rsid w:val="007E4A7C"/>
    <w:rsid w:val="007E6630"/>
    <w:rsid w:val="007F28F7"/>
    <w:rsid w:val="007F3883"/>
    <w:rsid w:val="008004A8"/>
    <w:rsid w:val="0080284E"/>
    <w:rsid w:val="00805362"/>
    <w:rsid w:val="00811648"/>
    <w:rsid w:val="00812700"/>
    <w:rsid w:val="0081544B"/>
    <w:rsid w:val="00816E25"/>
    <w:rsid w:val="00825BE5"/>
    <w:rsid w:val="008274D7"/>
    <w:rsid w:val="008309EA"/>
    <w:rsid w:val="00832BC1"/>
    <w:rsid w:val="00834E62"/>
    <w:rsid w:val="008360DC"/>
    <w:rsid w:val="008417AE"/>
    <w:rsid w:val="00847A82"/>
    <w:rsid w:val="00851439"/>
    <w:rsid w:val="0085155B"/>
    <w:rsid w:val="00853728"/>
    <w:rsid w:val="0085650E"/>
    <w:rsid w:val="00856C38"/>
    <w:rsid w:val="008573FF"/>
    <w:rsid w:val="00860CC2"/>
    <w:rsid w:val="008617CD"/>
    <w:rsid w:val="00864EF8"/>
    <w:rsid w:val="00865CE6"/>
    <w:rsid w:val="00867429"/>
    <w:rsid w:val="00870280"/>
    <w:rsid w:val="00872B5B"/>
    <w:rsid w:val="00873AEF"/>
    <w:rsid w:val="0087450F"/>
    <w:rsid w:val="00875946"/>
    <w:rsid w:val="00875B64"/>
    <w:rsid w:val="008764F9"/>
    <w:rsid w:val="00877AEB"/>
    <w:rsid w:val="00877E2A"/>
    <w:rsid w:val="00880683"/>
    <w:rsid w:val="00881BB9"/>
    <w:rsid w:val="008820AF"/>
    <w:rsid w:val="00887D70"/>
    <w:rsid w:val="008903A8"/>
    <w:rsid w:val="00894DE1"/>
    <w:rsid w:val="008961C4"/>
    <w:rsid w:val="008A10EC"/>
    <w:rsid w:val="008A2973"/>
    <w:rsid w:val="008A626A"/>
    <w:rsid w:val="008A65EB"/>
    <w:rsid w:val="008A6D1D"/>
    <w:rsid w:val="008A6E07"/>
    <w:rsid w:val="008A7782"/>
    <w:rsid w:val="008B140D"/>
    <w:rsid w:val="008B677D"/>
    <w:rsid w:val="008C005D"/>
    <w:rsid w:val="008C15F2"/>
    <w:rsid w:val="008C6740"/>
    <w:rsid w:val="008C6957"/>
    <w:rsid w:val="008E2DA4"/>
    <w:rsid w:val="008E4BD4"/>
    <w:rsid w:val="008E5500"/>
    <w:rsid w:val="008E66CC"/>
    <w:rsid w:val="008F5AF0"/>
    <w:rsid w:val="00900D26"/>
    <w:rsid w:val="00900E7D"/>
    <w:rsid w:val="009038A1"/>
    <w:rsid w:val="00903B04"/>
    <w:rsid w:val="00904C6F"/>
    <w:rsid w:val="009053B7"/>
    <w:rsid w:val="00917013"/>
    <w:rsid w:val="00922541"/>
    <w:rsid w:val="00923407"/>
    <w:rsid w:val="00927A76"/>
    <w:rsid w:val="00932B7C"/>
    <w:rsid w:val="009427D6"/>
    <w:rsid w:val="00945144"/>
    <w:rsid w:val="009463BC"/>
    <w:rsid w:val="00951FDE"/>
    <w:rsid w:val="009520BD"/>
    <w:rsid w:val="00955253"/>
    <w:rsid w:val="00957BE2"/>
    <w:rsid w:val="00963313"/>
    <w:rsid w:val="0096481D"/>
    <w:rsid w:val="009668E1"/>
    <w:rsid w:val="00966C79"/>
    <w:rsid w:val="00971031"/>
    <w:rsid w:val="00972804"/>
    <w:rsid w:val="0098198A"/>
    <w:rsid w:val="00982DA2"/>
    <w:rsid w:val="009874E1"/>
    <w:rsid w:val="00987AC8"/>
    <w:rsid w:val="009914E7"/>
    <w:rsid w:val="009923E8"/>
    <w:rsid w:val="009955DA"/>
    <w:rsid w:val="00997CA5"/>
    <w:rsid w:val="009A10F9"/>
    <w:rsid w:val="009A51D9"/>
    <w:rsid w:val="009B0F3E"/>
    <w:rsid w:val="009B15E8"/>
    <w:rsid w:val="009C265F"/>
    <w:rsid w:val="009C6252"/>
    <w:rsid w:val="009C6476"/>
    <w:rsid w:val="009C69E8"/>
    <w:rsid w:val="009D6F5E"/>
    <w:rsid w:val="009E0749"/>
    <w:rsid w:val="009E2322"/>
    <w:rsid w:val="009E25C7"/>
    <w:rsid w:val="009E49B9"/>
    <w:rsid w:val="009E5439"/>
    <w:rsid w:val="009E6742"/>
    <w:rsid w:val="009E6795"/>
    <w:rsid w:val="009E7556"/>
    <w:rsid w:val="009F0605"/>
    <w:rsid w:val="009F0C43"/>
    <w:rsid w:val="009F2269"/>
    <w:rsid w:val="009F2DC6"/>
    <w:rsid w:val="009F4FCC"/>
    <w:rsid w:val="00A0443C"/>
    <w:rsid w:val="00A14D32"/>
    <w:rsid w:val="00A166F1"/>
    <w:rsid w:val="00A167F5"/>
    <w:rsid w:val="00A1686C"/>
    <w:rsid w:val="00A16B52"/>
    <w:rsid w:val="00A1746A"/>
    <w:rsid w:val="00A21475"/>
    <w:rsid w:val="00A234D9"/>
    <w:rsid w:val="00A26B49"/>
    <w:rsid w:val="00A31802"/>
    <w:rsid w:val="00A318D2"/>
    <w:rsid w:val="00A3243E"/>
    <w:rsid w:val="00A354DE"/>
    <w:rsid w:val="00A3694B"/>
    <w:rsid w:val="00A37913"/>
    <w:rsid w:val="00A404C9"/>
    <w:rsid w:val="00A40DB1"/>
    <w:rsid w:val="00A42628"/>
    <w:rsid w:val="00A439F3"/>
    <w:rsid w:val="00A443E0"/>
    <w:rsid w:val="00A45F50"/>
    <w:rsid w:val="00A46309"/>
    <w:rsid w:val="00A4686E"/>
    <w:rsid w:val="00A500F1"/>
    <w:rsid w:val="00A51B24"/>
    <w:rsid w:val="00A54398"/>
    <w:rsid w:val="00A6227E"/>
    <w:rsid w:val="00A63C98"/>
    <w:rsid w:val="00A64A05"/>
    <w:rsid w:val="00A64BAA"/>
    <w:rsid w:val="00A6505E"/>
    <w:rsid w:val="00A65D05"/>
    <w:rsid w:val="00A7246B"/>
    <w:rsid w:val="00A72AF8"/>
    <w:rsid w:val="00A73A52"/>
    <w:rsid w:val="00A80AB5"/>
    <w:rsid w:val="00A81134"/>
    <w:rsid w:val="00A85073"/>
    <w:rsid w:val="00A85216"/>
    <w:rsid w:val="00A85DAE"/>
    <w:rsid w:val="00A92DE5"/>
    <w:rsid w:val="00AA00B5"/>
    <w:rsid w:val="00AA05B4"/>
    <w:rsid w:val="00AA0F29"/>
    <w:rsid w:val="00AA38AF"/>
    <w:rsid w:val="00AA4FFC"/>
    <w:rsid w:val="00AA5D5F"/>
    <w:rsid w:val="00AA77FA"/>
    <w:rsid w:val="00AB309F"/>
    <w:rsid w:val="00AB38B0"/>
    <w:rsid w:val="00AB5029"/>
    <w:rsid w:val="00AB69F4"/>
    <w:rsid w:val="00AC1445"/>
    <w:rsid w:val="00AC16AC"/>
    <w:rsid w:val="00AD22C1"/>
    <w:rsid w:val="00AD5A8C"/>
    <w:rsid w:val="00AE1333"/>
    <w:rsid w:val="00AE32C8"/>
    <w:rsid w:val="00AE75B2"/>
    <w:rsid w:val="00AF0047"/>
    <w:rsid w:val="00AF2B6D"/>
    <w:rsid w:val="00AF4EC5"/>
    <w:rsid w:val="00AF78E4"/>
    <w:rsid w:val="00B0080A"/>
    <w:rsid w:val="00B021BC"/>
    <w:rsid w:val="00B04A49"/>
    <w:rsid w:val="00B12D00"/>
    <w:rsid w:val="00B13419"/>
    <w:rsid w:val="00B14143"/>
    <w:rsid w:val="00B14235"/>
    <w:rsid w:val="00B14E40"/>
    <w:rsid w:val="00B164F8"/>
    <w:rsid w:val="00B22C84"/>
    <w:rsid w:val="00B24AC1"/>
    <w:rsid w:val="00B2626B"/>
    <w:rsid w:val="00B26EEE"/>
    <w:rsid w:val="00B2785A"/>
    <w:rsid w:val="00B3209E"/>
    <w:rsid w:val="00B33A73"/>
    <w:rsid w:val="00B34128"/>
    <w:rsid w:val="00B425BC"/>
    <w:rsid w:val="00B50D06"/>
    <w:rsid w:val="00B527D5"/>
    <w:rsid w:val="00B54AB7"/>
    <w:rsid w:val="00B56F7C"/>
    <w:rsid w:val="00B57FCF"/>
    <w:rsid w:val="00B6044E"/>
    <w:rsid w:val="00B70EA9"/>
    <w:rsid w:val="00B71E10"/>
    <w:rsid w:val="00B75046"/>
    <w:rsid w:val="00B77C0F"/>
    <w:rsid w:val="00B831C1"/>
    <w:rsid w:val="00B85455"/>
    <w:rsid w:val="00B9022F"/>
    <w:rsid w:val="00B91167"/>
    <w:rsid w:val="00B939A3"/>
    <w:rsid w:val="00B9611C"/>
    <w:rsid w:val="00B97998"/>
    <w:rsid w:val="00B97D44"/>
    <w:rsid w:val="00BA3834"/>
    <w:rsid w:val="00BA3ABC"/>
    <w:rsid w:val="00BA617F"/>
    <w:rsid w:val="00BB1854"/>
    <w:rsid w:val="00BB18EB"/>
    <w:rsid w:val="00BB254A"/>
    <w:rsid w:val="00BB2FF6"/>
    <w:rsid w:val="00BC1821"/>
    <w:rsid w:val="00BC3570"/>
    <w:rsid w:val="00BC4624"/>
    <w:rsid w:val="00BC549A"/>
    <w:rsid w:val="00BC7CFD"/>
    <w:rsid w:val="00BD1FA4"/>
    <w:rsid w:val="00BE5E9E"/>
    <w:rsid w:val="00BF12D6"/>
    <w:rsid w:val="00BF456C"/>
    <w:rsid w:val="00C03CC4"/>
    <w:rsid w:val="00C049A4"/>
    <w:rsid w:val="00C1121C"/>
    <w:rsid w:val="00C1161C"/>
    <w:rsid w:val="00C11D71"/>
    <w:rsid w:val="00C11F26"/>
    <w:rsid w:val="00C12F6B"/>
    <w:rsid w:val="00C13E23"/>
    <w:rsid w:val="00C15DA7"/>
    <w:rsid w:val="00C16444"/>
    <w:rsid w:val="00C24C7A"/>
    <w:rsid w:val="00C24FA8"/>
    <w:rsid w:val="00C252FB"/>
    <w:rsid w:val="00C256D7"/>
    <w:rsid w:val="00C27B3E"/>
    <w:rsid w:val="00C300A4"/>
    <w:rsid w:val="00C30A61"/>
    <w:rsid w:val="00C360CF"/>
    <w:rsid w:val="00C438ED"/>
    <w:rsid w:val="00C45C10"/>
    <w:rsid w:val="00C50516"/>
    <w:rsid w:val="00C549A3"/>
    <w:rsid w:val="00C572A3"/>
    <w:rsid w:val="00C60B65"/>
    <w:rsid w:val="00C628C2"/>
    <w:rsid w:val="00C65061"/>
    <w:rsid w:val="00C65362"/>
    <w:rsid w:val="00C66727"/>
    <w:rsid w:val="00C72D0A"/>
    <w:rsid w:val="00C73466"/>
    <w:rsid w:val="00C76512"/>
    <w:rsid w:val="00C776C2"/>
    <w:rsid w:val="00C80BBD"/>
    <w:rsid w:val="00C81078"/>
    <w:rsid w:val="00C8115F"/>
    <w:rsid w:val="00C82012"/>
    <w:rsid w:val="00C90487"/>
    <w:rsid w:val="00C9179E"/>
    <w:rsid w:val="00C963D8"/>
    <w:rsid w:val="00C96510"/>
    <w:rsid w:val="00CA2EC7"/>
    <w:rsid w:val="00CA3565"/>
    <w:rsid w:val="00CA4CBC"/>
    <w:rsid w:val="00CA6A8D"/>
    <w:rsid w:val="00CB1C3F"/>
    <w:rsid w:val="00CB307F"/>
    <w:rsid w:val="00CB4392"/>
    <w:rsid w:val="00CC1A98"/>
    <w:rsid w:val="00CC2A27"/>
    <w:rsid w:val="00CD0A05"/>
    <w:rsid w:val="00CD4D38"/>
    <w:rsid w:val="00CD6B89"/>
    <w:rsid w:val="00CD6D14"/>
    <w:rsid w:val="00CD6EDF"/>
    <w:rsid w:val="00CE0A9F"/>
    <w:rsid w:val="00CE184F"/>
    <w:rsid w:val="00CE65A4"/>
    <w:rsid w:val="00CE69F3"/>
    <w:rsid w:val="00CF5928"/>
    <w:rsid w:val="00CF6BBD"/>
    <w:rsid w:val="00CF6FE1"/>
    <w:rsid w:val="00D05307"/>
    <w:rsid w:val="00D05D2C"/>
    <w:rsid w:val="00D14B8D"/>
    <w:rsid w:val="00D254F1"/>
    <w:rsid w:val="00D278BB"/>
    <w:rsid w:val="00D307E7"/>
    <w:rsid w:val="00D34916"/>
    <w:rsid w:val="00D36357"/>
    <w:rsid w:val="00D41E30"/>
    <w:rsid w:val="00D44C96"/>
    <w:rsid w:val="00D45A9C"/>
    <w:rsid w:val="00D474BC"/>
    <w:rsid w:val="00D5071D"/>
    <w:rsid w:val="00D511E4"/>
    <w:rsid w:val="00D55795"/>
    <w:rsid w:val="00D560FB"/>
    <w:rsid w:val="00D564BC"/>
    <w:rsid w:val="00D63261"/>
    <w:rsid w:val="00D64349"/>
    <w:rsid w:val="00D659C2"/>
    <w:rsid w:val="00D66579"/>
    <w:rsid w:val="00D71126"/>
    <w:rsid w:val="00D73C0F"/>
    <w:rsid w:val="00D75CC2"/>
    <w:rsid w:val="00D7658C"/>
    <w:rsid w:val="00D76F4D"/>
    <w:rsid w:val="00D85B9F"/>
    <w:rsid w:val="00D86341"/>
    <w:rsid w:val="00D91619"/>
    <w:rsid w:val="00D91EA4"/>
    <w:rsid w:val="00D957F4"/>
    <w:rsid w:val="00DA1E84"/>
    <w:rsid w:val="00DA551D"/>
    <w:rsid w:val="00DA723A"/>
    <w:rsid w:val="00DB23AB"/>
    <w:rsid w:val="00DB2D39"/>
    <w:rsid w:val="00DB3942"/>
    <w:rsid w:val="00DB58CD"/>
    <w:rsid w:val="00DB6902"/>
    <w:rsid w:val="00DB7FF4"/>
    <w:rsid w:val="00DC117D"/>
    <w:rsid w:val="00DC1C48"/>
    <w:rsid w:val="00DD314C"/>
    <w:rsid w:val="00DD4B3A"/>
    <w:rsid w:val="00DD56BB"/>
    <w:rsid w:val="00DE1BDD"/>
    <w:rsid w:val="00DE21C1"/>
    <w:rsid w:val="00DE54B9"/>
    <w:rsid w:val="00DE664B"/>
    <w:rsid w:val="00DF0C7F"/>
    <w:rsid w:val="00DF0CE9"/>
    <w:rsid w:val="00DF32D1"/>
    <w:rsid w:val="00DF47E4"/>
    <w:rsid w:val="00E00474"/>
    <w:rsid w:val="00E01BF9"/>
    <w:rsid w:val="00E02225"/>
    <w:rsid w:val="00E02773"/>
    <w:rsid w:val="00E0392B"/>
    <w:rsid w:val="00E04A1D"/>
    <w:rsid w:val="00E1069E"/>
    <w:rsid w:val="00E11913"/>
    <w:rsid w:val="00E14BF7"/>
    <w:rsid w:val="00E14C08"/>
    <w:rsid w:val="00E14EF3"/>
    <w:rsid w:val="00E2182B"/>
    <w:rsid w:val="00E228C1"/>
    <w:rsid w:val="00E22FDC"/>
    <w:rsid w:val="00E25DD3"/>
    <w:rsid w:val="00E279FA"/>
    <w:rsid w:val="00E30C09"/>
    <w:rsid w:val="00E34A0C"/>
    <w:rsid w:val="00E370A1"/>
    <w:rsid w:val="00E417F2"/>
    <w:rsid w:val="00E4234D"/>
    <w:rsid w:val="00E46D83"/>
    <w:rsid w:val="00E511A4"/>
    <w:rsid w:val="00E515F3"/>
    <w:rsid w:val="00E51721"/>
    <w:rsid w:val="00E536D6"/>
    <w:rsid w:val="00E54DAA"/>
    <w:rsid w:val="00E55664"/>
    <w:rsid w:val="00E575EB"/>
    <w:rsid w:val="00E61436"/>
    <w:rsid w:val="00E62064"/>
    <w:rsid w:val="00E64ADE"/>
    <w:rsid w:val="00E6544F"/>
    <w:rsid w:val="00E66124"/>
    <w:rsid w:val="00E662C6"/>
    <w:rsid w:val="00E67B52"/>
    <w:rsid w:val="00E72994"/>
    <w:rsid w:val="00E72DFA"/>
    <w:rsid w:val="00E7603B"/>
    <w:rsid w:val="00E77522"/>
    <w:rsid w:val="00E77B2B"/>
    <w:rsid w:val="00E810AB"/>
    <w:rsid w:val="00E85A8A"/>
    <w:rsid w:val="00E85B2E"/>
    <w:rsid w:val="00E93993"/>
    <w:rsid w:val="00E97B3B"/>
    <w:rsid w:val="00E97E64"/>
    <w:rsid w:val="00EA17A5"/>
    <w:rsid w:val="00EA1C7F"/>
    <w:rsid w:val="00EA32EF"/>
    <w:rsid w:val="00EA4C26"/>
    <w:rsid w:val="00EB1768"/>
    <w:rsid w:val="00EB35D3"/>
    <w:rsid w:val="00EB707E"/>
    <w:rsid w:val="00EB753E"/>
    <w:rsid w:val="00EC0692"/>
    <w:rsid w:val="00EC0A62"/>
    <w:rsid w:val="00EC4D96"/>
    <w:rsid w:val="00EC71A9"/>
    <w:rsid w:val="00ED17D0"/>
    <w:rsid w:val="00ED5569"/>
    <w:rsid w:val="00ED646B"/>
    <w:rsid w:val="00ED75DC"/>
    <w:rsid w:val="00EE0EF7"/>
    <w:rsid w:val="00EE1773"/>
    <w:rsid w:val="00EF3422"/>
    <w:rsid w:val="00EF3CA2"/>
    <w:rsid w:val="00EF538D"/>
    <w:rsid w:val="00EF5B61"/>
    <w:rsid w:val="00EF5B93"/>
    <w:rsid w:val="00EF5C92"/>
    <w:rsid w:val="00F014F6"/>
    <w:rsid w:val="00F135F2"/>
    <w:rsid w:val="00F171D1"/>
    <w:rsid w:val="00F17F8F"/>
    <w:rsid w:val="00F31E37"/>
    <w:rsid w:val="00F32CE8"/>
    <w:rsid w:val="00F334F2"/>
    <w:rsid w:val="00F40789"/>
    <w:rsid w:val="00F41FB4"/>
    <w:rsid w:val="00F451A1"/>
    <w:rsid w:val="00F505B9"/>
    <w:rsid w:val="00F56618"/>
    <w:rsid w:val="00F571EB"/>
    <w:rsid w:val="00F6714C"/>
    <w:rsid w:val="00F675F6"/>
    <w:rsid w:val="00F67C45"/>
    <w:rsid w:val="00F67E89"/>
    <w:rsid w:val="00F715AF"/>
    <w:rsid w:val="00F7167D"/>
    <w:rsid w:val="00F76973"/>
    <w:rsid w:val="00F810B2"/>
    <w:rsid w:val="00F835E7"/>
    <w:rsid w:val="00F87AD1"/>
    <w:rsid w:val="00F90E0E"/>
    <w:rsid w:val="00F94534"/>
    <w:rsid w:val="00F958AA"/>
    <w:rsid w:val="00F965CA"/>
    <w:rsid w:val="00FA29F5"/>
    <w:rsid w:val="00FA516E"/>
    <w:rsid w:val="00FA6AEF"/>
    <w:rsid w:val="00FB014B"/>
    <w:rsid w:val="00FB379F"/>
    <w:rsid w:val="00FB4712"/>
    <w:rsid w:val="00FB537A"/>
    <w:rsid w:val="00FB5EDE"/>
    <w:rsid w:val="00FC1D94"/>
    <w:rsid w:val="00FC5A32"/>
    <w:rsid w:val="00FD13D3"/>
    <w:rsid w:val="00FD576E"/>
    <w:rsid w:val="00FD60CA"/>
    <w:rsid w:val="00FD7127"/>
    <w:rsid w:val="00FD7449"/>
    <w:rsid w:val="00FE0280"/>
    <w:rsid w:val="00FE0542"/>
    <w:rsid w:val="00FE08D3"/>
    <w:rsid w:val="00FF0353"/>
    <w:rsid w:val="00FF363A"/>
    <w:rsid w:val="00FF735D"/>
    <w:rsid w:val="00FF7E4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393300"/>
  <w15:docId w15:val="{FA4B1CB8-87FE-4530-9672-4ACAF3266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37A"/>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20537A"/>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20537A"/>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20537A"/>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20537A"/>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20537A"/>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20537A"/>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20537A"/>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20537A"/>
    <w:pPr>
      <w:ind w:left="993"/>
      <w:outlineLvl w:val="7"/>
    </w:pPr>
    <w:rPr>
      <w:color w:val="321547"/>
      <w:szCs w:val="22"/>
      <w:u w:val="dotDotDash"/>
    </w:rPr>
  </w:style>
  <w:style w:type="paragraph" w:styleId="Ttulo9">
    <w:name w:val="heading 9"/>
    <w:basedOn w:val="Ttulo8"/>
    <w:next w:val="Normal"/>
    <w:link w:val="Ttulo9Car"/>
    <w:uiPriority w:val="9"/>
    <w:unhideWhenUsed/>
    <w:qFormat/>
    <w:rsid w:val="0020537A"/>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20537A"/>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20537A"/>
  </w:style>
  <w:style w:type="paragraph" w:styleId="Encabezado">
    <w:name w:val="header"/>
    <w:basedOn w:val="Normal"/>
    <w:link w:val="EncabezadoCar"/>
    <w:uiPriority w:val="99"/>
    <w:unhideWhenUsed/>
    <w:rsid w:val="0020537A"/>
    <w:pPr>
      <w:tabs>
        <w:tab w:val="center" w:pos="4252"/>
        <w:tab w:val="right" w:pos="8504"/>
      </w:tabs>
    </w:pPr>
  </w:style>
  <w:style w:type="character" w:customStyle="1" w:styleId="EncabezadoCar">
    <w:name w:val="Encabezado Car"/>
    <w:basedOn w:val="Fuentedeprrafopredeter"/>
    <w:link w:val="Encabezado"/>
    <w:uiPriority w:val="99"/>
    <w:rsid w:val="0020537A"/>
    <w:rPr>
      <w:rFonts w:ascii="Palatino Linotype" w:hAnsi="Palatino Linotype"/>
      <w:lang w:val="es-ES"/>
    </w:rPr>
  </w:style>
  <w:style w:type="table" w:styleId="Tablaconcuadrcula">
    <w:name w:val="Table Grid"/>
    <w:basedOn w:val="Tablanormal"/>
    <w:uiPriority w:val="39"/>
    <w:rsid w:val="00205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20537A"/>
    <w:rPr>
      <w:color w:val="808080"/>
    </w:rPr>
  </w:style>
  <w:style w:type="paragraph" w:styleId="Ttulo">
    <w:name w:val="Title"/>
    <w:basedOn w:val="Normal"/>
    <w:next w:val="Normal"/>
    <w:link w:val="TtuloCar"/>
    <w:uiPriority w:val="10"/>
    <w:qFormat/>
    <w:rsid w:val="0020537A"/>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20537A"/>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20537A"/>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20537A"/>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20537A"/>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20537A"/>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20537A"/>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20537A"/>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20537A"/>
    <w:rPr>
      <w:color w:val="0563C1" w:themeColor="hyperlink"/>
      <w:u w:val="single"/>
    </w:rPr>
  </w:style>
  <w:style w:type="character" w:customStyle="1" w:styleId="Ttulo3Car">
    <w:name w:val="Título 3 Car"/>
    <w:basedOn w:val="Fuentedeprrafopredeter"/>
    <w:link w:val="Ttulo3"/>
    <w:uiPriority w:val="9"/>
    <w:rsid w:val="0020537A"/>
    <w:rPr>
      <w:rFonts w:ascii="Palatino Linotype" w:hAnsi="Palatino Linotype"/>
      <w:i/>
      <w:iCs/>
      <w:color w:val="5F2987"/>
      <w:u w:val="single"/>
      <w:lang w:val="es-ES"/>
    </w:rPr>
  </w:style>
  <w:style w:type="paragraph" w:styleId="TDC3">
    <w:name w:val="toc 3"/>
    <w:basedOn w:val="Normal"/>
    <w:next w:val="FinTDC"/>
    <w:autoRedefine/>
    <w:uiPriority w:val="39"/>
    <w:unhideWhenUsed/>
    <w:rsid w:val="0020537A"/>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20537A"/>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20537A"/>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20537A"/>
    <w:rPr>
      <w:color w:val="7F7F7F" w:themeColor="text1" w:themeTint="80"/>
      <w:sz w:val="16"/>
    </w:rPr>
  </w:style>
  <w:style w:type="character" w:customStyle="1" w:styleId="NocantarChar">
    <w:name w:val="No cantar Char"/>
    <w:basedOn w:val="Fuentedeprrafopredeter"/>
    <w:link w:val="Nocantar"/>
    <w:rsid w:val="0020537A"/>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20537A"/>
    <w:pPr>
      <w:numPr>
        <w:numId w:val="0"/>
      </w:numPr>
      <w:ind w:firstLine="142"/>
    </w:pPr>
  </w:style>
  <w:style w:type="character" w:customStyle="1" w:styleId="IntroduccinyconclusinChar">
    <w:name w:val="Introducción y conclusión Char"/>
    <w:basedOn w:val="Ttulo1Car"/>
    <w:link w:val="Introduccinyconclusin"/>
    <w:rsid w:val="0020537A"/>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20537A"/>
    <w:pPr>
      <w:numPr>
        <w:numId w:val="3"/>
      </w:numPr>
    </w:pPr>
  </w:style>
  <w:style w:type="paragraph" w:customStyle="1" w:styleId="Nivel1">
    <w:name w:val="Nivel 1"/>
    <w:basedOn w:val="Normal"/>
    <w:qFormat/>
    <w:rsid w:val="0020537A"/>
    <w:pPr>
      <w:numPr>
        <w:numId w:val="1"/>
      </w:numPr>
      <w:spacing w:before="100" w:after="100"/>
      <w:ind w:left="623" w:hanging="198"/>
    </w:pPr>
  </w:style>
  <w:style w:type="paragraph" w:customStyle="1" w:styleId="Nivel3">
    <w:name w:val="Nivel 3"/>
    <w:basedOn w:val="Nivel2"/>
    <w:link w:val="Nivel3Car"/>
    <w:qFormat/>
    <w:rsid w:val="0020537A"/>
    <w:pPr>
      <w:numPr>
        <w:ilvl w:val="2"/>
      </w:numPr>
      <w:spacing w:after="0"/>
      <w:ind w:left="1474" w:hanging="198"/>
    </w:pPr>
  </w:style>
  <w:style w:type="paragraph" w:customStyle="1" w:styleId="Letra">
    <w:name w:val="Letra"/>
    <w:basedOn w:val="Nivel1"/>
    <w:qFormat/>
    <w:rsid w:val="0020537A"/>
    <w:pPr>
      <w:numPr>
        <w:numId w:val="4"/>
      </w:numPr>
      <w:spacing w:before="0" w:after="40"/>
      <w:ind w:left="936" w:hanging="227"/>
    </w:pPr>
  </w:style>
  <w:style w:type="paragraph" w:customStyle="1" w:styleId="Nmero">
    <w:name w:val="Número"/>
    <w:basedOn w:val="Normal"/>
    <w:qFormat/>
    <w:rsid w:val="0020537A"/>
    <w:pPr>
      <w:numPr>
        <w:numId w:val="5"/>
      </w:numPr>
      <w:spacing w:after="40"/>
      <w:ind w:left="936" w:hanging="227"/>
    </w:pPr>
  </w:style>
  <w:style w:type="paragraph" w:styleId="Textodeglobo">
    <w:name w:val="Balloon Text"/>
    <w:basedOn w:val="Normal"/>
    <w:link w:val="TextodegloboCar"/>
    <w:uiPriority w:val="99"/>
    <w:semiHidden/>
    <w:unhideWhenUsed/>
    <w:rsid w:val="0020537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537A"/>
    <w:rPr>
      <w:rFonts w:ascii="Segoe UI" w:hAnsi="Segoe UI" w:cs="Segoe UI"/>
      <w:sz w:val="18"/>
      <w:szCs w:val="18"/>
      <w:lang w:val="es-ES"/>
    </w:rPr>
  </w:style>
  <w:style w:type="paragraph" w:customStyle="1" w:styleId="Notaalopositor">
    <w:name w:val="Nota al opositor"/>
    <w:basedOn w:val="Normal"/>
    <w:link w:val="NotaalopositorChar"/>
    <w:qFormat/>
    <w:rsid w:val="0020537A"/>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20537A"/>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20537A"/>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20537A"/>
    <w:rPr>
      <w:rFonts w:ascii="Palatino Linotype" w:hAnsi="Palatino Linotype"/>
      <w:sz w:val="16"/>
      <w:szCs w:val="20"/>
      <w:lang w:val="es-ES"/>
    </w:rPr>
  </w:style>
  <w:style w:type="character" w:styleId="Refdenotaalpie">
    <w:name w:val="footnote reference"/>
    <w:basedOn w:val="Fuentedeprrafopredeter"/>
    <w:uiPriority w:val="99"/>
    <w:semiHidden/>
    <w:unhideWhenUsed/>
    <w:rsid w:val="0020537A"/>
    <w:rPr>
      <w:vertAlign w:val="superscript"/>
    </w:rPr>
  </w:style>
  <w:style w:type="character" w:customStyle="1" w:styleId="Ttulo6Car">
    <w:name w:val="Título 6 Car"/>
    <w:basedOn w:val="Fuentedeprrafopredeter"/>
    <w:link w:val="Ttulo6"/>
    <w:uiPriority w:val="9"/>
    <w:rsid w:val="0020537A"/>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20537A"/>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20537A"/>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20537A"/>
    <w:pPr>
      <w:ind w:left="0"/>
    </w:pPr>
  </w:style>
  <w:style w:type="paragraph" w:customStyle="1" w:styleId="Nivel2SM">
    <w:name w:val="Nivel 2 SM"/>
    <w:basedOn w:val="Nivel2"/>
    <w:qFormat/>
    <w:rsid w:val="0020537A"/>
    <w:pPr>
      <w:ind w:left="567"/>
    </w:pPr>
  </w:style>
  <w:style w:type="paragraph" w:customStyle="1" w:styleId="Nivel3SM">
    <w:name w:val="Nivel 3 SM"/>
    <w:basedOn w:val="Nivel3"/>
    <w:qFormat/>
    <w:rsid w:val="0020537A"/>
    <w:pPr>
      <w:ind w:left="963"/>
    </w:pPr>
  </w:style>
  <w:style w:type="paragraph" w:styleId="Encabezadodelista">
    <w:name w:val="toa heading"/>
    <w:basedOn w:val="Normal"/>
    <w:next w:val="Normal"/>
    <w:uiPriority w:val="99"/>
    <w:semiHidden/>
    <w:unhideWhenUsed/>
    <w:rsid w:val="0020537A"/>
    <w:pPr>
      <w:spacing w:before="120"/>
    </w:pPr>
    <w:rPr>
      <w:rFonts w:eastAsiaTheme="majorEastAsia" w:cstheme="majorBidi"/>
      <w:b/>
      <w:bCs/>
      <w:color w:val="7030A0"/>
      <w:sz w:val="24"/>
      <w:szCs w:val="24"/>
    </w:rPr>
  </w:style>
  <w:style w:type="paragraph" w:styleId="Prrafodelista">
    <w:name w:val="List Paragraph"/>
    <w:basedOn w:val="Normal"/>
    <w:uiPriority w:val="34"/>
    <w:rsid w:val="0020537A"/>
    <w:pPr>
      <w:ind w:left="720"/>
      <w:contextualSpacing/>
    </w:pPr>
  </w:style>
  <w:style w:type="character" w:styleId="Hipervnculovisitado">
    <w:name w:val="FollowedHyperlink"/>
    <w:basedOn w:val="Fuentedeprrafopredeter"/>
    <w:uiPriority w:val="99"/>
    <w:semiHidden/>
    <w:unhideWhenUsed/>
    <w:rsid w:val="000C0979"/>
    <w:rPr>
      <w:color w:val="954F72" w:themeColor="followedHyperlink"/>
      <w:u w:val="single"/>
    </w:rPr>
  </w:style>
  <w:style w:type="character" w:styleId="Mencinsinresolver">
    <w:name w:val="Unresolved Mention"/>
    <w:basedOn w:val="Fuentedeprrafopredeter"/>
    <w:uiPriority w:val="99"/>
    <w:semiHidden/>
    <w:unhideWhenUsed/>
    <w:rsid w:val="0020537A"/>
    <w:rPr>
      <w:color w:val="605E5C"/>
      <w:shd w:val="clear" w:color="auto" w:fill="E1DFDD"/>
    </w:rPr>
  </w:style>
  <w:style w:type="paragraph" w:styleId="Descripcin">
    <w:name w:val="caption"/>
    <w:basedOn w:val="Normal"/>
    <w:next w:val="Normal"/>
    <w:uiPriority w:val="35"/>
    <w:unhideWhenUsed/>
    <w:qFormat/>
    <w:rsid w:val="0020537A"/>
    <w:pPr>
      <w:spacing w:after="200" w:line="240" w:lineRule="auto"/>
    </w:pPr>
    <w:rPr>
      <w:i/>
      <w:iCs/>
      <w:color w:val="44546A" w:themeColor="text2"/>
      <w:sz w:val="18"/>
      <w:szCs w:val="18"/>
    </w:rPr>
  </w:style>
  <w:style w:type="character" w:customStyle="1" w:styleId="Ttulo7Car">
    <w:name w:val="Título 7 Car"/>
    <w:basedOn w:val="Fuentedeprrafopredeter"/>
    <w:link w:val="Ttulo7"/>
    <w:uiPriority w:val="9"/>
    <w:rsid w:val="0020537A"/>
    <w:rPr>
      <w:rFonts w:ascii="Palatino Linotype" w:eastAsiaTheme="majorEastAsia" w:hAnsi="Palatino Linotype" w:cstheme="majorBidi"/>
      <w:i/>
      <w:iCs/>
      <w:color w:val="5F2987"/>
      <w:spacing w:val="-4"/>
      <w:szCs w:val="20"/>
      <w:u w:val="dash"/>
      <w:lang w:val="es-ES"/>
    </w:rPr>
  </w:style>
  <w:style w:type="character" w:styleId="Refdecomentario">
    <w:name w:val="annotation reference"/>
    <w:basedOn w:val="Fuentedeprrafopredeter"/>
    <w:uiPriority w:val="99"/>
    <w:semiHidden/>
    <w:unhideWhenUsed/>
    <w:rsid w:val="00496292"/>
    <w:rPr>
      <w:sz w:val="16"/>
      <w:szCs w:val="16"/>
    </w:rPr>
  </w:style>
  <w:style w:type="paragraph" w:styleId="Textocomentario">
    <w:name w:val="annotation text"/>
    <w:basedOn w:val="Normal"/>
    <w:link w:val="TextocomentarioCar"/>
    <w:uiPriority w:val="99"/>
    <w:unhideWhenUsed/>
    <w:rsid w:val="00496292"/>
    <w:pPr>
      <w:spacing w:line="240" w:lineRule="auto"/>
    </w:pPr>
    <w:rPr>
      <w:szCs w:val="20"/>
    </w:rPr>
  </w:style>
  <w:style w:type="character" w:customStyle="1" w:styleId="TextocomentarioCar">
    <w:name w:val="Texto comentario Car"/>
    <w:basedOn w:val="Fuentedeprrafopredeter"/>
    <w:link w:val="Textocomentario"/>
    <w:uiPriority w:val="99"/>
    <w:rsid w:val="00496292"/>
    <w:rPr>
      <w:rFonts w:ascii="Times New Roman" w:hAnsi="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496292"/>
    <w:rPr>
      <w:b/>
      <w:bCs/>
    </w:rPr>
  </w:style>
  <w:style w:type="character" w:customStyle="1" w:styleId="AsuntodelcomentarioCar">
    <w:name w:val="Asunto del comentario Car"/>
    <w:basedOn w:val="TextocomentarioCar"/>
    <w:link w:val="Asuntodelcomentario"/>
    <w:uiPriority w:val="99"/>
    <w:semiHidden/>
    <w:rsid w:val="00496292"/>
    <w:rPr>
      <w:rFonts w:ascii="Times New Roman" w:hAnsi="Times New Roman"/>
      <w:b/>
      <w:bCs/>
      <w:sz w:val="20"/>
      <w:szCs w:val="20"/>
      <w:lang w:val="es-ES"/>
    </w:rPr>
  </w:style>
  <w:style w:type="paragraph" w:styleId="TDC4">
    <w:name w:val="toc 4"/>
    <w:basedOn w:val="Normal"/>
    <w:next w:val="FinTDC"/>
    <w:autoRedefine/>
    <w:uiPriority w:val="39"/>
    <w:unhideWhenUsed/>
    <w:rsid w:val="0020537A"/>
    <w:pPr>
      <w:spacing w:after="0" w:line="240" w:lineRule="auto"/>
      <w:ind w:left="743" w:hanging="142"/>
      <w:jc w:val="left"/>
    </w:pPr>
    <w:rPr>
      <w:color w:val="5F2987"/>
      <w:sz w:val="14"/>
    </w:rPr>
  </w:style>
  <w:style w:type="paragraph" w:styleId="TDC5">
    <w:name w:val="toc 5"/>
    <w:basedOn w:val="Normal"/>
    <w:next w:val="FinTDC"/>
    <w:autoRedefine/>
    <w:uiPriority w:val="39"/>
    <w:unhideWhenUsed/>
    <w:rsid w:val="0020537A"/>
    <w:pPr>
      <w:spacing w:after="0"/>
      <w:ind w:left="1021" w:hanging="170"/>
      <w:contextualSpacing/>
      <w:jc w:val="left"/>
    </w:pPr>
    <w:rPr>
      <w:color w:val="5F2987"/>
      <w:sz w:val="12"/>
    </w:rPr>
  </w:style>
  <w:style w:type="character" w:customStyle="1" w:styleId="HeaderChar">
    <w:name w:val="Header Char"/>
    <w:basedOn w:val="Fuentedeprrafopredeter"/>
    <w:uiPriority w:val="99"/>
    <w:rsid w:val="0020537A"/>
    <w:rPr>
      <w:rFonts w:ascii="Garamond" w:hAnsi="Garamond"/>
      <w:lang w:val="es-ES"/>
    </w:rPr>
  </w:style>
  <w:style w:type="character" w:customStyle="1" w:styleId="FooterChar">
    <w:name w:val="Footer Char"/>
    <w:basedOn w:val="Fuentedeprrafopredeter"/>
    <w:uiPriority w:val="99"/>
    <w:rsid w:val="0020537A"/>
    <w:rPr>
      <w:rFonts w:ascii="Garamond" w:hAnsi="Garamond"/>
      <w:lang w:val="es-ES"/>
    </w:rPr>
  </w:style>
  <w:style w:type="character" w:customStyle="1" w:styleId="TitleChar">
    <w:name w:val="Title Char"/>
    <w:basedOn w:val="Fuentedeprrafopredeter"/>
    <w:uiPriority w:val="10"/>
    <w:rsid w:val="0020537A"/>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20537A"/>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20537A"/>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20537A"/>
    <w:rPr>
      <w:rFonts w:ascii="Garamond" w:hAnsi="Garamond"/>
      <w:i/>
      <w:iCs/>
      <w:color w:val="5F2987"/>
      <w:u w:val="single"/>
      <w:lang w:val="es-ES"/>
    </w:rPr>
  </w:style>
  <w:style w:type="character" w:customStyle="1" w:styleId="Heading4Char">
    <w:name w:val="Heading 4 Char"/>
    <w:basedOn w:val="Fuentedeprrafopredeter"/>
    <w:uiPriority w:val="9"/>
    <w:rsid w:val="0020537A"/>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20537A"/>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20537A"/>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20537A"/>
    <w:rPr>
      <w:rFonts w:ascii="Garamond" w:hAnsi="Garamond"/>
      <w:sz w:val="16"/>
      <w:szCs w:val="20"/>
      <w:lang w:val="es-ES"/>
    </w:rPr>
  </w:style>
  <w:style w:type="character" w:customStyle="1" w:styleId="Heading6Char">
    <w:name w:val="Heading 6 Char"/>
    <w:basedOn w:val="Fuentedeprrafopredeter"/>
    <w:uiPriority w:val="9"/>
    <w:semiHidden/>
    <w:rsid w:val="0020537A"/>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20537A"/>
    <w:rPr>
      <w:rFonts w:ascii="Garamond" w:eastAsiaTheme="minorEastAsia" w:hAnsi="Garamond"/>
      <w:smallCaps/>
      <w:color w:val="5A5A5A" w:themeColor="text1" w:themeTint="A5"/>
      <w:lang w:val="es-ES"/>
    </w:rPr>
  </w:style>
  <w:style w:type="paragraph" w:customStyle="1" w:styleId="Cajadeanotaciones">
    <w:name w:val="Caja de anotaciones"/>
    <w:basedOn w:val="Normal"/>
    <w:link w:val="CajadeanotacionesChar"/>
    <w:qFormat/>
    <w:rsid w:val="0020537A"/>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20537A"/>
    <w:rPr>
      <w:rFonts w:ascii="Palatino Linotype" w:hAnsi="Palatino Linotype"/>
      <w:shd w:val="clear" w:color="auto" w:fill="E7E6E6" w:themeFill="background2"/>
      <w:lang w:val="es-ES"/>
    </w:rPr>
  </w:style>
  <w:style w:type="paragraph" w:customStyle="1" w:styleId="Imagen">
    <w:name w:val="Imagen"/>
    <w:basedOn w:val="Normal"/>
    <w:next w:val="PiedeImagen"/>
    <w:link w:val="ImagenCar"/>
    <w:qFormat/>
    <w:rsid w:val="0020537A"/>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20537A"/>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20537A"/>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20537A"/>
    <w:pPr>
      <w:spacing w:line="240" w:lineRule="auto"/>
      <w:ind w:left="567" w:hanging="567"/>
    </w:pPr>
  </w:style>
  <w:style w:type="paragraph" w:customStyle="1" w:styleId="Ttuloimagen">
    <w:name w:val="Título imagen"/>
    <w:basedOn w:val="PiedeImagen"/>
    <w:next w:val="Imagen"/>
    <w:link w:val="TtuloimagenCar"/>
    <w:qFormat/>
    <w:rsid w:val="0020537A"/>
    <w:pPr>
      <w:keepNext/>
      <w:spacing w:after="0"/>
    </w:pPr>
    <w:rPr>
      <w:i w:val="0"/>
      <w:smallCaps/>
      <w:sz w:val="20"/>
    </w:rPr>
  </w:style>
  <w:style w:type="character" w:customStyle="1" w:styleId="TtuloimagenCar">
    <w:name w:val="Título imagen Car"/>
    <w:basedOn w:val="ImagenCar"/>
    <w:link w:val="Ttuloimagen"/>
    <w:rsid w:val="0020537A"/>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20537A"/>
    <w:pPr>
      <w:ind w:left="1100"/>
    </w:pPr>
  </w:style>
  <w:style w:type="character" w:customStyle="1" w:styleId="Ttulo8Car">
    <w:name w:val="Título 8 Car"/>
    <w:basedOn w:val="Fuentedeprrafopredeter"/>
    <w:link w:val="Ttulo8"/>
    <w:uiPriority w:val="9"/>
    <w:rsid w:val="0020537A"/>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20537A"/>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20537A"/>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20537A"/>
    <w:rPr>
      <w:rFonts w:eastAsiaTheme="minorEastAsia"/>
      <w:lang w:val="es-ES" w:eastAsia="es-ES"/>
    </w:rPr>
  </w:style>
  <w:style w:type="paragraph" w:customStyle="1" w:styleId="Nmeroromano">
    <w:name w:val="Número romano"/>
    <w:basedOn w:val="Prrafodelista"/>
    <w:qFormat/>
    <w:rsid w:val="0020537A"/>
    <w:pPr>
      <w:numPr>
        <w:numId w:val="24"/>
      </w:numPr>
      <w:spacing w:after="100"/>
      <w:ind w:left="567" w:hanging="113"/>
    </w:pPr>
  </w:style>
  <w:style w:type="paragraph" w:customStyle="1" w:styleId="Saltodettulos">
    <w:name w:val="Salto de títulos"/>
    <w:basedOn w:val="Normal"/>
    <w:rsid w:val="0020537A"/>
    <w:pPr>
      <w:spacing w:after="0" w:line="240" w:lineRule="auto"/>
    </w:pPr>
    <w:rPr>
      <w:color w:val="FFFFFF"/>
      <w:sz w:val="2"/>
    </w:rPr>
  </w:style>
  <w:style w:type="paragraph" w:styleId="TDC7">
    <w:name w:val="toc 7"/>
    <w:basedOn w:val="Normal"/>
    <w:next w:val="FinTDC"/>
    <w:autoRedefine/>
    <w:uiPriority w:val="39"/>
    <w:unhideWhenUsed/>
    <w:rsid w:val="0020537A"/>
    <w:pPr>
      <w:spacing w:after="0" w:line="20" w:lineRule="atLeast"/>
      <w:ind w:left="1418"/>
      <w:jc w:val="left"/>
    </w:pPr>
    <w:rPr>
      <w:i/>
      <w:color w:val="5F2987"/>
      <w:sz w:val="12"/>
    </w:rPr>
  </w:style>
  <w:style w:type="paragraph" w:customStyle="1" w:styleId="FinTDC">
    <w:name w:val="FinTDC"/>
    <w:basedOn w:val="Nivel1"/>
    <w:qFormat/>
    <w:rsid w:val="0020537A"/>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20537A"/>
    <w:pPr>
      <w:spacing w:after="0" w:line="240" w:lineRule="auto"/>
      <w:jc w:val="left"/>
    </w:pPr>
    <w:rPr>
      <w:sz w:val="15"/>
    </w:rPr>
  </w:style>
  <w:style w:type="paragraph" w:styleId="TDC9">
    <w:name w:val="toc 9"/>
    <w:basedOn w:val="TDC8"/>
    <w:next w:val="FinTDC"/>
    <w:autoRedefine/>
    <w:uiPriority w:val="39"/>
    <w:semiHidden/>
    <w:unhideWhenUsed/>
    <w:rsid w:val="0020537A"/>
    <w:pPr>
      <w:ind w:left="1760"/>
    </w:pPr>
  </w:style>
  <w:style w:type="paragraph" w:customStyle="1" w:styleId="Apartado0">
    <w:name w:val="Apartado 0"/>
    <w:basedOn w:val="Ttulo1"/>
    <w:next w:val="Normal"/>
    <w:link w:val="Apartado0Car"/>
    <w:qFormat/>
    <w:rsid w:val="0020537A"/>
    <w:pPr>
      <w:numPr>
        <w:numId w:val="14"/>
      </w:numPr>
      <w:ind w:left="357" w:hanging="357"/>
    </w:pPr>
  </w:style>
  <w:style w:type="character" w:customStyle="1" w:styleId="Apartado0Car">
    <w:name w:val="Apartado 0 Car"/>
    <w:basedOn w:val="Ttulo1Car"/>
    <w:link w:val="Apartado0"/>
    <w:rsid w:val="0020537A"/>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20537A"/>
    <w:pPr>
      <w:numPr>
        <w:ilvl w:val="3"/>
      </w:numPr>
      <w:ind w:left="1899" w:hanging="198"/>
    </w:pPr>
  </w:style>
  <w:style w:type="paragraph" w:customStyle="1" w:styleId="Nivel5">
    <w:name w:val="Nivel 5"/>
    <w:basedOn w:val="Nivel4"/>
    <w:link w:val="Nivel5Car"/>
    <w:qFormat/>
    <w:rsid w:val="0020537A"/>
    <w:pPr>
      <w:numPr>
        <w:ilvl w:val="4"/>
      </w:numPr>
      <w:ind w:left="2155" w:hanging="170"/>
    </w:pPr>
  </w:style>
  <w:style w:type="character" w:customStyle="1" w:styleId="Nivel2Car">
    <w:name w:val="Nivel 2 Car"/>
    <w:basedOn w:val="Fuentedeprrafopredeter"/>
    <w:link w:val="Nivel2"/>
    <w:rsid w:val="0020537A"/>
    <w:rPr>
      <w:rFonts w:ascii="Palatino Linotype" w:hAnsi="Palatino Linotype"/>
      <w:lang w:val="es-ES"/>
    </w:rPr>
  </w:style>
  <w:style w:type="character" w:customStyle="1" w:styleId="Nivel3Car">
    <w:name w:val="Nivel 3 Car"/>
    <w:basedOn w:val="Nivel2Car"/>
    <w:link w:val="Nivel3"/>
    <w:rsid w:val="0020537A"/>
    <w:rPr>
      <w:rFonts w:ascii="Palatino Linotype" w:hAnsi="Palatino Linotype"/>
      <w:lang w:val="es-ES"/>
    </w:rPr>
  </w:style>
  <w:style w:type="character" w:customStyle="1" w:styleId="Nivel4Car">
    <w:name w:val="Nivel 4 Car"/>
    <w:basedOn w:val="Nivel3Car"/>
    <w:link w:val="Nivel4"/>
    <w:rsid w:val="0020537A"/>
    <w:rPr>
      <w:rFonts w:ascii="Palatino Linotype" w:hAnsi="Palatino Linotype"/>
      <w:lang w:val="es-ES"/>
    </w:rPr>
  </w:style>
  <w:style w:type="paragraph" w:customStyle="1" w:styleId="Nivel6">
    <w:name w:val="Nivel 6"/>
    <w:basedOn w:val="Nivel5"/>
    <w:link w:val="Nivel6Car"/>
    <w:qFormat/>
    <w:rsid w:val="0020537A"/>
    <w:pPr>
      <w:numPr>
        <w:ilvl w:val="5"/>
      </w:numPr>
      <w:ind w:left="2438" w:hanging="227"/>
    </w:pPr>
  </w:style>
  <w:style w:type="character" w:customStyle="1" w:styleId="Nivel5Car">
    <w:name w:val="Nivel 5 Car"/>
    <w:basedOn w:val="Nivel4Car"/>
    <w:link w:val="Nivel5"/>
    <w:rsid w:val="0020537A"/>
    <w:rPr>
      <w:rFonts w:ascii="Palatino Linotype" w:hAnsi="Palatino Linotype"/>
      <w:lang w:val="es-ES"/>
    </w:rPr>
  </w:style>
  <w:style w:type="paragraph" w:customStyle="1" w:styleId="Nivel7">
    <w:name w:val="Nivel 7"/>
    <w:basedOn w:val="Nivel5"/>
    <w:link w:val="Nivel7Car"/>
    <w:qFormat/>
    <w:rsid w:val="0020537A"/>
    <w:pPr>
      <w:numPr>
        <w:ilvl w:val="6"/>
      </w:numPr>
      <w:ind w:left="2722" w:hanging="170"/>
    </w:pPr>
  </w:style>
  <w:style w:type="character" w:customStyle="1" w:styleId="Nivel6Car">
    <w:name w:val="Nivel 6 Car"/>
    <w:basedOn w:val="Nivel5Car"/>
    <w:link w:val="Nivel6"/>
    <w:rsid w:val="0020537A"/>
    <w:rPr>
      <w:rFonts w:ascii="Palatino Linotype" w:hAnsi="Palatino Linotype"/>
      <w:lang w:val="es-ES"/>
    </w:rPr>
  </w:style>
  <w:style w:type="character" w:customStyle="1" w:styleId="Nivel7Car">
    <w:name w:val="Nivel 7 Car"/>
    <w:basedOn w:val="Nivel5Car"/>
    <w:link w:val="Nivel7"/>
    <w:rsid w:val="0020537A"/>
    <w:rPr>
      <w:rFonts w:ascii="Palatino Linotype" w:hAnsi="Palatino Linotype"/>
      <w:lang w:val="es-ES"/>
    </w:rPr>
  </w:style>
  <w:style w:type="paragraph" w:customStyle="1" w:styleId="Ttulo10">
    <w:name w:val="Título 10"/>
    <w:basedOn w:val="Ttulo9"/>
    <w:link w:val="Ttulo10Car"/>
    <w:qFormat/>
    <w:rsid w:val="0020537A"/>
    <w:pPr>
      <w:ind w:left="1276"/>
    </w:pPr>
    <w:rPr>
      <w:w w:val="97"/>
      <w:sz w:val="20"/>
    </w:rPr>
  </w:style>
  <w:style w:type="character" w:customStyle="1" w:styleId="Ttulo10Car">
    <w:name w:val="Título 10 Car"/>
    <w:basedOn w:val="Ttulo9Car"/>
    <w:link w:val="Ttulo10"/>
    <w:rsid w:val="0020537A"/>
    <w:rPr>
      <w:rFonts w:ascii="Palatino Linotype" w:eastAsiaTheme="majorEastAsia" w:hAnsi="Palatino Linotype" w:cstheme="majorBidi"/>
      <w:i/>
      <w:color w:val="240F33"/>
      <w:spacing w:val="-4"/>
      <w:w w:val="97"/>
      <w:sz w:val="20"/>
      <w:szCs w:val="21"/>
      <w:u w:val="dotted"/>
      <w:lang w:val="es-ES"/>
    </w:rPr>
  </w:style>
  <w:style w:type="paragraph" w:styleId="Listaconvietas2">
    <w:name w:val="List Bullet 2"/>
    <w:basedOn w:val="Normal"/>
    <w:uiPriority w:val="99"/>
    <w:unhideWhenUsed/>
    <w:rsid w:val="002B33A6"/>
    <w:pPr>
      <w:tabs>
        <w:tab w:val="num" w:pos="643"/>
      </w:tabs>
      <w:ind w:left="643" w:hanging="360"/>
      <w:contextualSpacing/>
    </w:pPr>
  </w:style>
  <w:style w:type="paragraph" w:styleId="Listaconvietas3">
    <w:name w:val="List Bullet 3"/>
    <w:basedOn w:val="Normal"/>
    <w:uiPriority w:val="99"/>
    <w:unhideWhenUsed/>
    <w:rsid w:val="002B33A6"/>
    <w:pPr>
      <w:tabs>
        <w:tab w:val="num" w:pos="926"/>
      </w:tabs>
      <w:ind w:left="926" w:hanging="360"/>
      <w:contextualSpacing/>
    </w:pPr>
  </w:style>
  <w:style w:type="paragraph" w:styleId="Listaconvietas4">
    <w:name w:val="List Bullet 4"/>
    <w:basedOn w:val="Normal"/>
    <w:uiPriority w:val="99"/>
    <w:unhideWhenUsed/>
    <w:rsid w:val="002B33A6"/>
    <w:pPr>
      <w:tabs>
        <w:tab w:val="num" w:pos="1209"/>
      </w:tabs>
      <w:ind w:left="1209" w:hanging="360"/>
      <w:contextualSpacing/>
    </w:pPr>
  </w:style>
  <w:style w:type="paragraph" w:styleId="Listaconvietas5">
    <w:name w:val="List Bullet 5"/>
    <w:basedOn w:val="Normal"/>
    <w:uiPriority w:val="99"/>
    <w:unhideWhenUsed/>
    <w:rsid w:val="002B33A6"/>
    <w:pPr>
      <w:tabs>
        <w:tab w:val="num" w:pos="1492"/>
      </w:tabs>
      <w:ind w:left="1492" w:hanging="360"/>
      <w:contextualSpacing/>
    </w:pPr>
  </w:style>
  <w:style w:type="paragraph" w:styleId="Textoindependiente">
    <w:name w:val="Body Text"/>
    <w:basedOn w:val="Normal"/>
    <w:link w:val="TextoindependienteCar"/>
    <w:uiPriority w:val="99"/>
    <w:unhideWhenUsed/>
    <w:rsid w:val="002B33A6"/>
  </w:style>
  <w:style w:type="character" w:customStyle="1" w:styleId="TextoindependienteCar">
    <w:name w:val="Texto independiente Car"/>
    <w:basedOn w:val="Fuentedeprrafopredeter"/>
    <w:link w:val="Textoindependiente"/>
    <w:uiPriority w:val="99"/>
    <w:rsid w:val="002B33A6"/>
    <w:rPr>
      <w:rFonts w:ascii="Palatino Linotype" w:hAnsi="Palatino Linotype"/>
      <w:lang w:val="es-ES"/>
    </w:rPr>
  </w:style>
  <w:style w:type="paragraph" w:styleId="Sangradetextonormal">
    <w:name w:val="Body Text Indent"/>
    <w:basedOn w:val="Normal"/>
    <w:link w:val="SangradetextonormalCar"/>
    <w:uiPriority w:val="99"/>
    <w:semiHidden/>
    <w:unhideWhenUsed/>
    <w:rsid w:val="002B33A6"/>
    <w:pPr>
      <w:ind w:left="283"/>
    </w:pPr>
  </w:style>
  <w:style w:type="character" w:customStyle="1" w:styleId="SangradetextonormalCar">
    <w:name w:val="Sangría de texto normal Car"/>
    <w:basedOn w:val="Fuentedeprrafopredeter"/>
    <w:link w:val="Sangradetextonormal"/>
    <w:uiPriority w:val="99"/>
    <w:semiHidden/>
    <w:rsid w:val="002B33A6"/>
    <w:rPr>
      <w:rFonts w:ascii="Palatino Linotype" w:hAnsi="Palatino Linotype"/>
      <w:lang w:val="es-ES"/>
    </w:rPr>
  </w:style>
  <w:style w:type="paragraph" w:styleId="Textoindependienteprimerasangra2">
    <w:name w:val="Body Text First Indent 2"/>
    <w:basedOn w:val="Sangradetextonormal"/>
    <w:link w:val="Textoindependienteprimerasangra2Car"/>
    <w:uiPriority w:val="99"/>
    <w:unhideWhenUsed/>
    <w:rsid w:val="002B33A6"/>
    <w:pPr>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2B33A6"/>
    <w:rPr>
      <w:rFonts w:ascii="Palatino Linotype" w:hAnsi="Palatino Linotype"/>
      <w:lang w:val="es-ES"/>
    </w:rPr>
  </w:style>
  <w:style w:type="paragraph" w:customStyle="1" w:styleId="Comentario">
    <w:name w:val="Comentario"/>
    <w:basedOn w:val="Notaalopositor"/>
    <w:qFormat/>
    <w:rsid w:val="0020537A"/>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20537A"/>
    <w:pPr>
      <w:numPr>
        <w:ilvl w:val="7"/>
      </w:numPr>
      <w:ind w:left="3005" w:hanging="170"/>
    </w:pPr>
  </w:style>
  <w:style w:type="character" w:customStyle="1" w:styleId="Nivel8Car">
    <w:name w:val="Nivel 8 Car"/>
    <w:basedOn w:val="Nivel7Car"/>
    <w:link w:val="Nivel8"/>
    <w:rsid w:val="0020537A"/>
    <w:rPr>
      <w:rFonts w:ascii="Palatino Linotype" w:hAnsi="Palatino Linotype"/>
      <w:lang w:val="es-ES"/>
    </w:rPr>
  </w:style>
  <w:style w:type="paragraph" w:customStyle="1" w:styleId="Advertencia">
    <w:name w:val="Advertencia"/>
    <w:basedOn w:val="Normal"/>
    <w:next w:val="Normal"/>
    <w:link w:val="AdvertenciaCar"/>
    <w:qFormat/>
    <w:rsid w:val="0020537A"/>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20537A"/>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20537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0537A"/>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20537A"/>
    <w:rPr>
      <w:vertAlign w:val="superscript"/>
    </w:rPr>
  </w:style>
  <w:style w:type="paragraph" w:styleId="Piedepgina">
    <w:name w:val="footer"/>
    <w:basedOn w:val="Normal"/>
    <w:link w:val="PiedepginaCar"/>
    <w:uiPriority w:val="99"/>
    <w:unhideWhenUsed/>
    <w:qFormat/>
    <w:rsid w:val="0092340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23407"/>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4065704">
      <w:bodyDiv w:val="1"/>
      <w:marLeft w:val="0"/>
      <w:marRight w:val="0"/>
      <w:marTop w:val="0"/>
      <w:marBottom w:val="0"/>
      <w:divBdr>
        <w:top w:val="none" w:sz="0" w:space="0" w:color="auto"/>
        <w:left w:val="none" w:sz="0" w:space="0" w:color="auto"/>
        <w:bottom w:val="none" w:sz="0" w:space="0" w:color="auto"/>
        <w:right w:val="none" w:sz="0" w:space="0" w:color="auto"/>
      </w:divBdr>
    </w:div>
    <w:div w:id="857891307">
      <w:bodyDiv w:val="1"/>
      <w:marLeft w:val="0"/>
      <w:marRight w:val="0"/>
      <w:marTop w:val="0"/>
      <w:marBottom w:val="0"/>
      <w:divBdr>
        <w:top w:val="none" w:sz="0" w:space="0" w:color="auto"/>
        <w:left w:val="none" w:sz="0" w:space="0" w:color="auto"/>
        <w:bottom w:val="none" w:sz="0" w:space="0" w:color="auto"/>
        <w:right w:val="none" w:sz="0" w:space="0" w:color="auto"/>
      </w:divBdr>
    </w:div>
    <w:div w:id="1507864936">
      <w:bodyDiv w:val="1"/>
      <w:marLeft w:val="0"/>
      <w:marRight w:val="0"/>
      <w:marTop w:val="0"/>
      <w:marBottom w:val="0"/>
      <w:divBdr>
        <w:top w:val="none" w:sz="0" w:space="0" w:color="auto"/>
        <w:left w:val="none" w:sz="0" w:space="0" w:color="auto"/>
        <w:bottom w:val="none" w:sz="0" w:space="0" w:color="auto"/>
        <w:right w:val="none" w:sz="0" w:space="0" w:color="auto"/>
      </w:divBdr>
    </w:div>
    <w:div w:id="2051226058">
      <w:bodyDiv w:val="1"/>
      <w:marLeft w:val="0"/>
      <w:marRight w:val="0"/>
      <w:marTop w:val="0"/>
      <w:marBottom w:val="0"/>
      <w:divBdr>
        <w:top w:val="none" w:sz="0" w:space="0" w:color="auto"/>
        <w:left w:val="none" w:sz="0" w:space="0" w:color="auto"/>
        <w:bottom w:val="none" w:sz="0" w:space="0" w:color="auto"/>
        <w:right w:val="none" w:sz="0" w:space="0" w:color="auto"/>
      </w:divBdr>
      <w:divsChild>
        <w:div w:id="800729114">
          <w:marLeft w:val="480"/>
          <w:marRight w:val="0"/>
          <w:marTop w:val="0"/>
          <w:marBottom w:val="0"/>
          <w:divBdr>
            <w:top w:val="none" w:sz="0" w:space="0" w:color="auto"/>
            <w:left w:val="none" w:sz="0" w:space="0" w:color="auto"/>
            <w:bottom w:val="none" w:sz="0" w:space="0" w:color="auto"/>
            <w:right w:val="none" w:sz="0" w:space="0" w:color="auto"/>
          </w:divBdr>
          <w:divsChild>
            <w:div w:id="103993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3723">
      <w:bodyDiv w:val="1"/>
      <w:marLeft w:val="0"/>
      <w:marRight w:val="0"/>
      <w:marTop w:val="0"/>
      <w:marBottom w:val="0"/>
      <w:divBdr>
        <w:top w:val="none" w:sz="0" w:space="0" w:color="auto"/>
        <w:left w:val="none" w:sz="0" w:space="0" w:color="auto"/>
        <w:bottom w:val="none" w:sz="0" w:space="0" w:color="auto"/>
        <w:right w:val="none" w:sz="0" w:space="0" w:color="auto"/>
      </w:divBdr>
      <w:divsChild>
        <w:div w:id="626739405">
          <w:marLeft w:val="480"/>
          <w:marRight w:val="0"/>
          <w:marTop w:val="0"/>
          <w:marBottom w:val="0"/>
          <w:divBdr>
            <w:top w:val="none" w:sz="0" w:space="0" w:color="auto"/>
            <w:left w:val="none" w:sz="0" w:space="0" w:color="auto"/>
            <w:bottom w:val="none" w:sz="0" w:space="0" w:color="auto"/>
            <w:right w:val="none" w:sz="0" w:space="0" w:color="auto"/>
          </w:divBdr>
          <w:divsChild>
            <w:div w:id="204741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microsoft.com/office/2007/relationships/diagramDrawing" Target="diagrams/drawing1.xml"/><Relationship Id="rId26" Type="http://schemas.openxmlformats.org/officeDocument/2006/relationships/image" Target="media/image13.png"/><Relationship Id="rId39" Type="http://schemas.openxmlformats.org/officeDocument/2006/relationships/hyperlink" Target="https://www.quia.com/quiz/6550397.html" TargetMode="External"/><Relationship Id="rId21" Type="http://schemas.microsoft.com/office/2007/relationships/hdphoto" Target="media/hdphoto1.wdp"/><Relationship Id="rId34" Type="http://schemas.openxmlformats.org/officeDocument/2006/relationships/hyperlink" Target="file:///C:\Users\UX533FD\Documents\Oposici&#243;n%20a%20TCEE\2.%20Temario\3.%20Tercer%20ejercicio\3.%20Materiales%20de%20otros%20preparadores\Parte%20A\Mis%20temas\&#193;ngel%20%5bCourse%20Manual%5d.pdf" TargetMode="External"/><Relationship Id="rId42" Type="http://schemas.openxmlformats.org/officeDocument/2006/relationships/image" Target="media/image18.png"/><Relationship Id="rId47" Type="http://schemas.openxmlformats.org/officeDocument/2006/relationships/header" Target="header1.xml"/><Relationship Id="rId50" Type="http://schemas.openxmlformats.org/officeDocument/2006/relationships/footer" Target="footer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QuickStyle" Target="diagrams/quickStyle1.xml"/><Relationship Id="rId29" Type="http://schemas.microsoft.com/office/2007/relationships/hdphoto" Target="media/hdphoto3.wdp"/><Relationship Id="rId11" Type="http://schemas.openxmlformats.org/officeDocument/2006/relationships/image" Target="media/image4.png"/><Relationship Id="rId24" Type="http://schemas.openxmlformats.org/officeDocument/2006/relationships/image" Target="media/image11.gif"/><Relationship Id="rId32" Type="http://schemas.openxmlformats.org/officeDocument/2006/relationships/image" Target="media/image17.png"/><Relationship Id="rId37" Type="http://schemas.openxmlformats.org/officeDocument/2006/relationships/hyperlink" Target="file:///C:\Users\UX533FD\Documents\Oposici&#243;n%20a%20TCEE\2.%20Temario\3.%20Tercer%20ejercicio\3.%20Materiales%20de%20otros%20preparadores\Materiales%20por%20temas\Parte%20A%20-%20Econom&#237;a%20General\Tema%203.A.26\3.A.26%20-%203.A.27%20-%203.B.12.%20Documento%20Comisi&#243;n%20Europea%20-%20SEC%202010.Pdf" TargetMode="External"/><Relationship Id="rId40" Type="http://schemas.openxmlformats.org/officeDocument/2006/relationships/hyperlink" Target="file:///C:\Users\UX533FD\Documents\Oposici&#243;n%20a%20TCEE\2.%20Temario\3.%20Tercer%20ejercicio\3.%20Materiales%20de%20otros%20preparadores\Materiales%20por%20temas\Parte%20A%20-%20Econom&#237;a%20General\Tema%203.A.26\Cambios%20del%20SEC-2010%20%5bNota_metodologica_SEC_2010%5d.pdf" TargetMode="External"/><Relationship Id="rId45" Type="http://schemas.openxmlformats.org/officeDocument/2006/relationships/image" Target="media/image20.png"/><Relationship Id="rId53" Type="http://schemas.openxmlformats.org/officeDocument/2006/relationships/header" Target="header4.xml"/><Relationship Id="rId5" Type="http://schemas.openxmlformats.org/officeDocument/2006/relationships/webSettings" Target="webSettings.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Data" Target="diagrams/data1.xml"/><Relationship Id="rId22" Type="http://schemas.openxmlformats.org/officeDocument/2006/relationships/image" Target="media/image9.png"/><Relationship Id="rId27" Type="http://schemas.microsoft.com/office/2007/relationships/hdphoto" Target="media/hdphoto2.wdp"/><Relationship Id="rId30" Type="http://schemas.openxmlformats.org/officeDocument/2006/relationships/image" Target="media/image15.jpeg"/><Relationship Id="rId35" Type="http://schemas.openxmlformats.org/officeDocument/2006/relationships/hyperlink" Target="file:///C:\Users\UX533FD\Documents\Oposici&#243;n%20a%20TCEE\2.%20Temario\3.%20Tercer%20ejercicio\3.%20Materiales%20de%20otros%20preparadores\Materiales%20por%20temas\Parte%20A%20-%20Econom&#237;a%20General\Tema%203.A.26\3.A.26.%20SEC-2010%20Reglamento%20549-2013%20L00001-00727.pdf" TargetMode="External"/><Relationship Id="rId43" Type="http://schemas.microsoft.com/office/2007/relationships/hdphoto" Target="media/hdphoto4.wdp"/><Relationship Id="rId48" Type="http://schemas.openxmlformats.org/officeDocument/2006/relationships/header" Target="header2.xml"/><Relationship Id="rId56" Type="http://schemas.openxmlformats.org/officeDocument/2006/relationships/glossaryDocument" Target="glossary/document.xml"/><Relationship Id="rId8" Type="http://schemas.openxmlformats.org/officeDocument/2006/relationships/image" Target="media/image1.png"/><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diagramColors" Target="diagrams/colors1.xml"/><Relationship Id="rId25" Type="http://schemas.openxmlformats.org/officeDocument/2006/relationships/image" Target="media/image12.jpg"/><Relationship Id="rId33" Type="http://schemas.openxmlformats.org/officeDocument/2006/relationships/hyperlink" Target="https://proview.thomsonreuters.com/launchapp/title/aranz/monografias/116004025/v6/page/RB-6.1" TargetMode="External"/><Relationship Id="rId38" Type="http://schemas.openxmlformats.org/officeDocument/2006/relationships/hyperlink" Target="file:///C:\Users\UX533FD\Documents\Oposici&#243;n%20a%20TCEE\2.%20Temario\3.%20Tercer%20ejercicio\3.%20Materiales%20de%20otros%20preparadores\Materiales%20por%20temas\Parte%20A%20-%20Econom&#237;a%20General\Tema%203.A.26\Comprendiendo%20las%20Cuentas%20Nacionales%20%20Segunda%20Edici&#243;n.pdf" TargetMode="External"/><Relationship Id="rId46" Type="http://schemas.openxmlformats.org/officeDocument/2006/relationships/hyperlink" Target="https://youtu.be/DRg-HM2GzXw" TargetMode="External"/><Relationship Id="rId20" Type="http://schemas.openxmlformats.org/officeDocument/2006/relationships/image" Target="media/image8.png"/><Relationship Id="rId41" Type="http://schemas.openxmlformats.org/officeDocument/2006/relationships/hyperlink" Target="file://C:\Users\UX533FD\Documents\Oposici&#243;n%20a%20TCEE\2.%20Temario\3.%20Tercer%20ejercicio\3.%20Materiales%20de%20otros%20preparadores\Materiales%20por%20temas\Parte%20A%20-%20Econom&#237;a%20General\Tema%203.A.26\Las%20novedades%20metodol&#243;gicas%20del%20SEC%202010%20desde%20el%20enfoque%20institucional%20de%20la%20Contabilidad%20Nacional%20%5bp9%5d.pdf"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Layout" Target="diagrams/layout1.xml"/><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hyperlink" Target="https://www.boe.es/doue/2013/174/L00001-00727.pdf" TargetMode="External"/><Relationship Id="rId49" Type="http://schemas.openxmlformats.org/officeDocument/2006/relationships/footer" Target="footer1.xml"/><Relationship Id="rId57"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16.png"/><Relationship Id="rId44" Type="http://schemas.openxmlformats.org/officeDocument/2006/relationships/image" Target="media/image19.png"/><Relationship Id="rId5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boe.es/doue/2013/174/L00001-00727.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FD506F-2361-4CC5-ACC6-2B743F6FD165}"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en-GB"/>
        </a:p>
      </dgm:t>
    </dgm:pt>
    <dgm:pt modelId="{CE63D591-DDB3-40D9-9AF2-33ED3165AD0A}">
      <dgm:prSet phldrT="[Text]" custT="1"/>
      <dgm:spPr>
        <a:ln>
          <a:solidFill>
            <a:srgbClr val="5F2987"/>
          </a:solidFill>
        </a:ln>
      </dgm:spPr>
      <dgm:t>
        <a:bodyPr/>
        <a:lstStyle/>
        <a:p>
          <a:pPr algn="ctr"/>
          <a:r>
            <a:rPr lang="en-GB" sz="1050">
              <a:latin typeface="Garamond" panose="02020404030301010803" pitchFamily="18" charset="0"/>
            </a:rPr>
            <a:t>Impuestos</a:t>
          </a:r>
        </a:p>
      </dgm:t>
    </dgm:pt>
    <dgm:pt modelId="{E25ED1EE-8CDD-485B-A3A2-C74603E733B4}" type="parTrans" cxnId="{C7B4F4BB-A9F8-45C9-A2E1-09B7109D74E0}">
      <dgm:prSet/>
      <dgm:spPr/>
      <dgm:t>
        <a:bodyPr/>
        <a:lstStyle/>
        <a:p>
          <a:pPr algn="ctr"/>
          <a:endParaRPr lang="en-GB">
            <a:latin typeface="Garamond" panose="02020404030301010803" pitchFamily="18" charset="0"/>
          </a:endParaRPr>
        </a:p>
      </dgm:t>
    </dgm:pt>
    <dgm:pt modelId="{0E034C34-A8C9-43B4-831B-73A634CF80A1}" type="sibTrans" cxnId="{C7B4F4BB-A9F8-45C9-A2E1-09B7109D74E0}">
      <dgm:prSet/>
      <dgm:spPr/>
      <dgm:t>
        <a:bodyPr/>
        <a:lstStyle/>
        <a:p>
          <a:pPr algn="ctr"/>
          <a:endParaRPr lang="en-GB">
            <a:latin typeface="Garamond" panose="02020404030301010803" pitchFamily="18" charset="0"/>
          </a:endParaRPr>
        </a:p>
      </dgm:t>
    </dgm:pt>
    <dgm:pt modelId="{E1958368-DB21-480E-B4F5-7728A7F762E5}">
      <dgm:prSet phldrT="[Text]" custT="1"/>
      <dgm:spPr>
        <a:ln>
          <a:solidFill>
            <a:srgbClr val="5F2987"/>
          </a:solidFill>
        </a:ln>
      </dgm:spPr>
      <dgm:t>
        <a:bodyPr/>
        <a:lstStyle/>
        <a:p>
          <a:pPr algn="ctr"/>
          <a:r>
            <a:rPr lang="en-GB" sz="1000">
              <a:latin typeface="Garamond" panose="02020404030301010803" pitchFamily="18" charset="0"/>
            </a:rPr>
            <a:t>Producción</a:t>
          </a:r>
        </a:p>
      </dgm:t>
    </dgm:pt>
    <dgm:pt modelId="{382366B0-4868-49EA-BEE4-FFF041EFF868}" type="parTrans" cxnId="{433BD4C6-0212-4F60-940D-6DD4EEA75E1B}">
      <dgm:prSet/>
      <dgm:spPr>
        <a:ln>
          <a:solidFill>
            <a:srgbClr val="5F2987"/>
          </a:solidFill>
        </a:ln>
      </dgm:spPr>
      <dgm:t>
        <a:bodyPr/>
        <a:lstStyle/>
        <a:p>
          <a:pPr algn="ctr"/>
          <a:endParaRPr lang="en-GB">
            <a:latin typeface="Garamond" panose="02020404030301010803" pitchFamily="18" charset="0"/>
          </a:endParaRPr>
        </a:p>
      </dgm:t>
    </dgm:pt>
    <dgm:pt modelId="{66BBCEC1-B6FD-4748-BEC6-43B484DCB750}" type="sibTrans" cxnId="{433BD4C6-0212-4F60-940D-6DD4EEA75E1B}">
      <dgm:prSet/>
      <dgm:spPr/>
      <dgm:t>
        <a:bodyPr/>
        <a:lstStyle/>
        <a:p>
          <a:pPr algn="ctr"/>
          <a:endParaRPr lang="en-GB">
            <a:latin typeface="Garamond" panose="02020404030301010803" pitchFamily="18" charset="0"/>
          </a:endParaRPr>
        </a:p>
      </dgm:t>
    </dgm:pt>
    <dgm:pt modelId="{1550A000-A987-47E0-AF0A-1B16A97A678F}">
      <dgm:prSet phldrT="[Text]"/>
      <dgm:spPr>
        <a:ln>
          <a:solidFill>
            <a:srgbClr val="5F2987"/>
          </a:solidFill>
        </a:ln>
      </dgm:spPr>
      <dgm:t>
        <a:bodyPr/>
        <a:lstStyle/>
        <a:p>
          <a:pPr algn="ctr"/>
          <a:r>
            <a:rPr lang="en-GB">
              <a:latin typeface="Garamond" panose="02020404030301010803" pitchFamily="18" charset="0"/>
            </a:rPr>
            <a:t>Impuestos sobre los productos</a:t>
          </a:r>
        </a:p>
      </dgm:t>
    </dgm:pt>
    <dgm:pt modelId="{65220AA6-43F0-4050-A772-AB8660859C3A}" type="parTrans" cxnId="{A574E231-6D7D-453D-9151-2C043CAE1AF8}">
      <dgm:prSet/>
      <dgm:spPr>
        <a:ln>
          <a:solidFill>
            <a:srgbClr val="5F2987"/>
          </a:solidFill>
        </a:ln>
      </dgm:spPr>
      <dgm:t>
        <a:bodyPr/>
        <a:lstStyle/>
        <a:p>
          <a:pPr algn="ctr"/>
          <a:endParaRPr lang="en-GB">
            <a:latin typeface="Garamond" panose="02020404030301010803" pitchFamily="18" charset="0"/>
          </a:endParaRPr>
        </a:p>
      </dgm:t>
    </dgm:pt>
    <dgm:pt modelId="{5FA26539-D545-4DEC-9ACB-0B00D02E5532}" type="sibTrans" cxnId="{A574E231-6D7D-453D-9151-2C043CAE1AF8}">
      <dgm:prSet/>
      <dgm:spPr/>
      <dgm:t>
        <a:bodyPr/>
        <a:lstStyle/>
        <a:p>
          <a:pPr algn="ctr"/>
          <a:endParaRPr lang="en-GB">
            <a:latin typeface="Garamond" panose="02020404030301010803" pitchFamily="18" charset="0"/>
          </a:endParaRPr>
        </a:p>
      </dgm:t>
    </dgm:pt>
    <dgm:pt modelId="{2FB6C8E2-B97F-4FFF-A52E-41FB37D7BC8B}">
      <dgm:prSet phldrT="[Text]"/>
      <dgm:spPr>
        <a:ln>
          <a:solidFill>
            <a:srgbClr val="5F2987"/>
          </a:solidFill>
        </a:ln>
      </dgm:spPr>
      <dgm:t>
        <a:bodyPr/>
        <a:lstStyle/>
        <a:p>
          <a:pPr algn="ctr"/>
          <a:r>
            <a:rPr lang="en-GB">
              <a:latin typeface="Garamond" panose="02020404030301010803" pitchFamily="18" charset="0"/>
            </a:rPr>
            <a:t>Otros impuestos sobre la producción</a:t>
          </a:r>
        </a:p>
      </dgm:t>
    </dgm:pt>
    <dgm:pt modelId="{1CE9D758-72C4-46D1-A3B3-7C9BB8FDD308}" type="parTrans" cxnId="{E76AF5E5-CCA3-4754-9D3A-96B750C384B5}">
      <dgm:prSet/>
      <dgm:spPr>
        <a:ln>
          <a:solidFill>
            <a:srgbClr val="5F2987"/>
          </a:solidFill>
        </a:ln>
      </dgm:spPr>
      <dgm:t>
        <a:bodyPr/>
        <a:lstStyle/>
        <a:p>
          <a:pPr algn="ctr"/>
          <a:endParaRPr lang="en-GB">
            <a:latin typeface="Garamond" panose="02020404030301010803" pitchFamily="18" charset="0"/>
          </a:endParaRPr>
        </a:p>
      </dgm:t>
    </dgm:pt>
    <dgm:pt modelId="{8E276A83-A9E7-4674-AC99-77EF4EFC6878}" type="sibTrans" cxnId="{E76AF5E5-CCA3-4754-9D3A-96B750C384B5}">
      <dgm:prSet/>
      <dgm:spPr/>
      <dgm:t>
        <a:bodyPr/>
        <a:lstStyle/>
        <a:p>
          <a:pPr algn="ctr"/>
          <a:endParaRPr lang="en-GB">
            <a:latin typeface="Garamond" panose="02020404030301010803" pitchFamily="18" charset="0"/>
          </a:endParaRPr>
        </a:p>
      </dgm:t>
    </dgm:pt>
    <dgm:pt modelId="{EEFC9806-CBD4-42BE-BFBF-F8E9AB335A3F}">
      <dgm:prSet phldrT="[Text]" custT="1"/>
      <dgm:spPr>
        <a:ln>
          <a:solidFill>
            <a:srgbClr val="5F2987"/>
          </a:solidFill>
        </a:ln>
      </dgm:spPr>
      <dgm:t>
        <a:bodyPr/>
        <a:lstStyle/>
        <a:p>
          <a:pPr algn="ctr"/>
          <a:r>
            <a:rPr lang="en-GB" sz="1000">
              <a:latin typeface="Garamond" panose="02020404030301010803" pitchFamily="18" charset="0"/>
            </a:rPr>
            <a:t>Resto</a:t>
          </a:r>
        </a:p>
      </dgm:t>
    </dgm:pt>
    <dgm:pt modelId="{D37CF5CE-9DCD-4F96-8BE0-850F1A4FD3FF}" type="parTrans" cxnId="{3E224705-B83B-4C31-BCB3-172E3D93B26A}">
      <dgm:prSet/>
      <dgm:spPr>
        <a:ln>
          <a:solidFill>
            <a:srgbClr val="5F2987"/>
          </a:solidFill>
        </a:ln>
      </dgm:spPr>
      <dgm:t>
        <a:bodyPr/>
        <a:lstStyle/>
        <a:p>
          <a:pPr algn="ctr"/>
          <a:endParaRPr lang="en-GB">
            <a:latin typeface="Garamond" panose="02020404030301010803" pitchFamily="18" charset="0"/>
          </a:endParaRPr>
        </a:p>
      </dgm:t>
    </dgm:pt>
    <dgm:pt modelId="{8F0DC486-814C-412D-B1D3-FBCF57F6962E}" type="sibTrans" cxnId="{3E224705-B83B-4C31-BCB3-172E3D93B26A}">
      <dgm:prSet/>
      <dgm:spPr/>
      <dgm:t>
        <a:bodyPr/>
        <a:lstStyle/>
        <a:p>
          <a:pPr algn="ctr"/>
          <a:endParaRPr lang="en-GB">
            <a:latin typeface="Garamond" panose="02020404030301010803" pitchFamily="18" charset="0"/>
          </a:endParaRPr>
        </a:p>
      </dgm:t>
    </dgm:pt>
    <dgm:pt modelId="{B4C50B7B-C598-4E99-A6B3-6D3713D39B36}">
      <dgm:prSet phldrT="[Text]"/>
      <dgm:spPr>
        <a:ln>
          <a:solidFill>
            <a:srgbClr val="5F2987"/>
          </a:solidFill>
        </a:ln>
      </dgm:spPr>
      <dgm:t>
        <a:bodyPr/>
        <a:lstStyle/>
        <a:p>
          <a:pPr algn="ctr"/>
          <a:r>
            <a:rPr lang="en-GB">
              <a:latin typeface="Garamond" panose="02020404030301010803" pitchFamily="18" charset="0"/>
            </a:rPr>
            <a:t>IVA</a:t>
          </a:r>
        </a:p>
      </dgm:t>
    </dgm:pt>
    <dgm:pt modelId="{D82B5322-7386-4D06-8F13-695DE0EA62EA}" type="parTrans" cxnId="{C272B890-4870-4D2C-8809-3A4D086BF210}">
      <dgm:prSet/>
      <dgm:spPr>
        <a:ln>
          <a:solidFill>
            <a:srgbClr val="5F2987"/>
          </a:solidFill>
        </a:ln>
      </dgm:spPr>
      <dgm:t>
        <a:bodyPr/>
        <a:lstStyle/>
        <a:p>
          <a:pPr algn="ctr"/>
          <a:endParaRPr lang="es-ES"/>
        </a:p>
      </dgm:t>
    </dgm:pt>
    <dgm:pt modelId="{C7F3DBF5-A392-4032-B936-EC1C6E68E0F7}" type="sibTrans" cxnId="{C272B890-4870-4D2C-8809-3A4D086BF210}">
      <dgm:prSet/>
      <dgm:spPr/>
      <dgm:t>
        <a:bodyPr/>
        <a:lstStyle/>
        <a:p>
          <a:pPr algn="ctr"/>
          <a:endParaRPr lang="es-ES"/>
        </a:p>
      </dgm:t>
    </dgm:pt>
    <dgm:pt modelId="{42266F70-F7E4-4E4F-91BF-E918E2A28614}">
      <dgm:prSet phldrT="[Text]"/>
      <dgm:spPr>
        <a:ln>
          <a:solidFill>
            <a:srgbClr val="5F2987"/>
          </a:solidFill>
        </a:ln>
      </dgm:spPr>
      <dgm:t>
        <a:bodyPr/>
        <a:lstStyle/>
        <a:p>
          <a:pPr algn="ctr"/>
          <a:r>
            <a:rPr lang="en-GB">
              <a:latin typeface="Garamond" panose="02020404030301010803" pitchFamily="18" charset="0"/>
            </a:rPr>
            <a:t>Impuestos sobre importaciones</a:t>
          </a:r>
        </a:p>
      </dgm:t>
    </dgm:pt>
    <dgm:pt modelId="{72958093-560F-4804-BA69-FDE7B5A360DC}" type="parTrans" cxnId="{4E459027-A65E-4661-B5FA-4860BBABE3F2}">
      <dgm:prSet/>
      <dgm:spPr>
        <a:ln>
          <a:solidFill>
            <a:srgbClr val="5F2987"/>
          </a:solidFill>
        </a:ln>
      </dgm:spPr>
      <dgm:t>
        <a:bodyPr/>
        <a:lstStyle/>
        <a:p>
          <a:pPr algn="ctr"/>
          <a:endParaRPr lang="es-ES"/>
        </a:p>
      </dgm:t>
    </dgm:pt>
    <dgm:pt modelId="{25D17161-ABC9-47DF-BD04-FE511F6D934A}" type="sibTrans" cxnId="{4E459027-A65E-4661-B5FA-4860BBABE3F2}">
      <dgm:prSet/>
      <dgm:spPr/>
      <dgm:t>
        <a:bodyPr/>
        <a:lstStyle/>
        <a:p>
          <a:pPr algn="ctr"/>
          <a:endParaRPr lang="es-ES"/>
        </a:p>
      </dgm:t>
    </dgm:pt>
    <dgm:pt modelId="{5B2E5BA5-A8A1-42B5-B6DE-DB857014AD7D}">
      <dgm:prSet phldrT="[Text]"/>
      <dgm:spPr>
        <a:ln>
          <a:solidFill>
            <a:srgbClr val="5F2987"/>
          </a:solidFill>
        </a:ln>
      </dgm:spPr>
      <dgm:t>
        <a:bodyPr/>
        <a:lstStyle/>
        <a:p>
          <a:pPr algn="ctr"/>
          <a:r>
            <a:rPr lang="en-GB">
              <a:latin typeface="Garamond" panose="02020404030301010803" pitchFamily="18" charset="0"/>
            </a:rPr>
            <a:t>Otros</a:t>
          </a:r>
        </a:p>
      </dgm:t>
    </dgm:pt>
    <dgm:pt modelId="{7CFBA2F4-65A9-41B1-A44F-F12FE0B5C9C4}" type="parTrans" cxnId="{5AF9811C-379C-4E4B-8434-F860F8601AA5}">
      <dgm:prSet/>
      <dgm:spPr>
        <a:ln>
          <a:solidFill>
            <a:srgbClr val="5F2987"/>
          </a:solidFill>
        </a:ln>
      </dgm:spPr>
      <dgm:t>
        <a:bodyPr/>
        <a:lstStyle/>
        <a:p>
          <a:pPr algn="ctr"/>
          <a:endParaRPr lang="es-ES"/>
        </a:p>
      </dgm:t>
    </dgm:pt>
    <dgm:pt modelId="{68DDEDE7-1894-4744-96D5-2918A85C7BA7}" type="sibTrans" cxnId="{5AF9811C-379C-4E4B-8434-F860F8601AA5}">
      <dgm:prSet/>
      <dgm:spPr/>
      <dgm:t>
        <a:bodyPr/>
        <a:lstStyle/>
        <a:p>
          <a:pPr algn="ctr"/>
          <a:endParaRPr lang="es-ES"/>
        </a:p>
      </dgm:t>
    </dgm:pt>
    <dgm:pt modelId="{709B826E-6EFD-487C-BA72-F525F81C7F98}" type="pres">
      <dgm:prSet presAssocID="{AAFD506F-2361-4CC5-ACC6-2B743F6FD165}" presName="diagram" presStyleCnt="0">
        <dgm:presLayoutVars>
          <dgm:chPref val="1"/>
          <dgm:dir/>
          <dgm:animOne val="branch"/>
          <dgm:animLvl val="lvl"/>
          <dgm:resizeHandles val="exact"/>
        </dgm:presLayoutVars>
      </dgm:prSet>
      <dgm:spPr/>
    </dgm:pt>
    <dgm:pt modelId="{8843E22C-61E4-4A4B-B19D-604D94B49804}" type="pres">
      <dgm:prSet presAssocID="{CE63D591-DDB3-40D9-9AF2-33ED3165AD0A}" presName="root1" presStyleCnt="0"/>
      <dgm:spPr/>
    </dgm:pt>
    <dgm:pt modelId="{7C2761A6-82EA-4AEA-80BB-5F8E25B68E5A}" type="pres">
      <dgm:prSet presAssocID="{CE63D591-DDB3-40D9-9AF2-33ED3165AD0A}" presName="LevelOneTextNode" presStyleLbl="node0" presStyleIdx="0" presStyleCnt="1">
        <dgm:presLayoutVars>
          <dgm:chPref val="3"/>
        </dgm:presLayoutVars>
      </dgm:prSet>
      <dgm:spPr/>
    </dgm:pt>
    <dgm:pt modelId="{BBAC426B-7414-4ED8-BA72-F166189565F8}" type="pres">
      <dgm:prSet presAssocID="{CE63D591-DDB3-40D9-9AF2-33ED3165AD0A}" presName="level2hierChild" presStyleCnt="0"/>
      <dgm:spPr/>
    </dgm:pt>
    <dgm:pt modelId="{920C7AD9-5B86-4699-B3A6-8A9288E0D4F9}" type="pres">
      <dgm:prSet presAssocID="{382366B0-4868-49EA-BEE4-FFF041EFF868}" presName="conn2-1" presStyleLbl="parChTrans1D2" presStyleIdx="0" presStyleCnt="2"/>
      <dgm:spPr/>
    </dgm:pt>
    <dgm:pt modelId="{2FEE0063-C916-433D-A9AD-96ADF5895C24}" type="pres">
      <dgm:prSet presAssocID="{382366B0-4868-49EA-BEE4-FFF041EFF868}" presName="connTx" presStyleLbl="parChTrans1D2" presStyleIdx="0" presStyleCnt="2"/>
      <dgm:spPr/>
    </dgm:pt>
    <dgm:pt modelId="{DB0839C8-8A82-493C-8CC1-4CFFF5975744}" type="pres">
      <dgm:prSet presAssocID="{E1958368-DB21-480E-B4F5-7728A7F762E5}" presName="root2" presStyleCnt="0"/>
      <dgm:spPr/>
    </dgm:pt>
    <dgm:pt modelId="{2BEEE392-126B-4934-8132-2D2A7DC5DF63}" type="pres">
      <dgm:prSet presAssocID="{E1958368-DB21-480E-B4F5-7728A7F762E5}" presName="LevelTwoTextNode" presStyleLbl="node2" presStyleIdx="0" presStyleCnt="2">
        <dgm:presLayoutVars>
          <dgm:chPref val="3"/>
        </dgm:presLayoutVars>
      </dgm:prSet>
      <dgm:spPr/>
    </dgm:pt>
    <dgm:pt modelId="{ED963594-35F5-41DF-8E19-99F0FE510077}" type="pres">
      <dgm:prSet presAssocID="{E1958368-DB21-480E-B4F5-7728A7F762E5}" presName="level3hierChild" presStyleCnt="0"/>
      <dgm:spPr/>
    </dgm:pt>
    <dgm:pt modelId="{4FBE0415-231E-4E3B-8305-D3C3B41AD8D6}" type="pres">
      <dgm:prSet presAssocID="{65220AA6-43F0-4050-A772-AB8660859C3A}" presName="conn2-1" presStyleLbl="parChTrans1D3" presStyleIdx="0" presStyleCnt="2"/>
      <dgm:spPr/>
    </dgm:pt>
    <dgm:pt modelId="{F8A13C92-F05E-4AC3-AFE5-7B91A9F63F73}" type="pres">
      <dgm:prSet presAssocID="{65220AA6-43F0-4050-A772-AB8660859C3A}" presName="connTx" presStyleLbl="parChTrans1D3" presStyleIdx="0" presStyleCnt="2"/>
      <dgm:spPr/>
    </dgm:pt>
    <dgm:pt modelId="{C3408249-5A6B-4FF8-9278-794ACA1BFD88}" type="pres">
      <dgm:prSet presAssocID="{1550A000-A987-47E0-AF0A-1B16A97A678F}" presName="root2" presStyleCnt="0"/>
      <dgm:spPr/>
    </dgm:pt>
    <dgm:pt modelId="{390E068C-87E8-4332-B92D-4ADAB33464C8}" type="pres">
      <dgm:prSet presAssocID="{1550A000-A987-47E0-AF0A-1B16A97A678F}" presName="LevelTwoTextNode" presStyleLbl="node3" presStyleIdx="0" presStyleCnt="2">
        <dgm:presLayoutVars>
          <dgm:chPref val="3"/>
        </dgm:presLayoutVars>
      </dgm:prSet>
      <dgm:spPr/>
    </dgm:pt>
    <dgm:pt modelId="{8129A765-D73C-4D7D-9999-1A3E243F569C}" type="pres">
      <dgm:prSet presAssocID="{1550A000-A987-47E0-AF0A-1B16A97A678F}" presName="level3hierChild" presStyleCnt="0"/>
      <dgm:spPr/>
    </dgm:pt>
    <dgm:pt modelId="{BF2B834A-4F3D-4EC7-BB1F-E08D5E2AA255}" type="pres">
      <dgm:prSet presAssocID="{D82B5322-7386-4D06-8F13-695DE0EA62EA}" presName="conn2-1" presStyleLbl="parChTrans1D4" presStyleIdx="0" presStyleCnt="3"/>
      <dgm:spPr/>
    </dgm:pt>
    <dgm:pt modelId="{DE6EBF54-A525-40DC-8DBF-8240D8F76BE5}" type="pres">
      <dgm:prSet presAssocID="{D82B5322-7386-4D06-8F13-695DE0EA62EA}" presName="connTx" presStyleLbl="parChTrans1D4" presStyleIdx="0" presStyleCnt="3"/>
      <dgm:spPr/>
    </dgm:pt>
    <dgm:pt modelId="{D79EDE77-902E-4413-BBAA-042AB93BB94B}" type="pres">
      <dgm:prSet presAssocID="{B4C50B7B-C598-4E99-A6B3-6D3713D39B36}" presName="root2" presStyleCnt="0"/>
      <dgm:spPr/>
    </dgm:pt>
    <dgm:pt modelId="{58D9606C-3B1E-45D2-A517-54CE07FD7235}" type="pres">
      <dgm:prSet presAssocID="{B4C50B7B-C598-4E99-A6B3-6D3713D39B36}" presName="LevelTwoTextNode" presStyleLbl="node4" presStyleIdx="0" presStyleCnt="3" custScaleX="110391" custScaleY="54559">
        <dgm:presLayoutVars>
          <dgm:chPref val="3"/>
        </dgm:presLayoutVars>
      </dgm:prSet>
      <dgm:spPr/>
    </dgm:pt>
    <dgm:pt modelId="{3F12F0FC-B245-4CFA-9776-1F93C6492637}" type="pres">
      <dgm:prSet presAssocID="{B4C50B7B-C598-4E99-A6B3-6D3713D39B36}" presName="level3hierChild" presStyleCnt="0"/>
      <dgm:spPr/>
    </dgm:pt>
    <dgm:pt modelId="{B94DD90A-165C-4E41-8DF7-1FD76C111894}" type="pres">
      <dgm:prSet presAssocID="{72958093-560F-4804-BA69-FDE7B5A360DC}" presName="conn2-1" presStyleLbl="parChTrans1D4" presStyleIdx="1" presStyleCnt="3"/>
      <dgm:spPr/>
    </dgm:pt>
    <dgm:pt modelId="{6E9F4F80-BA25-40F4-BA7B-55AA757BD54C}" type="pres">
      <dgm:prSet presAssocID="{72958093-560F-4804-BA69-FDE7B5A360DC}" presName="connTx" presStyleLbl="parChTrans1D4" presStyleIdx="1" presStyleCnt="3"/>
      <dgm:spPr/>
    </dgm:pt>
    <dgm:pt modelId="{EC7A597C-84BE-41E4-8CF4-1B66B80F2EC8}" type="pres">
      <dgm:prSet presAssocID="{42266F70-F7E4-4E4F-91BF-E918E2A28614}" presName="root2" presStyleCnt="0"/>
      <dgm:spPr/>
    </dgm:pt>
    <dgm:pt modelId="{1750E523-226F-4CF8-A122-C78AC1F392FF}" type="pres">
      <dgm:prSet presAssocID="{42266F70-F7E4-4E4F-91BF-E918E2A28614}" presName="LevelTwoTextNode" presStyleLbl="node4" presStyleIdx="1" presStyleCnt="3" custScaleX="110391" custScaleY="54559">
        <dgm:presLayoutVars>
          <dgm:chPref val="3"/>
        </dgm:presLayoutVars>
      </dgm:prSet>
      <dgm:spPr/>
    </dgm:pt>
    <dgm:pt modelId="{D831E02E-4365-4335-B1C1-9CE230D7651B}" type="pres">
      <dgm:prSet presAssocID="{42266F70-F7E4-4E4F-91BF-E918E2A28614}" presName="level3hierChild" presStyleCnt="0"/>
      <dgm:spPr/>
    </dgm:pt>
    <dgm:pt modelId="{647C7D88-B2A6-48C2-8679-23451BBC9F4F}" type="pres">
      <dgm:prSet presAssocID="{7CFBA2F4-65A9-41B1-A44F-F12FE0B5C9C4}" presName="conn2-1" presStyleLbl="parChTrans1D4" presStyleIdx="2" presStyleCnt="3"/>
      <dgm:spPr/>
    </dgm:pt>
    <dgm:pt modelId="{2F3ED9A8-3666-4044-A812-0B957AD05607}" type="pres">
      <dgm:prSet presAssocID="{7CFBA2F4-65A9-41B1-A44F-F12FE0B5C9C4}" presName="connTx" presStyleLbl="parChTrans1D4" presStyleIdx="2" presStyleCnt="3"/>
      <dgm:spPr/>
    </dgm:pt>
    <dgm:pt modelId="{7187E1CF-6E8D-409B-9BCB-BDA4A23C2DB5}" type="pres">
      <dgm:prSet presAssocID="{5B2E5BA5-A8A1-42B5-B6DE-DB857014AD7D}" presName="root2" presStyleCnt="0"/>
      <dgm:spPr/>
    </dgm:pt>
    <dgm:pt modelId="{1D507963-EE55-45A8-B095-D2F3B89B46F8}" type="pres">
      <dgm:prSet presAssocID="{5B2E5BA5-A8A1-42B5-B6DE-DB857014AD7D}" presName="LevelTwoTextNode" presStyleLbl="node4" presStyleIdx="2" presStyleCnt="3" custScaleX="110391" custScaleY="54559">
        <dgm:presLayoutVars>
          <dgm:chPref val="3"/>
        </dgm:presLayoutVars>
      </dgm:prSet>
      <dgm:spPr/>
    </dgm:pt>
    <dgm:pt modelId="{6A96472A-3D6B-4C6F-AD98-EFEAEC3D100D}" type="pres">
      <dgm:prSet presAssocID="{5B2E5BA5-A8A1-42B5-B6DE-DB857014AD7D}" presName="level3hierChild" presStyleCnt="0"/>
      <dgm:spPr/>
    </dgm:pt>
    <dgm:pt modelId="{E81AC797-7EB4-4295-908E-83F2D941CC5B}" type="pres">
      <dgm:prSet presAssocID="{1CE9D758-72C4-46D1-A3B3-7C9BB8FDD308}" presName="conn2-1" presStyleLbl="parChTrans1D3" presStyleIdx="1" presStyleCnt="2"/>
      <dgm:spPr/>
    </dgm:pt>
    <dgm:pt modelId="{08B1FDBC-74B4-4EC3-B156-CBFA1725274C}" type="pres">
      <dgm:prSet presAssocID="{1CE9D758-72C4-46D1-A3B3-7C9BB8FDD308}" presName="connTx" presStyleLbl="parChTrans1D3" presStyleIdx="1" presStyleCnt="2"/>
      <dgm:spPr/>
    </dgm:pt>
    <dgm:pt modelId="{632B999D-8AC5-4C7F-95FF-7A52EC1D9683}" type="pres">
      <dgm:prSet presAssocID="{2FB6C8E2-B97F-4FFF-A52E-41FB37D7BC8B}" presName="root2" presStyleCnt="0"/>
      <dgm:spPr/>
    </dgm:pt>
    <dgm:pt modelId="{F3E92EAF-FF95-4685-B28F-6D34D162339B}" type="pres">
      <dgm:prSet presAssocID="{2FB6C8E2-B97F-4FFF-A52E-41FB37D7BC8B}" presName="LevelTwoTextNode" presStyleLbl="node3" presStyleIdx="1" presStyleCnt="2">
        <dgm:presLayoutVars>
          <dgm:chPref val="3"/>
        </dgm:presLayoutVars>
      </dgm:prSet>
      <dgm:spPr/>
    </dgm:pt>
    <dgm:pt modelId="{FD131E09-2ADA-4294-8B5F-B2373AB976D2}" type="pres">
      <dgm:prSet presAssocID="{2FB6C8E2-B97F-4FFF-A52E-41FB37D7BC8B}" presName="level3hierChild" presStyleCnt="0"/>
      <dgm:spPr/>
    </dgm:pt>
    <dgm:pt modelId="{79E24A38-0DC3-4B27-BE8F-8C3F73A33369}" type="pres">
      <dgm:prSet presAssocID="{D37CF5CE-9DCD-4F96-8BE0-850F1A4FD3FF}" presName="conn2-1" presStyleLbl="parChTrans1D2" presStyleIdx="1" presStyleCnt="2"/>
      <dgm:spPr/>
    </dgm:pt>
    <dgm:pt modelId="{4E24E803-B06D-4554-B0B7-E989E8EB5DA0}" type="pres">
      <dgm:prSet presAssocID="{D37CF5CE-9DCD-4F96-8BE0-850F1A4FD3FF}" presName="connTx" presStyleLbl="parChTrans1D2" presStyleIdx="1" presStyleCnt="2"/>
      <dgm:spPr/>
    </dgm:pt>
    <dgm:pt modelId="{01A8A4C8-44A1-4D8A-95D3-361811F2C2E4}" type="pres">
      <dgm:prSet presAssocID="{EEFC9806-CBD4-42BE-BFBF-F8E9AB335A3F}" presName="root2" presStyleCnt="0"/>
      <dgm:spPr/>
    </dgm:pt>
    <dgm:pt modelId="{F5742226-42F2-4540-9B40-F39D2DE584D6}" type="pres">
      <dgm:prSet presAssocID="{EEFC9806-CBD4-42BE-BFBF-F8E9AB335A3F}" presName="LevelTwoTextNode" presStyleLbl="node2" presStyleIdx="1" presStyleCnt="2">
        <dgm:presLayoutVars>
          <dgm:chPref val="3"/>
        </dgm:presLayoutVars>
      </dgm:prSet>
      <dgm:spPr/>
    </dgm:pt>
    <dgm:pt modelId="{55D17A68-B110-4AED-AB45-9A30EB24C51B}" type="pres">
      <dgm:prSet presAssocID="{EEFC9806-CBD4-42BE-BFBF-F8E9AB335A3F}" presName="level3hierChild" presStyleCnt="0"/>
      <dgm:spPr/>
    </dgm:pt>
  </dgm:ptLst>
  <dgm:cxnLst>
    <dgm:cxn modelId="{3E224705-B83B-4C31-BCB3-172E3D93B26A}" srcId="{CE63D591-DDB3-40D9-9AF2-33ED3165AD0A}" destId="{EEFC9806-CBD4-42BE-BFBF-F8E9AB335A3F}" srcOrd="1" destOrd="0" parTransId="{D37CF5CE-9DCD-4F96-8BE0-850F1A4FD3FF}" sibTransId="{8F0DC486-814C-412D-B1D3-FBCF57F6962E}"/>
    <dgm:cxn modelId="{50EFFD05-4E36-42C5-902E-57104DD4FC9D}" type="presOf" srcId="{D37CF5CE-9DCD-4F96-8BE0-850F1A4FD3FF}" destId="{4E24E803-B06D-4554-B0B7-E989E8EB5DA0}" srcOrd="1" destOrd="0" presId="urn:microsoft.com/office/officeart/2005/8/layout/hierarchy2"/>
    <dgm:cxn modelId="{5AF9811C-379C-4E4B-8434-F860F8601AA5}" srcId="{1550A000-A987-47E0-AF0A-1B16A97A678F}" destId="{5B2E5BA5-A8A1-42B5-B6DE-DB857014AD7D}" srcOrd="2" destOrd="0" parTransId="{7CFBA2F4-65A9-41B1-A44F-F12FE0B5C9C4}" sibTransId="{68DDEDE7-1894-4744-96D5-2918A85C7BA7}"/>
    <dgm:cxn modelId="{504B2C24-04F5-4682-AE86-69CABA0957DB}" type="presOf" srcId="{CE63D591-DDB3-40D9-9AF2-33ED3165AD0A}" destId="{7C2761A6-82EA-4AEA-80BB-5F8E25B68E5A}" srcOrd="0" destOrd="0" presId="urn:microsoft.com/office/officeart/2005/8/layout/hierarchy2"/>
    <dgm:cxn modelId="{F1378126-17AA-44E3-9A92-E62E256F4F2F}" type="presOf" srcId="{7CFBA2F4-65A9-41B1-A44F-F12FE0B5C9C4}" destId="{2F3ED9A8-3666-4044-A812-0B957AD05607}" srcOrd="1" destOrd="0" presId="urn:microsoft.com/office/officeart/2005/8/layout/hierarchy2"/>
    <dgm:cxn modelId="{4E459027-A65E-4661-B5FA-4860BBABE3F2}" srcId="{1550A000-A987-47E0-AF0A-1B16A97A678F}" destId="{42266F70-F7E4-4E4F-91BF-E918E2A28614}" srcOrd="1" destOrd="0" parTransId="{72958093-560F-4804-BA69-FDE7B5A360DC}" sibTransId="{25D17161-ABC9-47DF-BD04-FE511F6D934A}"/>
    <dgm:cxn modelId="{DE70972A-27A5-419E-B2CE-EC19FBB44682}" type="presOf" srcId="{2FB6C8E2-B97F-4FFF-A52E-41FB37D7BC8B}" destId="{F3E92EAF-FF95-4685-B28F-6D34D162339B}" srcOrd="0" destOrd="0" presId="urn:microsoft.com/office/officeart/2005/8/layout/hierarchy2"/>
    <dgm:cxn modelId="{B128322C-E991-4E1E-A1AE-3140FC1B74A1}" type="presOf" srcId="{5B2E5BA5-A8A1-42B5-B6DE-DB857014AD7D}" destId="{1D507963-EE55-45A8-B095-D2F3B89B46F8}" srcOrd="0" destOrd="0" presId="urn:microsoft.com/office/officeart/2005/8/layout/hierarchy2"/>
    <dgm:cxn modelId="{A574E231-6D7D-453D-9151-2C043CAE1AF8}" srcId="{E1958368-DB21-480E-B4F5-7728A7F762E5}" destId="{1550A000-A987-47E0-AF0A-1B16A97A678F}" srcOrd="0" destOrd="0" parTransId="{65220AA6-43F0-4050-A772-AB8660859C3A}" sibTransId="{5FA26539-D545-4DEC-9ACB-0B00D02E5532}"/>
    <dgm:cxn modelId="{3D8C963A-3032-4E34-B2BC-68D571158C9B}" type="presOf" srcId="{1CE9D758-72C4-46D1-A3B3-7C9BB8FDD308}" destId="{08B1FDBC-74B4-4EC3-B156-CBFA1725274C}" srcOrd="1" destOrd="0" presId="urn:microsoft.com/office/officeart/2005/8/layout/hierarchy2"/>
    <dgm:cxn modelId="{52B98946-21FA-4451-B1D5-B5BD161CD162}" type="presOf" srcId="{72958093-560F-4804-BA69-FDE7B5A360DC}" destId="{6E9F4F80-BA25-40F4-BA7B-55AA757BD54C}" srcOrd="1" destOrd="0" presId="urn:microsoft.com/office/officeart/2005/8/layout/hierarchy2"/>
    <dgm:cxn modelId="{C2344249-1084-4086-8087-E787F66FBDB5}" type="presOf" srcId="{42266F70-F7E4-4E4F-91BF-E918E2A28614}" destId="{1750E523-226F-4CF8-A122-C78AC1F392FF}" srcOrd="0" destOrd="0" presId="urn:microsoft.com/office/officeart/2005/8/layout/hierarchy2"/>
    <dgm:cxn modelId="{35159E6B-25BA-4B10-BC29-E732CEA03C74}" type="presOf" srcId="{1CE9D758-72C4-46D1-A3B3-7C9BB8FDD308}" destId="{E81AC797-7EB4-4295-908E-83F2D941CC5B}" srcOrd="0" destOrd="0" presId="urn:microsoft.com/office/officeart/2005/8/layout/hierarchy2"/>
    <dgm:cxn modelId="{8BA8A94D-F986-4BAC-B850-C447D391C9B3}" type="presOf" srcId="{1550A000-A987-47E0-AF0A-1B16A97A678F}" destId="{390E068C-87E8-4332-B92D-4ADAB33464C8}" srcOrd="0" destOrd="0" presId="urn:microsoft.com/office/officeart/2005/8/layout/hierarchy2"/>
    <dgm:cxn modelId="{9C2AC651-C509-4C55-8FCB-06C1CAFDBCA0}" type="presOf" srcId="{382366B0-4868-49EA-BEE4-FFF041EFF868}" destId="{920C7AD9-5B86-4699-B3A6-8A9288E0D4F9}" srcOrd="0" destOrd="0" presId="urn:microsoft.com/office/officeart/2005/8/layout/hierarchy2"/>
    <dgm:cxn modelId="{CADD217D-AE5C-4C76-BBA6-C84736FB3BD9}" type="presOf" srcId="{E1958368-DB21-480E-B4F5-7728A7F762E5}" destId="{2BEEE392-126B-4934-8132-2D2A7DC5DF63}" srcOrd="0" destOrd="0" presId="urn:microsoft.com/office/officeart/2005/8/layout/hierarchy2"/>
    <dgm:cxn modelId="{67F0568E-3DEA-421F-919E-6E1C7D921087}" type="presOf" srcId="{B4C50B7B-C598-4E99-A6B3-6D3713D39B36}" destId="{58D9606C-3B1E-45D2-A517-54CE07FD7235}" srcOrd="0" destOrd="0" presId="urn:microsoft.com/office/officeart/2005/8/layout/hierarchy2"/>
    <dgm:cxn modelId="{C272B890-4870-4D2C-8809-3A4D086BF210}" srcId="{1550A000-A987-47E0-AF0A-1B16A97A678F}" destId="{B4C50B7B-C598-4E99-A6B3-6D3713D39B36}" srcOrd="0" destOrd="0" parTransId="{D82B5322-7386-4D06-8F13-695DE0EA62EA}" sibTransId="{C7F3DBF5-A392-4032-B936-EC1C6E68E0F7}"/>
    <dgm:cxn modelId="{85E749A2-B8C0-48C0-836B-2C9E26E2FC1C}" type="presOf" srcId="{AAFD506F-2361-4CC5-ACC6-2B743F6FD165}" destId="{709B826E-6EFD-487C-BA72-F525F81C7F98}" srcOrd="0" destOrd="0" presId="urn:microsoft.com/office/officeart/2005/8/layout/hierarchy2"/>
    <dgm:cxn modelId="{805E87A5-6064-4CEA-B0C7-8746876B9D3B}" type="presOf" srcId="{D82B5322-7386-4D06-8F13-695DE0EA62EA}" destId="{DE6EBF54-A525-40DC-8DBF-8240D8F76BE5}" srcOrd="1" destOrd="0" presId="urn:microsoft.com/office/officeart/2005/8/layout/hierarchy2"/>
    <dgm:cxn modelId="{F7E242AA-7778-4906-A7FE-A153A85313AE}" type="presOf" srcId="{D37CF5CE-9DCD-4F96-8BE0-850F1A4FD3FF}" destId="{79E24A38-0DC3-4B27-BE8F-8C3F73A33369}" srcOrd="0" destOrd="0" presId="urn:microsoft.com/office/officeart/2005/8/layout/hierarchy2"/>
    <dgm:cxn modelId="{D6E03EB8-3CE9-44BF-A9B7-8CB78BCCD442}" type="presOf" srcId="{72958093-560F-4804-BA69-FDE7B5A360DC}" destId="{B94DD90A-165C-4E41-8DF7-1FD76C111894}" srcOrd="0" destOrd="0" presId="urn:microsoft.com/office/officeart/2005/8/layout/hierarchy2"/>
    <dgm:cxn modelId="{52A074BB-A9F4-472F-9058-DC027388CC7B}" type="presOf" srcId="{D82B5322-7386-4D06-8F13-695DE0EA62EA}" destId="{BF2B834A-4F3D-4EC7-BB1F-E08D5E2AA255}" srcOrd="0" destOrd="0" presId="urn:microsoft.com/office/officeart/2005/8/layout/hierarchy2"/>
    <dgm:cxn modelId="{C7B4F4BB-A9F8-45C9-A2E1-09B7109D74E0}" srcId="{AAFD506F-2361-4CC5-ACC6-2B743F6FD165}" destId="{CE63D591-DDB3-40D9-9AF2-33ED3165AD0A}" srcOrd="0" destOrd="0" parTransId="{E25ED1EE-8CDD-485B-A3A2-C74603E733B4}" sibTransId="{0E034C34-A8C9-43B4-831B-73A634CF80A1}"/>
    <dgm:cxn modelId="{3E5917C2-06D9-4F4E-A7A5-A5683529C35A}" type="presOf" srcId="{7CFBA2F4-65A9-41B1-A44F-F12FE0B5C9C4}" destId="{647C7D88-B2A6-48C2-8679-23451BBC9F4F}" srcOrd="0" destOrd="0" presId="urn:microsoft.com/office/officeart/2005/8/layout/hierarchy2"/>
    <dgm:cxn modelId="{433BD4C6-0212-4F60-940D-6DD4EEA75E1B}" srcId="{CE63D591-DDB3-40D9-9AF2-33ED3165AD0A}" destId="{E1958368-DB21-480E-B4F5-7728A7F762E5}" srcOrd="0" destOrd="0" parTransId="{382366B0-4868-49EA-BEE4-FFF041EFF868}" sibTransId="{66BBCEC1-B6FD-4748-BEC6-43B484DCB750}"/>
    <dgm:cxn modelId="{EC2D3FD3-123B-4E6E-8C64-CAFE2A12A31F}" type="presOf" srcId="{65220AA6-43F0-4050-A772-AB8660859C3A}" destId="{F8A13C92-F05E-4AC3-AFE5-7B91A9F63F73}" srcOrd="1" destOrd="0" presId="urn:microsoft.com/office/officeart/2005/8/layout/hierarchy2"/>
    <dgm:cxn modelId="{FAB22FD7-83C3-4169-A98F-6A2F947B3934}" type="presOf" srcId="{EEFC9806-CBD4-42BE-BFBF-F8E9AB335A3F}" destId="{F5742226-42F2-4540-9B40-F39D2DE584D6}" srcOrd="0" destOrd="0" presId="urn:microsoft.com/office/officeart/2005/8/layout/hierarchy2"/>
    <dgm:cxn modelId="{E04380DA-FEF8-4C5D-A8DB-D33B73697208}" type="presOf" srcId="{65220AA6-43F0-4050-A772-AB8660859C3A}" destId="{4FBE0415-231E-4E3B-8305-D3C3B41AD8D6}" srcOrd="0" destOrd="0" presId="urn:microsoft.com/office/officeart/2005/8/layout/hierarchy2"/>
    <dgm:cxn modelId="{5CA50CDE-4838-4237-A9D4-870465A2472F}" type="presOf" srcId="{382366B0-4868-49EA-BEE4-FFF041EFF868}" destId="{2FEE0063-C916-433D-A9AD-96ADF5895C24}" srcOrd="1" destOrd="0" presId="urn:microsoft.com/office/officeart/2005/8/layout/hierarchy2"/>
    <dgm:cxn modelId="{E76AF5E5-CCA3-4754-9D3A-96B750C384B5}" srcId="{E1958368-DB21-480E-B4F5-7728A7F762E5}" destId="{2FB6C8E2-B97F-4FFF-A52E-41FB37D7BC8B}" srcOrd="1" destOrd="0" parTransId="{1CE9D758-72C4-46D1-A3B3-7C9BB8FDD308}" sibTransId="{8E276A83-A9E7-4674-AC99-77EF4EFC6878}"/>
    <dgm:cxn modelId="{D0215543-795C-4A33-8112-562B8776E557}" type="presParOf" srcId="{709B826E-6EFD-487C-BA72-F525F81C7F98}" destId="{8843E22C-61E4-4A4B-B19D-604D94B49804}" srcOrd="0" destOrd="0" presId="urn:microsoft.com/office/officeart/2005/8/layout/hierarchy2"/>
    <dgm:cxn modelId="{17A96368-8D80-4BE2-8E34-E2CF1B456854}" type="presParOf" srcId="{8843E22C-61E4-4A4B-B19D-604D94B49804}" destId="{7C2761A6-82EA-4AEA-80BB-5F8E25B68E5A}" srcOrd="0" destOrd="0" presId="urn:microsoft.com/office/officeart/2005/8/layout/hierarchy2"/>
    <dgm:cxn modelId="{B6A54054-81E9-45A5-BA08-3BA6AB9C950B}" type="presParOf" srcId="{8843E22C-61E4-4A4B-B19D-604D94B49804}" destId="{BBAC426B-7414-4ED8-BA72-F166189565F8}" srcOrd="1" destOrd="0" presId="urn:microsoft.com/office/officeart/2005/8/layout/hierarchy2"/>
    <dgm:cxn modelId="{BA42796A-0008-4439-8A9F-240E5AE32D4A}" type="presParOf" srcId="{BBAC426B-7414-4ED8-BA72-F166189565F8}" destId="{920C7AD9-5B86-4699-B3A6-8A9288E0D4F9}" srcOrd="0" destOrd="0" presId="urn:microsoft.com/office/officeart/2005/8/layout/hierarchy2"/>
    <dgm:cxn modelId="{9DFD5FBE-4F9D-4B50-B63E-50718D8D68B3}" type="presParOf" srcId="{920C7AD9-5B86-4699-B3A6-8A9288E0D4F9}" destId="{2FEE0063-C916-433D-A9AD-96ADF5895C24}" srcOrd="0" destOrd="0" presId="urn:microsoft.com/office/officeart/2005/8/layout/hierarchy2"/>
    <dgm:cxn modelId="{73205D3D-E1FE-48C9-911E-EAC8550B8BE6}" type="presParOf" srcId="{BBAC426B-7414-4ED8-BA72-F166189565F8}" destId="{DB0839C8-8A82-493C-8CC1-4CFFF5975744}" srcOrd="1" destOrd="0" presId="urn:microsoft.com/office/officeart/2005/8/layout/hierarchy2"/>
    <dgm:cxn modelId="{2343A0D2-F2FA-4BAA-96B2-2E86093E0742}" type="presParOf" srcId="{DB0839C8-8A82-493C-8CC1-4CFFF5975744}" destId="{2BEEE392-126B-4934-8132-2D2A7DC5DF63}" srcOrd="0" destOrd="0" presId="urn:microsoft.com/office/officeart/2005/8/layout/hierarchy2"/>
    <dgm:cxn modelId="{7D4BB88E-669B-441F-AEA9-FC59C1FE4322}" type="presParOf" srcId="{DB0839C8-8A82-493C-8CC1-4CFFF5975744}" destId="{ED963594-35F5-41DF-8E19-99F0FE510077}" srcOrd="1" destOrd="0" presId="urn:microsoft.com/office/officeart/2005/8/layout/hierarchy2"/>
    <dgm:cxn modelId="{547E1745-70BF-4257-AFAF-496B327C1397}" type="presParOf" srcId="{ED963594-35F5-41DF-8E19-99F0FE510077}" destId="{4FBE0415-231E-4E3B-8305-D3C3B41AD8D6}" srcOrd="0" destOrd="0" presId="urn:microsoft.com/office/officeart/2005/8/layout/hierarchy2"/>
    <dgm:cxn modelId="{10BF02F5-21AF-4138-8BC3-DB4D10369AC4}" type="presParOf" srcId="{4FBE0415-231E-4E3B-8305-D3C3B41AD8D6}" destId="{F8A13C92-F05E-4AC3-AFE5-7B91A9F63F73}" srcOrd="0" destOrd="0" presId="urn:microsoft.com/office/officeart/2005/8/layout/hierarchy2"/>
    <dgm:cxn modelId="{CB33E138-4474-4F1F-AC08-0660CE0D99B3}" type="presParOf" srcId="{ED963594-35F5-41DF-8E19-99F0FE510077}" destId="{C3408249-5A6B-4FF8-9278-794ACA1BFD88}" srcOrd="1" destOrd="0" presId="urn:microsoft.com/office/officeart/2005/8/layout/hierarchy2"/>
    <dgm:cxn modelId="{06628804-AC38-4EC9-B04C-63BDFC4F2DC8}" type="presParOf" srcId="{C3408249-5A6B-4FF8-9278-794ACA1BFD88}" destId="{390E068C-87E8-4332-B92D-4ADAB33464C8}" srcOrd="0" destOrd="0" presId="urn:microsoft.com/office/officeart/2005/8/layout/hierarchy2"/>
    <dgm:cxn modelId="{603199BE-85E8-4D03-8A2D-1EEF8A1C139B}" type="presParOf" srcId="{C3408249-5A6B-4FF8-9278-794ACA1BFD88}" destId="{8129A765-D73C-4D7D-9999-1A3E243F569C}" srcOrd="1" destOrd="0" presId="urn:microsoft.com/office/officeart/2005/8/layout/hierarchy2"/>
    <dgm:cxn modelId="{3741D7A1-6F5A-4BB5-A326-5EB3B1E0B376}" type="presParOf" srcId="{8129A765-D73C-4D7D-9999-1A3E243F569C}" destId="{BF2B834A-4F3D-4EC7-BB1F-E08D5E2AA255}" srcOrd="0" destOrd="0" presId="urn:microsoft.com/office/officeart/2005/8/layout/hierarchy2"/>
    <dgm:cxn modelId="{7F6F09D4-D52E-446C-8A1F-5FDD5B143B06}" type="presParOf" srcId="{BF2B834A-4F3D-4EC7-BB1F-E08D5E2AA255}" destId="{DE6EBF54-A525-40DC-8DBF-8240D8F76BE5}" srcOrd="0" destOrd="0" presId="urn:microsoft.com/office/officeart/2005/8/layout/hierarchy2"/>
    <dgm:cxn modelId="{4EC7BDF4-39BA-4721-A827-341C1F7CC7A1}" type="presParOf" srcId="{8129A765-D73C-4D7D-9999-1A3E243F569C}" destId="{D79EDE77-902E-4413-BBAA-042AB93BB94B}" srcOrd="1" destOrd="0" presId="urn:microsoft.com/office/officeart/2005/8/layout/hierarchy2"/>
    <dgm:cxn modelId="{C84653CB-1BDC-4454-8511-A2D4012636A4}" type="presParOf" srcId="{D79EDE77-902E-4413-BBAA-042AB93BB94B}" destId="{58D9606C-3B1E-45D2-A517-54CE07FD7235}" srcOrd="0" destOrd="0" presId="urn:microsoft.com/office/officeart/2005/8/layout/hierarchy2"/>
    <dgm:cxn modelId="{4C35A6BD-8017-489D-8E13-7CFE774BD6C3}" type="presParOf" srcId="{D79EDE77-902E-4413-BBAA-042AB93BB94B}" destId="{3F12F0FC-B245-4CFA-9776-1F93C6492637}" srcOrd="1" destOrd="0" presId="urn:microsoft.com/office/officeart/2005/8/layout/hierarchy2"/>
    <dgm:cxn modelId="{6796C4C9-781D-4615-B8EA-CC0DBA8AD851}" type="presParOf" srcId="{8129A765-D73C-4D7D-9999-1A3E243F569C}" destId="{B94DD90A-165C-4E41-8DF7-1FD76C111894}" srcOrd="2" destOrd="0" presId="urn:microsoft.com/office/officeart/2005/8/layout/hierarchy2"/>
    <dgm:cxn modelId="{89101FAE-D7CD-4D2F-A341-702B0F67EB55}" type="presParOf" srcId="{B94DD90A-165C-4E41-8DF7-1FD76C111894}" destId="{6E9F4F80-BA25-40F4-BA7B-55AA757BD54C}" srcOrd="0" destOrd="0" presId="urn:microsoft.com/office/officeart/2005/8/layout/hierarchy2"/>
    <dgm:cxn modelId="{1FD47D4B-409D-4FD3-AF02-D1527E15295F}" type="presParOf" srcId="{8129A765-D73C-4D7D-9999-1A3E243F569C}" destId="{EC7A597C-84BE-41E4-8CF4-1B66B80F2EC8}" srcOrd="3" destOrd="0" presId="urn:microsoft.com/office/officeart/2005/8/layout/hierarchy2"/>
    <dgm:cxn modelId="{451AB156-489F-4A55-B09E-F2404F69AFD4}" type="presParOf" srcId="{EC7A597C-84BE-41E4-8CF4-1B66B80F2EC8}" destId="{1750E523-226F-4CF8-A122-C78AC1F392FF}" srcOrd="0" destOrd="0" presId="urn:microsoft.com/office/officeart/2005/8/layout/hierarchy2"/>
    <dgm:cxn modelId="{3C12C1E7-2F43-4996-975F-6530C992B5F4}" type="presParOf" srcId="{EC7A597C-84BE-41E4-8CF4-1B66B80F2EC8}" destId="{D831E02E-4365-4335-B1C1-9CE230D7651B}" srcOrd="1" destOrd="0" presId="urn:microsoft.com/office/officeart/2005/8/layout/hierarchy2"/>
    <dgm:cxn modelId="{D2B7E123-034C-4DEB-AFDE-1790235BCC38}" type="presParOf" srcId="{8129A765-D73C-4D7D-9999-1A3E243F569C}" destId="{647C7D88-B2A6-48C2-8679-23451BBC9F4F}" srcOrd="4" destOrd="0" presId="urn:microsoft.com/office/officeart/2005/8/layout/hierarchy2"/>
    <dgm:cxn modelId="{5950D349-F0F6-48A3-8168-F2383B57B5ED}" type="presParOf" srcId="{647C7D88-B2A6-48C2-8679-23451BBC9F4F}" destId="{2F3ED9A8-3666-4044-A812-0B957AD05607}" srcOrd="0" destOrd="0" presId="urn:microsoft.com/office/officeart/2005/8/layout/hierarchy2"/>
    <dgm:cxn modelId="{A09BFB3B-C6C4-4312-AE68-40240C8F60DB}" type="presParOf" srcId="{8129A765-D73C-4D7D-9999-1A3E243F569C}" destId="{7187E1CF-6E8D-409B-9BCB-BDA4A23C2DB5}" srcOrd="5" destOrd="0" presId="urn:microsoft.com/office/officeart/2005/8/layout/hierarchy2"/>
    <dgm:cxn modelId="{DD7DE7B0-92C2-40B3-9F29-4EE28BB6EF57}" type="presParOf" srcId="{7187E1CF-6E8D-409B-9BCB-BDA4A23C2DB5}" destId="{1D507963-EE55-45A8-B095-D2F3B89B46F8}" srcOrd="0" destOrd="0" presId="urn:microsoft.com/office/officeart/2005/8/layout/hierarchy2"/>
    <dgm:cxn modelId="{DA3E338F-E0FD-4625-8BDF-BA26DD88EFF3}" type="presParOf" srcId="{7187E1CF-6E8D-409B-9BCB-BDA4A23C2DB5}" destId="{6A96472A-3D6B-4C6F-AD98-EFEAEC3D100D}" srcOrd="1" destOrd="0" presId="urn:microsoft.com/office/officeart/2005/8/layout/hierarchy2"/>
    <dgm:cxn modelId="{8BB43C2A-DA77-4419-AB4B-D669B274BB29}" type="presParOf" srcId="{ED963594-35F5-41DF-8E19-99F0FE510077}" destId="{E81AC797-7EB4-4295-908E-83F2D941CC5B}" srcOrd="2" destOrd="0" presId="urn:microsoft.com/office/officeart/2005/8/layout/hierarchy2"/>
    <dgm:cxn modelId="{4C9A01CF-A020-49A5-80C1-F3E1CD027190}" type="presParOf" srcId="{E81AC797-7EB4-4295-908E-83F2D941CC5B}" destId="{08B1FDBC-74B4-4EC3-B156-CBFA1725274C}" srcOrd="0" destOrd="0" presId="urn:microsoft.com/office/officeart/2005/8/layout/hierarchy2"/>
    <dgm:cxn modelId="{8FC791A1-9223-4A9C-812D-580B3A1F3486}" type="presParOf" srcId="{ED963594-35F5-41DF-8E19-99F0FE510077}" destId="{632B999D-8AC5-4C7F-95FF-7A52EC1D9683}" srcOrd="3" destOrd="0" presId="urn:microsoft.com/office/officeart/2005/8/layout/hierarchy2"/>
    <dgm:cxn modelId="{5142BA12-78DC-446D-B5C5-3E91BE58F5A1}" type="presParOf" srcId="{632B999D-8AC5-4C7F-95FF-7A52EC1D9683}" destId="{F3E92EAF-FF95-4685-B28F-6D34D162339B}" srcOrd="0" destOrd="0" presId="urn:microsoft.com/office/officeart/2005/8/layout/hierarchy2"/>
    <dgm:cxn modelId="{76F987CD-5773-4364-B501-A856C7A21248}" type="presParOf" srcId="{632B999D-8AC5-4C7F-95FF-7A52EC1D9683}" destId="{FD131E09-2ADA-4294-8B5F-B2373AB976D2}" srcOrd="1" destOrd="0" presId="urn:microsoft.com/office/officeart/2005/8/layout/hierarchy2"/>
    <dgm:cxn modelId="{BA5E360C-AFBF-414F-894A-81E26B62AFB2}" type="presParOf" srcId="{BBAC426B-7414-4ED8-BA72-F166189565F8}" destId="{79E24A38-0DC3-4B27-BE8F-8C3F73A33369}" srcOrd="2" destOrd="0" presId="urn:microsoft.com/office/officeart/2005/8/layout/hierarchy2"/>
    <dgm:cxn modelId="{9F1C44D7-D409-43FC-99A8-DCB8EEE900A3}" type="presParOf" srcId="{79E24A38-0DC3-4B27-BE8F-8C3F73A33369}" destId="{4E24E803-B06D-4554-B0B7-E989E8EB5DA0}" srcOrd="0" destOrd="0" presId="urn:microsoft.com/office/officeart/2005/8/layout/hierarchy2"/>
    <dgm:cxn modelId="{D85BAEDA-9026-47AA-8A0B-1D3CCEFFD175}" type="presParOf" srcId="{BBAC426B-7414-4ED8-BA72-F166189565F8}" destId="{01A8A4C8-44A1-4D8A-95D3-361811F2C2E4}" srcOrd="3" destOrd="0" presId="urn:microsoft.com/office/officeart/2005/8/layout/hierarchy2"/>
    <dgm:cxn modelId="{2408E6B3-962E-48EA-948C-A3F02B55FF95}" type="presParOf" srcId="{01A8A4C8-44A1-4D8A-95D3-361811F2C2E4}" destId="{F5742226-42F2-4540-9B40-F39D2DE584D6}" srcOrd="0" destOrd="0" presId="urn:microsoft.com/office/officeart/2005/8/layout/hierarchy2"/>
    <dgm:cxn modelId="{13BD931C-D88C-4370-833C-7177A512EB1C}" type="presParOf" srcId="{01A8A4C8-44A1-4D8A-95D3-361811F2C2E4}" destId="{55D17A68-B110-4AED-AB45-9A30EB24C51B}" srcOrd="1" destOrd="0" presId="urn:microsoft.com/office/officeart/2005/8/layout/hierarchy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2761A6-82EA-4AEA-80BB-5F8E25B68E5A}">
      <dsp:nvSpPr>
        <dsp:cNvPr id="0" name=""/>
        <dsp:cNvSpPr/>
      </dsp:nvSpPr>
      <dsp:spPr>
        <a:xfrm>
          <a:off x="2408" y="1018614"/>
          <a:ext cx="1034935" cy="517467"/>
        </a:xfrm>
        <a:prstGeom prst="roundRect">
          <a:avLst>
            <a:gd name="adj" fmla="val 10000"/>
          </a:avLst>
        </a:prstGeom>
        <a:solidFill>
          <a:schemeClr val="lt1">
            <a:hueOff val="0"/>
            <a:satOff val="0"/>
            <a:lumOff val="0"/>
            <a:alphaOff val="0"/>
          </a:schemeClr>
        </a:solidFill>
        <a:ln w="12700" cap="flat" cmpd="sng" algn="ctr">
          <a:solidFill>
            <a:srgbClr val="5F298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a:latin typeface="Garamond" panose="02020404030301010803" pitchFamily="18" charset="0"/>
            </a:rPr>
            <a:t>Impuestos</a:t>
          </a:r>
        </a:p>
      </dsp:txBody>
      <dsp:txXfrm>
        <a:off x="17564" y="1033770"/>
        <a:ext cx="1004623" cy="487155"/>
      </dsp:txXfrm>
    </dsp:sp>
    <dsp:sp modelId="{920C7AD9-5B86-4699-B3A6-8A9288E0D4F9}">
      <dsp:nvSpPr>
        <dsp:cNvPr id="0" name=""/>
        <dsp:cNvSpPr/>
      </dsp:nvSpPr>
      <dsp:spPr>
        <a:xfrm rot="19457599">
          <a:off x="989425" y="1105461"/>
          <a:ext cx="509810" cy="46230"/>
        </a:xfrm>
        <a:custGeom>
          <a:avLst/>
          <a:gdLst/>
          <a:ahLst/>
          <a:cxnLst/>
          <a:rect l="0" t="0" r="0" b="0"/>
          <a:pathLst>
            <a:path>
              <a:moveTo>
                <a:pt x="0" y="23115"/>
              </a:moveTo>
              <a:lnTo>
                <a:pt x="509810" y="23115"/>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Garamond" panose="02020404030301010803" pitchFamily="18" charset="0"/>
          </a:endParaRPr>
        </a:p>
      </dsp:txBody>
      <dsp:txXfrm>
        <a:off x="1231585" y="1115831"/>
        <a:ext cx="25490" cy="25490"/>
      </dsp:txXfrm>
    </dsp:sp>
    <dsp:sp modelId="{2BEEE392-126B-4934-8132-2D2A7DC5DF63}">
      <dsp:nvSpPr>
        <dsp:cNvPr id="0" name=""/>
        <dsp:cNvSpPr/>
      </dsp:nvSpPr>
      <dsp:spPr>
        <a:xfrm>
          <a:off x="1451317" y="721070"/>
          <a:ext cx="1034935" cy="517467"/>
        </a:xfrm>
        <a:prstGeom prst="roundRect">
          <a:avLst>
            <a:gd name="adj" fmla="val 10000"/>
          </a:avLst>
        </a:prstGeom>
        <a:solidFill>
          <a:schemeClr val="lt1">
            <a:hueOff val="0"/>
            <a:satOff val="0"/>
            <a:lumOff val="0"/>
            <a:alphaOff val="0"/>
          </a:schemeClr>
        </a:solidFill>
        <a:ln w="12700" cap="flat" cmpd="sng" algn="ctr">
          <a:solidFill>
            <a:srgbClr val="5F298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Garamond" panose="02020404030301010803" pitchFamily="18" charset="0"/>
            </a:rPr>
            <a:t>Producción</a:t>
          </a:r>
        </a:p>
      </dsp:txBody>
      <dsp:txXfrm>
        <a:off x="1466473" y="736226"/>
        <a:ext cx="1004623" cy="487155"/>
      </dsp:txXfrm>
    </dsp:sp>
    <dsp:sp modelId="{4FBE0415-231E-4E3B-8305-D3C3B41AD8D6}">
      <dsp:nvSpPr>
        <dsp:cNvPr id="0" name=""/>
        <dsp:cNvSpPr/>
      </dsp:nvSpPr>
      <dsp:spPr>
        <a:xfrm rot="19457599">
          <a:off x="2438334" y="807917"/>
          <a:ext cx="509810" cy="46230"/>
        </a:xfrm>
        <a:custGeom>
          <a:avLst/>
          <a:gdLst/>
          <a:ahLst/>
          <a:cxnLst/>
          <a:rect l="0" t="0" r="0" b="0"/>
          <a:pathLst>
            <a:path>
              <a:moveTo>
                <a:pt x="0" y="23115"/>
              </a:moveTo>
              <a:lnTo>
                <a:pt x="509810" y="23115"/>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Garamond" panose="02020404030301010803" pitchFamily="18" charset="0"/>
          </a:endParaRPr>
        </a:p>
      </dsp:txBody>
      <dsp:txXfrm>
        <a:off x="2680494" y="818287"/>
        <a:ext cx="25490" cy="25490"/>
      </dsp:txXfrm>
    </dsp:sp>
    <dsp:sp modelId="{390E068C-87E8-4332-B92D-4ADAB33464C8}">
      <dsp:nvSpPr>
        <dsp:cNvPr id="0" name=""/>
        <dsp:cNvSpPr/>
      </dsp:nvSpPr>
      <dsp:spPr>
        <a:xfrm>
          <a:off x="2900226" y="423526"/>
          <a:ext cx="1034935" cy="517467"/>
        </a:xfrm>
        <a:prstGeom prst="roundRect">
          <a:avLst>
            <a:gd name="adj" fmla="val 10000"/>
          </a:avLst>
        </a:prstGeom>
        <a:solidFill>
          <a:schemeClr val="lt1">
            <a:hueOff val="0"/>
            <a:satOff val="0"/>
            <a:lumOff val="0"/>
            <a:alphaOff val="0"/>
          </a:schemeClr>
        </a:solidFill>
        <a:ln w="12700" cap="flat" cmpd="sng" algn="ctr">
          <a:solidFill>
            <a:srgbClr val="5F298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Garamond" panose="02020404030301010803" pitchFamily="18" charset="0"/>
            </a:rPr>
            <a:t>Impuestos sobre los productos</a:t>
          </a:r>
        </a:p>
      </dsp:txBody>
      <dsp:txXfrm>
        <a:off x="2915382" y="438682"/>
        <a:ext cx="1004623" cy="487155"/>
      </dsp:txXfrm>
    </dsp:sp>
    <dsp:sp modelId="{BF2B834A-4F3D-4EC7-BB1F-E08D5E2AA255}">
      <dsp:nvSpPr>
        <dsp:cNvPr id="0" name=""/>
        <dsp:cNvSpPr/>
      </dsp:nvSpPr>
      <dsp:spPr>
        <a:xfrm rot="19139607">
          <a:off x="3867861" y="479172"/>
          <a:ext cx="548575" cy="46230"/>
        </a:xfrm>
        <a:custGeom>
          <a:avLst/>
          <a:gdLst/>
          <a:ahLst/>
          <a:cxnLst/>
          <a:rect l="0" t="0" r="0" b="0"/>
          <a:pathLst>
            <a:path>
              <a:moveTo>
                <a:pt x="0" y="23115"/>
              </a:moveTo>
              <a:lnTo>
                <a:pt x="548575" y="23115"/>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p>
      </dsp:txBody>
      <dsp:txXfrm>
        <a:off x="4128434" y="488573"/>
        <a:ext cx="27428" cy="27428"/>
      </dsp:txXfrm>
    </dsp:sp>
    <dsp:sp modelId="{58D9606C-3B1E-45D2-A517-54CE07FD7235}">
      <dsp:nvSpPr>
        <dsp:cNvPr id="0" name=""/>
        <dsp:cNvSpPr/>
      </dsp:nvSpPr>
      <dsp:spPr>
        <a:xfrm>
          <a:off x="4349136" y="181152"/>
          <a:ext cx="1142475" cy="282325"/>
        </a:xfrm>
        <a:prstGeom prst="roundRect">
          <a:avLst>
            <a:gd name="adj" fmla="val 10000"/>
          </a:avLst>
        </a:prstGeom>
        <a:solidFill>
          <a:schemeClr val="lt1">
            <a:hueOff val="0"/>
            <a:satOff val="0"/>
            <a:lumOff val="0"/>
            <a:alphaOff val="0"/>
          </a:schemeClr>
        </a:solidFill>
        <a:ln w="12700" cap="flat" cmpd="sng" algn="ctr">
          <a:solidFill>
            <a:srgbClr val="5F298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Garamond" panose="02020404030301010803" pitchFamily="18" charset="0"/>
            </a:rPr>
            <a:t>IVA</a:t>
          </a:r>
        </a:p>
      </dsp:txBody>
      <dsp:txXfrm>
        <a:off x="4357405" y="189421"/>
        <a:ext cx="1125937" cy="265787"/>
      </dsp:txXfrm>
    </dsp:sp>
    <dsp:sp modelId="{B94DD90A-165C-4E41-8DF7-1FD76C111894}">
      <dsp:nvSpPr>
        <dsp:cNvPr id="0" name=""/>
        <dsp:cNvSpPr/>
      </dsp:nvSpPr>
      <dsp:spPr>
        <a:xfrm>
          <a:off x="3935162" y="659145"/>
          <a:ext cx="413974" cy="46230"/>
        </a:xfrm>
        <a:custGeom>
          <a:avLst/>
          <a:gdLst/>
          <a:ahLst/>
          <a:cxnLst/>
          <a:rect l="0" t="0" r="0" b="0"/>
          <a:pathLst>
            <a:path>
              <a:moveTo>
                <a:pt x="0" y="23115"/>
              </a:moveTo>
              <a:lnTo>
                <a:pt x="413974" y="23115"/>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p>
      </dsp:txBody>
      <dsp:txXfrm>
        <a:off x="4131800" y="671911"/>
        <a:ext cx="20698" cy="20698"/>
      </dsp:txXfrm>
    </dsp:sp>
    <dsp:sp modelId="{1750E523-226F-4CF8-A122-C78AC1F392FF}">
      <dsp:nvSpPr>
        <dsp:cNvPr id="0" name=""/>
        <dsp:cNvSpPr/>
      </dsp:nvSpPr>
      <dsp:spPr>
        <a:xfrm>
          <a:off x="4349136" y="541098"/>
          <a:ext cx="1142475" cy="282325"/>
        </a:xfrm>
        <a:prstGeom prst="roundRect">
          <a:avLst>
            <a:gd name="adj" fmla="val 10000"/>
          </a:avLst>
        </a:prstGeom>
        <a:solidFill>
          <a:schemeClr val="lt1">
            <a:hueOff val="0"/>
            <a:satOff val="0"/>
            <a:lumOff val="0"/>
            <a:alphaOff val="0"/>
          </a:schemeClr>
        </a:solidFill>
        <a:ln w="12700" cap="flat" cmpd="sng" algn="ctr">
          <a:solidFill>
            <a:srgbClr val="5F298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Garamond" panose="02020404030301010803" pitchFamily="18" charset="0"/>
            </a:rPr>
            <a:t>Impuestos sobre importaciones</a:t>
          </a:r>
        </a:p>
      </dsp:txBody>
      <dsp:txXfrm>
        <a:off x="4357405" y="549367"/>
        <a:ext cx="1125937" cy="265787"/>
      </dsp:txXfrm>
    </dsp:sp>
    <dsp:sp modelId="{647C7D88-B2A6-48C2-8679-23451BBC9F4F}">
      <dsp:nvSpPr>
        <dsp:cNvPr id="0" name=""/>
        <dsp:cNvSpPr/>
      </dsp:nvSpPr>
      <dsp:spPr>
        <a:xfrm rot="2460393">
          <a:off x="3867861" y="839118"/>
          <a:ext cx="548575" cy="46230"/>
        </a:xfrm>
        <a:custGeom>
          <a:avLst/>
          <a:gdLst/>
          <a:ahLst/>
          <a:cxnLst/>
          <a:rect l="0" t="0" r="0" b="0"/>
          <a:pathLst>
            <a:path>
              <a:moveTo>
                <a:pt x="0" y="23115"/>
              </a:moveTo>
              <a:lnTo>
                <a:pt x="548575" y="23115"/>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p>
      </dsp:txBody>
      <dsp:txXfrm>
        <a:off x="4128434" y="848518"/>
        <a:ext cx="27428" cy="27428"/>
      </dsp:txXfrm>
    </dsp:sp>
    <dsp:sp modelId="{1D507963-EE55-45A8-B095-D2F3B89B46F8}">
      <dsp:nvSpPr>
        <dsp:cNvPr id="0" name=""/>
        <dsp:cNvSpPr/>
      </dsp:nvSpPr>
      <dsp:spPr>
        <a:xfrm>
          <a:off x="4349136" y="901043"/>
          <a:ext cx="1142475" cy="282325"/>
        </a:xfrm>
        <a:prstGeom prst="roundRect">
          <a:avLst>
            <a:gd name="adj" fmla="val 10000"/>
          </a:avLst>
        </a:prstGeom>
        <a:solidFill>
          <a:schemeClr val="lt1">
            <a:hueOff val="0"/>
            <a:satOff val="0"/>
            <a:lumOff val="0"/>
            <a:alphaOff val="0"/>
          </a:schemeClr>
        </a:solidFill>
        <a:ln w="12700" cap="flat" cmpd="sng" algn="ctr">
          <a:solidFill>
            <a:srgbClr val="5F298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Garamond" panose="02020404030301010803" pitchFamily="18" charset="0"/>
            </a:rPr>
            <a:t>Otros</a:t>
          </a:r>
        </a:p>
      </dsp:txBody>
      <dsp:txXfrm>
        <a:off x="4357405" y="909312"/>
        <a:ext cx="1125937" cy="265787"/>
      </dsp:txXfrm>
    </dsp:sp>
    <dsp:sp modelId="{E81AC797-7EB4-4295-908E-83F2D941CC5B}">
      <dsp:nvSpPr>
        <dsp:cNvPr id="0" name=""/>
        <dsp:cNvSpPr/>
      </dsp:nvSpPr>
      <dsp:spPr>
        <a:xfrm rot="2142401">
          <a:off x="2438334" y="1105461"/>
          <a:ext cx="509810" cy="46230"/>
        </a:xfrm>
        <a:custGeom>
          <a:avLst/>
          <a:gdLst/>
          <a:ahLst/>
          <a:cxnLst/>
          <a:rect l="0" t="0" r="0" b="0"/>
          <a:pathLst>
            <a:path>
              <a:moveTo>
                <a:pt x="0" y="23115"/>
              </a:moveTo>
              <a:lnTo>
                <a:pt x="509810" y="23115"/>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Garamond" panose="02020404030301010803" pitchFamily="18" charset="0"/>
          </a:endParaRPr>
        </a:p>
      </dsp:txBody>
      <dsp:txXfrm>
        <a:off x="2680494" y="1115831"/>
        <a:ext cx="25490" cy="25490"/>
      </dsp:txXfrm>
    </dsp:sp>
    <dsp:sp modelId="{F3E92EAF-FF95-4685-B28F-6D34D162339B}">
      <dsp:nvSpPr>
        <dsp:cNvPr id="0" name=""/>
        <dsp:cNvSpPr/>
      </dsp:nvSpPr>
      <dsp:spPr>
        <a:xfrm>
          <a:off x="2900226" y="1018614"/>
          <a:ext cx="1034935" cy="517467"/>
        </a:xfrm>
        <a:prstGeom prst="roundRect">
          <a:avLst>
            <a:gd name="adj" fmla="val 10000"/>
          </a:avLst>
        </a:prstGeom>
        <a:solidFill>
          <a:schemeClr val="lt1">
            <a:hueOff val="0"/>
            <a:satOff val="0"/>
            <a:lumOff val="0"/>
            <a:alphaOff val="0"/>
          </a:schemeClr>
        </a:solidFill>
        <a:ln w="12700" cap="flat" cmpd="sng" algn="ctr">
          <a:solidFill>
            <a:srgbClr val="5F298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Garamond" panose="02020404030301010803" pitchFamily="18" charset="0"/>
            </a:rPr>
            <a:t>Otros impuestos sobre la producción</a:t>
          </a:r>
        </a:p>
      </dsp:txBody>
      <dsp:txXfrm>
        <a:off x="2915382" y="1033770"/>
        <a:ext cx="1004623" cy="487155"/>
      </dsp:txXfrm>
    </dsp:sp>
    <dsp:sp modelId="{79E24A38-0DC3-4B27-BE8F-8C3F73A33369}">
      <dsp:nvSpPr>
        <dsp:cNvPr id="0" name=""/>
        <dsp:cNvSpPr/>
      </dsp:nvSpPr>
      <dsp:spPr>
        <a:xfrm rot="2142401">
          <a:off x="989425" y="1403005"/>
          <a:ext cx="509810" cy="46230"/>
        </a:xfrm>
        <a:custGeom>
          <a:avLst/>
          <a:gdLst/>
          <a:ahLst/>
          <a:cxnLst/>
          <a:rect l="0" t="0" r="0" b="0"/>
          <a:pathLst>
            <a:path>
              <a:moveTo>
                <a:pt x="0" y="23115"/>
              </a:moveTo>
              <a:lnTo>
                <a:pt x="509810" y="23115"/>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Garamond" panose="02020404030301010803" pitchFamily="18" charset="0"/>
          </a:endParaRPr>
        </a:p>
      </dsp:txBody>
      <dsp:txXfrm>
        <a:off x="1231585" y="1413375"/>
        <a:ext cx="25490" cy="25490"/>
      </dsp:txXfrm>
    </dsp:sp>
    <dsp:sp modelId="{F5742226-42F2-4540-9B40-F39D2DE584D6}">
      <dsp:nvSpPr>
        <dsp:cNvPr id="0" name=""/>
        <dsp:cNvSpPr/>
      </dsp:nvSpPr>
      <dsp:spPr>
        <a:xfrm>
          <a:off x="1451317" y="1316158"/>
          <a:ext cx="1034935" cy="517467"/>
        </a:xfrm>
        <a:prstGeom prst="roundRect">
          <a:avLst>
            <a:gd name="adj" fmla="val 10000"/>
          </a:avLst>
        </a:prstGeom>
        <a:solidFill>
          <a:schemeClr val="lt1">
            <a:hueOff val="0"/>
            <a:satOff val="0"/>
            <a:lumOff val="0"/>
            <a:alphaOff val="0"/>
          </a:schemeClr>
        </a:solidFill>
        <a:ln w="12700" cap="flat" cmpd="sng" algn="ctr">
          <a:solidFill>
            <a:srgbClr val="5F298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Garamond" panose="02020404030301010803" pitchFamily="18" charset="0"/>
            </a:rPr>
            <a:t>Resto</a:t>
          </a:r>
        </a:p>
      </dsp:txBody>
      <dsp:txXfrm>
        <a:off x="1466473" y="1331314"/>
        <a:ext cx="1004623" cy="48715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01948B1AF424C3A93072259E96A89C7"/>
        <w:category>
          <w:name w:val="General"/>
          <w:gallery w:val="placeholder"/>
        </w:category>
        <w:types>
          <w:type w:val="bbPlcHdr"/>
        </w:types>
        <w:behaviors>
          <w:behavior w:val="content"/>
        </w:behaviors>
        <w:guid w:val="{2454B9C8-958C-48DD-A0BC-9B51B1A093A9}"/>
      </w:docPartPr>
      <w:docPartBody>
        <w:p w:rsidR="00E7784D" w:rsidRDefault="00D90B5D">
          <w:pPr>
            <w:pStyle w:val="001948B1AF424C3A93072259E96A89C7"/>
          </w:pPr>
          <w:r w:rsidRPr="001B5103">
            <w:rPr>
              <w:rStyle w:val="Textodelmarcadordeposicin"/>
            </w:rPr>
            <w:t>[Title]</w:t>
          </w:r>
        </w:p>
      </w:docPartBody>
    </w:docPart>
    <w:docPart>
      <w:docPartPr>
        <w:name w:val="118D963C6E9747A88EF84D1E0DF02BD2"/>
        <w:category>
          <w:name w:val="General"/>
          <w:gallery w:val="placeholder"/>
        </w:category>
        <w:types>
          <w:type w:val="bbPlcHdr"/>
        </w:types>
        <w:behaviors>
          <w:behavior w:val="content"/>
        </w:behaviors>
        <w:guid w:val="{33779AA0-97CD-445C-BCD9-AA7BC73929B5}"/>
      </w:docPartPr>
      <w:docPartBody>
        <w:p w:rsidR="00E7784D" w:rsidRDefault="00D90B5D">
          <w:pPr>
            <w:pStyle w:val="118D963C6E9747A88EF84D1E0DF02BD2"/>
          </w:pPr>
          <w:r w:rsidRPr="001B5103">
            <w:rPr>
              <w:rStyle w:val="Textodelmarcadordeposicin"/>
            </w:rPr>
            <w:t>[Subject]</w:t>
          </w:r>
        </w:p>
      </w:docPartBody>
    </w:docPart>
    <w:docPart>
      <w:docPartPr>
        <w:name w:val="B13E0884CC4E4DD8A8A251ED45F37A80"/>
        <w:category>
          <w:name w:val="General"/>
          <w:gallery w:val="placeholder"/>
        </w:category>
        <w:types>
          <w:type w:val="bbPlcHdr"/>
        </w:types>
        <w:behaviors>
          <w:behavior w:val="content"/>
        </w:behaviors>
        <w:guid w:val="{10B23EBF-E09D-4717-9673-75DB698D92F0}"/>
      </w:docPartPr>
      <w:docPartBody>
        <w:p w:rsidR="00605622" w:rsidRDefault="00B91EE2" w:rsidP="00B91EE2">
          <w:pPr>
            <w:pStyle w:val="B13E0884CC4E4DD8A8A251ED45F37A80"/>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0D0"/>
    <w:rsid w:val="00013ACF"/>
    <w:rsid w:val="000219D0"/>
    <w:rsid w:val="000400AF"/>
    <w:rsid w:val="00053C8F"/>
    <w:rsid w:val="00064766"/>
    <w:rsid w:val="0008087D"/>
    <w:rsid w:val="000906FF"/>
    <w:rsid w:val="000C4759"/>
    <w:rsid w:val="001D1ADF"/>
    <w:rsid w:val="001D748E"/>
    <w:rsid w:val="001F3179"/>
    <w:rsid w:val="001F59F3"/>
    <w:rsid w:val="00245130"/>
    <w:rsid w:val="00252112"/>
    <w:rsid w:val="00254063"/>
    <w:rsid w:val="00291ABE"/>
    <w:rsid w:val="0029321B"/>
    <w:rsid w:val="002E5419"/>
    <w:rsid w:val="002F73AF"/>
    <w:rsid w:val="002F7448"/>
    <w:rsid w:val="00303293"/>
    <w:rsid w:val="00387F0E"/>
    <w:rsid w:val="003A63EC"/>
    <w:rsid w:val="00441F85"/>
    <w:rsid w:val="005221EF"/>
    <w:rsid w:val="00531EE5"/>
    <w:rsid w:val="005C00AF"/>
    <w:rsid w:val="005D6691"/>
    <w:rsid w:val="00605622"/>
    <w:rsid w:val="00634C81"/>
    <w:rsid w:val="006501D6"/>
    <w:rsid w:val="00667CBF"/>
    <w:rsid w:val="006760D0"/>
    <w:rsid w:val="00681948"/>
    <w:rsid w:val="00686E1B"/>
    <w:rsid w:val="00704898"/>
    <w:rsid w:val="00730D19"/>
    <w:rsid w:val="00761F3D"/>
    <w:rsid w:val="00796465"/>
    <w:rsid w:val="007C1373"/>
    <w:rsid w:val="00880C02"/>
    <w:rsid w:val="008819CC"/>
    <w:rsid w:val="00883B90"/>
    <w:rsid w:val="009005A2"/>
    <w:rsid w:val="009102B0"/>
    <w:rsid w:val="00915401"/>
    <w:rsid w:val="009B58F9"/>
    <w:rsid w:val="00A20EA2"/>
    <w:rsid w:val="00A332E3"/>
    <w:rsid w:val="00AB79A1"/>
    <w:rsid w:val="00AD617C"/>
    <w:rsid w:val="00B136AD"/>
    <w:rsid w:val="00B85F09"/>
    <w:rsid w:val="00B91EE2"/>
    <w:rsid w:val="00BC0D11"/>
    <w:rsid w:val="00BC249C"/>
    <w:rsid w:val="00BD0C38"/>
    <w:rsid w:val="00BF0751"/>
    <w:rsid w:val="00C13E23"/>
    <w:rsid w:val="00CA01E3"/>
    <w:rsid w:val="00CB48D0"/>
    <w:rsid w:val="00CF5E2D"/>
    <w:rsid w:val="00D50DA1"/>
    <w:rsid w:val="00D72D14"/>
    <w:rsid w:val="00D90B5D"/>
    <w:rsid w:val="00DA1E84"/>
    <w:rsid w:val="00DA6121"/>
    <w:rsid w:val="00E05CDE"/>
    <w:rsid w:val="00E7784D"/>
    <w:rsid w:val="00E911D2"/>
    <w:rsid w:val="00EF0908"/>
    <w:rsid w:val="00F33D36"/>
    <w:rsid w:val="00F46380"/>
    <w:rsid w:val="00F96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F3179"/>
    <w:rPr>
      <w:color w:val="808080"/>
    </w:rPr>
  </w:style>
  <w:style w:type="paragraph" w:customStyle="1" w:styleId="001948B1AF424C3A93072259E96A89C7">
    <w:name w:val="001948B1AF424C3A93072259E96A89C7"/>
  </w:style>
  <w:style w:type="paragraph" w:customStyle="1" w:styleId="118D963C6E9747A88EF84D1E0DF02BD2">
    <w:name w:val="118D963C6E9747A88EF84D1E0DF02BD2"/>
  </w:style>
  <w:style w:type="paragraph" w:customStyle="1" w:styleId="B13E0884CC4E4DD8A8A251ED45F37A80">
    <w:name w:val="B13E0884CC4E4DD8A8A251ED45F37A80"/>
    <w:rsid w:val="00B91EE2"/>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0AF4E9A-34BD-4F8F-A8D6-42AF820A2A0A}">
  <we:reference id="wa104382081" version="1.28.0.0" store="en-US" storeType="OMEX"/>
  <we:alternateReferences>
    <we:reference id="wa104382081" version="1.28.0.0" store="en-US" storeType="OMEX"/>
  </we:alternateReferences>
  <we:properties>
    <we:property name="MENDELEY_CITATIONS" value="[]"/>
    <we:property name="MENDELEY_CITATIONS_STYLE" value="&quot;https://www.zotero.org/styles/ap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30B0A-B439-43B8-8766-7379564BC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1361</TotalTime>
  <Pages>40</Pages>
  <Words>14655</Words>
  <Characters>80604</Characters>
  <Application>Microsoft Office Word</Application>
  <DocSecurity>0</DocSecurity>
  <Lines>671</Lines>
  <Paragraphs>190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3.A.30</vt:lpstr>
      <vt:lpstr>3.A.26</vt:lpstr>
    </vt:vector>
  </TitlesOfParts>
  <Company/>
  <LinksUpToDate>false</LinksUpToDate>
  <CharactersWithSpaces>95069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3.A.30</dc:title>
  <dc:subject>Magnitudes macroeconómicas y contabilidad nacional.</dc:subject>
  <dc:creator>Víctor Gutiérrez Marcos</dc:creator>
  <cp:keywords/>
  <dc:description/>
  <cp:lastModifiedBy>Víctor Gutiérrez Marcos</cp:lastModifiedBy>
  <dcterms:created xsi:type="dcterms:W3CDTF">2024-07-31T22:18:00Z</dcterms:created>
  <dcterms:modified xsi:type="dcterms:W3CDTF">2024-08-10T13:05:00Z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8fb21e6e-31d8-352c-b033-81afa50c867c</vt:lpwstr>
  </property>
  <property fmtid="{D5CDD505-2E9C-101B-9397-08002B2CF9AE}" pid="24" name="Mendeley Citation Style_1">
    <vt:lpwstr>http://www.zotero.org/styles/apa</vt:lpwstr>
  </property>
</Properties>
</file>