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AB9A71" w14:textId="0FBA8D20" w:rsidR="00307C23" w:rsidRDefault="00000000" w:rsidP="00D151C7">
      <w:pPr>
        <w:pStyle w:val="Ttulo"/>
        <w:ind w:left="0" w:right="-1"/>
      </w:pPr>
      <w:sdt>
        <w:sdtPr>
          <w:rPr>
            <w:i/>
            <w:iCs w:val="0"/>
            <w:u w:val="single"/>
          </w:rPr>
          <w:alias w:val="Title"/>
          <w:tag w:val=""/>
          <w:id w:val="-780801520"/>
          <w:placeholder>
            <w:docPart w:val="D514049324E240308FA379A89DFA67FD"/>
          </w:placeholder>
          <w:dataBinding w:prefixMappings="xmlns:ns0='http://purl.org/dc/elements/1.1/' xmlns:ns1='http://schemas.openxmlformats.org/package/2006/metadata/core-properties' " w:xpath="/ns1:coreProperties[1]/ns0:title[1]" w:storeItemID="{6C3C8BC8-F283-45AE-878A-BAB7291924A1}"/>
          <w:text/>
        </w:sdtPr>
        <w:sdtContent>
          <w:r w:rsidR="006369FE">
            <w:rPr>
              <w:i/>
              <w:iCs w:val="0"/>
              <w:u w:val="single"/>
            </w:rPr>
            <w:t>3.A.</w:t>
          </w:r>
          <w:r w:rsidR="003D1FEE">
            <w:rPr>
              <w:i/>
              <w:iCs w:val="0"/>
              <w:u w:val="single"/>
            </w:rPr>
            <w:t>10</w:t>
          </w:r>
        </w:sdtContent>
      </w:sdt>
      <w:r w:rsidR="00C851DA">
        <w:t xml:space="preserve"> :</w:t>
      </w:r>
      <w:r w:rsidR="00C81078" w:rsidRPr="004C0C34">
        <w:t xml:space="preserve"> </w:t>
      </w:r>
      <w:sdt>
        <w:sdtPr>
          <w:alias w:val="Subject"/>
          <w:tag w:val=""/>
          <w:id w:val="-1903059896"/>
          <w:placeholder>
            <w:docPart w:val="8E4C4AA7F3AC40C28B95B34A543A0EF0"/>
          </w:placeholder>
          <w:dataBinding w:prefixMappings="xmlns:ns0='http://purl.org/dc/elements/1.1/' xmlns:ns1='http://schemas.openxmlformats.org/package/2006/metadata/core-properties' " w:xpath="/ns1:coreProperties[1]/ns0:subject[1]" w:storeItemID="{6C3C8BC8-F283-45AE-878A-BAB7291924A1}"/>
          <w:text/>
        </w:sdtPr>
        <w:sdtContent>
          <w:r w:rsidR="006369FE">
            <w:t xml:space="preserve">Teoría de la </w:t>
          </w:r>
          <w:r w:rsidR="003D1FEE">
            <w:t xml:space="preserve">demanda </w:t>
          </w:r>
          <w:r w:rsidR="006369FE">
            <w:t>del consumidor</w:t>
          </w:r>
          <w:r w:rsidR="003D1FEE">
            <w:t xml:space="preserve"> (III). Elección del consumidor</w:t>
          </w:r>
          <w:r w:rsidR="006369FE">
            <w:t xml:space="preserve"> en situaciones de riesgo e incertidumbre</w:t>
          </w:r>
          <w:r w:rsidR="003D1FEE">
            <w:t>.</w:t>
          </w:r>
        </w:sdtContent>
      </w:sdt>
    </w:p>
    <w:p w14:paraId="6EC46460" w14:textId="77777777" w:rsidR="00784DB5" w:rsidRDefault="00784DB5" w:rsidP="00784DB5">
      <w:pPr>
        <w:pStyle w:val="Notaalopositor"/>
        <w:spacing w:after="0"/>
      </w:pPr>
      <w:r>
        <w:t>Con el cambio de temario, a partir de la convocatoria de 2023 este tema pasará a ser:</w:t>
      </w:r>
    </w:p>
    <w:p w14:paraId="6F1123DE" w14:textId="41F505AE" w:rsidR="004C0540" w:rsidRDefault="00784DB5" w:rsidP="00784DB5">
      <w:pPr>
        <w:pStyle w:val="Notaalopositor"/>
      </w:pPr>
      <w:r>
        <w:t>3.A.10: Teoría de la demanda del consumidor (III). Elección del consumidor en situaciones de riesgo e incertidumbre.</w:t>
      </w:r>
    </w:p>
    <w:p w14:paraId="39C5A7D5" w14:textId="6FE7BC8C" w:rsidR="00784DB5" w:rsidRDefault="00784DB5" w:rsidP="00784DB5">
      <w:pPr>
        <w:pStyle w:val="Notaalopositor"/>
      </w:pPr>
      <w:r>
        <w:t xml:space="preserve">De este modo, con lo escrito en este documento este tema estaría </w:t>
      </w:r>
      <w:r>
        <w:rPr>
          <w:b/>
          <w:bCs/>
        </w:rPr>
        <w:t>actualizado</w:t>
      </w:r>
      <w:r w:rsidRPr="00FC696F">
        <w:t>.</w:t>
      </w:r>
    </w:p>
    <w:p w14:paraId="28394CFC" w14:textId="711826BB" w:rsidR="004C0540" w:rsidRPr="00784DB5" w:rsidRDefault="004C0540" w:rsidP="004C0540">
      <w:pPr>
        <w:pStyle w:val="Notaalopositor"/>
        <w:jc w:val="center"/>
      </w:pPr>
      <w:r w:rsidRPr="004C0540">
        <w:rPr>
          <w:noProof/>
        </w:rPr>
        <w:drawing>
          <wp:inline distT="0" distB="0" distL="0" distR="0" wp14:anchorId="4692D868" wp14:editId="507638DD">
            <wp:extent cx="2880000" cy="1556240"/>
            <wp:effectExtent l="0" t="0" r="0" b="6350"/>
            <wp:docPr id="15" name="Imagen 1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abla&#10;&#10;Descripción generada automáticamente"/>
                    <pic:cNvPicPr/>
                  </pic:nvPicPr>
                  <pic:blipFill>
                    <a:blip r:embed="rId8"/>
                    <a:stretch>
                      <a:fillRect/>
                    </a:stretch>
                  </pic:blipFill>
                  <pic:spPr>
                    <a:xfrm>
                      <a:off x="0" y="0"/>
                      <a:ext cx="2880000" cy="1556240"/>
                    </a:xfrm>
                    <a:prstGeom prst="rect">
                      <a:avLst/>
                    </a:prstGeom>
                  </pic:spPr>
                </pic:pic>
              </a:graphicData>
            </a:graphic>
          </wp:inline>
        </w:drawing>
      </w:r>
    </w:p>
    <w:p w14:paraId="1150BC18" w14:textId="77CBB93E" w:rsidR="0021774E" w:rsidRDefault="0021774E" w:rsidP="00E5034D">
      <w:pPr>
        <w:pStyle w:val="Introduccinyconclusin"/>
        <w:rPr>
          <w:rStyle w:val="IntroduccinyconclusinChar"/>
          <w:b/>
          <w:bCs/>
          <w:caps/>
          <w:shd w:val="clear" w:color="auto" w:fill="auto"/>
        </w:rPr>
      </w:pPr>
      <w:bookmarkStart w:id="0" w:name="_Toc55382054"/>
      <w:bookmarkStart w:id="1" w:name="_Toc55382089"/>
      <w:bookmarkStart w:id="2" w:name="_Toc55382517"/>
      <w:bookmarkStart w:id="3" w:name="_Toc55382751"/>
      <w:r w:rsidRPr="00E5034D">
        <w:t>I</w:t>
      </w:r>
      <w:r w:rsidRPr="00E5034D">
        <w:rPr>
          <w:rStyle w:val="IntroduccinyconclusinChar"/>
          <w:b/>
          <w:bCs/>
          <w:caps/>
          <w:shd w:val="clear" w:color="auto" w:fill="auto"/>
        </w:rPr>
        <w:t>NTRODUCCIÓN</w:t>
      </w:r>
      <w:bookmarkEnd w:id="0"/>
      <w:bookmarkEnd w:id="1"/>
      <w:bookmarkEnd w:id="2"/>
      <w:bookmarkEnd w:id="3"/>
    </w:p>
    <w:p w14:paraId="70F03CAC" w14:textId="68FB944D" w:rsidR="00B65BD2" w:rsidRPr="00181505" w:rsidRDefault="00B77C0F" w:rsidP="00EF1292">
      <w:pPr>
        <w:pStyle w:val="Nivel1"/>
        <w:keepNext/>
        <w:spacing w:before="0" w:after="0"/>
      </w:pPr>
      <w:r w:rsidRPr="00181505">
        <w:rPr>
          <w:b/>
          <w:bCs/>
          <w:i/>
          <w:iCs/>
          <w:spacing w:val="-4"/>
        </w:rPr>
        <w:t>Enganche</w:t>
      </w:r>
      <w:r w:rsidRPr="00181505">
        <w:rPr>
          <w:spacing w:val="-4"/>
        </w:rPr>
        <w:t>:</w:t>
      </w:r>
    </w:p>
    <w:p w14:paraId="418DF024" w14:textId="77777777" w:rsidR="003D4493" w:rsidRDefault="003D4493" w:rsidP="003D4493">
      <w:pPr>
        <w:pStyle w:val="Nivel2"/>
        <w:keepNext/>
        <w:spacing w:after="0"/>
        <w:rPr>
          <w:rStyle w:val="Hipervnculo"/>
          <w:color w:val="auto"/>
          <w:u w:val="none"/>
        </w:rPr>
      </w:pPr>
      <w:bookmarkStart w:id="4" w:name="_Hlk99365876"/>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7D427415" w14:textId="77777777" w:rsidR="003D4493" w:rsidRDefault="003D4493" w:rsidP="003D4493">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t>individualismo metodológico</w:t>
      </w:r>
      <w:bookmarkStart w:id="5" w:name="_Hlk99365893"/>
      <w:r w:rsidRPr="004E1C77">
        <w:rPr>
          <w:rStyle w:val="Refdenotaalpie"/>
        </w:rPr>
        <w:footnoteReference w:id="2"/>
      </w:r>
      <w:bookmarkEnd w:id="5"/>
      <w:r>
        <w:rPr>
          <w:rStyle w:val="Hipervnculo"/>
          <w:color w:val="auto"/>
          <w:u w:val="none"/>
        </w:rPr>
        <w:t xml:space="preserve">. Se contempla el objeto de la teoría como una </w:t>
      </w:r>
      <w:r>
        <w:rPr>
          <w:rStyle w:val="Hipervnculo"/>
          <w:i/>
          <w:iCs/>
          <w:color w:val="auto"/>
          <w:u w:val="none"/>
        </w:rPr>
        <w:t>realidad social compuesta de individuos que se interrelacionan en economías descentralizadas</w:t>
      </w:r>
      <w:r>
        <w:rPr>
          <w:rStyle w:val="Hipervnculo"/>
          <w:color w:val="auto"/>
          <w:u w:val="none"/>
        </w:rPr>
        <w:t>.</w:t>
      </w:r>
    </w:p>
    <w:bookmarkEnd w:id="4"/>
    <w:p w14:paraId="6050C0C2" w14:textId="48B572C6" w:rsidR="00807525" w:rsidRPr="00492C10" w:rsidRDefault="00807525" w:rsidP="00841581">
      <w:pPr>
        <w:pStyle w:val="Nivel2"/>
        <w:keepNext/>
        <w:spacing w:after="0"/>
        <w:rPr>
          <w:spacing w:val="-4"/>
        </w:rPr>
      </w:pPr>
      <w:r>
        <w:t xml:space="preserve">En su objetivo fundamental de comprender y predecir el funcionamiento de los mercados, la </w:t>
      </w:r>
      <w:r w:rsidRPr="000551B2">
        <w:rPr>
          <w:b/>
          <w:bCs/>
        </w:rPr>
        <w:t>microeconomía</w:t>
      </w:r>
      <w:r>
        <w:t xml:space="preserve"> examina el </w:t>
      </w:r>
      <w:r w:rsidRPr="00846F57">
        <w:rPr>
          <w:color w:val="C00000"/>
        </w:rPr>
        <w:t>comportamiento</w:t>
      </w:r>
      <w:r>
        <w:t xml:space="preserve"> de </w:t>
      </w:r>
      <w:r w:rsidR="0046428D">
        <w:t>2 </w:t>
      </w:r>
      <w:r w:rsidRPr="00846F57">
        <w:rPr>
          <w:color w:val="538135" w:themeColor="accent6" w:themeShade="BF"/>
        </w:rPr>
        <w:t>agentes</w:t>
      </w:r>
      <w:r>
        <w:t xml:space="preserve"> fundamentales: </w:t>
      </w:r>
      <w:r w:rsidRPr="000551B2">
        <w:rPr>
          <w:i/>
          <w:iCs/>
        </w:rPr>
        <w:t>consumidores</w:t>
      </w:r>
      <w:r>
        <w:t xml:space="preserve"> y </w:t>
      </w:r>
      <w:r>
        <w:rPr>
          <w:i/>
          <w:iCs/>
        </w:rPr>
        <w:t>productores</w:t>
      </w:r>
      <w:r>
        <w:rPr>
          <w:rStyle w:val="Refdenotaalpie"/>
        </w:rPr>
        <w:footnoteReference w:id="3"/>
      </w:r>
      <w:r>
        <w:t>.</w:t>
      </w:r>
    </w:p>
    <w:p w14:paraId="14FFB9BB" w14:textId="5CAA433C" w:rsidR="00807525" w:rsidRDefault="00807525" w:rsidP="00841581">
      <w:pPr>
        <w:pStyle w:val="Nivel3"/>
        <w:rPr>
          <w:rStyle w:val="Hipervnculo"/>
          <w:color w:val="auto"/>
          <w:u w:val="none"/>
        </w:rPr>
      </w:pPr>
      <w:r>
        <w:rPr>
          <w:rStyle w:val="Hipervnculo"/>
          <w:color w:val="auto"/>
          <w:u w:val="none"/>
        </w:rPr>
        <w:t xml:space="preserve">En la </w:t>
      </w:r>
      <w:r w:rsidRPr="003216DC">
        <w:rPr>
          <w:rStyle w:val="Hipervnculo"/>
          <w:i/>
          <w:iCs/>
          <w:color w:val="auto"/>
          <w:u w:val="none"/>
        </w:rPr>
        <w:t>teoría de la demanda del consumidor</w:t>
      </w:r>
      <w:r>
        <w:rPr>
          <w:rStyle w:val="Hipervnculo"/>
          <w:color w:val="auto"/>
          <w:u w:val="none"/>
        </w:rPr>
        <w:t xml:space="preserve">, los </w:t>
      </w:r>
      <w:r w:rsidRPr="00846F57">
        <w:rPr>
          <w:rStyle w:val="Hipervnculo"/>
          <w:color w:val="538135" w:themeColor="accent6" w:themeShade="BF"/>
          <w:u w:val="none"/>
        </w:rPr>
        <w:t>individuos</w:t>
      </w:r>
      <w:r>
        <w:rPr>
          <w:rStyle w:val="Hipervnculo"/>
          <w:color w:val="auto"/>
          <w:u w:val="none"/>
        </w:rPr>
        <w:t xml:space="preserve"> objeto de estudio son los </w:t>
      </w:r>
      <w:r>
        <w:rPr>
          <w:rStyle w:val="Hipervnculo"/>
          <w:b/>
          <w:bCs/>
          <w:color w:val="auto"/>
          <w:u w:val="none"/>
        </w:rPr>
        <w:t>consumidores</w:t>
      </w:r>
      <w:r>
        <w:rPr>
          <w:rStyle w:val="Hipervnculo"/>
          <w:color w:val="auto"/>
          <w:u w:val="none"/>
        </w:rPr>
        <w:t>. Se asume que estos se comportan de manera optimizadora y quedan caracterizados por su deseo de consumir ciertos bienes sometidos a una restricción presupuestaria.</w:t>
      </w:r>
    </w:p>
    <w:p w14:paraId="5917D4B9" w14:textId="51FB32CD" w:rsidR="00664A08" w:rsidRPr="003A6978" w:rsidRDefault="00664A08" w:rsidP="00841581">
      <w:pPr>
        <w:pStyle w:val="Nivel3"/>
        <w:keepNext/>
        <w:rPr>
          <w:spacing w:val="-2"/>
        </w:rPr>
      </w:pPr>
      <w:r w:rsidRPr="003A6978">
        <w:rPr>
          <w:spacing w:val="-2"/>
        </w:rPr>
        <w:t xml:space="preserve">El </w:t>
      </w:r>
      <w:r w:rsidRPr="003A6978">
        <w:rPr>
          <w:b/>
          <w:bCs/>
          <w:color w:val="C00000"/>
          <w:spacing w:val="-2"/>
        </w:rPr>
        <w:t>comportamiento</w:t>
      </w:r>
      <w:r w:rsidRPr="003A6978">
        <w:rPr>
          <w:spacing w:val="-2"/>
        </w:rPr>
        <w:t xml:space="preserve"> se reduce en último término a la </w:t>
      </w:r>
      <w:r w:rsidRPr="003A6978">
        <w:rPr>
          <w:i/>
          <w:iCs/>
          <w:spacing w:val="-2"/>
        </w:rPr>
        <w:t>toma de decisiones</w:t>
      </w:r>
      <w:r w:rsidRPr="003A6978">
        <w:rPr>
          <w:spacing w:val="-2"/>
        </w:rPr>
        <w:t xml:space="preserve"> </w:t>
      </w:r>
      <w:r w:rsidRPr="003A6978">
        <w:rPr>
          <w:i/>
          <w:iCs/>
          <w:spacing w:val="-2"/>
        </w:rPr>
        <w:t>entre alternativas</w:t>
      </w:r>
      <w:r w:rsidRPr="003A6978">
        <w:rPr>
          <w:spacing w:val="-2"/>
        </w:rPr>
        <w:t xml:space="preserve">. Estas alternativas conducen a </w:t>
      </w:r>
      <w:r w:rsidRPr="003A6978">
        <w:rPr>
          <w:i/>
          <w:iCs/>
          <w:spacing w:val="-2"/>
        </w:rPr>
        <w:t>resultados</w:t>
      </w:r>
      <w:r w:rsidRPr="003A6978">
        <w:rPr>
          <w:spacing w:val="-2"/>
        </w:rPr>
        <w:t xml:space="preserve"> que pueden ser conocidos con certeza de antemano, o no.</w:t>
      </w:r>
    </w:p>
    <w:p w14:paraId="153552C7" w14:textId="77777777" w:rsidR="00664A08" w:rsidRPr="00841581" w:rsidRDefault="00664A08" w:rsidP="00841581">
      <w:pPr>
        <w:pStyle w:val="Nivel4"/>
        <w:rPr>
          <w:spacing w:val="-2"/>
        </w:rPr>
      </w:pPr>
      <w:r w:rsidRPr="00841581">
        <w:rPr>
          <w:spacing w:val="-2"/>
        </w:rPr>
        <w:t xml:space="preserve">Cuando no son conocidos hablamos de situaciones de </w:t>
      </w:r>
      <w:r w:rsidRPr="00841581">
        <w:rPr>
          <w:b/>
          <w:bCs/>
          <w:spacing w:val="-2"/>
        </w:rPr>
        <w:t>riesgo</w:t>
      </w:r>
      <w:r w:rsidRPr="00841581">
        <w:rPr>
          <w:spacing w:val="-2"/>
        </w:rPr>
        <w:t xml:space="preserve"> o </w:t>
      </w:r>
      <w:r w:rsidRPr="00841581">
        <w:rPr>
          <w:b/>
          <w:bCs/>
          <w:spacing w:val="-2"/>
        </w:rPr>
        <w:t>incertidumbre</w:t>
      </w:r>
      <w:r w:rsidRPr="00841581">
        <w:rPr>
          <w:spacing w:val="-2"/>
        </w:rPr>
        <w:t xml:space="preserve"> y la modelización de la decisión en estas condiciones tiene características peculiares.</w:t>
      </w:r>
    </w:p>
    <w:p w14:paraId="39B547E7" w14:textId="77777777" w:rsidR="00664A08" w:rsidRDefault="00664A08" w:rsidP="005D6842">
      <w:pPr>
        <w:pStyle w:val="Nivel2"/>
        <w:keepNext/>
        <w:spacing w:after="0"/>
      </w:pPr>
      <w:r>
        <w:t xml:space="preserve">Esa incertidumbre respecto a los resultados de las decisiones puede ser </w:t>
      </w:r>
      <w:r w:rsidRPr="006F30BE">
        <w:rPr>
          <w:i/>
          <w:iCs/>
          <w:u w:val="single"/>
        </w:rPr>
        <w:t>objetiva</w:t>
      </w:r>
      <w:r>
        <w:t xml:space="preserve"> o </w:t>
      </w:r>
      <w:r w:rsidRPr="006F30BE">
        <w:rPr>
          <w:i/>
          <w:iCs/>
          <w:u w:val="single"/>
        </w:rPr>
        <w:t>subjetiva</w:t>
      </w:r>
      <w:r>
        <w:t>.</w:t>
      </w:r>
    </w:p>
    <w:p w14:paraId="7A9437D0" w14:textId="77777777" w:rsidR="00664A08" w:rsidRDefault="00664A08" w:rsidP="00664A08">
      <w:pPr>
        <w:pStyle w:val="Nivel3"/>
      </w:pPr>
      <w:r>
        <w:t xml:space="preserve">Cuando la incertidumbre es objetiva se denomina generalmente como </w:t>
      </w:r>
      <w:r w:rsidRPr="006F30BE">
        <w:rPr>
          <w:b/>
          <w:bCs/>
        </w:rPr>
        <w:t>riesgo</w:t>
      </w:r>
      <w:r>
        <w:t xml:space="preserve">. Es </w:t>
      </w:r>
      <w:r w:rsidRPr="006F30BE">
        <w:rPr>
          <w:i/>
          <w:iCs/>
          <w:u w:val="single"/>
        </w:rPr>
        <w:t>objetiva</w:t>
      </w:r>
      <w:r>
        <w:t xml:space="preserve">, porque depende del objeto, no del sujeto: las probabilidades de cada estado de la naturaleza son perfectamente conocidas y dependen de la lotería en cuestión, no del agente decisor. La palabra </w:t>
      </w:r>
      <w:r w:rsidRPr="006F30BE">
        <w:rPr>
          <w:b/>
          <w:bCs/>
        </w:rPr>
        <w:t>riesgo</w:t>
      </w:r>
      <w:r>
        <w:t xml:space="preserve"> procede del veneciano </w:t>
      </w:r>
      <w:r w:rsidRPr="006F30BE">
        <w:rPr>
          <w:i/>
          <w:iCs/>
        </w:rPr>
        <w:t>“</w:t>
      </w:r>
      <w:proofErr w:type="spellStart"/>
      <w:r w:rsidRPr="006F30BE">
        <w:rPr>
          <w:i/>
          <w:iCs/>
        </w:rPr>
        <w:t>rischio</w:t>
      </w:r>
      <w:proofErr w:type="spellEnd"/>
      <w:r w:rsidRPr="006F30BE">
        <w:rPr>
          <w:i/>
          <w:iCs/>
        </w:rPr>
        <w:t>”</w:t>
      </w:r>
      <w:r>
        <w:t xml:space="preserve">. Los </w:t>
      </w:r>
      <w:r w:rsidRPr="006F30BE">
        <w:rPr>
          <w:i/>
          <w:iCs/>
        </w:rPr>
        <w:lastRenderedPageBreak/>
        <w:t>“</w:t>
      </w:r>
      <w:proofErr w:type="spellStart"/>
      <w:r w:rsidRPr="006F30BE">
        <w:rPr>
          <w:i/>
          <w:iCs/>
        </w:rPr>
        <w:t>rischios</w:t>
      </w:r>
      <w:proofErr w:type="spellEnd"/>
      <w:r w:rsidRPr="006F30BE">
        <w:rPr>
          <w:i/>
          <w:iCs/>
        </w:rPr>
        <w:t>”</w:t>
      </w:r>
      <w:r>
        <w:t xml:space="preserve"> eran protuberancias rocosas a la entrada de los puertos que hundían barcos con una probabilidad estimable de antemano.</w:t>
      </w:r>
    </w:p>
    <w:p w14:paraId="232E3108" w14:textId="5E7D4204" w:rsidR="00664A08" w:rsidRDefault="00664A08" w:rsidP="00664A08">
      <w:pPr>
        <w:pStyle w:val="Nivel3"/>
      </w:pPr>
      <w:r>
        <w:t xml:space="preserve">Contrapuestas a estas situaciones, se encuentran los contextos de </w:t>
      </w:r>
      <w:r w:rsidRPr="006F30BE">
        <w:rPr>
          <w:b/>
          <w:bCs/>
        </w:rPr>
        <w:t>incertidumbre</w:t>
      </w:r>
      <w:r>
        <w:rPr>
          <w:b/>
          <w:bCs/>
        </w:rPr>
        <w:t xml:space="preserve"> </w:t>
      </w:r>
      <w:r>
        <w:t xml:space="preserve">en los que las probabilidades asignadas a cada estado de la naturaleza son </w:t>
      </w:r>
      <w:r w:rsidRPr="00A45424">
        <w:rPr>
          <w:i/>
          <w:iCs/>
          <w:u w:val="single"/>
        </w:rPr>
        <w:t>subjetiv</w:t>
      </w:r>
      <w:r>
        <w:rPr>
          <w:i/>
          <w:iCs/>
          <w:u w:val="single"/>
        </w:rPr>
        <w:t>a</w:t>
      </w:r>
      <w:r w:rsidRPr="00A45424">
        <w:rPr>
          <w:i/>
          <w:iCs/>
          <w:u w:val="single"/>
        </w:rPr>
        <w:t>s</w:t>
      </w:r>
      <w:r>
        <w:t>.</w:t>
      </w:r>
    </w:p>
    <w:p w14:paraId="4AEA1C45" w14:textId="77777777" w:rsidR="00D7009A" w:rsidRDefault="00D7009A" w:rsidP="00D7009A">
      <w:pPr>
        <w:pStyle w:val="Nivel1"/>
        <w:keepNext/>
        <w:spacing w:after="0"/>
        <w:rPr>
          <w:spacing w:val="-4"/>
        </w:rPr>
      </w:pPr>
      <w:r w:rsidRPr="00AC65FF">
        <w:rPr>
          <w:b/>
          <w:bCs/>
          <w:i/>
          <w:iCs/>
          <w:spacing w:val="-4"/>
        </w:rPr>
        <w:t>Relevancia</w:t>
      </w:r>
      <w:r w:rsidRPr="00AC65FF">
        <w:rPr>
          <w:spacing w:val="-4"/>
        </w:rPr>
        <w:t>:</w:t>
      </w:r>
    </w:p>
    <w:p w14:paraId="3B2386FE" w14:textId="67661416" w:rsidR="00647CEE" w:rsidRDefault="00647CEE" w:rsidP="00647CEE">
      <w:pPr>
        <w:pStyle w:val="Nivel2"/>
        <w:keepNext/>
        <w:spacing w:after="0"/>
      </w:pPr>
      <w:r>
        <w:t xml:space="preserve">Podemos señalar </w:t>
      </w:r>
      <w:r w:rsidR="001C111D">
        <w:t>2 </w:t>
      </w:r>
      <w:r>
        <w:t>razones que justifican la importancia del estudio de la demanda del consumidor con información imperfecta:</w:t>
      </w:r>
    </w:p>
    <w:p w14:paraId="532B2B78" w14:textId="3DF4054E" w:rsidR="00647CEE" w:rsidRDefault="00647CEE" w:rsidP="00647CEE">
      <w:pPr>
        <w:pStyle w:val="Nivel3"/>
      </w:pPr>
      <w:r>
        <w:t>Se trata de un desarrollo fundamental en la teoría de la demanda del consumidor, siendo la información imperfecta una característica ineludible de la vida económica.</w:t>
      </w:r>
    </w:p>
    <w:p w14:paraId="124B57F7" w14:textId="45845CEA" w:rsidR="00D7009A" w:rsidRPr="00AC65FF" w:rsidRDefault="00D7009A" w:rsidP="00647CEE">
      <w:pPr>
        <w:pStyle w:val="Nivel3"/>
      </w:pPr>
      <w:r>
        <w:t>Los enfoques presentados en esta exposición pueden ser de tremenda utilidad en una enorme variedad de situaciones</w:t>
      </w:r>
      <w:r w:rsidR="00566C52">
        <w:t>,</w:t>
      </w:r>
      <w:r>
        <w:t xml:space="preserve"> no sólo a nivel teórico, pero también en muchos sectores relacionados con la incertidumbre (por ejemplo, decisiones de aseguramiento o de inversión).</w:t>
      </w:r>
    </w:p>
    <w:p w14:paraId="2D74054D" w14:textId="454010D8" w:rsidR="00A51B24" w:rsidRPr="00AC65FF" w:rsidRDefault="0029255D" w:rsidP="00172B72">
      <w:pPr>
        <w:pStyle w:val="Nivel1"/>
        <w:keepNext/>
        <w:spacing w:after="0"/>
        <w:rPr>
          <w:spacing w:val="-4"/>
        </w:rPr>
      </w:pPr>
      <w:r w:rsidRPr="00AC65FF">
        <w:rPr>
          <w:b/>
          <w:bCs/>
          <w:i/>
          <w:iCs/>
          <w:spacing w:val="-4"/>
        </w:rPr>
        <w:t>Contextualización</w:t>
      </w:r>
      <w:r w:rsidR="00A51B24" w:rsidRPr="00AC65FF">
        <w:rPr>
          <w:spacing w:val="-4"/>
        </w:rPr>
        <w:t>:</w:t>
      </w:r>
    </w:p>
    <w:p w14:paraId="079663A1" w14:textId="2C7B212A" w:rsidR="0046428D" w:rsidRDefault="00BD0125" w:rsidP="0060687D">
      <w:pPr>
        <w:pStyle w:val="Nivel2"/>
        <w:keepNext/>
        <w:spacing w:after="0"/>
      </w:pPr>
      <w:r>
        <w:t xml:space="preserve">En una </w:t>
      </w:r>
      <w:r w:rsidRPr="0046428D">
        <w:rPr>
          <w:i/>
          <w:iCs/>
          <w:u w:val="single"/>
        </w:rPr>
        <w:t>perspectiva histórica</w:t>
      </w:r>
      <w:r>
        <w:t>,</w:t>
      </w:r>
    </w:p>
    <w:p w14:paraId="71E816A0" w14:textId="7F0238BC" w:rsidR="00BD0125" w:rsidRPr="00566C52" w:rsidRDefault="00566C52" w:rsidP="00982D41">
      <w:pPr>
        <w:pStyle w:val="Nivel3"/>
        <w:rPr>
          <w:spacing w:val="-4"/>
        </w:rPr>
      </w:pPr>
      <w:r w:rsidRPr="00566C52">
        <w:rPr>
          <w:spacing w:val="-4"/>
        </w:rPr>
        <w:t>Es enormemente llamativo el origen del análisis económico de las decisiones en ausencia de perfecta certidumbre.</w:t>
      </w:r>
      <w:r w:rsidRPr="00566C52">
        <w:t xml:space="preserve"> </w:t>
      </w:r>
      <w:r w:rsidR="00247EB2" w:rsidRPr="00566C52">
        <w:t>E</w:t>
      </w:r>
      <w:r w:rsidR="00BD0125" w:rsidRPr="00566C52">
        <w:t xml:space="preserve">l análisis de estas decisiones </w:t>
      </w:r>
      <w:r w:rsidR="00795B75" w:rsidRPr="00566C52">
        <w:t xml:space="preserve">en ausencia </w:t>
      </w:r>
      <w:r w:rsidR="00BD0125" w:rsidRPr="00566C52">
        <w:t xml:space="preserve">de </w:t>
      </w:r>
      <w:r w:rsidR="00795B75" w:rsidRPr="00566C52">
        <w:t xml:space="preserve">información perfecta </w:t>
      </w:r>
      <w:r w:rsidR="00BD0125" w:rsidRPr="00566C52">
        <w:t xml:space="preserve">se inicia de forma pionera por </w:t>
      </w:r>
      <w:r w:rsidR="00BD0125" w:rsidRPr="00566C52">
        <w:rPr>
          <w:smallCaps/>
        </w:rPr>
        <w:t>Daniel Bernoulli</w:t>
      </w:r>
      <w:r>
        <w:t xml:space="preserve">, quien </w:t>
      </w:r>
      <w:r w:rsidRPr="00566C52">
        <w:t xml:space="preserve">en el </w:t>
      </w:r>
      <w:r w:rsidRPr="00566C52">
        <w:rPr>
          <w:b/>
          <w:bCs/>
        </w:rPr>
        <w:t>siglo XVIII</w:t>
      </w:r>
      <w:r w:rsidR="00BD0125" w:rsidRPr="00566C52">
        <w:rPr>
          <w:spacing w:val="-4"/>
        </w:rPr>
        <w:t xml:space="preserve"> </w:t>
      </w:r>
      <w:bookmarkStart w:id="6" w:name="_Hlk109469597"/>
      <w:r w:rsidR="00BD0125" w:rsidRPr="00566C52">
        <w:rPr>
          <w:spacing w:val="-4"/>
        </w:rPr>
        <w:t>realiza el primer análisis riguroso de la toma de decisiones en ausencia de certidumbre,</w:t>
      </w:r>
      <w:r w:rsidR="00E73850" w:rsidRPr="00566C52">
        <w:rPr>
          <w:spacing w:val="-4"/>
        </w:rPr>
        <w:t xml:space="preserve"> aplicando de forma adelantada</w:t>
      </w:r>
      <w:r w:rsidR="00BD0125" w:rsidRPr="00566C52">
        <w:rPr>
          <w:spacing w:val="-4"/>
        </w:rPr>
        <w:t xml:space="preserve"> </w:t>
      </w:r>
      <w:r w:rsidR="00E73850" w:rsidRPr="00566C52">
        <w:rPr>
          <w:spacing w:val="-4"/>
        </w:rPr>
        <w:t xml:space="preserve">el concepto de utilidad marginal para </w:t>
      </w:r>
      <w:r w:rsidR="00BD0125" w:rsidRPr="00566C52">
        <w:rPr>
          <w:spacing w:val="-4"/>
        </w:rPr>
        <w:t>da</w:t>
      </w:r>
      <w:r w:rsidR="00E73850" w:rsidRPr="00566C52">
        <w:rPr>
          <w:spacing w:val="-4"/>
        </w:rPr>
        <w:t>r</w:t>
      </w:r>
      <w:r w:rsidR="00BD0125" w:rsidRPr="00566C52">
        <w:rPr>
          <w:spacing w:val="-4"/>
        </w:rPr>
        <w:t xml:space="preserve"> respuesta a la conocida paradoja de San Petersburgo</w:t>
      </w:r>
      <w:bookmarkEnd w:id="6"/>
      <w:r w:rsidR="00BD0125" w:rsidRPr="00566C52">
        <w:rPr>
          <w:spacing w:val="-4"/>
        </w:rPr>
        <w:t xml:space="preserve"> </w:t>
      </w:r>
      <w:r w:rsidR="00BD0125" w:rsidRPr="00566C52">
        <w:rPr>
          <w:color w:val="767171" w:themeColor="background2" w:themeShade="80"/>
          <w:spacing w:val="-4"/>
          <w:sz w:val="19"/>
          <w:szCs w:val="19"/>
        </w:rPr>
        <w:t xml:space="preserve">[ver anexo </w:t>
      </w:r>
      <w:r w:rsidR="00BD0125" w:rsidRPr="00566C52">
        <w:rPr>
          <w:color w:val="767171" w:themeColor="background2" w:themeShade="80"/>
          <w:spacing w:val="-4"/>
          <w:sz w:val="19"/>
          <w:szCs w:val="19"/>
        </w:rPr>
        <w:fldChar w:fldCharType="begin"/>
      </w:r>
      <w:r w:rsidR="00BD0125" w:rsidRPr="00566C52">
        <w:rPr>
          <w:color w:val="767171" w:themeColor="background2" w:themeShade="80"/>
          <w:spacing w:val="-4"/>
          <w:sz w:val="19"/>
          <w:szCs w:val="19"/>
        </w:rPr>
        <w:instrText xml:space="preserve"> REF _Ref99301171 \r \h </w:instrText>
      </w:r>
      <w:r w:rsidRPr="00566C52">
        <w:rPr>
          <w:color w:val="767171" w:themeColor="background2" w:themeShade="80"/>
          <w:spacing w:val="-4"/>
          <w:sz w:val="19"/>
          <w:szCs w:val="19"/>
        </w:rPr>
        <w:instrText xml:space="preserve"> \* MERGEFORMAT </w:instrText>
      </w:r>
      <w:r w:rsidR="00BD0125" w:rsidRPr="00566C52">
        <w:rPr>
          <w:color w:val="767171" w:themeColor="background2" w:themeShade="80"/>
          <w:spacing w:val="-4"/>
          <w:sz w:val="19"/>
          <w:szCs w:val="19"/>
        </w:rPr>
      </w:r>
      <w:r w:rsidR="00BD0125" w:rsidRPr="00566C52">
        <w:rPr>
          <w:color w:val="767171" w:themeColor="background2" w:themeShade="80"/>
          <w:spacing w:val="-4"/>
          <w:sz w:val="19"/>
          <w:szCs w:val="19"/>
        </w:rPr>
        <w:fldChar w:fldCharType="separate"/>
      </w:r>
      <w:r w:rsidR="002E338F">
        <w:rPr>
          <w:color w:val="767171" w:themeColor="background2" w:themeShade="80"/>
          <w:spacing w:val="-4"/>
          <w:sz w:val="19"/>
          <w:szCs w:val="19"/>
        </w:rPr>
        <w:t>A.2</w:t>
      </w:r>
      <w:r w:rsidR="00BD0125" w:rsidRPr="00566C52">
        <w:rPr>
          <w:color w:val="767171" w:themeColor="background2" w:themeShade="80"/>
          <w:spacing w:val="-4"/>
          <w:sz w:val="19"/>
          <w:szCs w:val="19"/>
        </w:rPr>
        <w:fldChar w:fldCharType="end"/>
      </w:r>
      <w:r w:rsidR="00BD0125" w:rsidRPr="00566C52">
        <w:rPr>
          <w:color w:val="767171" w:themeColor="background2" w:themeShade="80"/>
          <w:spacing w:val="-4"/>
          <w:sz w:val="19"/>
          <w:szCs w:val="19"/>
        </w:rPr>
        <w:t>]</w:t>
      </w:r>
      <w:r w:rsidR="00BD0125" w:rsidRPr="00566C52">
        <w:rPr>
          <w:spacing w:val="-4"/>
        </w:rPr>
        <w:t xml:space="preserve"> que no parecía resolverse aplicando el criterio de la ganancia esperada.</w:t>
      </w:r>
    </w:p>
    <w:p w14:paraId="2286253D" w14:textId="06B72B85" w:rsidR="006F30BE" w:rsidRDefault="00247EB2" w:rsidP="00D97EEA">
      <w:pPr>
        <w:pStyle w:val="Nivel3"/>
      </w:pPr>
      <w:r>
        <w:t>El análisis de las decisiones bajo incertidumbre quedaría relegado y serí</w:t>
      </w:r>
      <w:r w:rsidR="00D126A3">
        <w:t>a</w:t>
      </w:r>
      <w:r>
        <w:t xml:space="preserve"> rescatado ya entrado el </w:t>
      </w:r>
      <w:r w:rsidRPr="00247EB2">
        <w:rPr>
          <w:b/>
          <w:bCs/>
        </w:rPr>
        <w:t>siglo</w:t>
      </w:r>
      <w:r w:rsidR="00AD2EC7">
        <w:rPr>
          <w:b/>
          <w:bCs/>
        </w:rPr>
        <w:t> </w:t>
      </w:r>
      <w:r w:rsidRPr="00247EB2">
        <w:rPr>
          <w:b/>
          <w:bCs/>
        </w:rPr>
        <w:t>XX</w:t>
      </w:r>
      <w:r>
        <w:t xml:space="preserve">. Destacamos a </w:t>
      </w:r>
      <w:r w:rsidRPr="00247EB2">
        <w:rPr>
          <w:smallCaps/>
        </w:rPr>
        <w:t>Frank Knight</w:t>
      </w:r>
      <w:r>
        <w:t>, que en</w:t>
      </w:r>
      <w:r w:rsidR="00AB57E3">
        <w:t xml:space="preserve"> su obra </w:t>
      </w:r>
      <w:r w:rsidR="00AB57E3" w:rsidRPr="00247EB2">
        <w:rPr>
          <w:i/>
          <w:iCs/>
        </w:rPr>
        <w:t>“</w:t>
      </w:r>
      <w:proofErr w:type="spellStart"/>
      <w:r w:rsidR="00AB57E3" w:rsidRPr="00247EB2">
        <w:rPr>
          <w:i/>
          <w:iCs/>
        </w:rPr>
        <w:t>Risk</w:t>
      </w:r>
      <w:proofErr w:type="spellEnd"/>
      <w:r w:rsidR="00AB57E3" w:rsidRPr="00247EB2">
        <w:rPr>
          <w:i/>
          <w:iCs/>
        </w:rPr>
        <w:t xml:space="preserve">, </w:t>
      </w:r>
      <w:proofErr w:type="spellStart"/>
      <w:r w:rsidR="00AB57E3" w:rsidRPr="00247EB2">
        <w:rPr>
          <w:i/>
          <w:iCs/>
        </w:rPr>
        <w:t>Uncertainty</w:t>
      </w:r>
      <w:proofErr w:type="spellEnd"/>
      <w:r w:rsidR="00AB57E3" w:rsidRPr="00247EB2">
        <w:rPr>
          <w:i/>
          <w:iCs/>
        </w:rPr>
        <w:t xml:space="preserve"> and </w:t>
      </w:r>
      <w:proofErr w:type="spellStart"/>
      <w:r w:rsidR="00AB57E3" w:rsidRPr="00247EB2">
        <w:rPr>
          <w:i/>
          <w:iCs/>
        </w:rPr>
        <w:t>Profit</w:t>
      </w:r>
      <w:proofErr w:type="spellEnd"/>
      <w:r w:rsidR="00AB57E3" w:rsidRPr="00247EB2">
        <w:rPr>
          <w:i/>
          <w:iCs/>
        </w:rPr>
        <w:t>”</w:t>
      </w:r>
      <w:r w:rsidR="006F30BE">
        <w:t xml:space="preserve"> </w:t>
      </w:r>
      <w:r>
        <w:t xml:space="preserve">(1921) </w:t>
      </w:r>
      <w:r w:rsidR="006F30BE">
        <w:t xml:space="preserve">fue pionero en </w:t>
      </w:r>
      <w:r w:rsidR="006F30BE" w:rsidRPr="00247EB2">
        <w:rPr>
          <w:i/>
          <w:iCs/>
          <w:u w:val="single"/>
        </w:rPr>
        <w:t>distinguir entre riesgo e incertidumbre</w:t>
      </w:r>
      <w:r w:rsidR="006F30BE">
        <w:t>. Es habitual</w:t>
      </w:r>
      <w:r w:rsidR="0046428D">
        <w:t>,</w:t>
      </w:r>
      <w:r w:rsidR="006F30BE">
        <w:t xml:space="preserve"> sin embargo</w:t>
      </w:r>
      <w:r w:rsidR="0046428D">
        <w:t>,</w:t>
      </w:r>
      <w:r w:rsidR="006F30BE">
        <w:t xml:space="preserve"> utilizar el término incertidumbre para referirse a ambos fenómenos cuando no se pretende distinguir explícitamente.</w:t>
      </w:r>
    </w:p>
    <w:p w14:paraId="1D720ECE" w14:textId="5134B295" w:rsidR="00247EB2" w:rsidRDefault="00247EB2" w:rsidP="00D97EEA">
      <w:pPr>
        <w:pStyle w:val="Nivel3"/>
      </w:pPr>
      <w:r>
        <w:t xml:space="preserve">En cualquier caso, no sería hasta </w:t>
      </w:r>
      <w:r w:rsidRPr="00566C52">
        <w:t>los</w:t>
      </w:r>
      <w:r w:rsidRPr="00247EB2">
        <w:rPr>
          <w:b/>
          <w:bCs/>
        </w:rPr>
        <w:t xml:space="preserve"> años</w:t>
      </w:r>
      <w:r w:rsidR="00AD2EC7">
        <w:rPr>
          <w:b/>
          <w:bCs/>
        </w:rPr>
        <w:t> </w:t>
      </w:r>
      <w:r w:rsidRPr="00247EB2">
        <w:rPr>
          <w:b/>
          <w:bCs/>
        </w:rPr>
        <w:t>40</w:t>
      </w:r>
      <w:r>
        <w:t xml:space="preserve">, cuando </w:t>
      </w:r>
      <w:r>
        <w:rPr>
          <w:smallCaps/>
        </w:rPr>
        <w:t xml:space="preserve">John </w:t>
      </w:r>
      <w:r w:rsidR="00084BF4">
        <w:rPr>
          <w:smallCaps/>
        </w:rPr>
        <w:t>von Neumann</w:t>
      </w:r>
      <w:r>
        <w:t xml:space="preserve"> y </w:t>
      </w:r>
      <w:r w:rsidRPr="00247EB2">
        <w:rPr>
          <w:smallCaps/>
        </w:rPr>
        <w:t>Oskar Morgenstern</w:t>
      </w:r>
      <w:r>
        <w:t xml:space="preserve"> publicaran su obra señera </w:t>
      </w:r>
      <w:r w:rsidRPr="00247EB2">
        <w:rPr>
          <w:i/>
          <w:iCs/>
        </w:rPr>
        <w:t>“</w:t>
      </w:r>
      <w:proofErr w:type="spellStart"/>
      <w:r>
        <w:rPr>
          <w:i/>
          <w:iCs/>
        </w:rPr>
        <w:t>The</w:t>
      </w:r>
      <w:proofErr w:type="spellEnd"/>
      <w:r>
        <w:rPr>
          <w:i/>
          <w:iCs/>
        </w:rPr>
        <w:t xml:space="preserve"> </w:t>
      </w:r>
      <w:proofErr w:type="spellStart"/>
      <w:r>
        <w:rPr>
          <w:i/>
          <w:iCs/>
        </w:rPr>
        <w:t>Theory</w:t>
      </w:r>
      <w:proofErr w:type="spellEnd"/>
      <w:r>
        <w:rPr>
          <w:i/>
          <w:iCs/>
        </w:rPr>
        <w:t xml:space="preserve"> </w:t>
      </w:r>
      <w:proofErr w:type="spellStart"/>
      <w:r>
        <w:rPr>
          <w:i/>
          <w:iCs/>
        </w:rPr>
        <w:t>of</w:t>
      </w:r>
      <w:proofErr w:type="spellEnd"/>
      <w:r>
        <w:rPr>
          <w:i/>
          <w:iCs/>
        </w:rPr>
        <w:t xml:space="preserve"> </w:t>
      </w:r>
      <w:proofErr w:type="spellStart"/>
      <w:r>
        <w:rPr>
          <w:i/>
          <w:iCs/>
        </w:rPr>
        <w:t>Games</w:t>
      </w:r>
      <w:proofErr w:type="spellEnd"/>
      <w:r>
        <w:rPr>
          <w:i/>
          <w:iCs/>
        </w:rPr>
        <w:t xml:space="preserve"> and </w:t>
      </w:r>
      <w:proofErr w:type="spellStart"/>
      <w:r>
        <w:rPr>
          <w:i/>
          <w:iCs/>
        </w:rPr>
        <w:t>Economic</w:t>
      </w:r>
      <w:proofErr w:type="spellEnd"/>
      <w:r>
        <w:rPr>
          <w:i/>
          <w:iCs/>
        </w:rPr>
        <w:t xml:space="preserve"> </w:t>
      </w:r>
      <w:proofErr w:type="spellStart"/>
      <w:r>
        <w:rPr>
          <w:i/>
          <w:iCs/>
        </w:rPr>
        <w:t>Behaviour</w:t>
      </w:r>
      <w:proofErr w:type="spellEnd"/>
      <w:r w:rsidRPr="00247EB2">
        <w:rPr>
          <w:i/>
          <w:iCs/>
        </w:rPr>
        <w:t>”</w:t>
      </w:r>
      <w:r>
        <w:t xml:space="preserve"> (1944)</w:t>
      </w:r>
      <w:r w:rsidR="007D6B0E">
        <w:rPr>
          <w:rStyle w:val="Refdenotaalpie"/>
        </w:rPr>
        <w:footnoteReference w:id="4"/>
      </w:r>
      <w:r>
        <w:t xml:space="preserve"> que por primera vez establecía con rigor la derivación axiomática de la teoría de la utilidad esperada de </w:t>
      </w:r>
      <w:r>
        <w:rPr>
          <w:smallCaps/>
        </w:rPr>
        <w:t>Daniel Bernoulli</w:t>
      </w:r>
      <w:r>
        <w:t>.</w:t>
      </w:r>
    </w:p>
    <w:p w14:paraId="624BCE41" w14:textId="2B7BB650" w:rsidR="00247EB2" w:rsidRDefault="00A1205D" w:rsidP="00D97EEA">
      <w:pPr>
        <w:pStyle w:val="Nivel3"/>
      </w:pPr>
      <w:r>
        <w:lastRenderedPageBreak/>
        <w:t xml:space="preserve">En los </w:t>
      </w:r>
      <w:r w:rsidRPr="00A1205D">
        <w:rPr>
          <w:b/>
          <w:bCs/>
        </w:rPr>
        <w:t>años</w:t>
      </w:r>
      <w:r w:rsidR="00AD2EC7">
        <w:rPr>
          <w:b/>
          <w:bCs/>
        </w:rPr>
        <w:t> </w:t>
      </w:r>
      <w:r w:rsidRPr="00A1205D">
        <w:rPr>
          <w:b/>
          <w:bCs/>
        </w:rPr>
        <w:t>50</w:t>
      </w:r>
      <w:r>
        <w:t xml:space="preserve"> tendría lugar e</w:t>
      </w:r>
      <w:r w:rsidR="00247EB2">
        <w:t>l segundo gran hito</w:t>
      </w:r>
      <w:r>
        <w:t>. S</w:t>
      </w:r>
      <w:r w:rsidR="00247EB2">
        <w:t xml:space="preserve">ería la obra de </w:t>
      </w:r>
      <w:r w:rsidR="00247EB2">
        <w:rPr>
          <w:smallCaps/>
        </w:rPr>
        <w:t xml:space="preserve">Leonard </w:t>
      </w:r>
      <w:proofErr w:type="spellStart"/>
      <w:r w:rsidR="00247EB2">
        <w:rPr>
          <w:smallCaps/>
        </w:rPr>
        <w:t>Savage</w:t>
      </w:r>
      <w:proofErr w:type="spellEnd"/>
      <w:r w:rsidR="00247EB2">
        <w:t xml:space="preserve"> </w:t>
      </w:r>
      <w:r w:rsidR="00247EB2">
        <w:rPr>
          <w:i/>
          <w:iCs/>
        </w:rPr>
        <w:t>“</w:t>
      </w:r>
      <w:proofErr w:type="spellStart"/>
      <w:r w:rsidR="00247EB2">
        <w:rPr>
          <w:i/>
          <w:iCs/>
        </w:rPr>
        <w:t>Foundations</w:t>
      </w:r>
      <w:proofErr w:type="spellEnd"/>
      <w:r w:rsidR="00247EB2">
        <w:rPr>
          <w:i/>
          <w:iCs/>
        </w:rPr>
        <w:t xml:space="preserve"> </w:t>
      </w:r>
      <w:proofErr w:type="spellStart"/>
      <w:r w:rsidR="00247EB2">
        <w:rPr>
          <w:i/>
          <w:iCs/>
        </w:rPr>
        <w:t>of</w:t>
      </w:r>
      <w:proofErr w:type="spellEnd"/>
      <w:r w:rsidR="00247EB2">
        <w:rPr>
          <w:i/>
          <w:iCs/>
        </w:rPr>
        <w:t xml:space="preserve"> </w:t>
      </w:r>
      <w:proofErr w:type="spellStart"/>
      <w:r w:rsidR="00247EB2">
        <w:rPr>
          <w:i/>
          <w:iCs/>
        </w:rPr>
        <w:t>Statistics</w:t>
      </w:r>
      <w:proofErr w:type="spellEnd"/>
      <w:r w:rsidR="00247EB2">
        <w:rPr>
          <w:i/>
          <w:iCs/>
        </w:rPr>
        <w:t>”</w:t>
      </w:r>
      <w:r w:rsidR="00247EB2">
        <w:t xml:space="preserve"> (1954), que consiguió derivar la utilidad esperada sin necesidad de imponer la existencia de probabilidades objetivas (i.e. en situaciones de incertidumbre).</w:t>
      </w:r>
    </w:p>
    <w:p w14:paraId="711A8F8B" w14:textId="7CD9ECE0" w:rsidR="00247EB2" w:rsidRDefault="00447771" w:rsidP="005D6842">
      <w:pPr>
        <w:pStyle w:val="Nivel3"/>
        <w:keepNext/>
      </w:pPr>
      <w:r w:rsidRPr="00A1205D">
        <w:rPr>
          <w:b/>
          <w:bCs/>
        </w:rPr>
        <w:t>Más recientemente</w:t>
      </w:r>
      <w:r>
        <w:t xml:space="preserve">, también han surgido voces discordantes que ponen de manifiesto las limitaciones de los análisis dominantes y con ello han promovido la mejora y el desarrollo de este campo. Entre otros caben destacar las contribuciones de </w:t>
      </w:r>
      <w:r>
        <w:rPr>
          <w:smallCaps/>
        </w:rPr>
        <w:t>Maurice Allais</w:t>
      </w:r>
      <w:r w:rsidR="00373956">
        <w:rPr>
          <w:rStyle w:val="Refdenotaalpie"/>
          <w:smallCaps/>
        </w:rPr>
        <w:footnoteReference w:id="5"/>
      </w:r>
      <w:r>
        <w:t xml:space="preserve">, </w:t>
      </w:r>
      <w:r>
        <w:rPr>
          <w:smallCaps/>
        </w:rPr>
        <w:t>Daniel Kahneman</w:t>
      </w:r>
      <w:r w:rsidR="000838B0">
        <w:rPr>
          <w:rStyle w:val="Refdenotaalpie"/>
          <w:smallCaps/>
        </w:rPr>
        <w:footnoteReference w:id="6"/>
      </w:r>
      <w:r>
        <w:t xml:space="preserve"> o </w:t>
      </w:r>
      <w:r>
        <w:rPr>
          <w:smallCaps/>
        </w:rPr>
        <w:t>Amos Tversky</w:t>
      </w:r>
      <w:r>
        <w:t>.</w:t>
      </w:r>
    </w:p>
    <w:p w14:paraId="499E4C38" w14:textId="47739910" w:rsidR="007D6B0E" w:rsidRDefault="007D6B0E" w:rsidP="005D6842">
      <w:pPr>
        <w:pStyle w:val="Nivel4"/>
      </w:pPr>
      <w:r>
        <w:t xml:space="preserve">La concesión del Premio Nobel de Economía del 2002 a </w:t>
      </w:r>
      <w:r>
        <w:rPr>
          <w:smallCaps/>
        </w:rPr>
        <w:t>Daniel Kahneman</w:t>
      </w:r>
      <w:r>
        <w:t xml:space="preserve"> es un reconocimiento de la importancia de la psicología en la explicación del comportamiento económico. En colaboración con </w:t>
      </w:r>
      <w:r>
        <w:rPr>
          <w:smallCaps/>
        </w:rPr>
        <w:t>Amos Tversky</w:t>
      </w:r>
      <w:r>
        <w:t xml:space="preserve"> –quien, de no haber fallecido en 1996 hubiera recibido también el galardón– </w:t>
      </w:r>
      <w:r>
        <w:rPr>
          <w:smallCaps/>
        </w:rPr>
        <w:t>Daniel Kahneman</w:t>
      </w:r>
      <w:r>
        <w:t xml:space="preserve"> formuló una nueva teoría de la decisión humana, la </w:t>
      </w:r>
      <w:r>
        <w:rPr>
          <w:i/>
          <w:iCs/>
        </w:rPr>
        <w:t>Prospect Theory</w:t>
      </w:r>
      <w:r>
        <w:t xml:space="preserve">, que ha dado origen a una nueva rama del análisis financiero, la </w:t>
      </w:r>
      <w:r>
        <w:rPr>
          <w:i/>
          <w:iCs/>
        </w:rPr>
        <w:t>Behavioral Finance</w:t>
      </w:r>
      <w:r>
        <w:t xml:space="preserve"> (</w:t>
      </w:r>
      <w:r>
        <w:rPr>
          <w:i/>
          <w:iCs/>
        </w:rPr>
        <w:t>Psicología de las finanzas</w:t>
      </w:r>
      <w:r>
        <w:t>).</w:t>
      </w:r>
    </w:p>
    <w:p w14:paraId="6E4E8AFB" w14:textId="77777777" w:rsidR="005D7E1C" w:rsidRPr="00AC65FF" w:rsidRDefault="00B77C0F" w:rsidP="003D6FC4">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570F2A55" w14:textId="77777777" w:rsidR="006F30BE" w:rsidRDefault="00ED646B" w:rsidP="003D6FC4">
      <w:pPr>
        <w:pStyle w:val="Nivel2"/>
        <w:keepNext/>
        <w:spacing w:after="0"/>
      </w:pPr>
      <w:r w:rsidRPr="000A3137">
        <w:t>¿</w:t>
      </w:r>
      <w:r w:rsidR="009D223F">
        <w:t>Qué es el riesgo?</w:t>
      </w:r>
    </w:p>
    <w:p w14:paraId="5871D881" w14:textId="4C6B1A8F" w:rsidR="009D223F" w:rsidRPr="006F30BE" w:rsidRDefault="006F30BE" w:rsidP="0080102A">
      <w:pPr>
        <w:pStyle w:val="Nivel3"/>
        <w:rPr>
          <w:spacing w:val="-4"/>
        </w:rPr>
      </w:pPr>
      <w:r w:rsidRPr="006F30BE">
        <w:rPr>
          <w:spacing w:val="-4"/>
        </w:rPr>
        <w:t>¿</w:t>
      </w:r>
      <w:r w:rsidRPr="0080102A">
        <w:t>Cómo ha</w:t>
      </w:r>
      <w:r w:rsidR="0080102A">
        <w:t>n sido</w:t>
      </w:r>
      <w:r w:rsidRPr="0080102A">
        <w:t xml:space="preserve"> modelizad</w:t>
      </w:r>
      <w:r w:rsidR="0080102A">
        <w:t>as</w:t>
      </w:r>
      <w:r w:rsidRPr="0080102A">
        <w:t xml:space="preserve"> las decisiones en situaciones de riesgo</w:t>
      </w:r>
      <w:r w:rsidRPr="006F30BE">
        <w:rPr>
          <w:spacing w:val="-4"/>
        </w:rPr>
        <w:t>?</w:t>
      </w:r>
    </w:p>
    <w:p w14:paraId="1C926867" w14:textId="00669644" w:rsidR="009D223F" w:rsidRDefault="009D223F" w:rsidP="003D6FC4">
      <w:pPr>
        <w:pStyle w:val="Nivel2"/>
        <w:keepNext/>
        <w:spacing w:after="0"/>
      </w:pPr>
      <w:r>
        <w:t>¿Qué es la incertidumbre?</w:t>
      </w:r>
    </w:p>
    <w:p w14:paraId="4F585274" w14:textId="7FC0F28B" w:rsidR="006F30BE" w:rsidRPr="0080102A" w:rsidRDefault="006F30BE" w:rsidP="0080102A">
      <w:pPr>
        <w:pStyle w:val="Nivel3"/>
        <w:rPr>
          <w:spacing w:val="-2"/>
        </w:rPr>
      </w:pPr>
      <w:r w:rsidRPr="0080102A">
        <w:rPr>
          <w:spacing w:val="-2"/>
        </w:rPr>
        <w:t>¿Cómo ha</w:t>
      </w:r>
      <w:r w:rsidR="0080102A" w:rsidRPr="0080102A">
        <w:rPr>
          <w:spacing w:val="-2"/>
        </w:rPr>
        <w:t>n sido</w:t>
      </w:r>
      <w:r w:rsidRPr="0080102A">
        <w:rPr>
          <w:spacing w:val="-2"/>
        </w:rPr>
        <w:t xml:space="preserve"> modelizad</w:t>
      </w:r>
      <w:r w:rsidR="0080102A" w:rsidRPr="0080102A">
        <w:rPr>
          <w:spacing w:val="-2"/>
        </w:rPr>
        <w:t xml:space="preserve">as </w:t>
      </w:r>
      <w:r w:rsidRPr="0080102A">
        <w:rPr>
          <w:spacing w:val="-2"/>
        </w:rPr>
        <w:t>las decisiones en situaciones de incertidumbre?</w:t>
      </w:r>
    </w:p>
    <w:p w14:paraId="780275B0" w14:textId="77777777" w:rsidR="00640D38" w:rsidRDefault="0029255D" w:rsidP="003D6FC4">
      <w:pPr>
        <w:pStyle w:val="Nivel1"/>
        <w:keepNext/>
        <w:spacing w:after="0"/>
      </w:pPr>
      <w:r w:rsidRPr="005A6702">
        <w:rPr>
          <w:b/>
          <w:bCs/>
          <w:i/>
          <w:iCs/>
        </w:rPr>
        <w:lastRenderedPageBreak/>
        <w:t>Estructura</w:t>
      </w:r>
      <w:r w:rsidR="00B77C0F" w:rsidRPr="00AC65FF">
        <w:t>:</w:t>
      </w:r>
    </w:p>
    <w:tbl>
      <w:tblPr>
        <w:tblStyle w:val="Tablaconcuadrcula"/>
        <w:tblW w:w="9071" w:type="dxa"/>
        <w:tblInd w:w="846" w:type="dxa"/>
        <w:tblLook w:val="04A0" w:firstRow="1" w:lastRow="0" w:firstColumn="1" w:lastColumn="0" w:noHBand="0" w:noVBand="1"/>
      </w:tblPr>
      <w:tblGrid>
        <w:gridCol w:w="9071"/>
      </w:tblGrid>
      <w:tr w:rsidR="0021774E" w14:paraId="71DD9585" w14:textId="77777777" w:rsidTr="001E2905">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DEB4696" w14:textId="77777777" w:rsidR="0081544B" w:rsidRDefault="0081544B" w:rsidP="00805E5F">
      <w:pPr>
        <w:rPr>
          <w:highlight w:val="lightGray"/>
        </w:rPr>
      </w:pPr>
      <w:r>
        <w:rPr>
          <w:highlight w:val="lightGray"/>
        </w:rPr>
        <w:br w:type="page"/>
      </w:r>
    </w:p>
    <w:p w14:paraId="45FFE2ED" w14:textId="3D87CA44" w:rsidR="00B52052" w:rsidRDefault="009A3230" w:rsidP="008F677F">
      <w:pPr>
        <w:pStyle w:val="Ttulo1"/>
      </w:pPr>
      <w:bookmarkStart w:id="7" w:name="_Toc172232524"/>
      <w:r>
        <w:lastRenderedPageBreak/>
        <w:t>ELECCIÓN DEL CONSUMIDOR EN SITUACIONES DE RIESGO</w:t>
      </w:r>
      <w:r w:rsidR="00106DD6">
        <w:t xml:space="preserve"> I:</w:t>
      </w:r>
      <w:r w:rsidR="00106DD6">
        <w:br/>
        <w:t>TEORÍA DE LA UTILIDAD ESPERADA</w:t>
      </w:r>
      <w:bookmarkEnd w:id="7"/>
    </w:p>
    <w:p w14:paraId="3A028C62" w14:textId="3207D38E" w:rsidR="009A3230" w:rsidRDefault="009A3230" w:rsidP="00106DD6">
      <w:pPr>
        <w:pStyle w:val="Ttulo2"/>
      </w:pPr>
      <w:bookmarkStart w:id="8" w:name="_Toc172232525"/>
      <w:r>
        <w:t>Fundamentos</w:t>
      </w:r>
      <w:bookmarkEnd w:id="8"/>
    </w:p>
    <w:p w14:paraId="760266DB" w14:textId="77777777" w:rsidR="00030A1E" w:rsidRDefault="00030A1E" w:rsidP="00030A1E">
      <w:pPr>
        <w:pStyle w:val="Nivel1SM"/>
        <w:keepNext/>
        <w:spacing w:before="0" w:after="0"/>
      </w:pPr>
      <w:r w:rsidRPr="00181505">
        <w:t xml:space="preserve">Siguiendo a </w:t>
      </w:r>
      <w:r w:rsidRPr="00181505">
        <w:rPr>
          <w:b/>
          <w:bCs/>
          <w:smallCaps/>
        </w:rPr>
        <w:t>Knight</w:t>
      </w:r>
      <w:r w:rsidRPr="00181505">
        <w:t xml:space="preserve"> podemos </w:t>
      </w:r>
      <w:r w:rsidRPr="00181505">
        <w:rPr>
          <w:i/>
          <w:iCs/>
        </w:rPr>
        <w:t>definir</w:t>
      </w:r>
      <w:r w:rsidRPr="00181505">
        <w:t xml:space="preserve"> una </w:t>
      </w:r>
      <w:r>
        <w:rPr>
          <w:i/>
          <w:iCs/>
          <w:u w:val="single"/>
        </w:rPr>
        <w:t>situación de riesgo</w:t>
      </w:r>
      <w:r>
        <w:t xml:space="preserve"> como aquella en la que la aleatoriedad a la que se enfrenta el agente económico se presenta en forma de </w:t>
      </w:r>
      <w:r w:rsidRPr="00CA2D29">
        <w:rPr>
          <w:b/>
          <w:bCs/>
        </w:rPr>
        <w:t>probabilidades objetivas</w:t>
      </w:r>
      <w:r>
        <w:t xml:space="preserve"> (especificadas exógenamente o calculables científicamente).</w:t>
      </w:r>
    </w:p>
    <w:p w14:paraId="5530D8A4" w14:textId="77777777" w:rsidR="00030A1E" w:rsidRDefault="00030A1E" w:rsidP="00030A1E">
      <w:pPr>
        <w:pStyle w:val="Nivel2SM"/>
      </w:pPr>
      <w:r>
        <w:t>De este modo, la aleatoriedad depende del objeto, no del sujeto: las probabilidades de cada estado de la naturaleza son perfectamente conocidas y dependen de la lotería en cuestión, no del agente decisor.</w:t>
      </w:r>
    </w:p>
    <w:p w14:paraId="4DF3F9CC" w14:textId="209510B7" w:rsidR="00030A1E" w:rsidRDefault="00030A1E" w:rsidP="00030A1E">
      <w:pPr>
        <w:pStyle w:val="Nivel2SM"/>
      </w:pPr>
      <w:r>
        <w:t xml:space="preserve">Pueden ser consideradas una excesiva simplificación de la realidad, ya que es difícil encontrar ejemplos de riesgo puro en la actividad económica real. Es por ello </w:t>
      </w:r>
      <w:proofErr w:type="gramStart"/>
      <w:r>
        <w:t>que</w:t>
      </w:r>
      <w:proofErr w:type="gramEnd"/>
      <w:r>
        <w:t xml:space="preserve"> usamos ejemplos simples como tirar una moneda al aire, dados o ruletas de casinos.</w:t>
      </w:r>
    </w:p>
    <w:p w14:paraId="23C2E85E" w14:textId="041AC36C" w:rsidR="00030A1E" w:rsidRDefault="00030A1E" w:rsidP="00030A1E">
      <w:pPr>
        <w:pStyle w:val="Nivel1SM"/>
        <w:keepNext/>
        <w:spacing w:after="0"/>
      </w:pPr>
      <w:r>
        <w:t xml:space="preserve">La </w:t>
      </w:r>
      <w:r w:rsidRPr="00106DD6">
        <w:rPr>
          <w:b/>
          <w:bCs/>
        </w:rPr>
        <w:t>Teoría de la Utilidad Esperada</w:t>
      </w:r>
      <w:r>
        <w:t xml:space="preserve"> fue la primera aplicación del modelo de decisión neoclásico –que empezaba a concretarse en la primera mitad del siglo</w:t>
      </w:r>
      <w:r w:rsidR="00B322D9">
        <w:t> </w:t>
      </w:r>
      <w:r>
        <w:t>XX– a la elección bajo incertidumbre.</w:t>
      </w:r>
    </w:p>
    <w:p w14:paraId="07592F26" w14:textId="3802CE69" w:rsidR="00030A1E" w:rsidRDefault="00084BF4" w:rsidP="00030A1E">
      <w:pPr>
        <w:pStyle w:val="Nivel2SM"/>
      </w:pPr>
      <w:r>
        <w:rPr>
          <w:smallCaps/>
        </w:rPr>
        <w:t>Von Neumann</w:t>
      </w:r>
      <w:r w:rsidR="00030A1E">
        <w:t xml:space="preserve"> y </w:t>
      </w:r>
      <w:r w:rsidR="00030A1E" w:rsidRPr="00A62F89">
        <w:rPr>
          <w:smallCaps/>
        </w:rPr>
        <w:t>Morgenstern</w:t>
      </w:r>
      <w:r w:rsidR="00030A1E">
        <w:t xml:space="preserve"> desarrollaron los pilares en los que sostendrían posteriormente las </w:t>
      </w:r>
      <w:r w:rsidR="00030A1E" w:rsidRPr="00030A1E">
        <w:rPr>
          <w:i/>
          <w:iCs/>
        </w:rPr>
        <w:t xml:space="preserve">finanzas modernas, el equilibrio general de </w:t>
      </w:r>
      <w:r w:rsidR="00030A1E" w:rsidRPr="00030A1E">
        <w:rPr>
          <w:i/>
          <w:iCs/>
          <w:smallCaps/>
        </w:rPr>
        <w:t>Arrow</w:t>
      </w:r>
      <w:r w:rsidR="00030A1E" w:rsidRPr="00030A1E">
        <w:rPr>
          <w:i/>
          <w:iCs/>
        </w:rPr>
        <w:t>-</w:t>
      </w:r>
      <w:r w:rsidR="00030A1E" w:rsidRPr="00030A1E">
        <w:rPr>
          <w:i/>
          <w:iCs/>
          <w:smallCaps/>
        </w:rPr>
        <w:t>Debreu</w:t>
      </w:r>
      <w:r w:rsidR="00030A1E" w:rsidRPr="00030A1E">
        <w:rPr>
          <w:i/>
          <w:iCs/>
        </w:rPr>
        <w:t xml:space="preserve"> o la modelización de fenómenos como la selección adversa o el riesgo moral</w:t>
      </w:r>
      <w:r w:rsidR="00030A1E">
        <w:t>.</w:t>
      </w:r>
    </w:p>
    <w:p w14:paraId="57649CA1" w14:textId="7F892733" w:rsidR="003D659C" w:rsidRDefault="003D659C" w:rsidP="003D659C">
      <w:pPr>
        <w:pStyle w:val="Ttulo3"/>
        <w:spacing w:before="0"/>
      </w:pPr>
      <w:bookmarkStart w:id="9" w:name="_Toc172232526"/>
      <w:r>
        <w:t>Ingredientes</w:t>
      </w:r>
      <w:r w:rsidR="00520421">
        <w:t xml:space="preserve"> y obtención de la función de utilidad esperada</w:t>
      </w:r>
      <w:bookmarkEnd w:id="9"/>
    </w:p>
    <w:p w14:paraId="57CB00E6" w14:textId="3185DD67" w:rsidR="00E33297" w:rsidRPr="005D327D" w:rsidRDefault="00DA0BA3" w:rsidP="003D659C">
      <w:pPr>
        <w:pStyle w:val="Nivel1SM"/>
        <w:keepNext/>
        <w:spacing w:before="0" w:after="0"/>
        <w:rPr>
          <w:spacing w:val="-4"/>
        </w:rPr>
      </w:pPr>
      <w:r w:rsidRPr="005D327D">
        <w:rPr>
          <w:spacing w:val="-4"/>
        </w:rPr>
        <w:t>Al igual que sucede con la elección del consumidor en condiciones de certidumbre</w:t>
      </w:r>
      <w:r w:rsidR="006205D4" w:rsidRPr="005D327D">
        <w:rPr>
          <w:color w:val="767171" w:themeColor="background2" w:themeShade="80"/>
          <w:spacing w:val="-4"/>
          <w:sz w:val="19"/>
          <w:szCs w:val="19"/>
        </w:rPr>
        <w:t xml:space="preserve"> [</w:t>
      </w:r>
      <w:r w:rsidR="008B3E08" w:rsidRPr="005D327D">
        <w:rPr>
          <w:color w:val="767171" w:themeColor="background2" w:themeShade="80"/>
          <w:spacing w:val="-4"/>
          <w:sz w:val="19"/>
          <w:szCs w:val="19"/>
        </w:rPr>
        <w:t>ver t</w:t>
      </w:r>
      <w:r w:rsidR="006205D4" w:rsidRPr="005D327D">
        <w:rPr>
          <w:color w:val="767171" w:themeColor="background2" w:themeShade="80"/>
          <w:spacing w:val="-4"/>
          <w:sz w:val="19"/>
          <w:szCs w:val="19"/>
        </w:rPr>
        <w:t>ema 3.A.</w:t>
      </w:r>
      <w:r w:rsidR="00AE0338">
        <w:rPr>
          <w:color w:val="767171" w:themeColor="background2" w:themeShade="80"/>
          <w:spacing w:val="-4"/>
          <w:sz w:val="19"/>
          <w:szCs w:val="19"/>
        </w:rPr>
        <w:t>8</w:t>
      </w:r>
      <w:r w:rsidR="006205D4" w:rsidRPr="005D327D">
        <w:rPr>
          <w:color w:val="767171" w:themeColor="background2" w:themeShade="80"/>
          <w:spacing w:val="-4"/>
          <w:sz w:val="19"/>
          <w:szCs w:val="19"/>
        </w:rPr>
        <w:t>]</w:t>
      </w:r>
      <w:r w:rsidRPr="005D327D">
        <w:rPr>
          <w:spacing w:val="-4"/>
        </w:rPr>
        <w:t xml:space="preserve">, la metodología en este caso seguirá un esquema muy similar, en cuanto a que cuenta con las mismas </w:t>
      </w:r>
      <w:r w:rsidRPr="005D327D">
        <w:rPr>
          <w:i/>
          <w:iCs/>
          <w:spacing w:val="-4"/>
          <w:u w:val="single"/>
        </w:rPr>
        <w:t>etapas</w:t>
      </w:r>
      <w:r w:rsidRPr="005D327D">
        <w:rPr>
          <w:spacing w:val="-4"/>
        </w:rPr>
        <w:t>:</w:t>
      </w:r>
    </w:p>
    <w:p w14:paraId="4549FC38" w14:textId="77777777" w:rsidR="0032482B" w:rsidRDefault="00E33297">
      <w:pPr>
        <w:pStyle w:val="Prrafodelista"/>
        <w:numPr>
          <w:ilvl w:val="0"/>
          <w:numId w:val="14"/>
        </w:numPr>
        <w:spacing w:after="100"/>
        <w:ind w:left="567" w:hanging="113"/>
      </w:pPr>
      <w:r>
        <w:t xml:space="preserve">Se define un </w:t>
      </w:r>
      <w:r w:rsidRPr="0032482B">
        <w:rPr>
          <w:i/>
          <w:iCs/>
        </w:rPr>
        <w:t>conjunto de elección posible</w:t>
      </w:r>
      <w:r>
        <w:t>,</w:t>
      </w:r>
    </w:p>
    <w:p w14:paraId="79CFD7D9" w14:textId="77777777" w:rsidR="0032482B" w:rsidRDefault="00E33297">
      <w:pPr>
        <w:pStyle w:val="Prrafodelista"/>
        <w:numPr>
          <w:ilvl w:val="0"/>
          <w:numId w:val="14"/>
        </w:numPr>
        <w:spacing w:after="100"/>
        <w:ind w:left="567" w:hanging="113"/>
      </w:pPr>
      <w:r>
        <w:t xml:space="preserve">sobre el que se establece la </w:t>
      </w:r>
      <w:r w:rsidRPr="0032482B">
        <w:rPr>
          <w:i/>
          <w:iCs/>
        </w:rPr>
        <w:t>relación binaria de preferencias</w:t>
      </w:r>
      <w:r>
        <w:t xml:space="preserve"> del consumidor,</w:t>
      </w:r>
    </w:p>
    <w:p w14:paraId="5CB960C7" w14:textId="313FDB61" w:rsidR="00E33297" w:rsidRPr="00E33297" w:rsidRDefault="00E33297">
      <w:pPr>
        <w:pStyle w:val="Prrafodelista"/>
        <w:numPr>
          <w:ilvl w:val="0"/>
          <w:numId w:val="14"/>
        </w:numPr>
        <w:spacing w:after="100"/>
        <w:ind w:left="567" w:hanging="113"/>
      </w:pPr>
      <w:r>
        <w:t xml:space="preserve">la cual, gracias a un conjunto de axiomas, podrá representarse mediante una </w:t>
      </w:r>
      <w:r w:rsidRPr="0032482B">
        <w:rPr>
          <w:i/>
          <w:iCs/>
        </w:rPr>
        <w:t>función de matemática concreta</w:t>
      </w:r>
      <w:r>
        <w:t xml:space="preserve">: la </w:t>
      </w:r>
      <w:r w:rsidRPr="0032482B">
        <w:rPr>
          <w:i/>
          <w:iCs/>
          <w:u w:val="single"/>
        </w:rPr>
        <w:t>función de utilidad esperada</w:t>
      </w:r>
      <w:r w:rsidR="00583400">
        <w:t>. Esto permitiría aplicar las herramientas del cálculo diferencial y por tanto plantear y resolver un problema que será el de maximización de la utilidad esperada sujeto a una restricción presupuestaria, del que se puede extraer una decisión óptima del consumidor en situaciones de riesgo.</w:t>
      </w:r>
    </w:p>
    <w:tbl>
      <w:tblPr>
        <w:tblStyle w:val="Tablaconcuadrcula"/>
        <w:tblW w:w="1063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3"/>
        <w:gridCol w:w="816"/>
        <w:gridCol w:w="1198"/>
        <w:gridCol w:w="816"/>
        <w:gridCol w:w="2794"/>
        <w:gridCol w:w="486"/>
        <w:gridCol w:w="2579"/>
      </w:tblGrid>
      <w:tr w:rsidR="00E33297" w14:paraId="5587433C" w14:textId="77777777" w:rsidTr="006205D4">
        <w:trPr>
          <w:trHeight w:val="510"/>
        </w:trPr>
        <w:tc>
          <w:tcPr>
            <w:tcW w:w="1943" w:type="dxa"/>
            <w:vAlign w:val="center"/>
          </w:tcPr>
          <w:p w14:paraId="3831F36F" w14:textId="1925E187" w:rsidR="00E33297" w:rsidRPr="00551D5A" w:rsidRDefault="00E33297" w:rsidP="00E33297">
            <w:pPr>
              <w:spacing w:after="0"/>
              <w:jc w:val="center"/>
              <w:rPr>
                <w:i/>
                <w:iCs/>
                <w:sz w:val="20"/>
                <w:szCs w:val="20"/>
              </w:rPr>
            </w:pPr>
            <w:bookmarkStart w:id="10" w:name="_Hlk99303066"/>
            <w:r>
              <w:rPr>
                <w:i/>
                <w:iCs/>
                <w:sz w:val="20"/>
                <w:szCs w:val="20"/>
              </w:rPr>
              <w:t>Conjunto de elección: las loterías</w:t>
            </w:r>
          </w:p>
        </w:tc>
        <w:tc>
          <w:tcPr>
            <w:tcW w:w="816" w:type="dxa"/>
            <w:vAlign w:val="center"/>
          </w:tcPr>
          <w:p w14:paraId="6F54CBB4" w14:textId="063BB964" w:rsidR="00E33297" w:rsidRPr="00551D5A" w:rsidRDefault="00EE1667" w:rsidP="00EE1667">
            <w:pPr>
              <w:spacing w:after="0"/>
              <w:jc w:val="center"/>
              <w:rPr>
                <w:i/>
                <w:iCs/>
                <w:sz w:val="20"/>
                <w:szCs w:val="20"/>
              </w:rPr>
            </w:pPr>
            <w:r>
              <w:rPr>
                <w:i/>
                <w:iCs/>
                <w:noProof/>
                <w:sz w:val="20"/>
                <w:szCs w:val="20"/>
              </w:rPr>
              <mc:AlternateContent>
                <mc:Choice Requires="wps">
                  <w:drawing>
                    <wp:inline distT="0" distB="0" distL="0" distR="0" wp14:anchorId="7A38FCF5" wp14:editId="59736239">
                      <wp:extent cx="342900" cy="243840"/>
                      <wp:effectExtent l="38100" t="0" r="0" b="22860"/>
                      <wp:docPr id="14" name="Flecha: a la derecha con muesca 14"/>
                      <wp:cNvGraphicFramePr/>
                      <a:graphic xmlns:a="http://schemas.openxmlformats.org/drawingml/2006/main">
                        <a:graphicData uri="http://schemas.microsoft.com/office/word/2010/wordprocessingShape">
                          <wps:wsp>
                            <wps:cNvSpPr/>
                            <wps:spPr>
                              <a:xfrm>
                                <a:off x="2030730" y="6118860"/>
                                <a:ext cx="342900" cy="243840"/>
                              </a:xfrm>
                              <a:prstGeom prst="notchedRightArrow">
                                <a:avLst>
                                  <a:gd name="adj1" fmla="val 100000"/>
                                  <a:gd name="adj2" fmla="val 6875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9830B3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Flecha: a la derecha con muesca 14" o:spid="_x0000_s1026" type="#_x0000_t94" style="width:27pt;height:19.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" adj="11040,0" fillcolor="#5f2987 [3204]" strokecolor="#2f1442 [1604]" strokeweight="1pt">
                      <w10:anchorlock/>
                    </v:shape>
                  </w:pict>
                </mc:Fallback>
              </mc:AlternateContent>
            </w:r>
          </w:p>
        </w:tc>
        <w:tc>
          <w:tcPr>
            <w:tcW w:w="1198" w:type="dxa"/>
            <w:vAlign w:val="center"/>
          </w:tcPr>
          <w:p w14:paraId="434695FD" w14:textId="62D915CF" w:rsidR="00E33297" w:rsidRPr="00551D5A" w:rsidRDefault="00E33297" w:rsidP="00E33297">
            <w:pPr>
              <w:spacing w:after="0"/>
              <w:jc w:val="center"/>
              <w:rPr>
                <w:i/>
                <w:iCs/>
                <w:sz w:val="20"/>
                <w:szCs w:val="20"/>
              </w:rPr>
            </w:pPr>
            <w:r>
              <w:rPr>
                <w:i/>
                <w:iCs/>
                <w:sz w:val="20"/>
                <w:szCs w:val="20"/>
              </w:rPr>
              <w:t>Preferencias</w:t>
            </w:r>
          </w:p>
        </w:tc>
        <w:tc>
          <w:tcPr>
            <w:tcW w:w="816" w:type="dxa"/>
            <w:vAlign w:val="center"/>
          </w:tcPr>
          <w:p w14:paraId="179F60A5" w14:textId="4B3FD544" w:rsidR="00E33297" w:rsidRPr="00551D5A" w:rsidRDefault="003C688A" w:rsidP="00DB0858">
            <w:pPr>
              <w:spacing w:after="0" w:line="180" w:lineRule="auto"/>
              <w:jc w:val="center"/>
              <w:rPr>
                <w:i/>
                <w:iCs/>
                <w:sz w:val="20"/>
                <w:szCs w:val="20"/>
              </w:rPr>
            </w:pPr>
            <w:r w:rsidRPr="00DB0858">
              <w:rPr>
                <w:i/>
                <w:iCs/>
                <w:sz w:val="13"/>
                <w:szCs w:val="13"/>
              </w:rPr>
              <w:t>Axiomas</w:t>
            </w:r>
            <w:r w:rsidR="00432267">
              <w:rPr>
                <w:i/>
                <w:iCs/>
                <w:noProof/>
                <w:sz w:val="20"/>
                <w:szCs w:val="20"/>
              </w:rPr>
              <mc:AlternateContent>
                <mc:Choice Requires="wps">
                  <w:drawing>
                    <wp:inline distT="0" distB="0" distL="0" distR="0" wp14:anchorId="1697C439" wp14:editId="46EDCA66">
                      <wp:extent cx="360000" cy="0"/>
                      <wp:effectExtent l="0" t="76200" r="21590" b="95250"/>
                      <wp:docPr id="12" name="Conector recto de flecha 12"/>
                      <wp:cNvGraphicFramePr/>
                      <a:graphic xmlns:a="http://schemas.openxmlformats.org/drawingml/2006/main">
                        <a:graphicData uri="http://schemas.microsoft.com/office/word/2010/wordprocessingShape">
                          <wps:wsp>
                            <wps:cNvCnPr/>
                            <wps:spPr>
                              <a:xfrm>
                                <a:off x="0" y="0"/>
                                <a:ext cx="360000" cy="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type w14:anchorId="7F53DB6D" id="_x0000_t32" coordsize="21600,21600" o:spt="32" o:oned="t" path="m,l21600,21600e" filled="f">
                      <v:path arrowok="t" fillok="f" o:connecttype="none"/>
                      <o:lock v:ext="edit" shapetype="t"/>
                    </v:shapetype>
                    <v:shape id="Conector recto de flecha 12" o:spid="_x0000_s1026" type="#_x0000_t32" style="width:28.3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" strokecolor="#5f2987 [3204]" strokeweight=".5pt">
                      <v:stroke endarrow="classic" joinstyle="miter"/>
                      <w10:anchorlock/>
                    </v:shape>
                  </w:pict>
                </mc:Fallback>
              </mc:AlternateContent>
            </w:r>
          </w:p>
        </w:tc>
        <w:tc>
          <w:tcPr>
            <w:tcW w:w="2794" w:type="dxa"/>
            <w:vAlign w:val="center"/>
          </w:tcPr>
          <w:p w14:paraId="60BBFC00" w14:textId="6D421F27" w:rsidR="00E33297" w:rsidRPr="003C688A" w:rsidRDefault="00E33297" w:rsidP="00E33297">
            <w:pPr>
              <w:spacing w:after="0"/>
              <w:jc w:val="center"/>
              <w:rPr>
                <w:i/>
                <w:iCs/>
                <w:smallCaps/>
                <w:sz w:val="20"/>
                <w:szCs w:val="20"/>
              </w:rPr>
            </w:pPr>
            <w:r w:rsidRPr="00551D5A">
              <w:rPr>
                <w:i/>
                <w:iCs/>
                <w:sz w:val="20"/>
                <w:szCs w:val="20"/>
              </w:rPr>
              <w:t>Función de utilidad</w:t>
            </w:r>
            <w:r>
              <w:rPr>
                <w:i/>
                <w:iCs/>
                <w:sz w:val="20"/>
                <w:szCs w:val="20"/>
              </w:rPr>
              <w:t xml:space="preserve"> esperada</w:t>
            </w:r>
            <w:r w:rsidR="003C688A">
              <w:rPr>
                <w:i/>
                <w:iCs/>
                <w:sz w:val="20"/>
                <w:szCs w:val="20"/>
              </w:rPr>
              <w:t xml:space="preserve"> </w:t>
            </w:r>
            <w:r w:rsidR="00084BF4">
              <w:rPr>
                <w:i/>
                <w:iCs/>
                <w:smallCaps/>
                <w:sz w:val="20"/>
                <w:szCs w:val="20"/>
              </w:rPr>
              <w:t>von Neumann</w:t>
            </w:r>
            <w:r w:rsidR="003C688A" w:rsidRPr="003C688A">
              <w:rPr>
                <w:i/>
                <w:iCs/>
                <w:smallCaps/>
                <w:sz w:val="20"/>
                <w:szCs w:val="20"/>
              </w:rPr>
              <w:t>-Morgenstern</w:t>
            </w:r>
          </w:p>
        </w:tc>
        <w:tc>
          <w:tcPr>
            <w:tcW w:w="486" w:type="dxa"/>
            <w:vAlign w:val="center"/>
          </w:tcPr>
          <w:p w14:paraId="3D5DE7EA" w14:textId="425AA8B5" w:rsidR="00E33297" w:rsidRPr="00551D5A" w:rsidRDefault="00E33297" w:rsidP="00E33297">
            <w:pPr>
              <w:spacing w:after="0"/>
              <w:jc w:val="center"/>
              <w:rPr>
                <w:i/>
                <w:iCs/>
                <w:sz w:val="20"/>
                <w:szCs w:val="20"/>
              </w:rPr>
            </w:pPr>
            <w:r>
              <w:rPr>
                <w:i/>
                <w:iCs/>
                <w:noProof/>
                <w:sz w:val="20"/>
                <w:szCs w:val="20"/>
              </w:rPr>
              <mc:AlternateContent>
                <mc:Choice Requires="wps">
                  <w:drawing>
                    <wp:inline distT="0" distB="0" distL="0" distR="0" wp14:anchorId="2B070C3C" wp14:editId="486D2387">
                      <wp:extent cx="129540" cy="648000"/>
                      <wp:effectExtent l="0" t="0" r="41910" b="19050"/>
                      <wp:docPr id="6" name="Cerrar llave 6"/>
                      <wp:cNvGraphicFramePr/>
                      <a:graphic xmlns:a="http://schemas.openxmlformats.org/drawingml/2006/main">
                        <a:graphicData uri="http://schemas.microsoft.com/office/word/2010/wordprocessingShape">
                          <wps:wsp>
                            <wps:cNvSpPr/>
                            <wps:spPr>
                              <a:xfrm>
                                <a:off x="0" y="0"/>
                                <a:ext cx="129540" cy="648000"/>
                              </a:xfrm>
                              <a:prstGeom prst="rightBrace">
                                <a:avLst>
                                  <a:gd name="adj1" fmla="val 88038"/>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C4F1B0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6"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" adj="3801" strokecolor="#5f2987 [3204]" strokeweight=".5pt">
                      <v:stroke joinstyle="miter"/>
                      <w10:anchorlock/>
                    </v:shape>
                  </w:pict>
                </mc:Fallback>
              </mc:AlternateContent>
            </w:r>
          </w:p>
        </w:tc>
        <w:tc>
          <w:tcPr>
            <w:tcW w:w="2579" w:type="dxa"/>
            <w:vAlign w:val="center"/>
          </w:tcPr>
          <w:p w14:paraId="38F1A2EE" w14:textId="25B6F7C3" w:rsidR="00583400" w:rsidRDefault="00E33297" w:rsidP="00E33297">
            <w:pPr>
              <w:spacing w:after="0"/>
              <w:jc w:val="center"/>
              <w:rPr>
                <w:i/>
                <w:iCs/>
                <w:spacing w:val="-2"/>
                <w:sz w:val="20"/>
                <w:szCs w:val="20"/>
              </w:rPr>
            </w:pPr>
            <w:r w:rsidRPr="00551D5A">
              <w:rPr>
                <w:i/>
                <w:iCs/>
                <w:spacing w:val="-2"/>
                <w:sz w:val="20"/>
                <w:szCs w:val="20"/>
              </w:rPr>
              <w:t>Problema d</w:t>
            </w:r>
            <w:r>
              <w:rPr>
                <w:i/>
                <w:iCs/>
                <w:spacing w:val="-2"/>
                <w:sz w:val="20"/>
                <w:szCs w:val="20"/>
              </w:rPr>
              <w:t>e</w:t>
            </w:r>
            <w:r w:rsidR="00583400">
              <w:rPr>
                <w:i/>
                <w:iCs/>
                <w:spacing w:val="-2"/>
                <w:sz w:val="20"/>
                <w:szCs w:val="20"/>
              </w:rPr>
              <w:t xml:space="preserve"> </w:t>
            </w:r>
            <w:r>
              <w:rPr>
                <w:i/>
                <w:iCs/>
                <w:spacing w:val="-2"/>
                <w:sz w:val="20"/>
                <w:szCs w:val="20"/>
              </w:rPr>
              <w:t>m</w:t>
            </w:r>
            <w:r w:rsidRPr="00551D5A">
              <w:rPr>
                <w:i/>
                <w:iCs/>
                <w:spacing w:val="-2"/>
                <w:sz w:val="20"/>
                <w:szCs w:val="20"/>
              </w:rPr>
              <w:t>aximización</w:t>
            </w:r>
          </w:p>
          <w:p w14:paraId="1EE72C33" w14:textId="2050058D" w:rsidR="00E33297" w:rsidRPr="00551D5A" w:rsidRDefault="00E33297" w:rsidP="00E33297">
            <w:pPr>
              <w:spacing w:after="0"/>
              <w:jc w:val="center"/>
              <w:rPr>
                <w:i/>
                <w:iCs/>
                <w:sz w:val="20"/>
                <w:szCs w:val="20"/>
              </w:rPr>
            </w:pPr>
            <w:r w:rsidRPr="00551D5A">
              <w:rPr>
                <w:i/>
                <w:iCs/>
                <w:sz w:val="20"/>
                <w:szCs w:val="20"/>
              </w:rPr>
              <w:t>de la utilidad</w:t>
            </w:r>
          </w:p>
        </w:tc>
      </w:tr>
    </w:tbl>
    <w:bookmarkEnd w:id="10"/>
    <w:p w14:paraId="5680CE8E" w14:textId="42ADFC8A" w:rsidR="00DA0BA3" w:rsidRDefault="00DD0AA0" w:rsidP="0032482B">
      <w:pPr>
        <w:pStyle w:val="Nivel1SM"/>
        <w:keepNext/>
        <w:spacing w:after="0"/>
      </w:pPr>
      <w:r>
        <w:t xml:space="preserve">En cualquier caso, el modelo de la utilidad esperada difiere de la teoría de la elección del consumidor en condiciones de certidumbre en </w:t>
      </w:r>
      <w:r w:rsidR="0032482B">
        <w:t>2 </w:t>
      </w:r>
      <w:r>
        <w:t>aspectos</w:t>
      </w:r>
      <w:r w:rsidR="00BD00E1">
        <w:rPr>
          <w:rStyle w:val="Refdenotaalpie"/>
          <w:rFonts w:eastAsiaTheme="minorEastAsia"/>
        </w:rPr>
        <w:footnoteReference w:id="7"/>
      </w:r>
      <w:r>
        <w:t>:</w:t>
      </w:r>
    </w:p>
    <w:p w14:paraId="733723DC" w14:textId="77282984" w:rsidR="00DD0AA0" w:rsidRDefault="00DD0AA0" w:rsidP="006C1B67">
      <w:pPr>
        <w:pStyle w:val="Letra"/>
        <w:numPr>
          <w:ilvl w:val="0"/>
          <w:numId w:val="8"/>
        </w:numPr>
        <w:spacing w:after="0"/>
        <w:ind w:left="567" w:hanging="227"/>
      </w:pPr>
      <w:r>
        <w:t xml:space="preserve">Los </w:t>
      </w:r>
      <w:r w:rsidRPr="006079EE">
        <w:rPr>
          <w:i/>
          <w:iCs/>
        </w:rPr>
        <w:t xml:space="preserve">objetos de elección </w:t>
      </w:r>
      <w:r>
        <w:t xml:space="preserve">ya </w:t>
      </w:r>
      <w:r w:rsidRPr="002A3F7E">
        <w:t>no</w:t>
      </w:r>
      <w:r>
        <w:t xml:space="preserve"> son cestas de consumo deterministas, sino </w:t>
      </w:r>
      <w:r w:rsidRPr="006079EE">
        <w:rPr>
          <w:i/>
          <w:iCs/>
        </w:rPr>
        <w:t xml:space="preserve">loterías </w:t>
      </w:r>
      <w:r w:rsidR="00881B06" w:rsidRPr="006079EE">
        <w:rPr>
          <w:i/>
          <w:iCs/>
        </w:rPr>
        <w:t>estocásticas</w:t>
      </w:r>
      <w:r w:rsidR="00881B06">
        <w:t xml:space="preserve">, </w:t>
      </w:r>
      <w:r>
        <w:t>que</w:t>
      </w:r>
      <w:r w:rsidR="00881B06">
        <w:t xml:space="preserve">, por lo tanto, </w:t>
      </w:r>
      <w:r>
        <w:t xml:space="preserve">dan lugar a </w:t>
      </w:r>
      <w:r w:rsidR="00881B06">
        <w:t>aleatoriedad.</w:t>
      </w:r>
    </w:p>
    <w:p w14:paraId="1EBF9066" w14:textId="03D703D1" w:rsidR="00756FF5" w:rsidRPr="00DA0BA3" w:rsidRDefault="00881B06" w:rsidP="006C1B67">
      <w:pPr>
        <w:pStyle w:val="Letra"/>
        <w:numPr>
          <w:ilvl w:val="0"/>
          <w:numId w:val="8"/>
        </w:numPr>
        <w:ind w:left="567" w:hanging="227"/>
      </w:pPr>
      <w:r>
        <w:t xml:space="preserve">El modelo de utilidad esperada impone una </w:t>
      </w:r>
      <w:r w:rsidRPr="00AD0361">
        <w:t xml:space="preserve">restricción muy específica en la forma funcional de la </w:t>
      </w:r>
      <w:r w:rsidRPr="00AD0361">
        <w:rPr>
          <w:i/>
          <w:iCs/>
        </w:rPr>
        <w:t>función de utilidad</w:t>
      </w:r>
      <w:r w:rsidR="006079EE">
        <w:t xml:space="preserve">, al </w:t>
      </w:r>
      <w:r w:rsidR="006079EE" w:rsidRPr="00AD0361">
        <w:rPr>
          <w:i/>
          <w:iCs/>
        </w:rPr>
        <w:t>depender esta no solo de las preferencias del consumidor sino también de la distribución de probabilidad</w:t>
      </w:r>
      <w:r w:rsidRPr="00AD0361">
        <w:rPr>
          <w:i/>
          <w:iCs/>
        </w:rPr>
        <w:t>.</w:t>
      </w:r>
    </w:p>
    <w:p w14:paraId="29181AA1" w14:textId="6AB72D2D" w:rsidR="009A3230" w:rsidRDefault="003D659C" w:rsidP="009A3230">
      <w:pPr>
        <w:pStyle w:val="Ttulo6"/>
      </w:pPr>
      <w:bookmarkStart w:id="11" w:name="_Toc172232527"/>
      <w:r>
        <w:lastRenderedPageBreak/>
        <w:t xml:space="preserve">Conjunto de elección: </w:t>
      </w:r>
      <w:r w:rsidR="009A3230">
        <w:t>Loterías</w:t>
      </w:r>
      <w:bookmarkEnd w:id="11"/>
    </w:p>
    <w:p w14:paraId="6B7B371B" w14:textId="1F6EC556" w:rsidR="002E4BC5" w:rsidRDefault="00AD0361" w:rsidP="0060687D">
      <w:pPr>
        <w:pStyle w:val="Nivel1SM"/>
        <w:keepNext/>
        <w:spacing w:before="0" w:after="0"/>
      </w:pPr>
      <w:r>
        <w:t>El</w:t>
      </w:r>
      <w:r w:rsidR="007017B0">
        <w:t xml:space="preserve"> agente debe </w:t>
      </w:r>
      <w:r w:rsidR="007017B0" w:rsidRPr="00114D30">
        <w:rPr>
          <w:i/>
          <w:iCs/>
        </w:rPr>
        <w:t>ordenar</w:t>
      </w:r>
      <w:r w:rsidR="007017B0">
        <w:t xml:space="preserve"> las diferentes alternativas de riesgo (</w:t>
      </w:r>
      <w:r w:rsidR="007017B0" w:rsidRPr="00114D30">
        <w:rPr>
          <w:i/>
          <w:iCs/>
          <w:u w:val="single"/>
        </w:rPr>
        <w:t>loterías</w:t>
      </w:r>
      <w:r w:rsidR="007017B0">
        <w:t xml:space="preserve">), de modo que cada una de ellas resultará en un conjunto de </w:t>
      </w:r>
      <w:r w:rsidR="007017B0" w:rsidRPr="00114D30">
        <w:rPr>
          <w:i/>
          <w:iCs/>
        </w:rPr>
        <w:t>posibles resultados</w:t>
      </w:r>
      <w:r w:rsidR="007017B0">
        <w:t xml:space="preserve">, pero sin conocer con certeza </w:t>
      </w:r>
      <w:r w:rsidR="00CC2443">
        <w:t xml:space="preserve">en </w:t>
      </w:r>
      <w:r w:rsidR="007017B0">
        <w:t>el momento de decidir qué resultado tendrá lugar en la realidad.</w:t>
      </w:r>
      <w:r w:rsidR="00114D30">
        <w:t xml:space="preserve"> </w:t>
      </w:r>
      <w:r w:rsidR="002E4BC5">
        <w:t xml:space="preserve">Así definiremos los siguientes </w:t>
      </w:r>
      <w:r w:rsidR="002E4BC5" w:rsidRPr="00114D30">
        <w:rPr>
          <w:b/>
          <w:bCs/>
        </w:rPr>
        <w:t>conceptos</w:t>
      </w:r>
      <w:r w:rsidR="002E4BC5">
        <w:t>:</w:t>
      </w:r>
    </w:p>
    <w:p w14:paraId="70FE0450" w14:textId="0C9E0AF0" w:rsidR="002E4BC5" w:rsidRDefault="002E4BC5" w:rsidP="0032482B">
      <w:pPr>
        <w:pStyle w:val="Nivel2SM"/>
      </w:pPr>
      <w:r>
        <w:rPr>
          <w:i/>
          <w:iCs/>
          <w:u w:val="single"/>
        </w:rPr>
        <w:t>Conjunto de elección</w:t>
      </w:r>
      <w:r>
        <w:t xml:space="preserve">: </w:t>
      </w:r>
      <w:r w:rsidR="002B410B">
        <w:t>E</w:t>
      </w:r>
      <w:r w:rsidR="00D91DA8">
        <w:t>l consumidor especifica sus preferencias sobre un e</w:t>
      </w:r>
      <w:r w:rsidR="002B410B">
        <w:t>spacio de l</w:t>
      </w:r>
      <w:r>
        <w:t>oterías (</w:t>
      </w:r>
      <m:oMath>
        <m:r>
          <m:rPr>
            <m:scr m:val="script"/>
            <m:sty m:val="b"/>
          </m:rPr>
          <w:rPr>
            <w:rFonts w:ascii="Cambria Math" w:hAnsi="Cambria Math"/>
          </w:rPr>
          <m:t>L</m:t>
        </m:r>
        <m:r>
          <m:rPr>
            <m:nor/>
          </m:rPr>
          <w:rPr>
            <w:rFonts w:ascii="Cambria Math"/>
            <w:i/>
            <w:iCs/>
          </w:rPr>
          <m:t xml:space="preserve"> </m:t>
        </m:r>
        <m:r>
          <m:rPr>
            <m:nor/>
          </m:rPr>
          <w:rPr>
            <w:i/>
            <w:iCs/>
          </w:rPr>
          <m:t>≡</m:t>
        </m:r>
        <m:r>
          <m:rPr>
            <m:nor/>
          </m:rPr>
          <w:rPr>
            <w:rFonts w:ascii="Cambria Math"/>
            <w:i/>
            <w:iCs/>
          </w:rPr>
          <m:t xml:space="preserve"> </m:t>
        </m:r>
        <m:d>
          <m:dPr>
            <m:begChr m:val="{"/>
            <m:endChr m:val="}"/>
            <m:ctrlPr>
              <w:rPr>
                <w:rFonts w:ascii="Cambria Math" w:hAnsi="Cambria Math"/>
                <w:i/>
                <w:iCs/>
              </w:rPr>
            </m:ctrlPr>
          </m:dPr>
          <m:e>
            <m:r>
              <w:rPr>
                <w:rFonts w:ascii="Cambria Math"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w:rPr>
                <w:rFonts w:ascii="Cambria Math" w:hAnsi="Cambria Math"/>
              </w:rPr>
              <m:t xml:space="preserve"> </m:t>
            </m:r>
            <m:r>
              <m:rPr>
                <m:nor/>
              </m:rPr>
              <w:rPr>
                <w:i/>
                <w:iCs/>
              </w:rPr>
              <m:t>,</m:t>
            </m:r>
            <m:r>
              <m:rPr>
                <m:nor/>
              </m:rPr>
              <w:rPr>
                <w:rFonts w:ascii="Cambria Math"/>
                <w:i/>
                <w:iCs/>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2</m:t>
                </m:r>
              </m:sup>
            </m:sSup>
            <m:r>
              <m:rPr>
                <m:nor/>
              </m:rPr>
              <w:rPr>
                <w:i/>
                <w:iCs/>
              </w:rPr>
              <m:t>,...,</m:t>
            </m:r>
            <m:r>
              <m:rPr>
                <m:nor/>
              </m:rPr>
              <w:rPr>
                <w:rFonts w:ascii="Cambria Math"/>
                <w:i/>
                <w:iCs/>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m</m:t>
                </m:r>
              </m:sup>
            </m:sSup>
          </m:e>
        </m:d>
      </m:oMath>
      <w:r>
        <w:t xml:space="preserve">) </w:t>
      </w:r>
      <w:r w:rsidR="00F171B7">
        <w:t>no vacío.</w:t>
      </w:r>
    </w:p>
    <w:p w14:paraId="64154CCA" w14:textId="77777777" w:rsidR="00C4049C" w:rsidRDefault="002E4BC5" w:rsidP="00C4049C">
      <w:pPr>
        <w:pStyle w:val="Nivel2SM"/>
        <w:keepNext/>
        <w:spacing w:after="0"/>
      </w:pPr>
      <w:r w:rsidRPr="00AA1274">
        <w:t xml:space="preserve">Cada </w:t>
      </w:r>
      <w:r w:rsidRPr="00C4049C">
        <w:rPr>
          <w:i/>
          <w:iCs/>
          <w:u w:val="single"/>
        </w:rPr>
        <w:t>lotería</w:t>
      </w:r>
      <w:r w:rsidR="002B410B">
        <w:t xml:space="preserve"> </w:t>
      </w:r>
      <m:oMath>
        <m:sSub>
          <m:sSubPr>
            <m:ctrlPr>
              <w:rPr>
                <w:rFonts w:ascii="Cambria Math" w:hAnsi="Cambria Math"/>
                <w:i/>
              </w:rPr>
            </m:ctrlPr>
          </m:sSubPr>
          <m:e>
            <m:acc>
              <m:accPr>
                <m:chr m:val="̃"/>
                <m:ctrlPr>
                  <w:rPr>
                    <w:rFonts w:ascii="Cambria Math" w:hAnsi="Cambria Math"/>
                    <w:i/>
                  </w:rPr>
                </m:ctrlPr>
              </m:accPr>
              <m:e>
                <m:r>
                  <m:rPr>
                    <m:nor/>
                  </m:rPr>
                  <w:rPr>
                    <w:i/>
                  </w:rPr>
                  <m:t>y</m:t>
                </m:r>
              </m:e>
            </m:acc>
          </m:e>
          <m:sub>
            <m:r>
              <m:rPr>
                <m:nor/>
              </m:rPr>
              <w:rPr>
                <w:i/>
              </w:rPr>
              <m:t>n</m:t>
            </m:r>
          </m:sub>
        </m:sSub>
      </m:oMath>
      <w:r w:rsidR="00C4049C">
        <w:t>:</w:t>
      </w:r>
    </w:p>
    <w:p w14:paraId="5BF8547E" w14:textId="5F09E979" w:rsidR="002E4BC5" w:rsidRDefault="00C4049C" w:rsidP="00C4049C">
      <w:pPr>
        <w:pStyle w:val="Nivel3SM"/>
      </w:pPr>
      <w:r>
        <w:t>A</w:t>
      </w:r>
      <w:r w:rsidR="002E4BC5" w:rsidRPr="00AA1274">
        <w:t xml:space="preserve">rroja </w:t>
      </w:r>
      <w:r w:rsidR="00AD0361">
        <w:t>u</w:t>
      </w:r>
      <w:r w:rsidR="002E4BC5" w:rsidRPr="00AA1274">
        <w:t xml:space="preserve">n abanico de </w:t>
      </w:r>
      <w:r w:rsidR="00ED4213">
        <w:rPr>
          <w:i/>
          <w:iCs/>
        </w:rPr>
        <w:t>S</w:t>
      </w:r>
      <w:r w:rsidR="00772710">
        <w:rPr>
          <w:i/>
          <w:iCs/>
        </w:rPr>
        <w:t> </w:t>
      </w:r>
      <w:r w:rsidR="002E4BC5" w:rsidRPr="00C4049C">
        <w:rPr>
          <w:i/>
          <w:iCs/>
          <w:u w:val="single"/>
        </w:rPr>
        <w:t xml:space="preserve">posibles </w:t>
      </w:r>
      <w:r w:rsidR="00F25886" w:rsidRPr="00C4049C">
        <w:rPr>
          <w:i/>
          <w:iCs/>
          <w:u w:val="single"/>
        </w:rPr>
        <w:t>estados de la naturaleza</w:t>
      </w:r>
      <w:r w:rsidR="002E4BC5">
        <w:t xml:space="preserve"> (</w:t>
      </w:r>
      <m:oMath>
        <m:sSub>
          <m:sSubPr>
            <m:ctrlPr>
              <w:rPr>
                <w:rFonts w:ascii="Cambria Math" w:hAnsi="Cambria Math"/>
                <w:i/>
              </w:rPr>
            </m:ctrlPr>
          </m:sSubPr>
          <m:e>
            <m:r>
              <m:rPr>
                <m:nor/>
              </m:rPr>
              <w:rPr>
                <w:i/>
              </w:rPr>
              <m:t>x</m:t>
            </m:r>
          </m:e>
          <m:sub>
            <m:r>
              <m:rPr>
                <m:nor/>
              </m:rPr>
              <w:rPr>
                <w:i/>
              </w:rPr>
              <m:t>1</m:t>
            </m:r>
          </m:sub>
        </m:sSub>
        <m:r>
          <m:rPr>
            <m:nor/>
          </m:rPr>
          <w:rPr>
            <w:i/>
          </w:rPr>
          <m:t xml:space="preserve">, </m:t>
        </m:r>
        <m:sSub>
          <m:sSubPr>
            <m:ctrlPr>
              <w:rPr>
                <w:rFonts w:ascii="Cambria Math" w:hAnsi="Cambria Math"/>
                <w:i/>
              </w:rPr>
            </m:ctrlPr>
          </m:sSubPr>
          <m:e>
            <m:r>
              <m:rPr>
                <m:nor/>
              </m:rPr>
              <w:rPr>
                <w:i/>
              </w:rPr>
              <m:t>x</m:t>
            </m:r>
          </m:e>
          <m:sub>
            <m:r>
              <m:rPr>
                <m:nor/>
              </m:rPr>
              <w:rPr>
                <w:i/>
              </w:rPr>
              <m:t>2</m:t>
            </m:r>
          </m:sub>
        </m:sSub>
        <m:r>
          <m:rPr>
            <m:nor/>
          </m:rPr>
          <w:rPr>
            <w:i/>
          </w:rPr>
          <m:t>,...,</m:t>
        </m:r>
        <m:sSub>
          <m:sSubPr>
            <m:ctrlPr>
              <w:rPr>
                <w:rFonts w:ascii="Cambria Math" w:hAnsi="Cambria Math"/>
                <w:i/>
              </w:rPr>
            </m:ctrlPr>
          </m:sSubPr>
          <m:e>
            <m:r>
              <m:rPr>
                <m:nor/>
              </m:rPr>
              <w:rPr>
                <w:i/>
              </w:rPr>
              <m:t>x</m:t>
            </m:r>
          </m:e>
          <m:sub>
            <m:r>
              <m:rPr>
                <m:nor/>
              </m:rPr>
              <w:rPr>
                <w:i/>
              </w:rPr>
              <m:t>S</m:t>
            </m:r>
          </m:sub>
        </m:sSub>
      </m:oMath>
      <w:r w:rsidR="002E4BC5">
        <w:t xml:space="preserve">) </w:t>
      </w:r>
      <w:r w:rsidR="00F171B7">
        <w:t xml:space="preserve">que son sucesos contingentes: su realización es incierta. La lista de estados de la naturaleza es un conjunto de sucesos </w:t>
      </w:r>
      <w:r w:rsidR="00F25886" w:rsidRPr="00F171B7">
        <w:rPr>
          <w:i/>
          <w:iCs/>
        </w:rPr>
        <w:t xml:space="preserve">mutuamente </w:t>
      </w:r>
      <w:r w:rsidR="002E4BC5" w:rsidRPr="00F171B7">
        <w:rPr>
          <w:i/>
          <w:iCs/>
        </w:rPr>
        <w:t>excluyente</w:t>
      </w:r>
      <w:r w:rsidR="00F25886" w:rsidRPr="00F171B7">
        <w:rPr>
          <w:i/>
          <w:iCs/>
        </w:rPr>
        <w:t>s</w:t>
      </w:r>
      <w:r w:rsidR="00F171B7" w:rsidRPr="00F171B7">
        <w:rPr>
          <w:rStyle w:val="Refdenotaalpie"/>
        </w:rPr>
        <w:footnoteReference w:id="8"/>
      </w:r>
      <w:r w:rsidR="00F171B7">
        <w:t xml:space="preserve"> y </w:t>
      </w:r>
      <w:r w:rsidR="00F171B7">
        <w:rPr>
          <w:i/>
          <w:iCs/>
        </w:rPr>
        <w:t>colectivamente exhaustivos</w:t>
      </w:r>
      <w:r w:rsidR="00F171B7" w:rsidRPr="00F171B7">
        <w:rPr>
          <w:rStyle w:val="Refdenotaalpie"/>
        </w:rPr>
        <w:footnoteReference w:id="9"/>
      </w:r>
      <w:r w:rsidR="002E4BC5">
        <w:t>.</w:t>
      </w:r>
    </w:p>
    <w:p w14:paraId="63A4B91E" w14:textId="12E65F73" w:rsidR="002E4BC5" w:rsidRPr="002A28B8" w:rsidRDefault="002E4BC5" w:rsidP="00C4049C">
      <w:pPr>
        <w:pStyle w:val="Nivel3SM"/>
      </w:pPr>
      <w:r>
        <w:t xml:space="preserve">El agente es capaz de asignar una </w:t>
      </w:r>
      <w:r>
        <w:rPr>
          <w:i/>
          <w:iCs/>
          <w:u w:val="single"/>
        </w:rPr>
        <w:t>probabilidad</w:t>
      </w:r>
      <w:r>
        <w:t xml:space="preserve"> a cada uno de los </w:t>
      </w:r>
      <w:r w:rsidRPr="00F25886">
        <w:t>“estados de la naturaleza”</w:t>
      </w:r>
      <w:r>
        <w:t>:</w:t>
      </w:r>
      <w:r w:rsidR="00BE29C5">
        <w:t xml:space="preserve"> </w:t>
      </w:r>
      <m:oMath>
        <m:sSub>
          <m:sSubPr>
            <m:ctrlPr>
              <w:rPr>
                <w:rFonts w:ascii="Cambria Math" w:hAnsi="Cambria Math"/>
                <w:i/>
              </w:rPr>
            </m:ctrlPr>
          </m:sSubPr>
          <m:e>
            <m:r>
              <m:rPr>
                <m:nor/>
              </m:rPr>
              <w:rPr>
                <w:i/>
                <w:iCs/>
              </w:rPr>
              <m:t>p</m:t>
            </m:r>
          </m:e>
          <m:sub>
            <m:r>
              <m:rPr>
                <m:nor/>
              </m:rPr>
              <w:rPr>
                <w:i/>
              </w:rPr>
              <m:t>s</m:t>
            </m:r>
          </m:sub>
        </m:sSub>
        <m:r>
          <w:rPr>
            <w:rFonts w:ascii="Cambria Math" w:hAnsi="Cambria Math"/>
          </w:rPr>
          <m:t>∈</m:t>
        </m:r>
        <m:d>
          <m:dPr>
            <m:begChr m:val="["/>
            <m:endChr m:val="]"/>
            <m:ctrlPr>
              <w:rPr>
                <w:rFonts w:ascii="Cambria Math" w:hAnsi="Cambria Math"/>
                <w:i/>
              </w:rPr>
            </m:ctrlPr>
          </m:dPr>
          <m:e>
            <m:r>
              <m:rPr>
                <m:nor/>
              </m:rPr>
              <w:rPr>
                <w:i/>
              </w:rPr>
              <m:t>0,1</m:t>
            </m:r>
          </m:e>
        </m:d>
      </m:oMath>
      <w:r>
        <w:t xml:space="preserve"> </w:t>
      </w:r>
      <w:r w:rsidR="00BE29C5">
        <w:t xml:space="preserve">y </w:t>
      </w:r>
      <m:oMath>
        <m:nary>
          <m:naryPr>
            <m:chr m:val="∑"/>
            <m:limLoc m:val="undOvr"/>
            <m:ctrlPr>
              <w:rPr>
                <w:rFonts w:ascii="Cambria Math" w:hAnsi="Cambria Math"/>
                <w:i/>
              </w:rPr>
            </m:ctrlPr>
          </m:naryPr>
          <m:sub>
            <m:r>
              <m:rPr>
                <m:nor/>
              </m:rPr>
              <w:rPr>
                <w:i/>
              </w:rPr>
              <m:t>s</m:t>
            </m:r>
            <m:r>
              <w:rPr>
                <w:rFonts w:ascii="Cambria Math" w:hAnsi="Cambria Math"/>
              </w:rPr>
              <m:t>=</m:t>
            </m:r>
            <m:r>
              <m:rPr>
                <m:nor/>
              </m:rPr>
              <w:rPr>
                <w:i/>
              </w:rPr>
              <m:t>1</m:t>
            </m:r>
          </m:sub>
          <m:sup>
            <m:r>
              <m:rPr>
                <m:nor/>
              </m:rPr>
              <w:rPr>
                <w:i/>
              </w:rPr>
              <m:t>S</m:t>
            </m:r>
          </m:sup>
          <m:e>
            <m:sSub>
              <m:sSubPr>
                <m:ctrlPr>
                  <w:rPr>
                    <w:rFonts w:ascii="Cambria Math" w:hAnsi="Cambria Math"/>
                    <w:i/>
                  </w:rPr>
                </m:ctrlPr>
              </m:sSubPr>
              <m:e>
                <m:r>
                  <m:rPr>
                    <m:nor/>
                  </m:rPr>
                  <w:rPr>
                    <w:i/>
                    <w:iCs/>
                  </w:rPr>
                  <m:t>p</m:t>
                </m:r>
              </m:e>
              <m:sub>
                <m:r>
                  <m:rPr>
                    <m:nor/>
                  </m:rPr>
                  <w:rPr>
                    <w:i/>
                  </w:rPr>
                  <m:t>s</m:t>
                </m:r>
              </m:sub>
            </m:sSub>
          </m:e>
        </m:nary>
        <m:r>
          <w:rPr>
            <w:rFonts w:ascii="Cambria Math" w:hAnsi="Cambria Math"/>
          </w:rPr>
          <m:t>=</m:t>
        </m:r>
        <m:r>
          <m:rPr>
            <m:nor/>
          </m:rPr>
          <w:rPr>
            <w:i/>
          </w:rPr>
          <m:t>1</m:t>
        </m:r>
      </m:oMath>
      <w:r>
        <w:rPr>
          <w:rFonts w:eastAsiaTheme="minorEastAsia"/>
        </w:rPr>
        <w:t>.</w:t>
      </w:r>
    </w:p>
    <w:p w14:paraId="1C950273" w14:textId="32C45643" w:rsidR="002A28B8" w:rsidRPr="0016701D" w:rsidRDefault="002A28B8" w:rsidP="00903FB8">
      <w:pPr>
        <w:pStyle w:val="Nivel3SM"/>
        <w:keepNext/>
      </w:pPr>
      <w:r>
        <w:t xml:space="preserve">Cada </w:t>
      </w:r>
      <w:r w:rsidRPr="002E4BC5">
        <w:t xml:space="preserve">posible </w:t>
      </w:r>
      <w:r>
        <w:t>estado de la naturaleza tiene asociado un</w:t>
      </w:r>
      <w:r w:rsidRPr="002E4BC5">
        <w:t xml:space="preserve"> </w:t>
      </w:r>
      <w:r w:rsidRPr="00437C82">
        <w:rPr>
          <w:i/>
          <w:iCs/>
          <w:u w:val="single"/>
        </w:rPr>
        <w:t>resultado o consecuencia</w:t>
      </w:r>
      <w:r w:rsidRPr="00AE408D">
        <w:t xml:space="preserve"> </w:t>
      </w:r>
      <w:r>
        <w:t>(</w:t>
      </w:r>
      <m:oMath>
        <m:sSub>
          <m:sSubPr>
            <m:ctrlPr>
              <w:rPr>
                <w:rFonts w:ascii="Cambria Math" w:hAnsi="Cambria Math"/>
                <w:i/>
              </w:rPr>
            </m:ctrlPr>
          </m:sSubPr>
          <m:e>
            <m:r>
              <m:rPr>
                <m:nor/>
              </m:rPr>
              <w:rPr>
                <w:i/>
              </w:rPr>
              <m:t>c</m:t>
            </m:r>
          </m:e>
          <m:sub>
            <m:r>
              <m:rPr>
                <m:nor/>
              </m:rPr>
              <w:rPr>
                <w:i/>
              </w:rPr>
              <m:t>1</m:t>
            </m:r>
          </m:sub>
        </m:sSub>
        <m:r>
          <m:rPr>
            <m:nor/>
          </m:rPr>
          <w:rPr>
            <w:i/>
          </w:rPr>
          <m:t xml:space="preserve">, </m:t>
        </m:r>
        <m:sSub>
          <m:sSubPr>
            <m:ctrlPr>
              <w:rPr>
                <w:rFonts w:ascii="Cambria Math" w:hAnsi="Cambria Math"/>
                <w:i/>
              </w:rPr>
            </m:ctrlPr>
          </m:sSubPr>
          <m:e>
            <m:r>
              <m:rPr>
                <m:nor/>
              </m:rPr>
              <w:rPr>
                <w:i/>
              </w:rPr>
              <m:t>c</m:t>
            </m:r>
          </m:e>
          <m:sub>
            <m:r>
              <m:rPr>
                <m:nor/>
              </m:rPr>
              <w:rPr>
                <w:i/>
              </w:rPr>
              <m:t>2</m:t>
            </m:r>
          </m:sub>
        </m:sSub>
        <m:r>
          <m:rPr>
            <m:nor/>
          </m:rPr>
          <w:rPr>
            <w:i/>
          </w:rPr>
          <m:t>,...,</m:t>
        </m:r>
        <m:sSub>
          <m:sSubPr>
            <m:ctrlPr>
              <w:rPr>
                <w:rFonts w:ascii="Cambria Math" w:hAnsi="Cambria Math"/>
                <w:i/>
              </w:rPr>
            </m:ctrlPr>
          </m:sSubPr>
          <m:e>
            <m:r>
              <m:rPr>
                <m:nor/>
              </m:rPr>
              <w:rPr>
                <w:i/>
              </w:rPr>
              <m:t>c</m:t>
            </m:r>
          </m:e>
          <m:sub>
            <m:r>
              <m:rPr>
                <m:nor/>
              </m:rPr>
              <w:rPr>
                <w:i/>
              </w:rPr>
              <m:t>S</m:t>
            </m:r>
          </m:sub>
        </m:sSub>
      </m:oMath>
      <w:r>
        <w:t xml:space="preserve">). Estos resultados, denotados como </w:t>
      </w:r>
      <m:oMath>
        <m:sSub>
          <m:sSubPr>
            <m:ctrlPr>
              <w:rPr>
                <w:rFonts w:ascii="Cambria Math" w:hAnsi="Cambria Math"/>
                <w:i/>
              </w:rPr>
            </m:ctrlPr>
          </m:sSubPr>
          <m:e>
            <m:r>
              <m:rPr>
                <m:nor/>
              </m:rPr>
              <w:rPr>
                <w:i/>
                <w:iCs/>
              </w:rPr>
              <m:t>c</m:t>
            </m:r>
          </m:e>
          <m:sub>
            <m:r>
              <m:rPr>
                <m:nor/>
              </m:rPr>
              <w:rPr>
                <w:i/>
              </w:rPr>
              <m:t>s</m:t>
            </m:r>
          </m:sub>
        </m:sSub>
      </m:oMath>
      <w:r>
        <w:rPr>
          <w:rFonts w:eastAsiaTheme="minorEastAsia"/>
        </w:rPr>
        <w:t xml:space="preserve"> pueden adoptar muchas formas, como por ejemplo cestas o vectores de consumo. Sin embargo, por simplicidad analítica y sin pérdida de generalidad se considerará que los resultados posibles no son vectores sino escalares, en concreto: </w:t>
      </w:r>
      <w:r>
        <w:rPr>
          <w:rFonts w:eastAsiaTheme="minorEastAsia"/>
          <w:i/>
          <w:iCs/>
        </w:rPr>
        <w:t>pagos monetarios</w:t>
      </w:r>
      <w:r>
        <w:rPr>
          <w:rFonts w:eastAsiaTheme="minorEastAsia"/>
        </w:rPr>
        <w:t>, que se pueden identificar con la renta o la riqueza del agente. Esta simplificación tiene fácil justificación: la teoría de la demanda de consumo establece que dados los precios de los bienes, el equilibrio del consumidor es único para cada nivel de renta</w:t>
      </w:r>
      <w:r w:rsidR="007D1A17">
        <w:rPr>
          <w:rStyle w:val="Refdenotaalpie"/>
          <w:rFonts w:eastAsiaTheme="minorEastAsia"/>
        </w:rPr>
        <w:footnoteReference w:id="10"/>
      </w:r>
      <w:r>
        <w:rPr>
          <w:rFonts w:eastAsiaTheme="minorEastAsia"/>
        </w:rPr>
        <w:t>, luego cada nivel de renta monetaria tendrá asociada una única cesta de consumo de equilibrio</w:t>
      </w:r>
      <w:r w:rsidR="00E34C32">
        <w:rPr>
          <w:rStyle w:val="Refdenotaalpie"/>
          <w:rFonts w:eastAsiaTheme="minorEastAsia"/>
        </w:rPr>
        <w:footnoteReference w:id="11"/>
      </w:r>
      <w:r>
        <w:rPr>
          <w:rFonts w:eastAsiaTheme="minorEastAsia"/>
        </w:rPr>
        <w:t>.</w:t>
      </w:r>
    </w:p>
    <w:p w14:paraId="4F0AD11A" w14:textId="1FE3B482" w:rsidR="0016701D" w:rsidRPr="0016701D" w:rsidRDefault="0016701D" w:rsidP="0016701D">
      <w:pPr>
        <w:pStyle w:val="Nivel4"/>
        <w:ind w:left="1474"/>
        <w:rPr>
          <w:spacing w:val="-2"/>
          <w:u w:val="single"/>
        </w:rPr>
      </w:pPr>
      <w:r w:rsidRPr="0016701D">
        <w:rPr>
          <w:spacing w:val="-2"/>
        </w:rPr>
        <w:t xml:space="preserve">En pocas palabras, una lotería es una </w:t>
      </w:r>
      <w:r w:rsidRPr="0016701D">
        <w:rPr>
          <w:i/>
          <w:spacing w:val="-2"/>
        </w:rPr>
        <w:t>distribución de probabilidad</w:t>
      </w:r>
      <w:r w:rsidRPr="0016701D">
        <w:rPr>
          <w:spacing w:val="-2"/>
        </w:rPr>
        <w:t xml:space="preserve"> donde </w:t>
      </w:r>
      <m:oMath>
        <m:sSub>
          <m:sSubPr>
            <m:ctrlPr>
              <w:rPr>
                <w:rFonts w:ascii="Cambria Math" w:hAnsi="Cambria Math"/>
                <w:i/>
                <w:spacing w:val="-2"/>
              </w:rPr>
            </m:ctrlPr>
          </m:sSubPr>
          <m:e>
            <m:r>
              <m:rPr>
                <m:nor/>
              </m:rPr>
              <w:rPr>
                <w:i/>
                <w:spacing w:val="-2"/>
              </w:rPr>
              <m:t>p</m:t>
            </m:r>
          </m:e>
          <m:sub>
            <m:r>
              <m:rPr>
                <m:nor/>
              </m:rPr>
              <w:rPr>
                <w:i/>
                <w:spacing w:val="-2"/>
              </w:rPr>
              <m:t>n</m:t>
            </m:r>
          </m:sub>
        </m:sSub>
        <m:r>
          <m:rPr>
            <m:nor/>
          </m:rPr>
          <w:rPr>
            <w:i/>
            <w:spacing w:val="-2"/>
          </w:rPr>
          <m:t>=</m:t>
        </m:r>
        <m:r>
          <m:rPr>
            <m:nor/>
          </m:rPr>
          <w:rPr>
            <w:rFonts w:ascii="Cambria Math"/>
            <w:i/>
            <w:spacing w:val="-2"/>
          </w:rPr>
          <m:t xml:space="preserve"> </m:t>
        </m:r>
        <w:proofErr w:type="spellStart"/>
        <m:r>
          <m:rPr>
            <m:nor/>
          </m:rPr>
          <w:rPr>
            <w:i/>
            <w:spacing w:val="-2"/>
          </w:rPr>
          <m:t>prob</m:t>
        </m:r>
        <w:proofErr w:type="spellEnd"/>
        <m:r>
          <m:rPr>
            <m:nor/>
          </m:rPr>
          <w:rPr>
            <w:spacing w:val="-2"/>
          </w:rPr>
          <m:t>(</m:t>
        </m:r>
        <m:sSub>
          <m:sSubPr>
            <m:ctrlPr>
              <w:rPr>
                <w:rFonts w:ascii="Cambria Math" w:hAnsi="Cambria Math"/>
                <w:i/>
                <w:spacing w:val="-2"/>
              </w:rPr>
            </m:ctrlPr>
          </m:sSubPr>
          <m:e>
            <m:r>
              <m:rPr>
                <m:nor/>
              </m:rPr>
              <w:rPr>
                <w:i/>
                <w:spacing w:val="-2"/>
              </w:rPr>
              <m:t>x</m:t>
            </m:r>
          </m:e>
          <m:sub>
            <m:r>
              <m:rPr>
                <m:nor/>
              </m:rPr>
              <w:rPr>
                <w:i/>
                <w:spacing w:val="-2"/>
              </w:rPr>
              <m:t>n</m:t>
            </m:r>
          </m:sub>
        </m:sSub>
        <m:r>
          <m:rPr>
            <m:nor/>
          </m:rPr>
          <w:rPr>
            <w:spacing w:val="-2"/>
          </w:rPr>
          <m:t>)</m:t>
        </m:r>
      </m:oMath>
      <w:r w:rsidRPr="0016701D">
        <w:rPr>
          <w:spacing w:val="-2"/>
        </w:rPr>
        <w:t xml:space="preserve"> representa la probabilidad de que se dé el estado de la naturaleza </w:t>
      </w:r>
      <m:oMath>
        <m:sSub>
          <m:sSubPr>
            <m:ctrlPr>
              <w:rPr>
                <w:rFonts w:ascii="Cambria Math" w:hAnsi="Cambria Math"/>
                <w:i/>
                <w:spacing w:val="-2"/>
              </w:rPr>
            </m:ctrlPr>
          </m:sSubPr>
          <m:e>
            <m:r>
              <m:rPr>
                <m:nor/>
              </m:rPr>
              <w:rPr>
                <w:i/>
                <w:spacing w:val="-2"/>
              </w:rPr>
              <m:t>x</m:t>
            </m:r>
          </m:e>
          <m:sub>
            <m:r>
              <m:rPr>
                <m:nor/>
              </m:rPr>
              <w:rPr>
                <w:i/>
                <w:spacing w:val="-2"/>
              </w:rPr>
              <m:t>n</m:t>
            </m:r>
          </m:sub>
        </m:sSub>
      </m:oMath>
      <w:r w:rsidRPr="0016701D">
        <w:rPr>
          <w:spacing w:val="-2"/>
        </w:rPr>
        <w:t xml:space="preserve"> con su resultado </w:t>
      </w:r>
      <m:oMath>
        <m:sSub>
          <m:sSubPr>
            <m:ctrlPr>
              <w:rPr>
                <w:rFonts w:ascii="Cambria Math" w:hAnsi="Cambria Math"/>
                <w:i/>
                <w:spacing w:val="-2"/>
              </w:rPr>
            </m:ctrlPr>
          </m:sSubPr>
          <m:e>
            <m:r>
              <m:rPr>
                <m:nor/>
              </m:rPr>
              <w:rPr>
                <w:i/>
                <w:spacing w:val="-2"/>
              </w:rPr>
              <m:t>c</m:t>
            </m:r>
          </m:e>
          <m:sub>
            <m:r>
              <m:rPr>
                <m:nor/>
              </m:rPr>
              <w:rPr>
                <w:i/>
                <w:spacing w:val="-2"/>
              </w:rPr>
              <m:t>n</m:t>
            </m:r>
          </m:sub>
        </m:sSub>
      </m:oMath>
      <w:r w:rsidRPr="0016701D">
        <w:rPr>
          <w:spacing w:val="-2"/>
        </w:rPr>
        <w:t xml:space="preserve"> asociado.</w:t>
      </w:r>
    </w:p>
    <w:p w14:paraId="415EADF5" w14:textId="45A2D453" w:rsidR="002E4BC5" w:rsidRPr="009A34C1" w:rsidRDefault="00F231D2" w:rsidP="00C64B7E">
      <w:pPr>
        <w:pStyle w:val="Ttuloimagen"/>
        <w:rPr>
          <w:smallCaps w:val="0"/>
        </w:rPr>
      </w:pPr>
      <w:bookmarkStart w:id="12" w:name="_Ref99366918"/>
      <w:r>
        <w:t>Imagen</w:t>
      </w:r>
      <w:r w:rsidR="002C7D7A">
        <w:t> </w:t>
      </w:r>
      <w:r>
        <w:fldChar w:fldCharType="begin"/>
      </w:r>
      <w:r>
        <w:instrText xml:space="preserve"> SEQ Ilustración \* ARABIC </w:instrText>
      </w:r>
      <w:r>
        <w:fldChar w:fldCharType="separate"/>
      </w:r>
      <w:r w:rsidR="002E338F">
        <w:t>1</w:t>
      </w:r>
      <w:r>
        <w:fldChar w:fldCharType="end"/>
      </w:r>
      <w:bookmarkEnd w:id="12"/>
      <w:r w:rsidRPr="00F231D2">
        <w:rPr>
          <w:smallCaps w:val="0"/>
        </w:rPr>
        <w:t xml:space="preserve">.– </w:t>
      </w:r>
      <w:r w:rsidR="002E4BC5">
        <w:rPr>
          <w:i/>
          <w:iCs/>
          <w:smallCaps w:val="0"/>
        </w:rPr>
        <w:t>Representación de las loterías</w:t>
      </w:r>
    </w:p>
    <w:p w14:paraId="7C94973F" w14:textId="1191130A" w:rsidR="002E4BC5" w:rsidRDefault="0056072E" w:rsidP="004C5637">
      <w:pPr>
        <w:pStyle w:val="Imagen"/>
      </w:pPr>
      <w:r>
        <w:drawing>
          <wp:inline distT="0" distB="0" distL="0" distR="0" wp14:anchorId="0A57E1FD" wp14:editId="59E2FFB6">
            <wp:extent cx="2408362" cy="1080000"/>
            <wp:effectExtent l="19050" t="19050" r="11430" b="2540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rotWithShape="1">
                    <a:blip r:embed="rId9" cstate="print">
                      <a:extLst>
                        <a:ext uri="{28A0092B-C50C-407E-A947-70E740481C1C}">
                          <a14:useLocalDpi xmlns:a14="http://schemas.microsoft.com/office/drawing/2010/main" val="0"/>
                        </a:ext>
                      </a:extLst>
                    </a:blip>
                    <a:srcRect l="7743" t="17438" r="9658" b="16711"/>
                    <a:stretch/>
                  </pic:blipFill>
                  <pic:spPr bwMode="auto">
                    <a:xfrm>
                      <a:off x="0" y="0"/>
                      <a:ext cx="2408362" cy="1080000"/>
                    </a:xfrm>
                    <a:prstGeom prst="rect">
                      <a:avLst/>
                    </a:prstGeom>
                    <a:ln w="12700">
                      <a:solidFill>
                        <a:srgbClr val="000000"/>
                      </a:solidFill>
                    </a:ln>
                    <a:extLst>
                      <a:ext uri="{53640926-AAD7-44D8-BBD7-CCE9431645EC}">
                        <a14:shadowObscured xmlns:a14="http://schemas.microsoft.com/office/drawing/2010/main"/>
                      </a:ext>
                    </a:extLst>
                  </pic:spPr>
                </pic:pic>
              </a:graphicData>
            </a:graphic>
          </wp:inline>
        </w:drawing>
      </w:r>
    </w:p>
    <w:p w14:paraId="059415CE" w14:textId="61CDD9B3" w:rsidR="004C5637" w:rsidRPr="004C5637" w:rsidRDefault="004C5637" w:rsidP="004C5637">
      <w:pPr>
        <w:pStyle w:val="PiedeImagen"/>
        <w:rPr>
          <w:i w:val="0"/>
          <w:iCs/>
          <w:u w:val="single"/>
        </w:rPr>
      </w:pPr>
      <w:r>
        <w:t>Fuente</w:t>
      </w:r>
      <w:r w:rsidRPr="004C5637">
        <w:rPr>
          <w:i w:val="0"/>
          <w:iCs/>
        </w:rPr>
        <w:t>:</w:t>
      </w:r>
      <w:r>
        <w:rPr>
          <w:i w:val="0"/>
          <w:iCs/>
        </w:rPr>
        <w:t xml:space="preserve"> </w:t>
      </w:r>
      <w:r w:rsidR="008A414A" w:rsidRPr="008A414A">
        <w:rPr>
          <w:i w:val="0"/>
          <w:iCs/>
        </w:rPr>
        <w:t xml:space="preserve">Maté García, J. J. &amp; Pérez Domínguez, C. (2007). </w:t>
      </w:r>
      <w:r w:rsidR="008A414A" w:rsidRPr="008A414A">
        <w:t>Microeconomía avanzada: Cuestiones y ejercicios resueltos</w:t>
      </w:r>
      <w:r w:rsidR="008A414A" w:rsidRPr="008A414A">
        <w:rPr>
          <w:i w:val="0"/>
          <w:iCs/>
        </w:rPr>
        <w:t>. Prentice Hall.</w:t>
      </w:r>
    </w:p>
    <w:p w14:paraId="0902A500" w14:textId="3CEA5880" w:rsidR="001847C2" w:rsidRDefault="00F231D2" w:rsidP="00F231D2">
      <w:pPr>
        <w:pStyle w:val="Ttuloimagen"/>
        <w:rPr>
          <w:smallCaps w:val="0"/>
        </w:rPr>
      </w:pPr>
      <w:r>
        <w:lastRenderedPageBreak/>
        <w:t>Imagen</w:t>
      </w:r>
      <w:r w:rsidR="002C7D7A">
        <w:t> </w:t>
      </w:r>
      <w:r>
        <w:fldChar w:fldCharType="begin"/>
      </w:r>
      <w:r>
        <w:instrText xml:space="preserve"> SEQ Ilustración \* ARABIC </w:instrText>
      </w:r>
      <w:r>
        <w:fldChar w:fldCharType="separate"/>
      </w:r>
      <w:r w:rsidR="002E338F">
        <w:t>2</w:t>
      </w:r>
      <w:r>
        <w:fldChar w:fldCharType="end"/>
      </w:r>
      <w:r w:rsidRPr="00F231D2">
        <w:rPr>
          <w:smallCaps w:val="0"/>
        </w:rPr>
        <w:t xml:space="preserve">.– </w:t>
      </w:r>
      <w:r w:rsidR="001847C2" w:rsidRPr="001847C2">
        <w:rPr>
          <w:i/>
          <w:iCs/>
          <w:smallCaps w:val="0"/>
        </w:rPr>
        <w:t>Represe</w:t>
      </w:r>
      <w:r w:rsidR="001847C2">
        <w:rPr>
          <w:i/>
          <w:iCs/>
          <w:smallCaps w:val="0"/>
        </w:rPr>
        <w:t>ntaciones de un s</w:t>
      </w:r>
      <w:r w:rsidR="00C64B7E">
        <w:rPr>
          <w:i/>
          <w:iCs/>
          <w:smallCaps w:val="0"/>
        </w:rPr>
        <w:t>í</w:t>
      </w:r>
      <w:r w:rsidR="001847C2">
        <w:rPr>
          <w:i/>
          <w:iCs/>
          <w:smallCaps w:val="0"/>
        </w:rPr>
        <w:t>mplex cuando S=3</w:t>
      </w:r>
      <w:r w:rsidR="00114D30">
        <w:rPr>
          <w:rStyle w:val="Refdenotaalpie"/>
          <w:iCs/>
        </w:rPr>
        <w:footnoteReference w:id="12"/>
      </w:r>
      <w:r w:rsidR="001847C2">
        <w:rPr>
          <w:smallCaps w:val="0"/>
        </w:rPr>
        <w:t>.</w:t>
      </w:r>
    </w:p>
    <w:p w14:paraId="2FE1CF3D" w14:textId="3E02945C" w:rsidR="001847C2" w:rsidRPr="00114D30" w:rsidRDefault="001847C2">
      <w:pPr>
        <w:pStyle w:val="Ttuloimagen"/>
        <w:numPr>
          <w:ilvl w:val="0"/>
          <w:numId w:val="7"/>
        </w:numPr>
        <w:spacing w:line="204" w:lineRule="auto"/>
        <w:rPr>
          <w:smallCaps w:val="0"/>
          <w:sz w:val="18"/>
          <w:szCs w:val="18"/>
        </w:rPr>
      </w:pPr>
      <w:r w:rsidRPr="00114D30">
        <w:rPr>
          <w:smallCaps w:val="0"/>
          <w:sz w:val="18"/>
          <w:szCs w:val="18"/>
        </w:rPr>
        <w:t>Representación tridimensional</w:t>
      </w:r>
      <w:r w:rsidR="00C64B7E" w:rsidRPr="00114D30">
        <w:rPr>
          <w:smallCaps w:val="0"/>
          <w:sz w:val="18"/>
          <w:szCs w:val="18"/>
        </w:rPr>
        <w:t xml:space="preserve"> (3-símplice: tetraedro)</w:t>
      </w:r>
    </w:p>
    <w:p w14:paraId="7B170DA0" w14:textId="3777BAA4" w:rsidR="001847C2" w:rsidRPr="00114D30" w:rsidRDefault="001847C2">
      <w:pPr>
        <w:pStyle w:val="Ttuloimagen"/>
        <w:numPr>
          <w:ilvl w:val="0"/>
          <w:numId w:val="7"/>
        </w:numPr>
        <w:rPr>
          <w:smallCaps w:val="0"/>
          <w:sz w:val="18"/>
          <w:szCs w:val="18"/>
        </w:rPr>
      </w:pPr>
      <w:r w:rsidRPr="00114D30">
        <w:rPr>
          <w:smallCaps w:val="0"/>
          <w:sz w:val="18"/>
          <w:szCs w:val="18"/>
        </w:rPr>
        <w:t>Representación bidimensional</w:t>
      </w:r>
      <w:r w:rsidR="00C64B7E" w:rsidRPr="00114D30">
        <w:rPr>
          <w:smallCaps w:val="0"/>
          <w:sz w:val="18"/>
          <w:szCs w:val="18"/>
        </w:rPr>
        <w:t xml:space="preserve"> (2-símplice: triángulo)</w:t>
      </w:r>
    </w:p>
    <w:p w14:paraId="1E0AE0C5" w14:textId="7D24A19C" w:rsidR="001847C2" w:rsidRDefault="001847C2" w:rsidP="001847C2">
      <w:pPr>
        <w:pStyle w:val="Imagen"/>
      </w:pPr>
      <w:r>
        <w:drawing>
          <wp:inline distT="0" distB="0" distL="0" distR="0" wp14:anchorId="064D1C6A" wp14:editId="0BA359A3">
            <wp:extent cx="2172277" cy="1188000"/>
            <wp:effectExtent l="0" t="0" r="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10"/>
                    <a:stretch>
                      <a:fillRect/>
                    </a:stretch>
                  </pic:blipFill>
                  <pic:spPr>
                    <a:xfrm>
                      <a:off x="0" y="0"/>
                      <a:ext cx="2172277" cy="1188000"/>
                    </a:xfrm>
                    <a:prstGeom prst="rect">
                      <a:avLst/>
                    </a:prstGeom>
                  </pic:spPr>
                </pic:pic>
              </a:graphicData>
            </a:graphic>
          </wp:inline>
        </w:drawing>
      </w:r>
    </w:p>
    <w:p w14:paraId="0158E991" w14:textId="31259559" w:rsidR="001847C2" w:rsidRPr="0046334B" w:rsidRDefault="001847C2" w:rsidP="00C4049C">
      <w:pPr>
        <w:pStyle w:val="PiedeImagen"/>
        <w:rPr>
          <w:i w:val="0"/>
          <w:iCs/>
        </w:rPr>
      </w:pPr>
      <w:r w:rsidRPr="00002FC6">
        <w:rPr>
          <w:lang w:val="en-US"/>
        </w:rPr>
        <w:t>Fuente</w:t>
      </w:r>
      <w:r w:rsidRPr="00002FC6">
        <w:rPr>
          <w:i w:val="0"/>
          <w:iCs/>
          <w:lang w:val="en-US"/>
        </w:rPr>
        <w:t xml:space="preserve">: Mas-Colell, A., Whinston, M. D. &amp; Green, J. R. (1995). </w:t>
      </w:r>
      <w:r w:rsidRPr="00002FC6">
        <w:rPr>
          <w:lang w:val="en-US"/>
        </w:rPr>
        <w:t>Microeconomic theory</w:t>
      </w:r>
      <w:r w:rsidRPr="00002FC6">
        <w:rPr>
          <w:i w:val="0"/>
          <w:iCs/>
          <w:lang w:val="en-US"/>
        </w:rPr>
        <w:t xml:space="preserve">. </w:t>
      </w:r>
      <w:r w:rsidRPr="0046334B">
        <w:rPr>
          <w:i w:val="0"/>
          <w:iCs/>
        </w:rPr>
        <w:t>Oxford University Press</w:t>
      </w:r>
      <w:r w:rsidR="00114D30" w:rsidRPr="0046334B">
        <w:rPr>
          <w:i w:val="0"/>
          <w:iCs/>
        </w:rPr>
        <w:t>.</w:t>
      </w:r>
    </w:p>
    <w:p w14:paraId="57D6FEB9" w14:textId="65CF0D38" w:rsidR="004F6BDB" w:rsidRDefault="00644105" w:rsidP="003A7799">
      <w:pPr>
        <w:pStyle w:val="Nivel1SM"/>
        <w:keepNext/>
        <w:spacing w:after="0"/>
      </w:pPr>
      <w:r>
        <w:t xml:space="preserve">Pueden existir </w:t>
      </w:r>
      <w:r w:rsidR="003A7799" w:rsidRPr="00713AC3">
        <w:rPr>
          <w:b/>
          <w:bCs/>
        </w:rPr>
        <w:t>3 </w:t>
      </w:r>
      <w:r w:rsidRPr="00713AC3">
        <w:rPr>
          <w:b/>
          <w:bCs/>
        </w:rPr>
        <w:t>tipos de loterías</w:t>
      </w:r>
      <w:r>
        <w:t>:</w:t>
      </w:r>
    </w:p>
    <w:p w14:paraId="5B4E159C" w14:textId="56DC4A18" w:rsidR="00644105" w:rsidRDefault="00644105" w:rsidP="003A7799">
      <w:pPr>
        <w:pStyle w:val="Nivel2SM"/>
      </w:pPr>
      <w:r>
        <w:rPr>
          <w:i/>
          <w:iCs/>
        </w:rPr>
        <w:t>Loterías simples</w:t>
      </w:r>
      <w:r>
        <w:t>:</w:t>
      </w:r>
      <w:r w:rsidRPr="00BA446D">
        <w:t xml:space="preserve"> </w:t>
      </w:r>
      <w:r w:rsidR="001C7476">
        <w:t>S</w:t>
      </w:r>
      <w:r w:rsidRPr="00BA446D">
        <w:t>on aquellas cuy</w:t>
      </w:r>
      <w:r w:rsidR="003A7799">
        <w:t>o</w:t>
      </w:r>
      <w:r w:rsidRPr="00BA446D">
        <w:t>s</w:t>
      </w:r>
      <w:r w:rsidR="003A7799">
        <w:t xml:space="preserve"> resultados dependen del estado de la naturaleza que se dé, pero cuyos resultados son ciertos</w:t>
      </w:r>
      <w:r w:rsidRPr="00BA446D">
        <w:t xml:space="preserve">, tal como la descrita por la </w:t>
      </w:r>
      <w:r w:rsidR="008F35A1" w:rsidRPr="001C7476">
        <w:fldChar w:fldCharType="begin"/>
      </w:r>
      <w:r w:rsidR="008F35A1" w:rsidRPr="001C7476">
        <w:instrText xml:space="preserve"> REF _Ref99366918 \h </w:instrText>
      </w:r>
      <w:r w:rsidR="00BA446D" w:rsidRPr="001C7476">
        <w:instrText xml:space="preserve"> \* MERGEFORMAT </w:instrText>
      </w:r>
      <w:r w:rsidR="008F35A1" w:rsidRPr="001C7476">
        <w:fldChar w:fldCharType="separate"/>
      </w:r>
      <w:r w:rsidR="002E338F">
        <w:t>Imagen 1</w:t>
      </w:r>
      <w:r w:rsidR="008F35A1" w:rsidRPr="001C7476">
        <w:fldChar w:fldCharType="end"/>
      </w:r>
      <w:r w:rsidRPr="00BA446D">
        <w:rPr>
          <w:rStyle w:val="TtuloimagenCar"/>
          <w:spacing w:val="-2"/>
        </w:rPr>
        <w:t>.</w:t>
      </w:r>
    </w:p>
    <w:p w14:paraId="1FFCBE19" w14:textId="32193057" w:rsidR="00644105" w:rsidRDefault="00644105" w:rsidP="003A7799">
      <w:pPr>
        <w:pStyle w:val="Nivel2SM"/>
      </w:pPr>
      <w:r>
        <w:rPr>
          <w:i/>
          <w:iCs/>
        </w:rPr>
        <w:t>Loterías compuestas</w:t>
      </w:r>
      <w:r>
        <w:t xml:space="preserve">: </w:t>
      </w:r>
      <w:r w:rsidR="001C7476">
        <w:t>L</w:t>
      </w:r>
      <w:r>
        <w:t xml:space="preserve">oterías </w:t>
      </w:r>
      <w:r w:rsidRPr="00644105">
        <w:t>cuy</w:t>
      </w:r>
      <w:r w:rsidR="00AE408D">
        <w:t>a</w:t>
      </w:r>
      <w:r w:rsidRPr="00644105">
        <w:t>s</w:t>
      </w:r>
      <w:r>
        <w:t xml:space="preserve"> </w:t>
      </w:r>
      <w:r w:rsidR="00AE408D">
        <w:t xml:space="preserve">consecuencias </w:t>
      </w:r>
      <w:r>
        <w:t>son a su vez otras loterías.</w:t>
      </w:r>
    </w:p>
    <w:p w14:paraId="147A56A6" w14:textId="2D8808A3" w:rsidR="007A7481" w:rsidRDefault="007A7481" w:rsidP="00903FB8">
      <w:pPr>
        <w:pStyle w:val="Nivel2SM"/>
        <w:keepNext/>
        <w:spacing w:after="0"/>
      </w:pPr>
      <w:r>
        <w:rPr>
          <w:i/>
          <w:iCs/>
        </w:rPr>
        <w:t>Loterías degeneradas</w:t>
      </w:r>
      <w:r>
        <w:t xml:space="preserve">: </w:t>
      </w:r>
      <w:r w:rsidR="001C7476">
        <w:t xml:space="preserve">Loterías </w:t>
      </w:r>
      <w:r w:rsidR="003A7799">
        <w:t>en las que l</w:t>
      </w:r>
      <w:r>
        <w:t xml:space="preserve">a probabilidad de que suceda un estado de la naturaleza es </w:t>
      </w:r>
      <w:r w:rsidR="00073B35">
        <w:t>1</w:t>
      </w:r>
      <w:r>
        <w:t>. Equivale a decisión con información perfecta.</w:t>
      </w:r>
    </w:p>
    <w:p w14:paraId="0ADF5681" w14:textId="2C01FAB3" w:rsidR="00644105" w:rsidRDefault="00644105" w:rsidP="00713AC3">
      <w:pPr>
        <w:pStyle w:val="Nivel3SM"/>
        <w:keepNext/>
      </w:pPr>
      <w:r>
        <w:t>En cualquier caso, se puede prescindir del análisis de las loterías compuestas dado que toda lotería compuesta puede reducirse fácilmente a una lotería simple (sobre los resultados finales)</w:t>
      </w:r>
      <w:r w:rsidR="006C5EEB">
        <w:rPr>
          <w:rStyle w:val="Refdenotaalpie"/>
        </w:rPr>
        <w:footnoteReference w:id="13"/>
      </w:r>
      <w:r>
        <w:t>.</w:t>
      </w:r>
    </w:p>
    <w:p w14:paraId="06C53CBB" w14:textId="4159B7DB" w:rsidR="00FC4FA0" w:rsidRPr="00903FB8" w:rsidRDefault="00FC4FA0" w:rsidP="00903FB8">
      <w:pPr>
        <w:pStyle w:val="Nivel4"/>
        <w:ind w:left="1474"/>
        <w:rPr>
          <w:rFonts w:eastAsiaTheme="minorEastAsia"/>
          <w:spacing w:val="-2"/>
        </w:rPr>
      </w:pPr>
      <w:r w:rsidRPr="00903FB8">
        <w:rPr>
          <w:spacing w:val="-2"/>
        </w:rPr>
        <w:t xml:space="preserve">Esto permite aplicar una </w:t>
      </w:r>
      <w:r w:rsidR="006D5812" w:rsidRPr="00903FB8">
        <w:rPr>
          <w:spacing w:val="-2"/>
        </w:rPr>
        <w:t xml:space="preserve">premisa “consecuencialista”: el conjunto de elección relevante será el formado por todas las loterías simples sobre el conjunto de </w:t>
      </w:r>
      <w:r w:rsidR="009C00DA" w:rsidRPr="00903FB8">
        <w:rPr>
          <w:spacing w:val="-2"/>
        </w:rPr>
        <w:t xml:space="preserve">todos los premios posibles </w:t>
      </w:r>
      <w:r w:rsidR="009C00DA" w:rsidRPr="00903FB8">
        <w:rPr>
          <w:b/>
          <w:bCs/>
          <w:i/>
          <w:iCs/>
          <w:spacing w:val="-2"/>
        </w:rPr>
        <w:t>C</w:t>
      </w:r>
      <w:r w:rsidR="009C00DA" w:rsidRPr="00903FB8">
        <w:rPr>
          <w:spacing w:val="-2"/>
        </w:rPr>
        <w:t xml:space="preserve">, y este conjunto de loterías simples disponibles se denotará como </w:t>
      </w:r>
      <m:oMath>
        <m:r>
          <m:rPr>
            <m:scr m:val="script"/>
            <m:sty m:val="b"/>
          </m:rPr>
          <w:rPr>
            <w:rFonts w:ascii="Cambria Math" w:hAnsi="Cambria Math"/>
            <w:spacing w:val="-2"/>
          </w:rPr>
          <m:t>L</m:t>
        </m:r>
      </m:oMath>
      <w:r w:rsidR="009C00DA" w:rsidRPr="00903FB8">
        <w:rPr>
          <w:rFonts w:eastAsiaTheme="minorEastAsia"/>
          <w:spacing w:val="-2"/>
        </w:rPr>
        <w:t>.</w:t>
      </w:r>
    </w:p>
    <w:p w14:paraId="5CA60F43" w14:textId="77777777" w:rsidR="00A858AE" w:rsidRPr="00A858AE" w:rsidRDefault="009C00DA" w:rsidP="00A858AE">
      <w:pPr>
        <w:pStyle w:val="Nivel1SM"/>
        <w:keepNext/>
        <w:spacing w:after="0"/>
      </w:pPr>
      <w:r>
        <w:rPr>
          <w:rFonts w:eastAsiaTheme="minorEastAsia"/>
        </w:rPr>
        <w:t xml:space="preserve">Es conveniente no perder nunca de vista que, a diferencia de la elección en certidumbre, </w:t>
      </w:r>
      <w:r w:rsidRPr="00E92CA5">
        <w:rPr>
          <w:rFonts w:eastAsiaTheme="minorEastAsia"/>
          <w:b/>
          <w:bCs/>
          <w:u w:val="single"/>
        </w:rPr>
        <w:t>el agente no decide sobre los resultados últimos</w:t>
      </w:r>
      <w:r w:rsidRPr="00E92CA5">
        <w:rPr>
          <w:rFonts w:eastAsiaTheme="minorEastAsia"/>
          <w:u w:val="single"/>
        </w:rPr>
        <w:t xml:space="preserve">, como es lógico por ser dichos resultados aleatorios, </w:t>
      </w:r>
      <w:r w:rsidRPr="00E92CA5">
        <w:rPr>
          <w:rFonts w:eastAsiaTheme="minorEastAsia"/>
          <w:b/>
          <w:bCs/>
          <w:u w:val="single"/>
        </w:rPr>
        <w:t>sino sobre alternativas de riesgo bajo la forma de lot</w:t>
      </w:r>
      <w:r w:rsidRPr="003F4AC5">
        <w:rPr>
          <w:rFonts w:eastAsiaTheme="minorEastAsia"/>
          <w:b/>
          <w:bCs/>
          <w:u w:val="single"/>
        </w:rPr>
        <w:t>erías</w:t>
      </w:r>
      <w:r w:rsidRPr="003F4AC5">
        <w:rPr>
          <w:rFonts w:eastAsiaTheme="minorEastAsia"/>
          <w:u w:val="single"/>
        </w:rPr>
        <w:t>, es decir, sobre distribuciones de probabilidad objetivas asociadas a esos resultados</w:t>
      </w:r>
      <w:r w:rsidR="002A28B8" w:rsidRPr="002A28B8">
        <w:rPr>
          <w:rStyle w:val="Refdenotaalpie"/>
          <w:rFonts w:eastAsiaTheme="minorEastAsia"/>
        </w:rPr>
        <w:footnoteReference w:id="14"/>
      </w:r>
      <w:r>
        <w:rPr>
          <w:rFonts w:eastAsiaTheme="minorEastAsia"/>
        </w:rPr>
        <w:t>.</w:t>
      </w:r>
    </w:p>
    <w:p w14:paraId="1D01900A" w14:textId="14BE1E88" w:rsidR="009C00DA" w:rsidRPr="00155B00" w:rsidRDefault="006A41E4" w:rsidP="00A858AE">
      <w:pPr>
        <w:pStyle w:val="Nivel2SM"/>
        <w:rPr>
          <w:spacing w:val="-2"/>
        </w:rPr>
      </w:pPr>
      <w:r w:rsidRPr="00155B00">
        <w:rPr>
          <w:spacing w:val="-2"/>
        </w:rPr>
        <w:t>En cualquier caso,</w:t>
      </w:r>
      <w:r w:rsidR="009C00DA" w:rsidRPr="00155B00">
        <w:rPr>
          <w:spacing w:val="-2"/>
        </w:rPr>
        <w:t xml:space="preserve"> no deja de ser cierto que una distribución de probabilidad no reporta ninguna utilidad </w:t>
      </w:r>
      <w:r w:rsidR="009C00DA" w:rsidRPr="00155B00">
        <w:rPr>
          <w:i/>
          <w:iCs/>
          <w:spacing w:val="-2"/>
        </w:rPr>
        <w:t>per se</w:t>
      </w:r>
      <w:r w:rsidR="009C00DA" w:rsidRPr="00155B00">
        <w:rPr>
          <w:spacing w:val="-2"/>
        </w:rPr>
        <w:t>, sino que dicha lotería es “útil” en función de los pagos que lleve asociados.</w:t>
      </w:r>
    </w:p>
    <w:p w14:paraId="175C7B1B" w14:textId="1EB1482C" w:rsidR="009A3230" w:rsidRDefault="009A3230" w:rsidP="009A3230">
      <w:pPr>
        <w:pStyle w:val="Ttulo6"/>
      </w:pPr>
      <w:bookmarkStart w:id="14" w:name="_Toc172232528"/>
      <w:r>
        <w:lastRenderedPageBreak/>
        <w:t>Preferencia del consumidor sobre loterías y sus axiomas</w:t>
      </w:r>
      <w:bookmarkEnd w:id="14"/>
    </w:p>
    <w:p w14:paraId="122A7EC7" w14:textId="5E1EBB8F" w:rsidR="00995A08" w:rsidRDefault="009C00DA" w:rsidP="003A7799">
      <w:pPr>
        <w:pStyle w:val="Nivel1SM"/>
        <w:keepNext/>
        <w:spacing w:before="0" w:after="0"/>
        <w:rPr>
          <w:rFonts w:eastAsiaTheme="minorEastAsia"/>
        </w:rPr>
      </w:pPr>
      <w:r>
        <w:t xml:space="preserve">Ahora que ya contamos con un espacio de elección </w:t>
      </w:r>
      <m:oMath>
        <m:r>
          <m:rPr>
            <m:scr m:val="script"/>
            <m:sty m:val="b"/>
          </m:rPr>
          <w:rPr>
            <w:rFonts w:ascii="Cambria Math" w:hAnsi="Cambria Math"/>
          </w:rPr>
          <m:t>L</m:t>
        </m:r>
      </m:oMath>
      <w:r>
        <w:t xml:space="preserve"> sobre el que definir las preferencias</w:t>
      </w:r>
      <w:r w:rsidR="006205D4">
        <w:rPr>
          <w:rStyle w:val="Refdenotaalpie"/>
        </w:rPr>
        <w:footnoteReference w:id="15"/>
      </w:r>
      <w:r>
        <w:t xml:space="preserve"> del agente</w:t>
      </w:r>
      <w:r w:rsidR="00C054AE">
        <w:t xml:space="preserve">, podemos establecer una relación binaria sobre los elementos de </w:t>
      </w:r>
      <m:oMath>
        <m:r>
          <m:rPr>
            <m:scr m:val="script"/>
            <m:sty m:val="b"/>
          </m:rPr>
          <w:rPr>
            <w:rFonts w:ascii="Cambria Math" w:hAnsi="Cambria Math"/>
          </w:rPr>
          <m:t>L</m:t>
        </m:r>
      </m:oMath>
      <w:r w:rsidR="00C054AE">
        <w:rPr>
          <w:rFonts w:eastAsiaTheme="minorEastAsia"/>
        </w:rPr>
        <w:t xml:space="preserve">. Usaremos la relación binaria </w:t>
      </w:r>
      <w:r w:rsidR="00C054AE">
        <w:rPr>
          <w:rFonts w:eastAsiaTheme="minorEastAsia"/>
          <w:i/>
          <w:iCs/>
        </w:rPr>
        <w:t>“ser al menos tan preferido a”</w:t>
      </w:r>
      <w:r w:rsidR="00C054AE">
        <w:rPr>
          <w:rFonts w:eastAsiaTheme="minorEastAsia"/>
        </w:rPr>
        <w:t xml:space="preserve"> (</w:t>
      </w:r>
      <m:oMath>
        <m:r>
          <w:rPr>
            <w:rFonts w:ascii="Cambria Math" w:eastAsiaTheme="minorEastAsia" w:hAnsi="Cambria Math"/>
          </w:rPr>
          <m:t>≿</m:t>
        </m:r>
      </m:oMath>
      <w:r w:rsidR="00C054AE">
        <w:rPr>
          <w:rFonts w:eastAsiaTheme="minorEastAsia"/>
        </w:rPr>
        <w:t>)</w:t>
      </w:r>
      <w:r w:rsidR="00EC21C3">
        <w:rPr>
          <w:rFonts w:eastAsiaTheme="minorEastAsia"/>
        </w:rPr>
        <w:t xml:space="preserve"> y le dotamos de un conjunto de </w:t>
      </w:r>
      <w:r w:rsidR="00EC21C3">
        <w:rPr>
          <w:rFonts w:eastAsiaTheme="minorEastAsia"/>
          <w:i/>
          <w:iCs/>
          <w:u w:val="single"/>
        </w:rPr>
        <w:t>axiomas</w:t>
      </w:r>
      <w:r w:rsidR="00EC21C3">
        <w:rPr>
          <w:rFonts w:eastAsiaTheme="minorEastAsia"/>
        </w:rPr>
        <w:t>:</w:t>
      </w:r>
    </w:p>
    <w:p w14:paraId="504D1C2D" w14:textId="3FF03141" w:rsidR="00EC21C3" w:rsidRPr="00BB0FA2" w:rsidRDefault="00EC21C3" w:rsidP="000B7A50">
      <w:pPr>
        <w:pStyle w:val="Ttulo7"/>
      </w:pPr>
      <w:bookmarkStart w:id="15" w:name="_Toc172232529"/>
      <w:r w:rsidRPr="00EC21C3">
        <w:t>Axiomas</w:t>
      </w:r>
      <w:r>
        <w:t xml:space="preserve"> de pre</w:t>
      </w:r>
      <w:r w:rsidR="00116ED9">
        <w:t>-</w:t>
      </w:r>
      <w:r>
        <w:t>orden completo</w:t>
      </w:r>
      <w:r w:rsidR="00E85377">
        <w:t xml:space="preserve"> débil</w:t>
      </w:r>
      <w:bookmarkEnd w:id="15"/>
    </w:p>
    <w:p w14:paraId="7AD4DEB1" w14:textId="66969380" w:rsidR="00BB0FA2" w:rsidRPr="00941CB5" w:rsidRDefault="00BB0FA2" w:rsidP="001000B1">
      <w:pPr>
        <w:pStyle w:val="Nmero"/>
        <w:keepNext/>
        <w:spacing w:after="0"/>
        <w:ind w:left="568" w:hanging="284"/>
        <w:rPr>
          <w:u w:val="single"/>
        </w:rPr>
      </w:pPr>
      <w:r w:rsidRPr="00410825">
        <w:rPr>
          <w:i/>
          <w:iCs/>
          <w:u w:val="single"/>
        </w:rPr>
        <w:t>Completitud</w:t>
      </w:r>
      <w:r>
        <w:t xml:space="preserve">: Ante dos </w:t>
      </w:r>
      <w:r w:rsidR="00406475">
        <w:t>loterías</w:t>
      </w:r>
      <w:r>
        <w:t xml:space="preserve"> cualesquiera el consumidor siempre es capaz de compararlas y ordenarlas. Esto implica que de los </w:t>
      </w:r>
      <w:r w:rsidR="00520421">
        <w:t>4 </w:t>
      </w:r>
      <w:r>
        <w:t xml:space="preserve">posibles casos para la relación de preferencia indiferencia, </w:t>
      </w:r>
      <m:oMath>
        <m:r>
          <m:rPr>
            <m:sty m:val="bi"/>
          </m:rPr>
          <w:rPr>
            <w:rFonts w:ascii="Cambria Math" w:eastAsiaTheme="minorEastAsia" w:hAnsi="Cambria Math" w:cs="Cambria Math"/>
          </w:rPr>
          <m:t>≽</m:t>
        </m:r>
      </m:oMath>
      <w:r>
        <w:rPr>
          <w:rFonts w:eastAsiaTheme="minorEastAsia"/>
          <w:iCs/>
        </w:rPr>
        <w:t>, queda descartado el caso</w:t>
      </w:r>
      <w:r w:rsidR="00520421">
        <w:rPr>
          <w:rFonts w:eastAsiaTheme="minorEastAsia"/>
          <w:iCs/>
        </w:rPr>
        <w:t> </w:t>
      </w:r>
      <w:r>
        <w:rPr>
          <w:rFonts w:eastAsiaTheme="minorEastAsia"/>
          <w:iCs/>
        </w:rPr>
        <w:t>4</w:t>
      </w:r>
      <w:r>
        <w:rPr>
          <w:rStyle w:val="Refdenotaalpie"/>
          <w:rFonts w:eastAsiaTheme="minorEastAsia"/>
          <w:iCs/>
        </w:rPr>
        <w:footnoteReference w:id="16"/>
      </w:r>
      <w:r>
        <w:rPr>
          <w:rFonts w:eastAsiaTheme="minorEastAsia"/>
          <w:iCs/>
        </w:rPr>
        <w:t>:</w:t>
      </w:r>
    </w:p>
    <w:p w14:paraId="537016B3" w14:textId="06A16798" w:rsidR="00BB0FA2" w:rsidRDefault="00BB0FA2" w:rsidP="00903FB8">
      <w:pPr>
        <w:keepNext/>
        <w:spacing w:after="0"/>
        <w:ind w:left="2693"/>
        <w:rPr>
          <w:rFonts w:eastAsiaTheme="minorEastAsia"/>
          <w:iCs/>
        </w:rPr>
      </w:pPr>
      <w:r>
        <w:rPr>
          <w:rFonts w:eastAsiaTheme="minorEastAsia"/>
          <w:iCs/>
        </w:rPr>
        <w:t>Caso</w:t>
      </w:r>
      <w:r w:rsidR="00772710">
        <w:rPr>
          <w:rFonts w:eastAsiaTheme="minorEastAsia"/>
          <w:iCs/>
        </w:rPr>
        <w:t> </w:t>
      </w:r>
      <w:r>
        <w:rPr>
          <w:rFonts w:eastAsiaTheme="minorEastAsia"/>
          <w:iCs/>
        </w:rPr>
        <w:t xml:space="preserve">1:  </w:t>
      </w:r>
      <m:oMath>
        <m:r>
          <w:rPr>
            <w:rFonts w:ascii="Cambria Math" w:eastAsiaTheme="minorEastAsia" w:hAnsi="Cambria Math"/>
          </w:rPr>
          <m:t xml:space="preserve"> </m:t>
        </m:r>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eastAsiaTheme="minorEastAsia"/>
            <w:iCs/>
          </w:rPr>
          <m:t>no</m:t>
        </m:r>
        <m: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oMath>
    </w:p>
    <w:p w14:paraId="0E23A82C" w14:textId="717014E5" w:rsidR="00BB0FA2" w:rsidRDefault="00BB0FA2" w:rsidP="00903FB8">
      <w:pPr>
        <w:keepNext/>
        <w:spacing w:after="0"/>
        <w:ind w:left="2693"/>
        <w:rPr>
          <w:rFonts w:eastAsiaTheme="minorEastAsia"/>
          <w:iCs/>
        </w:rPr>
      </w:pPr>
      <w:r>
        <w:rPr>
          <w:rFonts w:eastAsiaTheme="minorEastAsia"/>
          <w:iCs/>
        </w:rPr>
        <w:t>Caso</w:t>
      </w:r>
      <w:r w:rsidR="00772710">
        <w:rPr>
          <w:rFonts w:eastAsiaTheme="minorEastAsia"/>
          <w:iCs/>
        </w:rPr>
        <w:t> </w:t>
      </w:r>
      <w:r>
        <w:rPr>
          <w:rFonts w:eastAsiaTheme="minorEastAsia"/>
          <w:iCs/>
        </w:rPr>
        <w:t xml:space="preserve">2:  </w:t>
      </w:r>
      <m:oMath>
        <m:r>
          <m:rPr>
            <m:nor/>
          </m:rPr>
          <w:rPr>
            <w:rFonts w:eastAsiaTheme="minorEastAsia"/>
            <w:iCs/>
          </w:rPr>
          <m:t>no</m:t>
        </m:r>
        <m: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oMath>
    </w:p>
    <w:p w14:paraId="08F75CFB" w14:textId="3AD72F4E" w:rsidR="00BB0FA2" w:rsidRDefault="00BB0FA2" w:rsidP="00903FB8">
      <w:pPr>
        <w:keepNext/>
        <w:spacing w:after="0"/>
        <w:ind w:left="2693"/>
        <w:rPr>
          <w:rFonts w:eastAsiaTheme="minorEastAsia"/>
          <w:iCs/>
        </w:rPr>
      </w:pPr>
      <w:r>
        <w:rPr>
          <w:rFonts w:eastAsiaTheme="minorEastAsia"/>
          <w:iCs/>
        </w:rPr>
        <w:t>Caso</w:t>
      </w:r>
      <w:r w:rsidR="00772710">
        <w:rPr>
          <w:rFonts w:eastAsiaTheme="minorEastAsia"/>
          <w:iCs/>
        </w:rPr>
        <w:t> </w:t>
      </w:r>
      <w:r>
        <w:rPr>
          <w:rFonts w:eastAsiaTheme="minorEastAsia"/>
          <w:iCs/>
        </w:rPr>
        <w:t xml:space="preserve">3:  </w:t>
      </w:r>
      <m:oMath>
        <m:r>
          <m:rPr>
            <m:nor/>
          </m:rPr>
          <w:rPr>
            <w:rFonts w:ascii="Cambria Math" w:eastAsiaTheme="minorEastAsia"/>
            <w:iCs/>
          </w:rPr>
          <m:t xml:space="preserve">     </m:t>
        </m:r>
        <m: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r>
          <m:rPr>
            <m:nor/>
          </m:rPr>
          <w:rPr>
            <w:rFonts w:eastAsiaTheme="minorEastAsia"/>
            <w:iCs/>
          </w:rPr>
          <m:t xml:space="preserve">     </m:t>
        </m:r>
        <m: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oMath>
    </w:p>
    <w:p w14:paraId="14B6B71E" w14:textId="3726AFC8" w:rsidR="00BB0FA2" w:rsidRPr="00030A8A" w:rsidRDefault="00BB0FA2" w:rsidP="00BB0FA2">
      <w:pPr>
        <w:ind w:left="2694"/>
        <w:rPr>
          <w:rFonts w:eastAsiaTheme="minorEastAsia"/>
          <w:b/>
          <w:bCs/>
          <w:iCs/>
          <w:strike/>
        </w:rPr>
      </w:pPr>
      <w:r w:rsidRPr="00030A8A">
        <w:rPr>
          <w:rFonts w:eastAsiaTheme="minorEastAsia"/>
          <w:iCs/>
          <w:strike/>
        </w:rPr>
        <w:t>Caso</w:t>
      </w:r>
      <w:r w:rsidR="00772710">
        <w:rPr>
          <w:rFonts w:eastAsiaTheme="minorEastAsia"/>
          <w:iCs/>
          <w:strike/>
        </w:rPr>
        <w:t> </w:t>
      </w:r>
      <w:r w:rsidRPr="00030A8A">
        <w:rPr>
          <w:rFonts w:eastAsiaTheme="minorEastAsia"/>
          <w:iCs/>
          <w:strike/>
        </w:rPr>
        <w:t xml:space="preserve">4:  </w:t>
      </w:r>
      <m:oMath>
        <m:r>
          <m:rPr>
            <m:nor/>
          </m:rPr>
          <w:rPr>
            <w:rFonts w:eastAsiaTheme="minorEastAsia"/>
            <w:iCs/>
            <w:strike/>
          </w:rPr>
          <m:t>no</m:t>
        </m:r>
        <m:r>
          <w:rPr>
            <w:rFonts w:ascii="Cambria Math" w:eastAsiaTheme="minorEastAsia" w:hAnsi="Cambria Math"/>
            <w:strike/>
          </w:rPr>
          <m:t xml:space="preserve"> </m:t>
        </m:r>
        <m:sSup>
          <m:sSupPr>
            <m:ctrlPr>
              <w:rPr>
                <w:rFonts w:ascii="Cambria Math" w:hAnsi="Cambria Math"/>
                <w:b/>
                <w:bCs/>
                <w:i/>
                <w:iCs/>
                <w:strike/>
              </w:rPr>
            </m:ctrlPr>
          </m:sSupPr>
          <m:e>
            <m:acc>
              <m:accPr>
                <m:chr m:val="̃"/>
                <m:ctrlPr>
                  <w:rPr>
                    <w:rFonts w:ascii="Cambria Math" w:hAnsi="Cambria Math"/>
                    <w:b/>
                    <w:bCs/>
                    <w:i/>
                    <w:iCs/>
                    <w:strike/>
                  </w:rPr>
                </m:ctrlPr>
              </m:accPr>
              <m:e>
                <m:r>
                  <m:rPr>
                    <m:nor/>
                  </m:rPr>
                  <w:rPr>
                    <w:b/>
                    <w:bCs/>
                    <w:i/>
                    <w:iCs/>
                    <w:strike/>
                  </w:rPr>
                  <m:t>y</m:t>
                </m:r>
              </m:e>
            </m:acc>
          </m:e>
          <m:sup>
            <m:r>
              <m:rPr>
                <m:nor/>
              </m:rPr>
              <w:rPr>
                <w:b/>
                <w:bCs/>
                <w:i/>
                <w:iCs/>
              </w:rPr>
              <m:t>0</m:t>
            </m:r>
          </m:sup>
        </m:sSup>
        <m:r>
          <m:rPr>
            <m:sty m:val="bi"/>
          </m:rPr>
          <w:rPr>
            <w:rFonts w:ascii="Cambria Math" w:eastAsiaTheme="minorEastAsia" w:hAnsi="Cambria Math" w:cs="Cambria Math"/>
            <w:strike/>
          </w:rPr>
          <m:t>≽</m:t>
        </m:r>
        <m:sSup>
          <m:sSupPr>
            <m:ctrlPr>
              <w:rPr>
                <w:rFonts w:ascii="Cambria Math" w:hAnsi="Cambria Math"/>
                <w:b/>
                <w:bCs/>
                <w:i/>
                <w:iCs/>
                <w:strike/>
              </w:rPr>
            </m:ctrlPr>
          </m:sSupPr>
          <m:e>
            <m:acc>
              <m:accPr>
                <m:chr m:val="̃"/>
                <m:ctrlPr>
                  <w:rPr>
                    <w:rFonts w:ascii="Cambria Math" w:hAnsi="Cambria Math"/>
                    <w:b/>
                    <w:bCs/>
                    <w:i/>
                    <w:iCs/>
                    <w:strike/>
                  </w:rPr>
                </m:ctrlPr>
              </m:accPr>
              <m:e>
                <m:r>
                  <m:rPr>
                    <m:nor/>
                  </m:rPr>
                  <w:rPr>
                    <w:b/>
                    <w:bCs/>
                    <w:i/>
                    <w:iCs/>
                    <w:strike/>
                  </w:rPr>
                  <m:t>y</m:t>
                </m:r>
              </m:e>
            </m:acc>
          </m:e>
          <m:sup>
            <m:r>
              <m:rPr>
                <m:nor/>
              </m:rPr>
              <w:rPr>
                <w:b/>
                <w:bCs/>
                <w:i/>
                <w:iCs/>
              </w:rPr>
              <m:t>1</m:t>
            </m:r>
          </m:sup>
        </m:sSup>
        <m:r>
          <m:rPr>
            <m:sty m:val="bi"/>
          </m:rPr>
          <w:rPr>
            <w:rFonts w:ascii="Cambria Math" w:eastAsiaTheme="minorEastAsia" w:hAnsi="Cambria Math"/>
            <w:strike/>
          </w:rPr>
          <m:t xml:space="preserve"> </m:t>
        </m:r>
        <m:r>
          <m:rPr>
            <m:nor/>
          </m:rPr>
          <w:rPr>
            <w:rFonts w:eastAsiaTheme="minorEastAsia"/>
            <w:iCs/>
            <w:strike/>
          </w:rPr>
          <m:t>y</m:t>
        </m:r>
        <m:r>
          <m:rPr>
            <m:sty m:val="bi"/>
          </m:rPr>
          <w:rPr>
            <w:rFonts w:ascii="Cambria Math" w:eastAsiaTheme="minorEastAsia" w:hAnsi="Cambria Math"/>
            <w:strike/>
          </w:rPr>
          <m:t xml:space="preserve"> </m:t>
        </m:r>
        <m:r>
          <m:rPr>
            <m:nor/>
          </m:rPr>
          <w:rPr>
            <w:rFonts w:eastAsiaTheme="minorEastAsia"/>
            <w:iCs/>
            <w:strike/>
          </w:rPr>
          <m:t>no</m:t>
        </m:r>
        <m:r>
          <w:rPr>
            <w:rFonts w:ascii="Cambria Math" w:eastAsiaTheme="minorEastAsia" w:hAnsi="Cambria Math"/>
            <w:strike/>
          </w:rPr>
          <m:t xml:space="preserve"> </m:t>
        </m:r>
        <m:sSup>
          <m:sSupPr>
            <m:ctrlPr>
              <w:rPr>
                <w:rFonts w:ascii="Cambria Math" w:hAnsi="Cambria Math"/>
                <w:b/>
                <w:bCs/>
                <w:i/>
                <w:iCs/>
                <w:strike/>
              </w:rPr>
            </m:ctrlPr>
          </m:sSupPr>
          <m:e>
            <m:acc>
              <m:accPr>
                <m:chr m:val="̃"/>
                <m:ctrlPr>
                  <w:rPr>
                    <w:rFonts w:ascii="Cambria Math" w:hAnsi="Cambria Math"/>
                    <w:b/>
                    <w:bCs/>
                    <w:i/>
                    <w:iCs/>
                    <w:strike/>
                  </w:rPr>
                </m:ctrlPr>
              </m:accPr>
              <m:e>
                <m:r>
                  <m:rPr>
                    <m:nor/>
                  </m:rPr>
                  <w:rPr>
                    <w:b/>
                    <w:bCs/>
                    <w:i/>
                    <w:iCs/>
                    <w:strike/>
                  </w:rPr>
                  <m:t>y</m:t>
                </m:r>
              </m:e>
            </m:acc>
          </m:e>
          <m:sup>
            <m:r>
              <m:rPr>
                <m:nor/>
              </m:rPr>
              <w:rPr>
                <w:b/>
                <w:bCs/>
                <w:i/>
                <w:iCs/>
              </w:rPr>
              <m:t>1</m:t>
            </m:r>
          </m:sup>
        </m:sSup>
        <m:r>
          <m:rPr>
            <m:sty m:val="bi"/>
          </m:rPr>
          <w:rPr>
            <w:rFonts w:ascii="Cambria Math" w:eastAsiaTheme="minorEastAsia" w:hAnsi="Cambria Math" w:cs="Cambria Math"/>
            <w:strike/>
          </w:rPr>
          <m:t>≽</m:t>
        </m:r>
        <m:sSup>
          <m:sSupPr>
            <m:ctrlPr>
              <w:rPr>
                <w:rFonts w:ascii="Cambria Math" w:hAnsi="Cambria Math"/>
                <w:b/>
                <w:bCs/>
                <w:i/>
                <w:iCs/>
                <w:strike/>
              </w:rPr>
            </m:ctrlPr>
          </m:sSupPr>
          <m:e>
            <m:acc>
              <m:accPr>
                <m:chr m:val="̃"/>
                <m:ctrlPr>
                  <w:rPr>
                    <w:rFonts w:ascii="Cambria Math" w:hAnsi="Cambria Math"/>
                    <w:b/>
                    <w:bCs/>
                    <w:i/>
                    <w:iCs/>
                    <w:strike/>
                  </w:rPr>
                </m:ctrlPr>
              </m:accPr>
              <m:e>
                <m:r>
                  <m:rPr>
                    <m:nor/>
                  </m:rPr>
                  <w:rPr>
                    <w:b/>
                    <w:bCs/>
                    <w:i/>
                    <w:iCs/>
                    <w:strike/>
                  </w:rPr>
                  <m:t>y</m:t>
                </m:r>
              </m:e>
            </m:acc>
          </m:e>
          <m:sup>
            <m:r>
              <m:rPr>
                <m:nor/>
              </m:rPr>
              <w:rPr>
                <w:b/>
                <w:bCs/>
                <w:i/>
                <w:iCs/>
              </w:rPr>
              <m:t>0</m:t>
            </m:r>
          </m:sup>
        </m:sSup>
        <m:r>
          <m:rPr>
            <m:sty m:val="bi"/>
          </m:rPr>
          <w:rPr>
            <w:rFonts w:ascii="Cambria Math" w:eastAsiaTheme="minorEastAsia" w:hAnsi="Cambria Math"/>
            <w:strike/>
          </w:rPr>
          <m:t xml:space="preserve">⇔ </m:t>
        </m:r>
        <m:sSup>
          <m:sSupPr>
            <m:ctrlPr>
              <w:rPr>
                <w:rFonts w:ascii="Cambria Math" w:hAnsi="Cambria Math"/>
                <w:b/>
                <w:bCs/>
                <w:i/>
                <w:iCs/>
                <w:strike/>
              </w:rPr>
            </m:ctrlPr>
          </m:sSupPr>
          <m:e>
            <m:acc>
              <m:accPr>
                <m:chr m:val="̃"/>
                <m:ctrlPr>
                  <w:rPr>
                    <w:rFonts w:ascii="Cambria Math" w:hAnsi="Cambria Math"/>
                    <w:b/>
                    <w:bCs/>
                    <w:i/>
                    <w:iCs/>
                    <w:strike/>
                  </w:rPr>
                </m:ctrlPr>
              </m:accPr>
              <m:e>
                <m:r>
                  <m:rPr>
                    <m:nor/>
                  </m:rPr>
                  <w:rPr>
                    <w:b/>
                    <w:bCs/>
                    <w:i/>
                    <w:iCs/>
                    <w:strike/>
                  </w:rPr>
                  <m:t>y</m:t>
                </m:r>
              </m:e>
            </m:acc>
          </m:e>
          <m:sup>
            <m:r>
              <m:rPr>
                <m:nor/>
              </m:rPr>
              <w:rPr>
                <w:b/>
                <w:bCs/>
                <w:i/>
                <w:iCs/>
              </w:rPr>
              <m:t>0</m:t>
            </m:r>
          </m:sup>
        </m:sSup>
        <m:r>
          <m:rPr>
            <m:nor/>
          </m:rPr>
          <w:rPr>
            <w:rFonts w:ascii="Cambria Math" w:eastAsiaTheme="minorEastAsia" w:cs="Cambria Math"/>
            <w:iCs/>
            <w:strike/>
          </w:rPr>
          <m:t xml:space="preserve"> </m:t>
        </m:r>
        <m:r>
          <m:rPr>
            <m:nor/>
          </m:rPr>
          <w:rPr>
            <w:rFonts w:eastAsiaTheme="minorEastAsia" w:cs="Cambria Math"/>
            <w:iCs/>
            <w:strike/>
          </w:rPr>
          <m:t xml:space="preserve">no es comparable con </m:t>
        </m:r>
        <m:sSup>
          <m:sSupPr>
            <m:ctrlPr>
              <w:rPr>
                <w:rFonts w:ascii="Cambria Math" w:hAnsi="Cambria Math"/>
                <w:b/>
                <w:bCs/>
                <w:i/>
                <w:iCs/>
                <w:strike/>
              </w:rPr>
            </m:ctrlPr>
          </m:sSupPr>
          <m:e>
            <m:acc>
              <m:accPr>
                <m:chr m:val="̃"/>
                <m:ctrlPr>
                  <w:rPr>
                    <w:rFonts w:ascii="Cambria Math" w:hAnsi="Cambria Math"/>
                    <w:b/>
                    <w:bCs/>
                    <w:i/>
                    <w:iCs/>
                    <w:strike/>
                  </w:rPr>
                </m:ctrlPr>
              </m:accPr>
              <m:e>
                <m:r>
                  <m:rPr>
                    <m:nor/>
                  </m:rPr>
                  <w:rPr>
                    <w:b/>
                    <w:bCs/>
                    <w:i/>
                    <w:iCs/>
                    <w:strike/>
                  </w:rPr>
                  <m:t>y</m:t>
                </m:r>
              </m:e>
            </m:acc>
          </m:e>
          <m:sup>
            <m:r>
              <m:rPr>
                <m:nor/>
              </m:rPr>
              <w:rPr>
                <w:b/>
                <w:bCs/>
                <w:i/>
                <w:iCs/>
              </w:rPr>
              <m:t>1</m:t>
            </m:r>
          </m:sup>
        </m:sSup>
      </m:oMath>
    </w:p>
    <w:p w14:paraId="409BBAA3" w14:textId="708F1695" w:rsidR="00BB0FA2" w:rsidRPr="004B2F7B" w:rsidRDefault="00BB0FA2" w:rsidP="001000B1">
      <w:pPr>
        <w:pStyle w:val="Nmero"/>
        <w:keepNext/>
        <w:spacing w:after="0"/>
        <w:ind w:left="568" w:hanging="284"/>
      </w:pPr>
      <w:r w:rsidRPr="006A4325">
        <w:rPr>
          <w:i/>
          <w:iCs/>
          <w:u w:val="single"/>
        </w:rPr>
        <w:t>Reflexividad</w:t>
      </w:r>
      <w:bookmarkStart w:id="16" w:name="_Hlk99349336"/>
      <w:r w:rsidR="006A4325" w:rsidRPr="006A4325">
        <w:rPr>
          <w:rStyle w:val="Refdenotaalpie"/>
        </w:rPr>
        <w:footnoteReference w:id="17"/>
      </w:r>
      <w:bookmarkEnd w:id="16"/>
      <w:r>
        <w:t xml:space="preserve">: </w:t>
      </w:r>
      <w:r w:rsidR="001000B1">
        <w:t>T</w:t>
      </w:r>
      <w:r>
        <w:t>oda lotería es al menos tan buena como sí misma:</w:t>
      </w:r>
    </w:p>
    <w:p w14:paraId="3153D6A8" w14:textId="6772EF73" w:rsidR="00BB0FA2" w:rsidRDefault="00BB0FA2" w:rsidP="00114D30">
      <w:pPr>
        <w:pStyle w:val="Nivel1"/>
        <w:numPr>
          <w:ilvl w:val="0"/>
          <w:numId w:val="0"/>
        </w:numPr>
        <w:spacing w:before="0" w:after="0"/>
        <w:ind w:left="568"/>
        <w:rPr>
          <w:i/>
          <w:iCs/>
          <w:u w:val="single"/>
        </w:rPr>
      </w:pPr>
      <m:oMathPara>
        <m:oMath>
          <m:r>
            <m:rPr>
              <m:sty m:val="bi"/>
            </m:rPr>
            <w:rPr>
              <w:rFonts w:ascii="Cambria Math" w:eastAsiaTheme="minorEastAsia" w:hAnsi="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rPr>
            <m:t>∈</m:t>
          </m:r>
          <m:sSubSup>
            <m:sSubSupPr>
              <m:ctrlPr>
                <w:rPr>
                  <w:rFonts w:ascii="Cambria Math" w:eastAsiaTheme="minorEastAsia" w:hAnsi="Cambria Math"/>
                  <w:b/>
                  <w:bCs/>
                  <w:i/>
                  <w:iCs/>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r>
            <m:rPr>
              <m:sty m:val="bi"/>
            </m:rPr>
            <w:rPr>
              <w:rFonts w:ascii="Cambria Math" w:eastAsiaTheme="minorEastAsia"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i"/>
            </m:rPr>
            <w:rPr>
              <w:rFonts w:ascii="Cambria Math" w:eastAsiaTheme="minorEastAsia"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oMath>
      </m:oMathPara>
    </w:p>
    <w:p w14:paraId="785EC3E5" w14:textId="560F9630" w:rsidR="00BB0FA2" w:rsidRPr="00622C48" w:rsidRDefault="00BB0FA2" w:rsidP="00114D30">
      <w:pPr>
        <w:pStyle w:val="Nivel1"/>
        <w:numPr>
          <w:ilvl w:val="0"/>
          <w:numId w:val="0"/>
        </w:numPr>
        <w:spacing w:before="0"/>
        <w:ind w:left="568"/>
        <w:rPr>
          <w:spacing w:val="-2"/>
        </w:rPr>
      </w:pPr>
      <w:r w:rsidRPr="00622C48">
        <w:rPr>
          <w:spacing w:val="-2"/>
        </w:rPr>
        <w:t>Resulta obvio que</w:t>
      </w:r>
      <w:r w:rsidR="00275C6A" w:rsidRPr="00622C48">
        <w:rPr>
          <w:spacing w:val="-2"/>
        </w:rPr>
        <w:t xml:space="preserve"> la relación de indiferencia</w:t>
      </w:r>
      <w:r w:rsidRPr="00622C48">
        <w:rPr>
          <w:spacing w:val="-2"/>
        </w:rPr>
        <w:t xml:space="preserve"> </w:t>
      </w:r>
      <w:r w:rsidR="00622C48" w:rsidRPr="00622C48">
        <w:rPr>
          <w:spacing w:val="-2"/>
        </w:rPr>
        <w:t>(</w:t>
      </w:r>
      <m:oMath>
        <m:r>
          <w:rPr>
            <w:rFonts w:ascii="Cambria Math" w:eastAsiaTheme="minorEastAsia" w:hAnsi="Cambria Math" w:cs="Cambria Math"/>
            <w:spacing w:val="-2"/>
          </w:rPr>
          <m:t>∼</m:t>
        </m:r>
      </m:oMath>
      <w:r w:rsidR="00622C48" w:rsidRPr="00622C48">
        <w:rPr>
          <w:rFonts w:eastAsiaTheme="minorEastAsia"/>
          <w:spacing w:val="-2"/>
        </w:rPr>
        <w:t>)</w:t>
      </w:r>
      <w:r w:rsidRPr="00622C48">
        <w:rPr>
          <w:rFonts w:eastAsiaTheme="minorEastAsia"/>
          <w:iCs/>
          <w:spacing w:val="-2"/>
        </w:rPr>
        <w:t xml:space="preserve"> es reflexiva pero</w:t>
      </w:r>
      <w:r w:rsidR="00622C48" w:rsidRPr="00622C48">
        <w:rPr>
          <w:rFonts w:eastAsiaTheme="minorEastAsia"/>
          <w:iCs/>
          <w:spacing w:val="-2"/>
        </w:rPr>
        <w:t xml:space="preserve"> la de preferencia (</w:t>
      </w:r>
      <m:oMath>
        <m:r>
          <m:rPr>
            <m:sty m:val="bi"/>
          </m:rPr>
          <w:rPr>
            <w:rFonts w:ascii="Cambria Math" w:eastAsiaTheme="minorEastAsia" w:hAnsi="Cambria Math" w:cs="Cambria Math"/>
            <w:spacing w:val="-2"/>
          </w:rPr>
          <m:t>≻</m:t>
        </m:r>
      </m:oMath>
      <w:r w:rsidR="00622C48" w:rsidRPr="00622C48">
        <w:rPr>
          <w:rFonts w:eastAsiaTheme="minorEastAsia"/>
          <w:iCs/>
          <w:spacing w:val="-2"/>
        </w:rPr>
        <w:t xml:space="preserve">) </w:t>
      </w:r>
      <w:r w:rsidRPr="00622C48">
        <w:rPr>
          <w:rFonts w:eastAsiaTheme="minorEastAsia"/>
          <w:iCs/>
          <w:spacing w:val="-2"/>
        </w:rPr>
        <w:t>no lo es</w:t>
      </w:r>
      <w:r w:rsidRPr="00622C48">
        <w:rPr>
          <w:rStyle w:val="Refdenotaalpie"/>
          <w:rFonts w:eastAsiaTheme="minorEastAsia"/>
          <w:iCs/>
          <w:spacing w:val="-2"/>
        </w:rPr>
        <w:footnoteReference w:id="18"/>
      </w:r>
      <w:r w:rsidRPr="00622C48">
        <w:rPr>
          <w:rFonts w:eastAsiaTheme="minorEastAsia"/>
          <w:iCs/>
          <w:spacing w:val="-2"/>
        </w:rPr>
        <w:t>.</w:t>
      </w:r>
    </w:p>
    <w:p w14:paraId="668E125D" w14:textId="225E9636" w:rsidR="00BB0FA2" w:rsidRPr="001000B1" w:rsidRDefault="00BB0FA2" w:rsidP="00114D30">
      <w:pPr>
        <w:pStyle w:val="Nmero"/>
        <w:keepNext/>
        <w:spacing w:after="0"/>
        <w:ind w:left="567" w:hanging="284"/>
      </w:pPr>
      <w:r w:rsidRPr="003179E0">
        <w:rPr>
          <w:i/>
          <w:iCs/>
          <w:u w:val="single"/>
        </w:rPr>
        <w:t>Transitividad</w:t>
      </w:r>
      <w:r w:rsidRPr="003179E0">
        <w:t>:</w:t>
      </w:r>
      <w:r>
        <w:t xml:space="preserve"> Si una lotería</w:t>
      </w:r>
      <w:r w:rsidRPr="003179E0">
        <w:t xml:space="preserve"> </w:t>
      </w:r>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oMath>
      <w:r w:rsidRPr="003179E0">
        <w:t xml:space="preserve"> es al menos tan buena como </w:t>
      </w:r>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oMath>
      <w:r w:rsidRPr="003179E0">
        <w:t xml:space="preserve"> y </w:t>
      </w:r>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oMath>
      <w:r w:rsidRPr="003179E0">
        <w:t xml:space="preserve"> es al menos</w:t>
      </w:r>
      <w:r>
        <w:rPr>
          <w:rFonts w:ascii="Cambria Math" w:hAnsi="Cambria Math"/>
        </w:rPr>
        <w:t xml:space="preserve"> </w:t>
      </w:r>
      <w:r>
        <w:t xml:space="preserve">tan buena como </w:t>
      </w:r>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2</m:t>
            </m:r>
          </m:sup>
        </m:sSup>
      </m:oMath>
      <w:r>
        <w:rPr>
          <w:rFonts w:eastAsiaTheme="minorEastAsia"/>
        </w:rPr>
        <w:t xml:space="preserve">, entonces </w:t>
      </w:r>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oMath>
      <w:r>
        <w:rPr>
          <w:rFonts w:eastAsiaTheme="minorEastAsia"/>
          <w:iCs/>
        </w:rPr>
        <w:t xml:space="preserve"> es al menos tan buena como </w:t>
      </w:r>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2</m:t>
            </m:r>
          </m:sup>
        </m:sSup>
      </m:oMath>
      <w:r>
        <w:rPr>
          <w:rFonts w:eastAsiaTheme="minorEastAsia"/>
          <w:iCs/>
        </w:rPr>
        <w:t>.</w:t>
      </w:r>
    </w:p>
    <w:p w14:paraId="73636275" w14:textId="59FABA88" w:rsidR="00BB0FA2" w:rsidRPr="003179E0" w:rsidRDefault="00BB0FA2" w:rsidP="00114D30">
      <w:pPr>
        <w:pStyle w:val="Nivel1"/>
        <w:keepNext/>
        <w:numPr>
          <w:ilvl w:val="0"/>
          <w:numId w:val="0"/>
        </w:numPr>
        <w:spacing w:before="0" w:after="0"/>
        <w:ind w:left="567"/>
        <w:rPr>
          <w:rFonts w:ascii="Cambria Math" w:hAnsi="Cambria Math"/>
          <w:b/>
          <w:bCs/>
        </w:rPr>
      </w:pPr>
      <m:oMathPara>
        <m:oMath>
          <m:r>
            <m:rPr>
              <m:sty m:val="b"/>
            </m:rPr>
            <w:rPr>
              <w:rFonts w:ascii="Cambria Math" w:hAnsi="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
            </m:rPr>
            <w:rPr>
              <w:rFonts w:ascii="Cambria Math" w:hAnsi="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
            </m:rPr>
            <w:rPr>
              <w:rFonts w:ascii="Cambria Math" w:hAnsi="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2</m:t>
              </m:r>
            </m:sup>
          </m:sSup>
          <m:r>
            <m:rPr>
              <m:sty m:val="b"/>
            </m:rPr>
            <w:rPr>
              <w:rFonts w:ascii="Cambria Math" w:hAnsi="Cambria Math"/>
            </w:rPr>
            <m:t>∈</m:t>
          </m:r>
          <m:sSubSup>
            <m:sSubSupPr>
              <m:ctrlPr>
                <w:rPr>
                  <w:rFonts w:ascii="Cambria Math" w:hAnsi="Cambria Math"/>
                  <w:b/>
                  <w:bCs/>
                </w:rPr>
              </m:ctrlPr>
            </m:sSubSupPr>
            <m:e>
              <m:r>
                <m:rPr>
                  <m:scr m:val="double-struck"/>
                  <m:sty m:val="b"/>
                </m:rPr>
                <w:rPr>
                  <w:rFonts w:ascii="Cambria Math" w:hAnsi="Cambria Math"/>
                </w:rPr>
                <m:t>R</m:t>
              </m:r>
            </m:e>
            <m:sub>
              <m:r>
                <m:rPr>
                  <m:sty m:val="b"/>
                </m:rPr>
                <w:rPr>
                  <w:rFonts w:ascii="Cambria Math" w:hAnsi="Cambria Math"/>
                </w:rPr>
                <m:t>+</m:t>
              </m:r>
            </m:sub>
            <m:sup>
              <m:r>
                <m:rPr>
                  <m:nor/>
                </m:rPr>
                <m:t>n</m:t>
              </m:r>
            </m:sup>
          </m:sSubSup>
          <m:r>
            <m:rPr>
              <m:sty m:val="b"/>
            </m:rPr>
            <w:rPr>
              <w:rFonts w:ascii="Cambria Math"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
            </m:rPr>
            <w:rPr>
              <w:rFonts w:ascii="Cambria Math"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
            </m:rPr>
            <w:rPr>
              <w:rFonts w:ascii="Cambria Math" w:hAnsi="Cambria Math"/>
            </w:rPr>
            <m:t xml:space="preserve">  </m:t>
          </m:r>
          <m:r>
            <m:rPr>
              <m:nor/>
            </m:rPr>
            <m:t>y</m:t>
          </m:r>
          <m:r>
            <m:rPr>
              <m:nor/>
            </m:rPr>
            <w:rPr>
              <w:rFonts w:ascii="Cambria Math"/>
            </w:rPr>
            <m:t xml:space="preserve"> </m:t>
          </m:r>
          <m:r>
            <m:rPr>
              <m:sty m:val="b"/>
            </m:rPr>
            <w:rPr>
              <w:rFonts w:ascii="Cambria Math" w:hAnsi="Cambria Math"/>
            </w:rPr>
            <m:t xml:space="preserve"> </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1</m:t>
              </m:r>
            </m:sup>
          </m:sSup>
          <m:r>
            <m:rPr>
              <m:sty m:val="b"/>
            </m:rPr>
            <w:rPr>
              <w:rFonts w:ascii="Cambria Math"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2</m:t>
              </m:r>
            </m:sup>
          </m:sSup>
          <m:r>
            <m:rPr>
              <m:sty m:val="b"/>
            </m:rPr>
            <w:rPr>
              <w:rFonts w:ascii="Cambria Math" w:hAnsi="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0</m:t>
              </m:r>
            </m:sup>
          </m:sSup>
          <m:r>
            <m:rPr>
              <m:sty m:val="b"/>
            </m:rPr>
            <w:rPr>
              <w:rFonts w:ascii="Cambria Math" w:hAnsi="Cambria Math" w:cs="Cambria Math"/>
            </w:rPr>
            <m:t>≽</m:t>
          </m:r>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2</m:t>
              </m:r>
            </m:sup>
          </m:sSup>
        </m:oMath>
      </m:oMathPara>
    </w:p>
    <w:p w14:paraId="46C51931" w14:textId="77777777" w:rsidR="00BB0FA2" w:rsidRPr="003179E0" w:rsidRDefault="00BB0FA2" w:rsidP="00114D30">
      <w:pPr>
        <w:pStyle w:val="Nivel1"/>
        <w:numPr>
          <w:ilvl w:val="0"/>
          <w:numId w:val="0"/>
        </w:numPr>
        <w:spacing w:before="0" w:after="120"/>
        <w:ind w:left="568"/>
      </w:pPr>
      <w:r>
        <w:t xml:space="preserve">Esta propiedad es cumplida </w:t>
      </w:r>
      <w:r w:rsidRPr="003179E0">
        <w:t xml:space="preserve">también </w:t>
      </w:r>
      <w:r>
        <w:t xml:space="preserve">por </w:t>
      </w:r>
      <w:r w:rsidRPr="003179E0">
        <w:t xml:space="preserve">las relaciones </w:t>
      </w:r>
      <m:oMath>
        <m:r>
          <m:rPr>
            <m:sty m:val="bi"/>
          </m:rPr>
          <w:rPr>
            <w:rFonts w:ascii="Cambria Math" w:eastAsiaTheme="minorEastAsia" w:hAnsi="Cambria Math" w:cs="Cambria Math"/>
          </w:rPr>
          <m:t>∼</m:t>
        </m:r>
      </m:oMath>
      <w:r w:rsidRPr="003179E0">
        <w:rPr>
          <w:rFonts w:eastAsiaTheme="minorEastAsia"/>
        </w:rPr>
        <w:t xml:space="preserve"> y </w:t>
      </w:r>
      <m:oMath>
        <m:r>
          <m:rPr>
            <m:sty m:val="bi"/>
          </m:rPr>
          <w:rPr>
            <w:rFonts w:ascii="Cambria Math" w:eastAsiaTheme="minorEastAsia" w:hAnsi="Cambria Math" w:cs="Cambria Math"/>
          </w:rPr>
          <m:t>≻</m:t>
        </m:r>
      </m:oMath>
      <w:r w:rsidRPr="003179E0">
        <w:rPr>
          <w:rFonts w:eastAsiaTheme="minorEastAsia"/>
          <w:iCs/>
        </w:rPr>
        <w:t>.</w:t>
      </w:r>
    </w:p>
    <w:p w14:paraId="0BDCE5AE" w14:textId="5F7A0E4C" w:rsidR="00E44A2F" w:rsidRDefault="00BB0FA2" w:rsidP="00E44A2F">
      <w:pPr>
        <w:pStyle w:val="Nivel1SM"/>
        <w:keepNext/>
        <w:spacing w:after="0"/>
      </w:pPr>
      <w:r w:rsidRPr="00845C0D">
        <w:rPr>
          <w:b/>
          <w:bCs/>
        </w:rPr>
        <w:t xml:space="preserve">El cumplimiento de estos </w:t>
      </w:r>
      <w:r w:rsidR="00E44A2F">
        <w:rPr>
          <w:b/>
          <w:bCs/>
        </w:rPr>
        <w:t>3 </w:t>
      </w:r>
      <w:r w:rsidRPr="00845C0D">
        <w:rPr>
          <w:b/>
          <w:bCs/>
        </w:rPr>
        <w:t xml:space="preserve">axiomas garantiza que la relación </w:t>
      </w:r>
      <w:r w:rsidRPr="00845C0D">
        <w:rPr>
          <w:rFonts w:eastAsiaTheme="minorEastAsia"/>
          <w:b/>
          <w:bCs/>
          <w:iCs/>
        </w:rPr>
        <w:t xml:space="preserve">binaria </w:t>
      </w:r>
      <m:oMath>
        <m:r>
          <m:rPr>
            <m:sty m:val="bi"/>
          </m:rPr>
          <w:rPr>
            <w:rFonts w:ascii="Cambria Math" w:eastAsiaTheme="minorEastAsia" w:hAnsi="Cambria Math" w:cs="Cambria Math"/>
          </w:rPr>
          <m:t>≽</m:t>
        </m:r>
      </m:oMath>
      <w:r w:rsidRPr="00845C0D">
        <w:rPr>
          <w:rFonts w:eastAsiaTheme="minorEastAsia"/>
          <w:b/>
          <w:bCs/>
          <w:iCs/>
        </w:rPr>
        <w:t xml:space="preserve"> </w:t>
      </w:r>
      <w:r w:rsidRPr="00845C0D">
        <w:rPr>
          <w:b/>
          <w:bCs/>
        </w:rPr>
        <w:t>constituye un preorden completo débil</w:t>
      </w:r>
      <w:r>
        <w:rPr>
          <w:rStyle w:val="Refdenotaalpie"/>
        </w:rPr>
        <w:footnoteReference w:id="19"/>
      </w:r>
      <w:r>
        <w:t xml:space="preserve"> en </w:t>
      </w:r>
      <m:oMath>
        <m:sSubSup>
          <m:sSubSupPr>
            <m:ctrlPr>
              <w:rPr>
                <w:rFonts w:ascii="Cambria Math" w:eastAsiaTheme="minorEastAsia" w:hAnsi="Cambria Math"/>
                <w:b/>
                <w:bCs/>
                <w:i/>
                <w:iCs/>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oMath>
      <w:r w:rsidR="00336D09">
        <w:t xml:space="preserve">, </w:t>
      </w:r>
      <w:r>
        <w:t>por l</w:t>
      </w:r>
      <w:r w:rsidR="00336D09">
        <w:t>o</w:t>
      </w:r>
      <w:r>
        <w:t xml:space="preserve"> </w:t>
      </w:r>
      <w:r w:rsidR="00336D09">
        <w:t>que</w:t>
      </w:r>
      <w:r>
        <w:t xml:space="preserve"> esta relación de preferencia-indiferencia permitirá particionar de manera exhaustiva todo conjunto de elección.</w:t>
      </w:r>
    </w:p>
    <w:p w14:paraId="3FCF1D61" w14:textId="2076E286" w:rsidR="00BB0FA2" w:rsidRPr="00E44A2F" w:rsidRDefault="00BB0FA2" w:rsidP="00E44A2F">
      <w:pPr>
        <w:pStyle w:val="Nivel2SM"/>
        <w:rPr>
          <w:spacing w:val="-3"/>
        </w:rPr>
      </w:pPr>
      <w:r w:rsidRPr="00E44A2F">
        <w:rPr>
          <w:spacing w:val="-3"/>
        </w:rPr>
        <w:t xml:space="preserve">Es decir, </w:t>
      </w:r>
      <w:r w:rsidRPr="00E44A2F">
        <w:rPr>
          <w:i/>
          <w:iCs/>
          <w:spacing w:val="-3"/>
        </w:rPr>
        <w:t>todas</w:t>
      </w:r>
      <w:r w:rsidRPr="00E44A2F">
        <w:rPr>
          <w:spacing w:val="-3"/>
        </w:rPr>
        <w:t xml:space="preserve"> las loterías (</w:t>
      </w:r>
      <w:r w:rsidRPr="00E44A2F">
        <w:rPr>
          <w:i/>
          <w:iCs/>
          <w:spacing w:val="-3"/>
          <w:u w:val="single"/>
        </w:rPr>
        <w:t>completitud</w:t>
      </w:r>
      <w:r w:rsidRPr="00E44A2F">
        <w:rPr>
          <w:spacing w:val="-3"/>
        </w:rPr>
        <w:t xml:space="preserve">) pueden clasificarse en </w:t>
      </w:r>
      <w:r w:rsidRPr="00E44A2F">
        <w:rPr>
          <w:i/>
          <w:iCs/>
          <w:spacing w:val="-3"/>
        </w:rPr>
        <w:t>conjuntos de indiferencia</w:t>
      </w:r>
      <w:r w:rsidRPr="00E44A2F">
        <w:rPr>
          <w:spacing w:val="-3"/>
        </w:rPr>
        <w:t xml:space="preserve"> (</w:t>
      </w:r>
      <w:r w:rsidRPr="00E44A2F">
        <w:rPr>
          <w:i/>
          <w:iCs/>
          <w:spacing w:val="-3"/>
          <w:u w:val="single"/>
        </w:rPr>
        <w:t>reflexividad</w:t>
      </w:r>
      <w:r w:rsidRPr="00E44A2F">
        <w:rPr>
          <w:spacing w:val="-3"/>
        </w:rPr>
        <w:t xml:space="preserve">), de modo que cada lotería pertenezca a </w:t>
      </w:r>
      <w:r w:rsidRPr="00E44A2F">
        <w:rPr>
          <w:i/>
          <w:iCs/>
          <w:spacing w:val="-3"/>
        </w:rPr>
        <w:t>una y solo una</w:t>
      </w:r>
      <w:r w:rsidRPr="00E44A2F">
        <w:rPr>
          <w:spacing w:val="-3"/>
        </w:rPr>
        <w:t xml:space="preserve"> clase de indiferencia (</w:t>
      </w:r>
      <w:r w:rsidRPr="00E44A2F">
        <w:rPr>
          <w:i/>
          <w:iCs/>
          <w:spacing w:val="-3"/>
          <w:u w:val="single"/>
        </w:rPr>
        <w:t>transitividad</w:t>
      </w:r>
      <w:r w:rsidRPr="00E44A2F">
        <w:rPr>
          <w:spacing w:val="-3"/>
        </w:rPr>
        <w:t>).</w:t>
      </w:r>
    </w:p>
    <w:p w14:paraId="68FC8060" w14:textId="478FA32E" w:rsidR="000B7A50" w:rsidRPr="00EC21C3" w:rsidRDefault="000B7A50" w:rsidP="000B7A50">
      <w:pPr>
        <w:pStyle w:val="Ttulo7"/>
      </w:pPr>
      <w:bookmarkStart w:id="17" w:name="_Toc172232530"/>
      <w:r>
        <w:t>Axiomas</w:t>
      </w:r>
      <w:r w:rsidR="006A4325">
        <w:t xml:space="preserve"> de regularidad</w:t>
      </w:r>
      <w:bookmarkEnd w:id="17"/>
    </w:p>
    <w:p w14:paraId="63FA6A5C" w14:textId="653621B0" w:rsidR="00041740" w:rsidRPr="00941CB5" w:rsidRDefault="00041740" w:rsidP="001000B1">
      <w:pPr>
        <w:pStyle w:val="Nmero"/>
        <w:ind w:left="568" w:hanging="284"/>
      </w:pPr>
      <w:r w:rsidRPr="000B7A50">
        <w:rPr>
          <w:i/>
          <w:iCs/>
          <w:u w:val="single"/>
        </w:rPr>
        <w:t>Continuidad</w:t>
      </w:r>
      <w:r>
        <w:t xml:space="preserve">: </w:t>
      </w:r>
      <m:oMath>
        <m:r>
          <m:rPr>
            <m:nor/>
          </m:rPr>
          <w:rPr>
            <w:rFonts w:ascii="Cambria Math" w:hAnsi="Cambria Math" w:cs="Cambria Math"/>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r>
          <m:rPr>
            <m:nor/>
          </m:rPr>
          <w:rPr>
            <w:i/>
            <w:iCs/>
          </w:rPr>
          <m:t>,</m:t>
        </m:r>
        <m:r>
          <m:rPr>
            <m:nor/>
          </m:rPr>
          <w:rPr>
            <w:rFonts w:ascii="Cambria Math"/>
            <w:i/>
            <w:iCs/>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2</m:t>
            </m:r>
          </m:sup>
        </m:sSup>
        <m:r>
          <m:rPr>
            <m:nor/>
          </m:rPr>
          <w:rPr>
            <w:rFonts w:ascii="Cambria Math" w:hAnsi="Cambria Math" w:cs="Cambria Math"/>
            <w:i/>
            <w:iCs/>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3</m:t>
            </m:r>
          </m:sup>
        </m:sSup>
        <m:r>
          <w:rPr>
            <w:rFonts w:ascii="Cambria Math" w:hAnsi="Cambria Math" w:cs="Cambria Math"/>
          </w:rPr>
          <m:t>∈</m:t>
        </m:r>
        <m:r>
          <m:rPr>
            <m:nor/>
          </m:rPr>
          <w:rPr>
            <w:rFonts w:ascii="Cambria Math" w:hAnsi="Cambria Math" w:cs="Cambria Math"/>
            <w:i/>
            <w:iCs/>
          </w:rPr>
          <m:t xml:space="preserve"> </m:t>
        </m:r>
        <m:r>
          <m:rPr>
            <m:scr m:val="script"/>
          </m:rPr>
          <w:rPr>
            <w:rFonts w:ascii="Cambria Math" w:hAnsi="Cambria Math"/>
          </w:rPr>
          <m:t>L</m:t>
        </m:r>
      </m:oMath>
      <w:r w:rsidR="00D107E4">
        <w:rPr>
          <w:iCs/>
        </w:rPr>
        <w:t xml:space="preserve"> tales que </w:t>
      </w:r>
      <m:oMath>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r>
          <w:rPr>
            <w:rFonts w:ascii="Cambria Math" w:hAnsi="Cambria Math" w:cs="Cambria Math"/>
          </w:rPr>
          <m:t>≿</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2</m:t>
            </m:r>
          </m:sup>
        </m:sSup>
        <m:r>
          <w:rPr>
            <w:rFonts w:ascii="Cambria Math" w:hAnsi="Cambria Math" w:cs="Cambria Math"/>
          </w:rPr>
          <m:t>≿</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3</m:t>
            </m:r>
          </m:sup>
        </m:sSup>
      </m:oMath>
      <w:r w:rsidR="00D107E4">
        <w:rPr>
          <w:iCs/>
        </w:rPr>
        <w:t xml:space="preserve"> ha de existir una probabilidad</w:t>
      </w:r>
      <m:oMath>
        <m:r>
          <w:rPr>
            <w:rFonts w:ascii="Cambria Math" w:hAnsi="Cambria Math"/>
          </w:rPr>
          <m:t xml:space="preserve"> </m:t>
        </m:r>
        <m:r>
          <m:rPr>
            <m:nor/>
          </m:rPr>
          <w:rPr>
            <w:i/>
          </w:rPr>
          <m:t>p</m:t>
        </m:r>
        <m:r>
          <w:rPr>
            <w:rFonts w:ascii="Cambria Math" w:hAnsi="Cambria Math"/>
          </w:rPr>
          <m:t>∈</m:t>
        </m:r>
        <m:d>
          <m:dPr>
            <m:ctrlPr>
              <w:rPr>
                <w:rFonts w:ascii="Cambria Math" w:hAnsi="Cambria Math"/>
                <w:i/>
              </w:rPr>
            </m:ctrlPr>
          </m:dPr>
          <m:e>
            <m:r>
              <m:rPr>
                <m:nor/>
              </m:rPr>
              <w:rPr>
                <w:i/>
              </w:rPr>
              <m:t>0</m:t>
            </m:r>
            <m:r>
              <w:rPr>
                <w:rFonts w:ascii="Cambria Math" w:hAnsi="Cambria Math"/>
              </w:rPr>
              <m:t>,</m:t>
            </m:r>
            <m:r>
              <m:rPr>
                <m:nor/>
              </m:rPr>
              <w:rPr>
                <w:i/>
              </w:rPr>
              <m:t>1</m:t>
            </m:r>
          </m:e>
        </m:d>
      </m:oMath>
      <w:r w:rsidR="00D107E4">
        <w:rPr>
          <w:iCs/>
        </w:rPr>
        <w:t xml:space="preserve"> tal que </w:t>
      </w:r>
      <m:oMath>
        <m:d>
          <m:dPr>
            <m:ctrlPr>
              <w:rPr>
                <w:rFonts w:ascii="Cambria Math" w:hAnsi="Cambria Math"/>
                <w:i/>
                <w:iCs/>
              </w:rPr>
            </m:ctrlPr>
          </m:dPr>
          <m:e>
            <m:r>
              <m:rPr>
                <m:nor/>
              </m:rPr>
              <w:rPr>
                <w:i/>
              </w:rPr>
              <m:t>p,</m:t>
            </m:r>
            <m:r>
              <m:rPr>
                <m:nor/>
              </m:rPr>
              <w:rPr>
                <w:rFonts w:ascii="Cambria Math"/>
                <w:i/>
              </w:rPr>
              <m:t xml:space="preserve"> </m:t>
            </m:r>
            <m:d>
              <m:dPr>
                <m:ctrlPr>
                  <w:rPr>
                    <w:rFonts w:ascii="Cambria Math" w:hAnsi="Cambria Math"/>
                    <w:i/>
                  </w:rPr>
                </m:ctrlPr>
              </m:dPr>
              <m:e>
                <m:r>
                  <m:rPr>
                    <m:nor/>
                  </m:rPr>
                  <w:rPr>
                    <w:i/>
                  </w:rPr>
                  <m:t>1</m:t>
                </m:r>
                <m:r>
                  <w:rPr>
                    <w:rFonts w:ascii="Cambria Math" w:hAnsi="Cambria Math"/>
                  </w:rPr>
                  <m:t>-</m:t>
                </m:r>
                <m:r>
                  <m:rPr>
                    <m:nor/>
                  </m:rPr>
                  <w:rPr>
                    <w:i/>
                  </w:rPr>
                  <m:t>p</m:t>
                </m:r>
              </m:e>
            </m:d>
            <m:r>
              <m:rPr>
                <m:nor/>
              </m:rPr>
              <w:rPr>
                <w:rFonts w:ascii="Cambria Math"/>
                <w:i/>
              </w:rPr>
              <m:t xml:space="preserve"> </m:t>
            </m:r>
            <m:r>
              <m:rPr>
                <m:nor/>
              </m:rPr>
              <w:rPr>
                <w:i/>
              </w:rPr>
              <m:t>;</m:t>
            </m:r>
            <m:sSup>
              <m:sSupPr>
                <m:ctrlPr>
                  <w:rPr>
                    <w:rFonts w:ascii="Cambria Math" w:hAnsi="Cambria Math"/>
                    <w:i/>
                  </w:rPr>
                </m:ctrlPr>
              </m:sSupPr>
              <m:e>
                <m:r>
                  <w:rPr>
                    <w:rFonts w:ascii="Cambria Math" w:hAnsi="Cambria Math"/>
                  </w:rPr>
                  <m:t xml:space="preserve"> </m:t>
                </m:r>
                <m:acc>
                  <m:accPr>
                    <m:chr m:val="̃"/>
                    <m:ctrlPr>
                      <w:rPr>
                        <w:rFonts w:ascii="Cambria Math" w:hAnsi="Cambria Math"/>
                        <w:i/>
                      </w:rPr>
                    </m:ctrlPr>
                  </m:accPr>
                  <m:e>
                    <m:r>
                      <m:rPr>
                        <m:nor/>
                      </m:rPr>
                      <w:rPr>
                        <w:i/>
                      </w:rPr>
                      <m:t>y</m:t>
                    </m:r>
                  </m:e>
                </m:acc>
              </m:e>
              <m:sup>
                <m:r>
                  <m:rPr>
                    <m:nor/>
                  </m:rPr>
                  <w:rPr>
                    <w:i/>
                  </w:rPr>
                  <m:t>1</m:t>
                </m:r>
              </m:sup>
            </m:sSup>
            <m:r>
              <m:rPr>
                <m:nor/>
              </m:rPr>
              <w:rPr>
                <w:i/>
              </w:rPr>
              <m:t>,</m:t>
            </m:r>
            <m:r>
              <m:rPr>
                <m:nor/>
              </m:rPr>
              <w:rPr>
                <w:rFonts w:ascii="Cambria Math"/>
                <w:i/>
              </w:rPr>
              <m:t xml:space="preserve"> </m:t>
            </m:r>
            <m:sSup>
              <m:sSupPr>
                <m:ctrlPr>
                  <w:rPr>
                    <w:rFonts w:ascii="Cambria Math" w:hAnsi="Cambria Math"/>
                    <w:i/>
                  </w:rPr>
                </m:ctrlPr>
              </m:sSupPr>
              <m:e>
                <m:acc>
                  <m:accPr>
                    <m:chr m:val="̃"/>
                    <m:ctrlPr>
                      <w:rPr>
                        <w:rFonts w:ascii="Cambria Math" w:hAnsi="Cambria Math"/>
                        <w:i/>
                      </w:rPr>
                    </m:ctrlPr>
                  </m:accPr>
                  <m:e>
                    <m:r>
                      <m:rPr>
                        <m:nor/>
                      </m:rPr>
                      <w:rPr>
                        <w:i/>
                      </w:rPr>
                      <m:t>y</m:t>
                    </m:r>
                  </m:e>
                </m:acc>
              </m:e>
              <m:sup>
                <m:r>
                  <m:rPr>
                    <m:nor/>
                  </m:rPr>
                  <w:rPr>
                    <w:i/>
                  </w:rPr>
                  <m:t>3</m:t>
                </m:r>
              </m:sup>
            </m:sSup>
          </m:e>
        </m:d>
        <m:r>
          <w:rPr>
            <w:rFonts w:ascii="Cambria Math" w:hAnsi="Cambria Math" w:cs="Cambria Math"/>
          </w:rPr>
          <m:t>∼</m:t>
        </m:r>
        <m:sSup>
          <m:sSupPr>
            <m:ctrlPr>
              <w:rPr>
                <w:rFonts w:ascii="Cambria Math" w:hAnsi="Cambria Math"/>
                <w:i/>
              </w:rPr>
            </m:ctrlPr>
          </m:sSupPr>
          <m:e>
            <m:r>
              <w:rPr>
                <w:rFonts w:ascii="Cambria Math" w:hAnsi="Cambria Math"/>
              </w:rPr>
              <m:t xml:space="preserve"> </m:t>
            </m:r>
            <m:acc>
              <m:accPr>
                <m:chr m:val="̃"/>
                <m:ctrlPr>
                  <w:rPr>
                    <w:rFonts w:ascii="Cambria Math" w:hAnsi="Cambria Math"/>
                    <w:i/>
                  </w:rPr>
                </m:ctrlPr>
              </m:accPr>
              <m:e>
                <m:r>
                  <m:rPr>
                    <m:nor/>
                  </m:rPr>
                  <w:rPr>
                    <w:i/>
                  </w:rPr>
                  <m:t>y</m:t>
                </m:r>
              </m:e>
            </m:acc>
          </m:e>
          <m:sup>
            <m:r>
              <m:rPr>
                <m:nor/>
              </m:rPr>
              <w:rPr>
                <w:i/>
              </w:rPr>
              <m:t>2</m:t>
            </m:r>
          </m:sup>
        </m:sSup>
      </m:oMath>
      <w:r w:rsidR="00F30D58">
        <w:t>. En palabras</w:t>
      </w:r>
      <w:r w:rsidR="000547C5">
        <w:t>,</w:t>
      </w:r>
      <w:r w:rsidR="00F30D58">
        <w:t xml:space="preserve"> este axioma implica que pequeños cambios en las probabilidades no cambian </w:t>
      </w:r>
      <w:r w:rsidR="002C1FEB">
        <w:t>la naturaleza de la ordenación</w:t>
      </w:r>
      <w:r w:rsidR="00F30D58">
        <w:t xml:space="preserve"> entre dos loterías.</w:t>
      </w:r>
    </w:p>
    <w:p w14:paraId="4C320096" w14:textId="027385D1" w:rsidR="00041740" w:rsidRPr="00671682" w:rsidRDefault="002C1FEB" w:rsidP="005C735A">
      <w:pPr>
        <w:pStyle w:val="Nivel1SM"/>
        <w:keepNext/>
        <w:spacing w:after="0"/>
      </w:pPr>
      <w:r>
        <w:t xml:space="preserve">La elección de estos axiomas está encaminada a convertir la relación binaria de preferencias, muy engorrosa de manejar, en una función de variable real, muy conveniente para poder construir problemas de optimización resolubles mediante las herramientas de cálculo. </w:t>
      </w:r>
      <w:r w:rsidR="00041740">
        <w:t xml:space="preserve">Como en la teoría de la demanda del consumidor, </w:t>
      </w:r>
      <w:r w:rsidR="006356E6" w:rsidRPr="006205D4">
        <w:rPr>
          <w:b/>
          <w:bCs/>
        </w:rPr>
        <w:t xml:space="preserve">si se cumplen los axiomas de pre-orden completo débil y el de </w:t>
      </w:r>
      <w:r w:rsidR="006356E6" w:rsidRPr="006205D4">
        <w:rPr>
          <w:b/>
          <w:bCs/>
        </w:rPr>
        <w:lastRenderedPageBreak/>
        <w:t>continuidad</w:t>
      </w:r>
      <w:r w:rsidR="00041740" w:rsidRPr="006205D4">
        <w:rPr>
          <w:b/>
          <w:bCs/>
        </w:rPr>
        <w:t xml:space="preserve"> </w:t>
      </w:r>
      <w:r w:rsidR="006356E6" w:rsidRPr="006205D4">
        <w:rPr>
          <w:b/>
          <w:bCs/>
        </w:rPr>
        <w:t xml:space="preserve">se </w:t>
      </w:r>
      <w:r w:rsidR="00041740" w:rsidRPr="006205D4">
        <w:rPr>
          <w:b/>
          <w:bCs/>
        </w:rPr>
        <w:t xml:space="preserve">garantiza la existencia de una función de utilidad definidas sobre loterías </w:t>
      </w:r>
      <m:oMath>
        <m:acc>
          <m:accPr>
            <m:chr m:val="̅"/>
            <m:ctrlPr>
              <w:rPr>
                <w:rFonts w:ascii="Cambria Math" w:hAnsi="Cambria Math"/>
                <w:b/>
                <w:bCs/>
                <w:i/>
              </w:rPr>
            </m:ctrlPr>
          </m:accPr>
          <m:e>
            <m:r>
              <m:rPr>
                <m:nor/>
              </m:rPr>
              <w:rPr>
                <w:b/>
                <w:bCs/>
                <w:i/>
              </w:rPr>
              <m:t>u</m:t>
            </m:r>
          </m:e>
        </m:acc>
        <m:d>
          <m:dPr>
            <m:ctrlPr>
              <w:rPr>
                <w:rFonts w:ascii="Cambria Math" w:hAnsi="Cambria Math"/>
                <w:b/>
                <w:bCs/>
                <w:i/>
              </w:rPr>
            </m:ctrlPr>
          </m:dPr>
          <m:e>
            <m:acc>
              <m:accPr>
                <m:chr m:val="̃"/>
                <m:ctrlPr>
                  <w:rPr>
                    <w:rFonts w:ascii="Cambria Math" w:hAnsi="Cambria Math"/>
                    <w:b/>
                    <w:bCs/>
                    <w:i/>
                  </w:rPr>
                </m:ctrlPr>
              </m:accPr>
              <m:e>
                <m:r>
                  <m:rPr>
                    <m:nor/>
                  </m:rPr>
                  <w:rPr>
                    <w:b/>
                    <w:bCs/>
                    <w:i/>
                  </w:rPr>
                  <m:t>y</m:t>
                </m:r>
              </m:e>
            </m:acc>
          </m:e>
        </m:d>
      </m:oMath>
      <w:r w:rsidR="00041740" w:rsidRPr="006205D4">
        <w:rPr>
          <w:b/>
          <w:bCs/>
        </w:rPr>
        <w:t xml:space="preserve"> que </w:t>
      </w:r>
      <w:r w:rsidR="00041740" w:rsidRPr="006205D4">
        <w:rPr>
          <w:b/>
          <w:bCs/>
          <w:i/>
          <w:iCs/>
        </w:rPr>
        <w:t>preserva el orden</w:t>
      </w:r>
      <w:r w:rsidR="003701A7" w:rsidRPr="00671682">
        <w:rPr>
          <w:rStyle w:val="Refdenotaalpie"/>
        </w:rPr>
        <w:footnoteReference w:id="20"/>
      </w:r>
      <w:r w:rsidR="00041740" w:rsidRPr="00671682">
        <w:t>:</w:t>
      </w:r>
    </w:p>
    <w:p w14:paraId="050371C2" w14:textId="41929321" w:rsidR="002C1FEB" w:rsidRPr="00103D20" w:rsidRDefault="00F9470F" w:rsidP="005C735A">
      <w:pPr>
        <w:keepNext/>
        <w:spacing w:after="0"/>
        <w:rPr>
          <w:rFonts w:eastAsiaTheme="minorEastAsia"/>
          <w:i/>
          <w:iCs/>
        </w:rPr>
      </w:pPr>
      <m:oMathPara>
        <m:oMath>
          <m:r>
            <m:rPr>
              <m:nor/>
            </m:rPr>
            <w:rPr>
              <w:rFonts w:ascii="Cambria Math" w:hAnsi="Cambria Math" w:cs="Cambria Math"/>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r>
            <m:rPr>
              <m:nor/>
            </m:rPr>
            <w:rPr>
              <w:i/>
              <w:iCs/>
            </w:rPr>
            <m:t>,</m:t>
          </m:r>
          <m:r>
            <m:rPr>
              <m:nor/>
            </m:rPr>
            <w:rPr>
              <w:rFonts w:ascii="Cambria Math"/>
              <w:i/>
              <w:iCs/>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2</m:t>
              </m:r>
            </m:sup>
          </m:sSup>
          <m:r>
            <w:rPr>
              <w:rFonts w:ascii="Cambria Math" w:hAnsi="Cambria Math" w:cs="Cambria Math"/>
            </w:rPr>
            <m:t>∈</m:t>
          </m:r>
          <m:r>
            <m:rPr>
              <m:nor/>
            </m:rPr>
            <w:rPr>
              <w:rFonts w:ascii="Cambria Math" w:hAnsi="Cambria Math" w:cs="Cambria Math"/>
              <w:i/>
              <w:iCs/>
            </w:rPr>
            <m:t xml:space="preserve"> </m:t>
          </m:r>
          <m:r>
            <m:rPr>
              <m:scr m:val="script"/>
            </m:rPr>
            <w:rPr>
              <w:rFonts w:ascii="Cambria Math" w:hAnsi="Cambria Math"/>
            </w:rPr>
            <m:t>L:</m:t>
          </m:r>
          <m:r>
            <m:rPr>
              <m:nor/>
            </m:rPr>
            <w:rPr>
              <w:i/>
              <w:iCs/>
            </w:rPr>
            <m:t xml:space="preserve"> </m:t>
          </m:r>
          <m:d>
            <m:dPr>
              <m:ctrlPr>
                <w:rPr>
                  <w:rFonts w:ascii="Cambria Math" w:hAnsi="Cambria Math"/>
                  <w:i/>
                  <w:iCs/>
                </w:rPr>
              </m:ctrlPr>
            </m:dPr>
            <m:e>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r>
                <w:rPr>
                  <w:rFonts w:ascii="Cambria Math" w:hAnsi="Cambria Math" w:cs="Cambria Math"/>
                </w:rPr>
                <m:t>≿</m:t>
              </m:r>
              <m:sSup>
                <m:sSupPr>
                  <m:ctrlPr>
                    <w:rPr>
                      <w:rFonts w:ascii="Cambria Math" w:hAnsi="Cambria Math"/>
                      <w:i/>
                      <w:iCs/>
                    </w:rPr>
                  </m:ctrlPr>
                </m:sSupPr>
                <m:e>
                  <m:r>
                    <w:rPr>
                      <w:rFonts w:ascii="Cambria Math" w:hAnsi="Cambria Math"/>
                    </w:rPr>
                    <m:t xml:space="preserve"> </m:t>
                  </m:r>
                  <m:acc>
                    <m:accPr>
                      <m:chr m:val="̃"/>
                      <m:ctrlPr>
                        <w:rPr>
                          <w:rFonts w:ascii="Cambria Math" w:hAnsi="Cambria Math"/>
                          <w:i/>
                          <w:iCs/>
                        </w:rPr>
                      </m:ctrlPr>
                    </m:accPr>
                    <m:e>
                      <m:r>
                        <m:rPr>
                          <m:nor/>
                        </m:rPr>
                        <w:rPr>
                          <w:i/>
                          <w:iCs/>
                        </w:rPr>
                        <m:t>y</m:t>
                      </m:r>
                    </m:e>
                  </m:acc>
                </m:e>
                <m:sup>
                  <m:r>
                    <m:rPr>
                      <m:nor/>
                    </m:rPr>
                    <w:rPr>
                      <w:i/>
                      <w:iCs/>
                    </w:rPr>
                    <m:t>2</m:t>
                  </m:r>
                </m:sup>
              </m:sSup>
            </m:e>
          </m:d>
          <m:r>
            <m:rPr>
              <m:nor/>
            </m:rPr>
            <w:rPr>
              <w:rFonts w:ascii="Cambria Math"/>
              <w:i/>
              <w:iCs/>
            </w:rPr>
            <m:t xml:space="preserve"> </m:t>
          </m:r>
          <m:r>
            <w:rPr>
              <w:rFonts w:ascii="Cambria Math" w:hAnsi="Cambria Math" w:cs="Cambria Math"/>
            </w:rPr>
            <m:t>⇒</m:t>
          </m:r>
          <m:r>
            <m:rPr>
              <m:nor/>
            </m:rPr>
            <w:rPr>
              <w:rFonts w:ascii="Cambria Math" w:hAnsi="Cambria Math" w:cs="Cambria Math"/>
              <w:i/>
              <w:iCs/>
            </w:rPr>
            <m:t xml:space="preserve"> </m:t>
          </m:r>
          <m:acc>
            <m:accPr>
              <m:chr m:val="̅"/>
              <m:ctrlPr>
                <w:rPr>
                  <w:rFonts w:ascii="Cambria Math" w:hAnsi="Cambria Math"/>
                  <w:i/>
                  <w:iCs/>
                </w:rPr>
              </m:ctrlPr>
            </m:accPr>
            <m:e>
              <m:r>
                <m:rPr>
                  <m:nor/>
                </m:rPr>
                <w:rPr>
                  <w:i/>
                  <w:iCs/>
                </w:rPr>
                <m:t>u</m:t>
              </m:r>
            </m:e>
          </m:acc>
          <m:d>
            <m:dPr>
              <m:ctrlPr>
                <w:rPr>
                  <w:rFonts w:ascii="Cambria Math" w:hAnsi="Cambria Math"/>
                  <w:i/>
                  <w:iCs/>
                </w:rPr>
              </m:ctrlPr>
            </m:dPr>
            <m:e>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e>
          </m:d>
          <m:r>
            <w:rPr>
              <w:rFonts w:ascii="Cambria Math" w:eastAsiaTheme="minorEastAsia" w:hAnsi="Cambria Math"/>
            </w:rPr>
            <m:t>≥</m:t>
          </m:r>
          <m:acc>
            <m:accPr>
              <m:chr m:val="̅"/>
              <m:ctrlPr>
                <w:rPr>
                  <w:rFonts w:ascii="Cambria Math" w:hAnsi="Cambria Math"/>
                  <w:i/>
                  <w:iCs/>
                </w:rPr>
              </m:ctrlPr>
            </m:accPr>
            <m:e>
              <m:r>
                <m:rPr>
                  <m:nor/>
                </m:rPr>
                <w:rPr>
                  <w:i/>
                  <w:iCs/>
                </w:rPr>
                <m:t>u</m:t>
              </m:r>
            </m:e>
          </m:acc>
          <m:d>
            <m:dPr>
              <m:ctrlPr>
                <w:rPr>
                  <w:rFonts w:ascii="Cambria Math" w:hAnsi="Cambria Math"/>
                  <w:i/>
                  <w:iCs/>
                </w:rPr>
              </m:ctrlPr>
            </m:dPr>
            <m:e>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2</m:t>
                  </m:r>
                </m:sup>
              </m:sSup>
            </m:e>
          </m:d>
        </m:oMath>
      </m:oMathPara>
    </w:p>
    <w:p w14:paraId="6B85D2C1" w14:textId="5A8AD794" w:rsidR="00103D20" w:rsidRDefault="00103D20" w:rsidP="005C735A">
      <w:pPr>
        <w:pStyle w:val="Nivel2SM"/>
      </w:pPr>
      <w:r>
        <w:t>Es decir, una función que preserve la ordenación de preferencias de la relación binaria subyacente en el sentido de que una lotería es al menos tan preferida a otra si y solo si el valor que dicha función asigna a la primera es mayor o igual al que asigna a la segunda.</w:t>
      </w:r>
    </w:p>
    <w:p w14:paraId="2AB6A535" w14:textId="303FC043" w:rsidR="00B668C1" w:rsidRDefault="00DE16EE" w:rsidP="00DE16EE">
      <w:pPr>
        <w:pStyle w:val="Nivel2SM"/>
        <w:keepNext/>
        <w:spacing w:after="0"/>
      </w:pPr>
      <w:r>
        <w:t>E</w:t>
      </w:r>
      <w:r w:rsidR="00B668C1">
        <w:t xml:space="preserve">sta implicación de existencia es análoga a la encontrada en la axiomática del consumo en certidumbre. Sin embargo, en el caso de elección bajo riesgo se necesita ir más allá, ser más exigente para que </w:t>
      </w:r>
      <w:r w:rsidR="00B668C1" w:rsidRPr="00B668C1">
        <w:rPr>
          <w:i/>
          <w:iCs/>
        </w:rPr>
        <w:t>la función de utilidad no sólo exista sino que también posea una forma específica</w:t>
      </w:r>
      <w:r w:rsidR="00B668C1">
        <w:t>.</w:t>
      </w:r>
    </w:p>
    <w:p w14:paraId="1B7D230F" w14:textId="6906DFBB" w:rsidR="00B668C1" w:rsidRPr="00B668C1" w:rsidRDefault="00B668C1" w:rsidP="00DE16EE">
      <w:pPr>
        <w:pStyle w:val="Nivel3SM"/>
      </w:pPr>
      <w:r>
        <w:t xml:space="preserve">Para ello añadimos el axioma de </w:t>
      </w:r>
      <w:r>
        <w:rPr>
          <w:i/>
          <w:iCs/>
        </w:rPr>
        <w:t>independencia de las alternativas irrelevantes</w:t>
      </w:r>
      <w:r>
        <w:t xml:space="preserve">, que garantiza por el </w:t>
      </w:r>
      <w:r w:rsidRPr="00B668C1">
        <w:t>Teorema de la Utilidad Esperada</w:t>
      </w:r>
      <w:r>
        <w:t xml:space="preserve"> que la relación binaria de preferencias puede representarse mediante una función de utilidad con una forma concreta, la forma de utilidad esperada.</w:t>
      </w:r>
    </w:p>
    <w:p w14:paraId="06446F0A" w14:textId="1EDF973D" w:rsidR="00041740" w:rsidRPr="00941CB5" w:rsidRDefault="00D107E4" w:rsidP="005C735A">
      <w:pPr>
        <w:pStyle w:val="Nmero"/>
        <w:keepNext/>
        <w:spacing w:after="0"/>
        <w:ind w:left="567" w:hanging="284"/>
      </w:pPr>
      <w:r w:rsidRPr="000B7A50">
        <w:rPr>
          <w:i/>
          <w:iCs/>
          <w:u w:val="single"/>
        </w:rPr>
        <w:t>Independencia de alternativas irrelevantes</w:t>
      </w:r>
      <w:r>
        <w:t xml:space="preserve">: </w:t>
      </w:r>
      <w:r w:rsidR="0064241B">
        <w:t>E</w:t>
      </w:r>
      <w:r>
        <w:t>l orden de preferencias entre dos loterías no se altera al mezclarlas con otras terceras si no cambia la estructura de las probabilidades.</w:t>
      </w:r>
    </w:p>
    <w:p w14:paraId="11944721" w14:textId="6D4366FA" w:rsidR="007D2CCD" w:rsidRPr="00941CB5" w:rsidRDefault="007D2CCD" w:rsidP="005C735A">
      <w:pPr>
        <w:pStyle w:val="Nivel1"/>
        <w:keepNext/>
        <w:numPr>
          <w:ilvl w:val="0"/>
          <w:numId w:val="0"/>
        </w:numPr>
        <w:spacing w:before="0" w:after="0"/>
        <w:ind w:left="567"/>
      </w:pPr>
      <m:oMathPara>
        <m:oMath>
          <m:r>
            <m:rPr>
              <m:nor/>
            </m:rPr>
            <w:rPr>
              <w:rFonts w:ascii="Cambria Math" w:hAnsi="Cambria Math" w:cs="Cambria Math"/>
            </w:rPr>
            <m:t>∀</m:t>
          </m:r>
          <m:r>
            <m:rPr>
              <m:nor/>
            </m:rPr>
            <w:rPr>
              <w:rFonts w:cs="Cambria Math"/>
              <w:i/>
              <w:iCs/>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r>
            <m:rPr>
              <m:nor/>
            </m:rPr>
            <w:rPr>
              <w:i/>
              <w:iCs/>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2</m:t>
              </m:r>
            </m:sup>
          </m:sSup>
          <m:r>
            <w:rPr>
              <w:rFonts w:ascii="Cambria Math" w:hAnsi="Cambria Math" w:cs="Cambria Math"/>
            </w:rPr>
            <m:t>∈</m:t>
          </m:r>
          <m:r>
            <m:rPr>
              <m:nor/>
            </m:rPr>
            <w:rPr>
              <w:rFonts w:cs="Cambria Math"/>
              <w:i/>
              <w:iCs/>
            </w:rPr>
            <m:t xml:space="preserve"> </m:t>
          </m:r>
          <m:r>
            <m:rPr>
              <m:scr m:val="script"/>
            </m:rPr>
            <w:rPr>
              <w:rFonts w:ascii="Cambria Math" w:hAnsi="Cambria Math"/>
            </w:rPr>
            <m:t>L</m:t>
          </m:r>
          <m:r>
            <m:rPr>
              <m:nor/>
            </m:rPr>
            <w:rPr>
              <w:i/>
              <w:iCs/>
            </w:rPr>
            <m:t xml:space="preserve"> tales que: </m:t>
          </m:r>
          <m:m>
            <m:mPr>
              <m:mcs>
                <m:mc>
                  <m:mcPr>
                    <m:count m:val="1"/>
                    <m:mcJc m:val="center"/>
                  </m:mcPr>
                </m:mc>
              </m:mcs>
              <m:ctrlPr>
                <w:rPr>
                  <w:rFonts w:ascii="Cambria Math" w:hAnsi="Cambria Math"/>
                  <w:i/>
                  <w:iCs/>
                </w:rPr>
              </m:ctrlPr>
            </m:mPr>
            <m:mr>
              <m:e>
                <m:m>
                  <m:mPr>
                    <m:mcs>
                      <m:mc>
                        <m:mcPr>
                          <m:count m:val="1"/>
                          <m:mcJc m:val="center"/>
                        </m:mcPr>
                      </m:mc>
                    </m:mcs>
                    <m:ctrlPr>
                      <w:rPr>
                        <w:rFonts w:ascii="Cambria Math" w:hAnsi="Cambria Math"/>
                        <w:i/>
                        <w:iCs/>
                      </w:rPr>
                    </m:ctrlPr>
                  </m:mPr>
                  <m:mr>
                    <m:e>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r>
                        <w:rPr>
                          <w:rFonts w:ascii="Cambria Math" w:hAnsi="Cambria Math" w:cs="Cambria Math"/>
                        </w:rPr>
                        <m:t>≿</m:t>
                      </m:r>
                      <m:sSup>
                        <m:sSupPr>
                          <m:ctrlPr>
                            <w:rPr>
                              <w:rFonts w:ascii="Cambria Math" w:hAnsi="Cambria Math"/>
                              <w:i/>
                              <w:iCs/>
                            </w:rPr>
                          </m:ctrlPr>
                        </m:sSupPr>
                        <m:e>
                          <m:r>
                            <m:rPr>
                              <m:nor/>
                            </m:rPr>
                            <w:rPr>
                              <w:i/>
                              <w:iCs/>
                            </w:rPr>
                            <m:t xml:space="preserve"> </m:t>
                          </m:r>
                          <m:acc>
                            <m:accPr>
                              <m:chr m:val="̃"/>
                              <m:ctrlPr>
                                <w:rPr>
                                  <w:rFonts w:ascii="Cambria Math" w:hAnsi="Cambria Math"/>
                                  <w:i/>
                                  <w:iCs/>
                                </w:rPr>
                              </m:ctrlPr>
                            </m:accPr>
                            <m:e>
                              <m:r>
                                <m:rPr>
                                  <m:nor/>
                                </m:rPr>
                                <w:rPr>
                                  <w:i/>
                                  <w:iCs/>
                                </w:rPr>
                                <m:t>y</m:t>
                              </m:r>
                            </m:e>
                          </m:acc>
                        </m:e>
                        <m:sup>
                          <m:r>
                            <m:rPr>
                              <m:nor/>
                            </m:rPr>
                            <w:rPr>
                              <w:i/>
                              <w:iCs/>
                            </w:rPr>
                            <m:t>2</m:t>
                          </m:r>
                        </m:sup>
                      </m:sSup>
                    </m:e>
                  </m:mr>
                  <m:mr>
                    <m:e>
                      <m:r>
                        <m:rPr>
                          <m:nor/>
                        </m:rPr>
                        <w:rPr>
                          <w:rFonts w:ascii="Cambria Math" w:hAnsi="Cambria Math" w:cs="Cambria Math"/>
                        </w:rPr>
                        <m:t>∀</m:t>
                      </m:r>
                      <m:r>
                        <m:rPr>
                          <m:nor/>
                        </m:rPr>
                        <w:rPr>
                          <w:rFonts w:cs="Cambria Math"/>
                          <w:i/>
                          <w:iCs/>
                        </w:rPr>
                        <m:t xml:space="preserve"> p</m:t>
                      </m:r>
                      <m:r>
                        <m:rPr>
                          <m:nor/>
                        </m:rPr>
                        <w:rPr>
                          <w:rFonts w:ascii="Cambria Math" w:cs="Cambria Math"/>
                          <w:i/>
                          <w:iCs/>
                        </w:rPr>
                        <m:t xml:space="preserve"> </m:t>
                      </m:r>
                      <m:r>
                        <w:rPr>
                          <w:rFonts w:ascii="Cambria Math" w:hAnsi="Cambria Math" w:cs="Cambria Math"/>
                        </w:rPr>
                        <m:t>∈</m:t>
                      </m:r>
                      <m:d>
                        <m:dPr>
                          <m:ctrlPr>
                            <w:rPr>
                              <w:rFonts w:ascii="Cambria Math" w:hAnsi="Cambria Math" w:cs="Cambria Math"/>
                              <w:i/>
                            </w:rPr>
                          </m:ctrlPr>
                        </m:dPr>
                        <m:e>
                          <m:r>
                            <m:rPr>
                              <m:nor/>
                            </m:rPr>
                            <w:rPr>
                              <w:rFonts w:cs="Cambria Math"/>
                              <w:i/>
                              <w:iCs/>
                            </w:rPr>
                            <m:t>0,1</m:t>
                          </m:r>
                        </m:e>
                      </m:d>
                    </m:e>
                  </m:mr>
                </m:m>
              </m:e>
            </m:mr>
            <m:mr>
              <m:e>
                <m:r>
                  <m:rPr>
                    <m:nor/>
                  </m:rPr>
                  <w:rPr>
                    <w:rFonts w:ascii="Cambria Math" w:hAnsi="Cambria Math" w:cs="Cambria Math"/>
                  </w:rPr>
                  <m:t>∀</m:t>
                </m:r>
                <m:r>
                  <m:rPr>
                    <m:nor/>
                  </m:rPr>
                  <w:rPr>
                    <w:rFonts w:cs="Cambria Math"/>
                    <w:i/>
                    <w:iCs/>
                  </w:rPr>
                  <m:t xml:space="preserve"> </m:t>
                </m:r>
                <m:acc>
                  <m:accPr>
                    <m:chr m:val="̃"/>
                    <m:ctrlPr>
                      <w:rPr>
                        <w:rFonts w:ascii="Cambria Math" w:hAnsi="Cambria Math"/>
                        <w:i/>
                        <w:iCs/>
                      </w:rPr>
                    </m:ctrlPr>
                  </m:accPr>
                  <m:e>
                    <m:r>
                      <m:rPr>
                        <m:nor/>
                      </m:rPr>
                      <w:rPr>
                        <w:i/>
                        <w:iCs/>
                      </w:rPr>
                      <m:t>y</m:t>
                    </m:r>
                  </m:e>
                </m:acc>
                <m:r>
                  <m:rPr>
                    <m:nor/>
                  </m:rPr>
                  <w:rPr>
                    <w:rFonts w:cs="Cambria Math"/>
                    <w:i/>
                    <w:iCs/>
                  </w:rPr>
                  <m:t xml:space="preserve"> </m:t>
                </m:r>
                <m:r>
                  <w:rPr>
                    <w:rFonts w:ascii="Cambria Math" w:hAnsi="Cambria Math" w:cs="Cambria Math"/>
                  </w:rPr>
                  <m:t>∈</m:t>
                </m:r>
                <m:r>
                  <m:rPr>
                    <m:nor/>
                  </m:rPr>
                  <w:rPr>
                    <w:rFonts w:cs="Cambria Math"/>
                    <w:i/>
                    <w:iCs/>
                  </w:rPr>
                  <m:t xml:space="preserve"> </m:t>
                </m:r>
                <m:r>
                  <m:rPr>
                    <m:scr m:val="script"/>
                  </m:rPr>
                  <w:rPr>
                    <w:rFonts w:ascii="Cambria Math" w:hAnsi="Cambria Math"/>
                  </w:rPr>
                  <m:t>L</m:t>
                </m:r>
                <m:r>
                  <m:rPr>
                    <m:nor/>
                  </m:rPr>
                  <w:rPr>
                    <w:i/>
                    <w:iCs/>
                  </w:rPr>
                  <m:t xml:space="preserve"> </m:t>
                </m:r>
              </m:e>
            </m:mr>
            <m:mr>
              <m:e>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3</m:t>
                    </m:r>
                  </m:sup>
                </m:sSup>
                <m:r>
                  <m:rPr>
                    <m:nor/>
                  </m:rPr>
                  <w:rPr>
                    <w:rFonts w:ascii="Cambria Math"/>
                    <w:i/>
                    <w:iCs/>
                  </w:rPr>
                  <m:t xml:space="preserve"> </m:t>
                </m:r>
                <m:r>
                  <w:rPr>
                    <w:rFonts w:ascii="Cambria Math" w:hAnsi="Cambria Math"/>
                  </w:rPr>
                  <m:t>≡</m:t>
                </m:r>
                <m:d>
                  <m:dPr>
                    <m:ctrlPr>
                      <w:rPr>
                        <w:rFonts w:ascii="Cambria Math" w:hAnsi="Cambria Math"/>
                        <w:i/>
                        <w:iCs/>
                      </w:rPr>
                    </m:ctrlPr>
                  </m:dPr>
                  <m:e>
                    <m:r>
                      <m:rPr>
                        <m:nor/>
                      </m:rPr>
                      <w:rPr>
                        <w:i/>
                        <w:iCs/>
                      </w:rPr>
                      <m:t>p,</m:t>
                    </m:r>
                    <m:r>
                      <m:rPr>
                        <m:nor/>
                      </m:rPr>
                      <w:rPr>
                        <w:rFonts w:ascii="Cambria Math"/>
                        <w:i/>
                        <w:iCs/>
                      </w:rPr>
                      <m:t xml:space="preserve"> </m:t>
                    </m:r>
                    <m:d>
                      <m:dPr>
                        <m:ctrlPr>
                          <w:rPr>
                            <w:rFonts w:ascii="Cambria Math" w:hAnsi="Cambria Math"/>
                            <w:i/>
                            <w:iCs/>
                          </w:rPr>
                        </m:ctrlPr>
                      </m:dPr>
                      <m:e>
                        <m:r>
                          <m:rPr>
                            <m:nor/>
                          </m:rPr>
                          <w:rPr>
                            <w:i/>
                            <w:iCs/>
                          </w:rPr>
                          <m:t>1</m:t>
                        </m:r>
                        <m:r>
                          <w:rPr>
                            <w:rFonts w:ascii="Cambria Math" w:hAnsi="Cambria Math"/>
                          </w:rPr>
                          <m:t>-</m:t>
                        </m:r>
                        <m:r>
                          <m:rPr>
                            <m:nor/>
                          </m:rPr>
                          <w:rPr>
                            <w:i/>
                            <w:iCs/>
                          </w:rPr>
                          <m:t>p</m:t>
                        </m:r>
                      </m:e>
                    </m:d>
                    <m:r>
                      <m:rPr>
                        <m:nor/>
                      </m:rPr>
                      <w:rPr>
                        <w:i/>
                        <w:iCs/>
                      </w:rPr>
                      <m:t>;</m:t>
                    </m:r>
                    <m:r>
                      <m:rPr>
                        <m:nor/>
                      </m:rPr>
                      <w:rPr>
                        <w:rFonts w:ascii="Cambria Math"/>
                        <w:i/>
                        <w:iCs/>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r>
                      <m:rPr>
                        <m:nor/>
                      </m:rPr>
                      <w:rPr>
                        <w:i/>
                        <w:iCs/>
                      </w:rPr>
                      <m:t>,</m:t>
                    </m:r>
                    <m:r>
                      <m:rPr>
                        <m:nor/>
                      </m:rPr>
                      <w:rPr>
                        <w:rFonts w:ascii="Cambria Math"/>
                        <w:i/>
                        <w:iCs/>
                      </w:rPr>
                      <m:t xml:space="preserve"> </m:t>
                    </m:r>
                    <m:acc>
                      <m:accPr>
                        <m:chr m:val="̃"/>
                        <m:ctrlPr>
                          <w:rPr>
                            <w:rFonts w:ascii="Cambria Math" w:hAnsi="Cambria Math"/>
                            <w:i/>
                            <w:iCs/>
                          </w:rPr>
                        </m:ctrlPr>
                      </m:accPr>
                      <m:e>
                        <m:r>
                          <m:rPr>
                            <m:nor/>
                          </m:rPr>
                          <w:rPr>
                            <w:i/>
                            <w:iCs/>
                          </w:rPr>
                          <m:t>y</m:t>
                        </m:r>
                      </m:e>
                    </m:acc>
                  </m:e>
                </m:d>
                <m:r>
                  <w:rPr>
                    <w:rFonts w:ascii="Cambria Math" w:hAnsi="Cambria Math" w:cs="Cambria Math"/>
                  </w:rPr>
                  <m:t>≿</m:t>
                </m:r>
                <m:d>
                  <m:dPr>
                    <m:ctrlPr>
                      <w:rPr>
                        <w:rFonts w:ascii="Cambria Math" w:hAnsi="Cambria Math"/>
                        <w:i/>
                        <w:iCs/>
                      </w:rPr>
                    </m:ctrlPr>
                  </m:dPr>
                  <m:e>
                    <m:r>
                      <m:rPr>
                        <m:nor/>
                      </m:rPr>
                      <w:rPr>
                        <w:i/>
                        <w:iCs/>
                      </w:rPr>
                      <m:t>p,</m:t>
                    </m:r>
                    <m:r>
                      <m:rPr>
                        <m:nor/>
                      </m:rPr>
                      <w:rPr>
                        <w:rFonts w:ascii="Cambria Math"/>
                        <w:i/>
                        <w:iCs/>
                      </w:rPr>
                      <m:t xml:space="preserve"> </m:t>
                    </m:r>
                    <m:d>
                      <m:dPr>
                        <m:ctrlPr>
                          <w:rPr>
                            <w:rFonts w:ascii="Cambria Math" w:hAnsi="Cambria Math"/>
                            <w:i/>
                            <w:iCs/>
                          </w:rPr>
                        </m:ctrlPr>
                      </m:dPr>
                      <m:e>
                        <m:r>
                          <m:rPr>
                            <m:nor/>
                          </m:rPr>
                          <w:rPr>
                            <w:i/>
                            <w:iCs/>
                          </w:rPr>
                          <m:t>1</m:t>
                        </m:r>
                        <m:r>
                          <w:rPr>
                            <w:rFonts w:ascii="Cambria Math" w:hAnsi="Cambria Math"/>
                          </w:rPr>
                          <m:t>-</m:t>
                        </m:r>
                        <m:r>
                          <m:rPr>
                            <m:nor/>
                          </m:rPr>
                          <w:rPr>
                            <w:i/>
                            <w:iCs/>
                          </w:rPr>
                          <m:t>p</m:t>
                        </m:r>
                      </m:e>
                    </m:d>
                    <m:r>
                      <m:rPr>
                        <m:nor/>
                      </m:rPr>
                      <w:rPr>
                        <w:i/>
                        <w:iCs/>
                      </w:rPr>
                      <m:t>;</m:t>
                    </m:r>
                    <m:r>
                      <m:rPr>
                        <m:nor/>
                      </m:rPr>
                      <w:rPr>
                        <w:rFonts w:ascii="Cambria Math"/>
                        <w:i/>
                        <w:iCs/>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2</m:t>
                        </m:r>
                      </m:sup>
                    </m:sSup>
                    <m:r>
                      <m:rPr>
                        <m:nor/>
                      </m:rPr>
                      <w:rPr>
                        <w:i/>
                        <w:iCs/>
                      </w:rPr>
                      <m:t>,</m:t>
                    </m:r>
                    <m:r>
                      <m:rPr>
                        <m:nor/>
                      </m:rPr>
                      <w:rPr>
                        <w:rFonts w:ascii="Cambria Math"/>
                        <w:i/>
                        <w:iCs/>
                      </w:rPr>
                      <m:t xml:space="preserve"> </m:t>
                    </m:r>
                    <m:acc>
                      <m:accPr>
                        <m:chr m:val="̃"/>
                        <m:ctrlPr>
                          <w:rPr>
                            <w:rFonts w:ascii="Cambria Math" w:hAnsi="Cambria Math"/>
                            <w:i/>
                            <w:iCs/>
                          </w:rPr>
                        </m:ctrlPr>
                      </m:accPr>
                      <m:e>
                        <m:r>
                          <m:rPr>
                            <m:nor/>
                          </m:rPr>
                          <w:rPr>
                            <w:i/>
                            <w:iCs/>
                          </w:rPr>
                          <m:t>y</m:t>
                        </m:r>
                      </m:e>
                    </m:acc>
                  </m:e>
                </m:d>
                <m:r>
                  <m:rPr>
                    <m:nor/>
                  </m:rPr>
                  <w:rPr>
                    <w:rFonts w:ascii="Cambria Math"/>
                    <w:i/>
                    <w:iCs/>
                  </w:rPr>
                  <m:t xml:space="preserve"> </m:t>
                </m:r>
                <m:r>
                  <w:rPr>
                    <w:rFonts w:ascii="Cambria Math" w:hAnsi="Cambria Math"/>
                  </w:rPr>
                  <m:t>≡</m:t>
                </m:r>
                <m:r>
                  <m:rPr>
                    <m:nor/>
                  </m:rPr>
                  <w:rPr>
                    <w:rFonts w:ascii="Cambria Math"/>
                    <w:i/>
                    <w:iCs/>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4</m:t>
                    </m:r>
                  </m:sup>
                </m:sSup>
              </m:e>
            </m:mr>
          </m:m>
        </m:oMath>
      </m:oMathPara>
    </w:p>
    <w:p w14:paraId="06D0C798" w14:textId="332A71CE" w:rsidR="007D2CCD" w:rsidRPr="00103D20" w:rsidRDefault="00103D20" w:rsidP="00DE16EE">
      <w:pPr>
        <w:pStyle w:val="Nivel1"/>
        <w:numPr>
          <w:ilvl w:val="0"/>
          <w:numId w:val="0"/>
        </w:numPr>
        <w:spacing w:before="0"/>
        <w:ind w:left="568"/>
      </w:pPr>
      <w:r w:rsidRPr="00103D20">
        <w:t xml:space="preserve">La justificación de esta irrelevancia respecto de terceras alternativas descansa en que, a diferencia de la demanda de consumo cierto </w:t>
      </w:r>
      <w:r w:rsidR="00A64A6D">
        <w:t>(</w:t>
      </w:r>
      <w:r w:rsidRPr="00103D20">
        <w:t>donde esas terceras opciones (en ese caso cestas de bienes) pueden ser relevantes pues realmente se pueden combinar con otras en el consumo</w:t>
      </w:r>
      <w:r w:rsidR="00A64A6D">
        <w:t>)</w:t>
      </w:r>
      <w:r w:rsidRPr="00103D20">
        <w:t>, en el ámbito del riesgo las loterías no pueden “consumirse” simultáneamente, sino que el agente se ve obligado a elegir necesariamente s</w:t>
      </w:r>
      <w:r w:rsidR="003B0BA9">
        <w:t>ó</w:t>
      </w:r>
      <w:r w:rsidRPr="00103D20">
        <w:t>lo una de ellas.</w:t>
      </w:r>
    </w:p>
    <w:p w14:paraId="2E6D3E74" w14:textId="75D13447" w:rsidR="00103D20" w:rsidRDefault="009A3230" w:rsidP="00520421">
      <w:pPr>
        <w:pStyle w:val="Ttulo6"/>
        <w:rPr>
          <w:smallCaps/>
        </w:rPr>
      </w:pPr>
      <w:bookmarkStart w:id="18" w:name="_Toc172232531"/>
      <w:r>
        <w:t xml:space="preserve">Función de Utilidad Esperada de </w:t>
      </w:r>
      <w:r w:rsidR="00084BF4">
        <w:rPr>
          <w:smallCaps/>
        </w:rPr>
        <w:t>von Neumann</w:t>
      </w:r>
      <w:r w:rsidRPr="00B4650C">
        <w:t>-</w:t>
      </w:r>
      <w:r>
        <w:rPr>
          <w:smallCaps/>
        </w:rPr>
        <w:t>Morgenstern</w:t>
      </w:r>
      <w:bookmarkEnd w:id="18"/>
    </w:p>
    <w:p w14:paraId="0223B8A7" w14:textId="318DA241" w:rsidR="00B668C1" w:rsidRPr="001F48B1" w:rsidRDefault="00B668C1" w:rsidP="00A64A6D">
      <w:pPr>
        <w:pStyle w:val="Nivel1SM"/>
        <w:keepNext/>
        <w:spacing w:before="0"/>
      </w:pPr>
      <w:r w:rsidRPr="005C735A">
        <w:rPr>
          <w:b/>
          <w:bCs/>
        </w:rPr>
        <w:t xml:space="preserve">Si se dieran los </w:t>
      </w:r>
      <w:r w:rsidR="005C735A">
        <w:rPr>
          <w:b/>
          <w:bCs/>
        </w:rPr>
        <w:t>5 </w:t>
      </w:r>
      <w:r w:rsidRPr="005C735A">
        <w:rPr>
          <w:b/>
          <w:bCs/>
        </w:rPr>
        <w:t>axiomas, entonces se garantiza por el Teorema de la Utilidad Esperada que la relación binaria de preferencias puede representarse mediante una función de utilidad con una forma concreta</w:t>
      </w:r>
      <w:r>
        <w:t xml:space="preserve">: la </w:t>
      </w:r>
      <w:r w:rsidRPr="00A15092">
        <w:rPr>
          <w:i/>
          <w:iCs/>
          <w:u w:val="single"/>
        </w:rPr>
        <w:t xml:space="preserve">función de utilidad esperada de </w:t>
      </w:r>
      <w:r w:rsidR="00084BF4">
        <w:rPr>
          <w:i/>
          <w:iCs/>
          <w:smallCaps/>
          <w:u w:val="single"/>
        </w:rPr>
        <w:t>von Neumann</w:t>
      </w:r>
      <w:r w:rsidRPr="00B4650C">
        <w:rPr>
          <w:i/>
          <w:iCs/>
          <w:smallCaps/>
          <w:u w:val="single"/>
        </w:rPr>
        <w:t>-</w:t>
      </w:r>
      <w:r w:rsidRPr="00A15092">
        <w:rPr>
          <w:i/>
          <w:iCs/>
          <w:smallCaps/>
          <w:u w:val="single"/>
        </w:rPr>
        <w:t>Morgenstern</w:t>
      </w:r>
      <w:r>
        <w:t>.</w:t>
      </w:r>
    </w:p>
    <w:p w14:paraId="40D564EC" w14:textId="15593234" w:rsidR="00B62CE4" w:rsidRDefault="00B62CE4" w:rsidP="00B62CE4">
      <w:pPr>
        <w:pStyle w:val="Ttulo7"/>
      </w:pPr>
      <w:bookmarkStart w:id="19" w:name="_Toc172232532"/>
      <w:r>
        <w:t>Teorema de la Utilidad Esperada</w:t>
      </w:r>
      <w:bookmarkEnd w:id="19"/>
    </w:p>
    <w:p w14:paraId="19E7ADC4" w14:textId="4C8A2315" w:rsidR="00B62CE4" w:rsidRDefault="00B62CE4" w:rsidP="00AA6BE9">
      <w:pPr>
        <w:pStyle w:val="Nivel1SM"/>
        <w:keepNext/>
        <w:spacing w:before="0" w:after="0"/>
      </w:pPr>
      <w:r>
        <w:t xml:space="preserve">El </w:t>
      </w:r>
      <w:r w:rsidR="00AC74A9" w:rsidRPr="00AC74A9">
        <w:rPr>
          <w:i/>
          <w:iCs/>
        </w:rPr>
        <w:t>T</w:t>
      </w:r>
      <w:r w:rsidRPr="00AC74A9">
        <w:rPr>
          <w:i/>
          <w:iCs/>
        </w:rPr>
        <w:t xml:space="preserve">eorema </w:t>
      </w:r>
      <w:r w:rsidR="00AC74A9" w:rsidRPr="00AC74A9">
        <w:rPr>
          <w:i/>
          <w:iCs/>
        </w:rPr>
        <w:t>de la Utilidad Esperada</w:t>
      </w:r>
      <w:r w:rsidR="00AC74A9">
        <w:t xml:space="preserve"> </w:t>
      </w:r>
      <w:r>
        <w:t>demuestra que exist</w:t>
      </w:r>
      <w:r w:rsidR="00002FC6">
        <w:t xml:space="preserve">en unos índices de </w:t>
      </w:r>
      <w:r>
        <w:t>utilidad, llamad</w:t>
      </w:r>
      <w:r w:rsidR="00002FC6">
        <w:t xml:space="preserve">os </w:t>
      </w:r>
      <w:r>
        <w:rPr>
          <w:i/>
          <w:iCs/>
        </w:rPr>
        <w:t>de Bernoulli</w:t>
      </w:r>
      <w:r>
        <w:t xml:space="preserve"> y definid</w:t>
      </w:r>
      <w:r w:rsidR="003B13C5">
        <w:t xml:space="preserve">os </w:t>
      </w:r>
      <w:r w:rsidR="009F1A7D">
        <w:t>sobre los premios ciertos</w:t>
      </w:r>
      <w:r w:rsidR="00B14FE0">
        <w:t>,</w:t>
      </w:r>
      <w:r w:rsidR="009F1A7D">
        <w:t xml:space="preserve"> </w:t>
      </w:r>
      <m:oMath>
        <m:sSub>
          <m:sSubPr>
            <m:ctrlPr>
              <w:rPr>
                <w:rFonts w:ascii="Cambria Math" w:hAnsi="Cambria Math"/>
                <w:i/>
                <w:iCs/>
              </w:rPr>
            </m:ctrlPr>
          </m:sSubPr>
          <m:e>
            <m:r>
              <m:rPr>
                <m:nor/>
              </m:rPr>
              <w:rPr>
                <w:i/>
                <w:iCs/>
              </w:rPr>
              <m:t>u</m:t>
            </m:r>
          </m:e>
          <m:sub>
            <m:r>
              <m:rPr>
                <m:nor/>
              </m:rPr>
              <w:rPr>
                <w:i/>
                <w:iCs/>
              </w:rPr>
              <m:t>c</m:t>
            </m:r>
          </m:sub>
        </m:sSub>
      </m:oMath>
      <w:r w:rsidR="00B14FE0">
        <w:t xml:space="preserve">, </w:t>
      </w:r>
      <w:r w:rsidR="009F1A7D">
        <w:t>que permite</w:t>
      </w:r>
      <w:r w:rsidR="003B13C5">
        <w:t>n</w:t>
      </w:r>
      <w:r w:rsidR="009F1A7D">
        <w:t xml:space="preserve"> calcular las </w:t>
      </w:r>
      <w:r w:rsidR="009F1A7D">
        <w:rPr>
          <w:i/>
          <w:iCs/>
        </w:rPr>
        <w:t>utilidades esperadas</w:t>
      </w:r>
      <w:r w:rsidR="009F1A7D">
        <w:t xml:space="preserve"> de acuerdo con una expresión </w:t>
      </w:r>
      <w:r w:rsidR="009F1A7D" w:rsidRPr="009F1A7D">
        <w:rPr>
          <w:i/>
          <w:iCs/>
        </w:rPr>
        <w:t>lineal</w:t>
      </w:r>
      <w:r w:rsidR="009F1A7D">
        <w:t xml:space="preserve"> (por el axioma de independencia) en las probabilidades:</w:t>
      </w:r>
    </w:p>
    <w:p w14:paraId="0A64D924" w14:textId="06C9592A" w:rsidR="009F1A7D" w:rsidRPr="00896484" w:rsidRDefault="00000000" w:rsidP="00AA6BE9">
      <w:pPr>
        <w:keepNext/>
        <w:spacing w:after="0"/>
        <w:rPr>
          <w:rFonts w:eastAsiaTheme="minorEastAsia"/>
          <w:i/>
          <w:iCs/>
        </w:rPr>
      </w:pPr>
      <m:oMathPara>
        <m:oMath>
          <m:borderBox>
            <m:borderBoxPr>
              <m:ctrlPr>
                <w:rPr>
                  <w:rFonts w:ascii="Cambria Math" w:hAnsi="Cambria Math"/>
                  <w:i/>
                  <w:iCs/>
                </w:rPr>
              </m:ctrlPr>
            </m:borderBoxPr>
            <m:e>
              <m:r>
                <m:rPr>
                  <m:nor/>
                </m:rPr>
                <w:rPr>
                  <w:i/>
                  <w:iCs/>
                </w:rPr>
                <m:t>V</m:t>
              </m:r>
              <m:d>
                <m:dPr>
                  <m:ctrlPr>
                    <w:rPr>
                      <w:rFonts w:ascii="Cambria Math" w:hAnsi="Cambria Math"/>
                      <w:i/>
                      <w:iCs/>
                    </w:rPr>
                  </m:ctrlPr>
                </m:dPr>
                <m:e>
                  <m:acc>
                    <m:accPr>
                      <m:chr m:val="̃"/>
                      <m:ctrlPr>
                        <w:rPr>
                          <w:rFonts w:ascii="Cambria Math" w:hAnsi="Cambria Math"/>
                          <w:i/>
                          <w:iCs/>
                        </w:rPr>
                      </m:ctrlPr>
                    </m:accPr>
                    <m:e>
                      <m:r>
                        <m:rPr>
                          <m:nor/>
                        </m:rPr>
                        <w:rPr>
                          <w:b/>
                          <w:bCs/>
                          <w:i/>
                          <w:iCs/>
                        </w:rPr>
                        <m:t>y</m:t>
                      </m:r>
                    </m:e>
                  </m:acc>
                </m:e>
              </m:d>
              <m:r>
                <w:rPr>
                  <w:rFonts w:ascii="Cambria Math" w:hAnsi="Cambria Math"/>
                </w:rPr>
                <m:t>≡</m:t>
              </m:r>
              <m:r>
                <m:rPr>
                  <m:nor/>
                </m:rPr>
                <w:rPr>
                  <w:i/>
                </w:rPr>
                <m:t>E</m:t>
              </m:r>
              <m:d>
                <m:dPr>
                  <m:begChr m:val="["/>
                  <m:endChr m:val="]"/>
                  <m:ctrlPr>
                    <w:rPr>
                      <w:rFonts w:ascii="Cambria Math" w:hAnsi="Cambria Math"/>
                      <w:i/>
                    </w:rPr>
                  </m:ctrlPr>
                </m:dPr>
                <m:e>
                  <m:r>
                    <m:rPr>
                      <m:nor/>
                    </m:rPr>
                    <w:rPr>
                      <w:i/>
                    </w:rPr>
                    <m:t>u</m:t>
                  </m:r>
                  <m:d>
                    <m:dPr>
                      <m:ctrlPr>
                        <w:rPr>
                          <w:rFonts w:ascii="Cambria Math" w:hAnsi="Cambria Math"/>
                          <w:i/>
                        </w:rPr>
                      </m:ctrlPr>
                    </m:dPr>
                    <m:e>
                      <m:acc>
                        <m:accPr>
                          <m:chr m:val="̃"/>
                          <m:ctrlPr>
                            <w:rPr>
                              <w:rFonts w:ascii="Cambria Math" w:hAnsi="Cambria Math"/>
                              <w:b/>
                              <w:bCs/>
                              <w:i/>
                            </w:rPr>
                          </m:ctrlPr>
                        </m:accPr>
                        <m:e>
                          <m:r>
                            <m:rPr>
                              <m:nor/>
                            </m:rPr>
                            <w:rPr>
                              <w:b/>
                              <w:bCs/>
                              <w:i/>
                            </w:rPr>
                            <m:t>y</m:t>
                          </m:r>
                        </m:e>
                      </m:acc>
                    </m:e>
                  </m:d>
                </m:e>
              </m:d>
              <m:r>
                <w:rPr>
                  <w:rFonts w:ascii="Cambria Math" w:hAnsi="Cambria Math"/>
                </w:rPr>
                <m:t>=</m:t>
              </m:r>
              <m:sSub>
                <m:sSubPr>
                  <m:ctrlPr>
                    <w:rPr>
                      <w:rFonts w:ascii="Cambria Math" w:hAnsi="Cambria Math"/>
                      <w:i/>
                      <w:iCs/>
                    </w:rPr>
                  </m:ctrlPr>
                </m:sSubPr>
                <m:e>
                  <m:r>
                    <m:rPr>
                      <m:nor/>
                    </m:rPr>
                    <w:rPr>
                      <w:i/>
                      <w:iCs/>
                    </w:rPr>
                    <m:t>u</m:t>
                  </m:r>
                </m:e>
                <m:sub>
                  <m:r>
                    <m:rPr>
                      <m:nor/>
                    </m:rPr>
                    <w:rPr>
                      <w:i/>
                      <w:iCs/>
                    </w:rPr>
                    <m:t>1</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1</m:t>
                  </m:r>
                </m:sub>
              </m:sSub>
              <m:r>
                <w:rPr>
                  <w:rFonts w:ascii="Cambria Math" w:hAnsi="Cambria Math"/>
                </w:rPr>
                <m:t>+</m:t>
              </m:r>
              <m:sSub>
                <m:sSubPr>
                  <m:ctrlPr>
                    <w:rPr>
                      <w:rFonts w:ascii="Cambria Math" w:hAnsi="Cambria Math"/>
                      <w:i/>
                      <w:iCs/>
                    </w:rPr>
                  </m:ctrlPr>
                </m:sSubPr>
                <m:e>
                  <m:r>
                    <m:rPr>
                      <m:nor/>
                    </m:rPr>
                    <w:rPr>
                      <w:i/>
                      <w:iCs/>
                    </w:rPr>
                    <m:t>u</m:t>
                  </m:r>
                </m:e>
                <m:sub>
                  <m:r>
                    <m:rPr>
                      <m:nor/>
                    </m:rPr>
                    <w:rPr>
                      <w:i/>
                      <w:iCs/>
                    </w:rPr>
                    <m:t>2</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2</m:t>
                  </m:r>
                </m:sub>
              </m:sSub>
              <m:r>
                <w:rPr>
                  <w:rFonts w:ascii="Cambria Math" w:hAnsi="Cambria Math"/>
                </w:rPr>
                <m:t>+…+</m:t>
              </m:r>
              <m:sSub>
                <m:sSubPr>
                  <m:ctrlPr>
                    <w:rPr>
                      <w:rFonts w:ascii="Cambria Math" w:hAnsi="Cambria Math"/>
                      <w:i/>
                      <w:iCs/>
                    </w:rPr>
                  </m:ctrlPr>
                </m:sSubPr>
                <m:e>
                  <m:r>
                    <m:rPr>
                      <m:nor/>
                    </m:rPr>
                    <w:rPr>
                      <w:i/>
                      <w:iCs/>
                    </w:rPr>
                    <m:t>u</m:t>
                  </m:r>
                </m:e>
                <m:sub>
                  <m:r>
                    <m:rPr>
                      <m:nor/>
                    </m:rPr>
                    <w:rPr>
                      <w:i/>
                      <w:iCs/>
                    </w:rPr>
                    <m:t>S</m:t>
                  </m:r>
                </m:sub>
              </m:sSub>
              <m:r>
                <w:rPr>
                  <w:rFonts w:ascii="Cambria Math" w:hAnsi="Cambria Math"/>
                </w:rPr>
                <m:t>∙</m:t>
              </m:r>
              <m:sSub>
                <m:sSubPr>
                  <m:ctrlPr>
                    <w:rPr>
                      <w:rFonts w:ascii="Cambria Math" w:hAnsi="Cambria Math"/>
                      <w:i/>
                      <w:iCs/>
                    </w:rPr>
                  </m:ctrlPr>
                </m:sSubPr>
                <m:e>
                  <m:r>
                    <m:rPr>
                      <m:nor/>
                    </m:rPr>
                    <w:rPr>
                      <w:i/>
                      <w:iCs/>
                    </w:rPr>
                    <m:t>p</m:t>
                  </m:r>
                </m:e>
                <m:sub>
                  <m:r>
                    <m:rPr>
                      <m:nor/>
                    </m:rPr>
                    <w:rPr>
                      <w:i/>
                      <w:iCs/>
                    </w:rPr>
                    <m:t>S</m:t>
                  </m:r>
                </m:sub>
              </m:sSub>
              <w:bookmarkStart w:id="20" w:name="_Hlk73300798"/>
              <m:r>
                <w:rPr>
                  <w:rFonts w:ascii="Cambria Math" w:hAnsi="Cambria Math"/>
                </w:rPr>
                <m:t>=</m:t>
              </m:r>
              <m:nary>
                <m:naryPr>
                  <m:chr m:val="∑"/>
                  <m:limLoc m:val="undOvr"/>
                  <m:ctrlPr>
                    <w:rPr>
                      <w:rFonts w:ascii="Cambria Math" w:hAnsi="Cambria Math"/>
                      <w:i/>
                      <w:iCs/>
                    </w:rPr>
                  </m:ctrlPr>
                </m:naryPr>
                <m:sub>
                  <m:r>
                    <m:rPr>
                      <m:nor/>
                    </m:rPr>
                    <w:rPr>
                      <w:i/>
                      <w:iCs/>
                    </w:rPr>
                    <m:t>s</m:t>
                  </m:r>
                  <m:r>
                    <w:rPr>
                      <w:rFonts w:ascii="Cambria Math" w:hAnsi="Cambria Math"/>
                    </w:rPr>
                    <m:t>=</m:t>
                  </m:r>
                  <m:r>
                    <m:rPr>
                      <m:nor/>
                    </m:rPr>
                    <w:rPr>
                      <w:i/>
                      <w:iCs/>
                    </w:rPr>
                    <m:t>1</m:t>
                  </m:r>
                </m:sub>
                <m:sup>
                  <m:r>
                    <m:rPr>
                      <m:nor/>
                    </m:rPr>
                    <w:rPr>
                      <w:i/>
                      <w:iCs/>
                    </w:rPr>
                    <m:t>S</m:t>
                  </m:r>
                </m:sup>
                <m:e>
                  <m:sSub>
                    <m:sSubPr>
                      <m:ctrlPr>
                        <w:rPr>
                          <w:rFonts w:ascii="Cambria Math" w:hAnsi="Cambria Math"/>
                          <w:i/>
                          <w:iCs/>
                        </w:rPr>
                      </m:ctrlPr>
                    </m:sSubPr>
                    <m:e>
                      <m:r>
                        <m:rPr>
                          <m:nor/>
                        </m:rPr>
                        <w:rPr>
                          <w:i/>
                          <w:iCs/>
                        </w:rPr>
                        <m:t>u</m:t>
                      </m:r>
                    </m:e>
                    <m:sub>
                      <m:r>
                        <m:rPr>
                          <m:nor/>
                        </m:rPr>
                        <w:rPr>
                          <w:i/>
                          <w:iCs/>
                        </w:rPr>
                        <m:t>s</m:t>
                      </m:r>
                    </m:sub>
                  </m:sSub>
                  <w:bookmarkStart w:id="21" w:name="_Hlk99728108"/>
                  <m:r>
                    <w:rPr>
                      <w:rFonts w:ascii="Cambria Math" w:hAnsi="Cambria Math"/>
                    </w:rPr>
                    <m:t>∙</m:t>
                  </m:r>
                  <w:bookmarkEnd w:id="21"/>
                  <m:sSub>
                    <m:sSubPr>
                      <m:ctrlPr>
                        <w:rPr>
                          <w:rFonts w:ascii="Cambria Math" w:hAnsi="Cambria Math"/>
                          <w:i/>
                          <w:iCs/>
                        </w:rPr>
                      </m:ctrlPr>
                    </m:sSubPr>
                    <m:e>
                      <m:r>
                        <m:rPr>
                          <m:nor/>
                        </m:rPr>
                        <w:rPr>
                          <w:i/>
                          <w:iCs/>
                        </w:rPr>
                        <m:t>p</m:t>
                      </m:r>
                    </m:e>
                    <m:sub>
                      <m:r>
                        <m:rPr>
                          <m:nor/>
                        </m:rPr>
                        <w:rPr>
                          <w:i/>
                          <w:iCs/>
                        </w:rPr>
                        <m:t>s</m:t>
                      </m:r>
                    </m:sub>
                  </m:sSub>
                </m:e>
              </m:nary>
              <w:bookmarkEnd w:id="20"/>
            </m:e>
          </m:borderBox>
        </m:oMath>
      </m:oMathPara>
    </w:p>
    <w:p w14:paraId="3974D668" w14:textId="237441D9" w:rsidR="00896484" w:rsidRDefault="00896484" w:rsidP="00AA6BE9">
      <w:pPr>
        <w:pStyle w:val="Nivel2SM"/>
        <w:keepNext/>
        <w:spacing w:after="0"/>
      </w:pPr>
      <w:r>
        <w:t xml:space="preserve">En palabras, la </w:t>
      </w:r>
      <w:r>
        <w:rPr>
          <w:b/>
          <w:bCs/>
        </w:rPr>
        <w:t xml:space="preserve">función de utilidad esperada o de </w:t>
      </w:r>
      <w:r w:rsidR="00084BF4">
        <w:rPr>
          <w:b/>
          <w:bCs/>
        </w:rPr>
        <w:t>von Neumann</w:t>
      </w:r>
      <w:r>
        <w:rPr>
          <w:b/>
          <w:bCs/>
        </w:rPr>
        <w:t>-Morgenstern</w:t>
      </w:r>
      <w:r w:rsidR="006C30AE" w:rsidRPr="006C30AE">
        <w:t>,</w:t>
      </w:r>
      <m:oMath>
        <m:r>
          <w:rPr>
            <w:rFonts w:ascii="Cambria Math" w:hAnsi="Cambria Math"/>
          </w:rPr>
          <m:t xml:space="preserve"> </m:t>
        </m:r>
        <m:r>
          <m:rPr>
            <m:nor/>
          </m:rPr>
          <w:rPr>
            <w:i/>
            <w:iCs/>
          </w:rPr>
          <m:t>V</m:t>
        </m:r>
        <m:d>
          <m:dPr>
            <m:ctrlPr>
              <w:rPr>
                <w:rFonts w:ascii="Cambria Math" w:hAnsi="Cambria Math"/>
                <w:i/>
                <w:iCs/>
              </w:rPr>
            </m:ctrlPr>
          </m:dPr>
          <m:e>
            <m:acc>
              <m:accPr>
                <m:chr m:val="̃"/>
                <m:ctrlPr>
                  <w:rPr>
                    <w:rFonts w:ascii="Cambria Math" w:hAnsi="Cambria Math"/>
                    <w:i/>
                    <w:iCs/>
                  </w:rPr>
                </m:ctrlPr>
              </m:accPr>
              <m:e>
                <m:r>
                  <m:rPr>
                    <m:nor/>
                  </m:rPr>
                  <w:rPr>
                    <w:b/>
                    <w:bCs/>
                    <w:i/>
                    <w:iCs/>
                  </w:rPr>
                  <m:t>y</m:t>
                </m:r>
              </m:e>
            </m:acc>
          </m:e>
        </m:d>
      </m:oMath>
      <w:r w:rsidR="006C30AE">
        <w:t>,</w:t>
      </w:r>
      <w:r>
        <w:t xml:space="preserve"> no es más que la suma ponderada de los elementos que componen la lotería:</w:t>
      </w:r>
    </w:p>
    <w:p w14:paraId="0CD1FF02" w14:textId="70A93FB9" w:rsidR="00896484" w:rsidRDefault="00A64A6D" w:rsidP="00AA6BE9">
      <w:pPr>
        <w:pStyle w:val="Nivel3SM"/>
      </w:pPr>
      <w:r>
        <w:t>L</w:t>
      </w:r>
      <w:r w:rsidR="00896484">
        <w:t xml:space="preserve">as </w:t>
      </w:r>
      <w:r w:rsidR="00896484" w:rsidRPr="006C30AE">
        <w:rPr>
          <w:i/>
          <w:iCs/>
          <w:u w:val="single"/>
        </w:rPr>
        <w:t>probabilidades</w:t>
      </w:r>
      <w:r w:rsidR="003C0360" w:rsidRPr="003C0360">
        <w:t>,</w:t>
      </w:r>
      <w:r w:rsidR="00896484">
        <w:t xml:space="preserve"> </w:t>
      </w:r>
      <m:oMath>
        <m:sSub>
          <m:sSubPr>
            <m:ctrlPr>
              <w:rPr>
                <w:rFonts w:ascii="Cambria Math" w:hAnsi="Cambria Math"/>
                <w:i/>
                <w:iCs/>
              </w:rPr>
            </m:ctrlPr>
          </m:sSubPr>
          <m:e>
            <m:r>
              <m:rPr>
                <m:nor/>
              </m:rPr>
              <w:rPr>
                <w:i/>
                <w:iCs/>
              </w:rPr>
              <m:t>p</m:t>
            </m:r>
          </m:e>
          <m:sub>
            <m:r>
              <m:rPr>
                <m:nor/>
              </m:rPr>
              <w:rPr>
                <w:i/>
                <w:iCs/>
              </w:rPr>
              <m:t>s</m:t>
            </m:r>
          </m:sub>
        </m:sSub>
      </m:oMath>
      <w:r>
        <w:rPr>
          <w:rFonts w:eastAsiaTheme="minorEastAsia"/>
          <w:iCs/>
        </w:rPr>
        <w:t>,</w:t>
      </w:r>
    </w:p>
    <w:p w14:paraId="164E7EE6" w14:textId="45E01955" w:rsidR="00896484" w:rsidRPr="00C649A1" w:rsidRDefault="00A64A6D" w:rsidP="00AA6BE9">
      <w:pPr>
        <w:pStyle w:val="Nivel3SM"/>
      </w:pPr>
      <w:r w:rsidRPr="00C649A1">
        <w:t>P</w:t>
      </w:r>
      <w:r w:rsidR="00896484" w:rsidRPr="00C649A1">
        <w:t xml:space="preserve">onderadas por unos índices de utilidad cierta asignados a cada uno de los resultados que se denominarán </w:t>
      </w:r>
      <w:r w:rsidR="00896484" w:rsidRPr="00C649A1">
        <w:rPr>
          <w:i/>
          <w:iCs/>
          <w:u w:val="single"/>
        </w:rPr>
        <w:t>utilidades de Bernoulli</w:t>
      </w:r>
      <w:r w:rsidR="003C0360" w:rsidRPr="00C649A1">
        <w:t xml:space="preserve">, </w:t>
      </w:r>
      <m:oMath>
        <m:sSub>
          <m:sSubPr>
            <m:ctrlPr>
              <w:rPr>
                <w:rFonts w:ascii="Cambria Math" w:hAnsi="Cambria Math"/>
                <w:i/>
                <w:iCs/>
              </w:rPr>
            </m:ctrlPr>
          </m:sSubPr>
          <m:e>
            <m:r>
              <m:rPr>
                <m:nor/>
              </m:rPr>
              <w:rPr>
                <w:i/>
                <w:iCs/>
              </w:rPr>
              <m:t>u</m:t>
            </m:r>
          </m:e>
          <m:sub>
            <m:r>
              <m:rPr>
                <m:nor/>
              </m:rPr>
              <w:rPr>
                <w:i/>
                <w:iCs/>
              </w:rPr>
              <m:t>s</m:t>
            </m:r>
          </m:sub>
        </m:sSub>
      </m:oMath>
      <w:r w:rsidR="00C649A1" w:rsidRPr="00C649A1">
        <w:rPr>
          <w:rFonts w:eastAsiaTheme="minorEastAsia"/>
          <w:iCs/>
        </w:rPr>
        <w:t xml:space="preserve"> </w:t>
      </w:r>
      <w:r w:rsidR="00C649A1" w:rsidRPr="00C649A1">
        <w:rPr>
          <w:sz w:val="19"/>
          <w:szCs w:val="19"/>
        </w:rPr>
        <w:t xml:space="preserve">(siguiendo la terminología de </w:t>
      </w:r>
      <w:r w:rsidR="00C649A1" w:rsidRPr="00C649A1">
        <w:rPr>
          <w:smallCaps/>
          <w:sz w:val="19"/>
          <w:szCs w:val="19"/>
        </w:rPr>
        <w:t>Mas-Colell</w:t>
      </w:r>
      <w:r w:rsidR="00C649A1" w:rsidRPr="00C649A1">
        <w:rPr>
          <w:sz w:val="19"/>
          <w:szCs w:val="19"/>
        </w:rPr>
        <w:t xml:space="preserve"> </w:t>
      </w:r>
      <w:r w:rsidR="00C649A1" w:rsidRPr="00C649A1">
        <w:rPr>
          <w:i/>
          <w:iCs/>
          <w:sz w:val="19"/>
          <w:szCs w:val="19"/>
        </w:rPr>
        <w:t>et al</w:t>
      </w:r>
      <w:r w:rsidR="00C649A1" w:rsidRPr="00C649A1">
        <w:rPr>
          <w:sz w:val="19"/>
          <w:szCs w:val="19"/>
        </w:rPr>
        <w:t xml:space="preserve"> (1995))</w:t>
      </w:r>
      <w:r w:rsidR="00896484" w:rsidRPr="00C649A1">
        <w:t>.</w:t>
      </w:r>
    </w:p>
    <w:p w14:paraId="5B102903" w14:textId="40057238" w:rsidR="00183769" w:rsidRDefault="00817F69" w:rsidP="006C30AE">
      <w:pPr>
        <w:pStyle w:val="Nivel1SM"/>
      </w:pPr>
      <w:r>
        <w:t>Esto es, el teorema garantiza que</w:t>
      </w:r>
      <w:r w:rsidR="00F80FBA">
        <w:t>,</w:t>
      </w:r>
      <w:r>
        <w:t xml:space="preserve"> dados unos axiomas de las preferencias sobre loterías, el agente se comporta como si asignase unas utilidades a cada uno de los resultados, que sirven como ponderación de las probabilidades de cada resultado.</w:t>
      </w:r>
    </w:p>
    <w:p w14:paraId="3DBDB2B2" w14:textId="5EF9913E" w:rsidR="00B4650C" w:rsidRDefault="00B4650C" w:rsidP="00B4650C">
      <w:pPr>
        <w:pStyle w:val="Ttulo7"/>
        <w:rPr>
          <w:smallCaps/>
        </w:rPr>
      </w:pPr>
      <w:bookmarkStart w:id="22" w:name="_Toc172232533"/>
      <w:r>
        <w:lastRenderedPageBreak/>
        <w:t xml:space="preserve">Propiedades de la función de utilidad esperada de </w:t>
      </w:r>
      <w:r w:rsidR="00084BF4">
        <w:rPr>
          <w:smallCaps/>
        </w:rPr>
        <w:t>von Neumann</w:t>
      </w:r>
      <w:r w:rsidRPr="00B4650C">
        <w:t>-</w:t>
      </w:r>
      <w:r w:rsidRPr="00B4650C">
        <w:rPr>
          <w:smallCaps/>
        </w:rPr>
        <w:t>Morgenstern</w:t>
      </w:r>
      <w:bookmarkEnd w:id="22"/>
    </w:p>
    <w:p w14:paraId="78E476DE" w14:textId="119F6D41" w:rsidR="00B4650C" w:rsidRPr="00B4650C" w:rsidRDefault="00B4650C" w:rsidP="006C30AE">
      <w:pPr>
        <w:pStyle w:val="Nivel1SM"/>
        <w:keepNext/>
        <w:spacing w:before="0" w:after="0"/>
      </w:pPr>
      <w:r>
        <w:t>El teorema garantiza que esta función de utilidad esperada:</w:t>
      </w:r>
    </w:p>
    <w:p w14:paraId="680A3F94" w14:textId="4FB5D190" w:rsidR="002D4AF0" w:rsidRDefault="00B4650C" w:rsidP="006C30AE">
      <w:pPr>
        <w:pStyle w:val="Nivel2SM"/>
        <w:keepNext/>
      </w:pPr>
      <w:r>
        <w:rPr>
          <w:i/>
          <w:iCs/>
          <w:u w:val="single"/>
        </w:rPr>
        <w:t>P</w:t>
      </w:r>
      <w:r w:rsidR="002D4AF0" w:rsidRPr="00B4650C">
        <w:rPr>
          <w:i/>
          <w:iCs/>
          <w:u w:val="single"/>
        </w:rPr>
        <w:t>reservará el orden de las preferencias</w:t>
      </w:r>
      <w:r w:rsidR="002D4AF0">
        <w:t>, de tal manera que</w:t>
      </w:r>
      <w:r w:rsidR="00E85377">
        <w:t>:</w:t>
      </w:r>
    </w:p>
    <w:p w14:paraId="0B481C31" w14:textId="78426C51" w:rsidR="00310131" w:rsidRPr="007F07CD" w:rsidRDefault="002D4AF0" w:rsidP="00D4319A">
      <w:pPr>
        <w:pStyle w:val="Nivel2SM"/>
        <w:keepNext/>
        <w:numPr>
          <w:ilvl w:val="0"/>
          <w:numId w:val="0"/>
        </w:numPr>
        <w:spacing w:after="0"/>
        <w:ind w:left="567"/>
        <w:rPr>
          <w:rFonts w:eastAsiaTheme="minorEastAsia"/>
          <w:i/>
          <w:iCs/>
        </w:rPr>
      </w:pPr>
      <m:oMathPara>
        <m:oMath>
          <m:r>
            <m:rPr>
              <m:nor/>
            </m:rPr>
            <w:rPr>
              <w:rFonts w:eastAsiaTheme="minorEastAsia"/>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r>
            <m:rPr>
              <m:nor/>
            </m:rPr>
            <w:rPr>
              <w:rFonts w:ascii="Cambria Math" w:hAnsi="Cambria Math" w:cs="Cambria Math"/>
            </w:rPr>
            <m:t xml:space="preserve"> ≿ </m:t>
          </m:r>
          <m:r>
            <m:rPr>
              <m:nor/>
            </m:rPr>
            <w:rPr>
              <w:i/>
            </w:rPr>
            <m:t xml:space="preserve"> </m:t>
          </m:r>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2</m:t>
              </m:r>
            </m:sup>
          </m:sSup>
          <m:r>
            <m:rPr>
              <m:nor/>
            </m:rPr>
            <w:rPr>
              <w:rFonts w:ascii="Cambria Math" w:hAnsi="Cambria Math" w:cs="Cambria Math"/>
              <w:i/>
              <w:iCs/>
            </w:rPr>
            <m:t xml:space="preserve"> </m:t>
          </m:r>
          <m:r>
            <m:rPr>
              <m:nor/>
            </m:rPr>
            <w:rPr>
              <w:rFonts w:ascii="Cambria Math" w:hAnsi="Cambria Math" w:cs="Cambria Math"/>
            </w:rPr>
            <m:t>⇔</m:t>
          </m:r>
          <m:r>
            <m:rPr>
              <m:nor/>
            </m:rPr>
            <w:rPr>
              <w:rFonts w:ascii="Cambria Math" w:hAnsi="Cambria Math" w:cs="Cambria Math"/>
              <w:i/>
              <w:iCs/>
            </w:rPr>
            <m:t xml:space="preserve"> </m:t>
          </m:r>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1</m:t>
                      </m:r>
                    </m:sup>
                  </m:sSup>
                </m:e>
              </m:d>
            </m:e>
          </m:d>
          <m:r>
            <m:rPr>
              <m:nor/>
            </m:rPr>
            <w:rPr>
              <w:rFonts w:ascii="Cambria Math"/>
            </w:rPr>
            <m:t xml:space="preserve"> </m:t>
          </m:r>
          <m:r>
            <m:rPr>
              <m:nor/>
            </m:rPr>
            <m:t>≥</m:t>
          </m:r>
          <m:r>
            <m:rPr>
              <m:nor/>
            </m:rPr>
            <w:rPr>
              <w:rFonts w:ascii="Cambria Math"/>
            </w:rPr>
            <m:t xml:space="preserve"> </m:t>
          </m:r>
          <m:r>
            <m:rPr>
              <m:nor/>
            </m:rPr>
            <w:rPr>
              <w:i/>
              <w:iCs/>
            </w:rPr>
            <m:t>E</m:t>
          </m:r>
          <m:d>
            <m:dPr>
              <m:begChr m:val="["/>
              <m:endChr m:val="]"/>
              <m:ctrlPr>
                <w:rPr>
                  <w:rFonts w:ascii="Cambria Math" w:hAnsi="Cambria Math"/>
                  <w:i/>
                  <w:iCs/>
                </w:rPr>
              </m:ctrlPr>
            </m:dPr>
            <m:e>
              <m:r>
                <m:rPr>
                  <m:nor/>
                </m:rPr>
                <w:rPr>
                  <w:i/>
                  <w:iCs/>
                </w:rPr>
                <m:t>u</m:t>
              </m:r>
              <m:d>
                <m:dPr>
                  <m:ctrlPr>
                    <w:rPr>
                      <w:rFonts w:ascii="Cambria Math" w:hAnsi="Cambria Math"/>
                      <w:i/>
                      <w:iCs/>
                    </w:rPr>
                  </m:ctrlPr>
                </m:dPr>
                <m:e>
                  <m:sSup>
                    <m:sSupPr>
                      <m:ctrlPr>
                        <w:rPr>
                          <w:rFonts w:ascii="Cambria Math" w:hAnsi="Cambria Math"/>
                          <w:i/>
                          <w:iCs/>
                        </w:rPr>
                      </m:ctrlPr>
                    </m:sSupPr>
                    <m:e>
                      <m:acc>
                        <m:accPr>
                          <m:chr m:val="̃"/>
                          <m:ctrlPr>
                            <w:rPr>
                              <w:rFonts w:ascii="Cambria Math" w:hAnsi="Cambria Math"/>
                              <w:i/>
                              <w:iCs/>
                            </w:rPr>
                          </m:ctrlPr>
                        </m:accPr>
                        <m:e>
                          <m:r>
                            <m:rPr>
                              <m:nor/>
                            </m:rPr>
                            <w:rPr>
                              <w:i/>
                              <w:iCs/>
                            </w:rPr>
                            <m:t>y</m:t>
                          </m:r>
                        </m:e>
                      </m:acc>
                    </m:e>
                    <m:sup>
                      <m:r>
                        <m:rPr>
                          <m:nor/>
                        </m:rPr>
                        <w:rPr>
                          <w:i/>
                          <w:iCs/>
                        </w:rPr>
                        <m:t>2</m:t>
                      </m:r>
                    </m:sup>
                  </m:sSup>
                </m:e>
              </m:d>
            </m:e>
          </m:d>
        </m:oMath>
      </m:oMathPara>
    </w:p>
    <w:p w14:paraId="3F583495" w14:textId="77777777" w:rsidR="00555355" w:rsidRDefault="00601533" w:rsidP="00555355">
      <w:pPr>
        <w:pStyle w:val="Nivel3SM"/>
        <w:keepNext/>
        <w:rPr>
          <w:spacing w:val="-1"/>
        </w:rPr>
      </w:pPr>
      <w:r w:rsidRPr="00D4319A">
        <w:rPr>
          <w:spacing w:val="-1"/>
        </w:rPr>
        <w:t>Aquí se ve mejor que las preferencias se definen sobre las loterías, siendo estas distribuciones de probabilidades objetivas que son útiles en función de los pagos asociados.</w:t>
      </w:r>
    </w:p>
    <w:p w14:paraId="27424687" w14:textId="7D0837F9" w:rsidR="007F07CD" w:rsidRPr="00555355" w:rsidRDefault="00601533" w:rsidP="00555355">
      <w:pPr>
        <w:pStyle w:val="Nivel4"/>
        <w:ind w:left="1474"/>
        <w:rPr>
          <w:spacing w:val="-4"/>
        </w:rPr>
      </w:pPr>
      <w:r w:rsidRPr="00555355">
        <w:rPr>
          <w:spacing w:val="-4"/>
        </w:rPr>
        <w:t>La teoría recibe su nombre de Utilidad Esperada porque en situaciones de riesgo se considera que el agente valora las diferentes loterías, no según la utilidad de la esperanza del resultado</w:t>
      </w:r>
      <w:r w:rsidR="00D4319A" w:rsidRPr="00555355">
        <w:rPr>
          <w:spacing w:val="-4"/>
        </w:rPr>
        <w:t>,</w:t>
      </w:r>
      <w:r w:rsidRPr="00555355">
        <w:rPr>
          <w:spacing w:val="-4"/>
        </w:rPr>
        <w:t xml:space="preserve"> sino </w:t>
      </w:r>
      <w:r w:rsidRPr="00555355">
        <w:rPr>
          <w:spacing w:val="-4"/>
          <w:u w:val="single"/>
        </w:rPr>
        <w:t>según la esperanza de las utilidades de los diferentes resultados</w:t>
      </w:r>
      <w:r w:rsidRPr="00555355">
        <w:rPr>
          <w:rStyle w:val="Refdenotaalpie"/>
          <w:rFonts w:eastAsiaTheme="minorEastAsia"/>
          <w:spacing w:val="-4"/>
        </w:rPr>
        <w:footnoteReference w:id="21"/>
      </w:r>
      <w:r w:rsidRPr="00555355">
        <w:rPr>
          <w:spacing w:val="-4"/>
        </w:rPr>
        <w:t>.</w:t>
      </w:r>
    </w:p>
    <w:p w14:paraId="77809F84" w14:textId="713F025B" w:rsidR="00B4650C" w:rsidRPr="00D829F9" w:rsidRDefault="00B4650C" w:rsidP="006C30AE">
      <w:pPr>
        <w:pStyle w:val="Nivel2SM"/>
      </w:pPr>
      <w:r w:rsidRPr="00B4650C">
        <w:t xml:space="preserve">Es </w:t>
      </w:r>
      <w:r>
        <w:rPr>
          <w:i/>
          <w:iCs/>
          <w:u w:val="single"/>
        </w:rPr>
        <w:t>separable y aditiva</w:t>
      </w:r>
      <w:r>
        <w:t xml:space="preserve"> y es una </w:t>
      </w:r>
      <w:r w:rsidRPr="00B4650C">
        <w:rPr>
          <w:i/>
          <w:iCs/>
          <w:u w:val="single"/>
        </w:rPr>
        <w:t>función lineal en probabilidades</w:t>
      </w:r>
      <w:r>
        <w:t xml:space="preserve"> lo que la hace conveniente desde un punto de vista analítico.</w:t>
      </w:r>
    </w:p>
    <w:p w14:paraId="63ED61F2" w14:textId="1BA94DA2" w:rsidR="00AC74A9" w:rsidRDefault="00AC74A9" w:rsidP="00AC74A9">
      <w:pPr>
        <w:pStyle w:val="Ttulo7"/>
      </w:pPr>
      <w:bookmarkStart w:id="23" w:name="_Toc172232534"/>
      <w:r>
        <w:t>Conjunto de resultados continuo</w:t>
      </w:r>
      <w:bookmarkEnd w:id="23"/>
    </w:p>
    <w:p w14:paraId="5C251685" w14:textId="77777777" w:rsidR="00577352" w:rsidRDefault="00372A1B" w:rsidP="00372A1B">
      <w:pPr>
        <w:pStyle w:val="Notaalopositor"/>
      </w:pPr>
      <w:r>
        <w:t>Importante hacer el matiz de que vamos a trabajar con un conjunto de resultados continuos.</w:t>
      </w:r>
    </w:p>
    <w:p w14:paraId="0490289D" w14:textId="61A77036" w:rsidR="00D61153" w:rsidRDefault="00817F69" w:rsidP="00D61153">
      <w:pPr>
        <w:pStyle w:val="Nivel1SM"/>
        <w:keepNext/>
        <w:spacing w:before="0" w:after="0"/>
      </w:pPr>
      <w:r>
        <w:t xml:space="preserve">Cuando el conjunto de resultados </w:t>
      </w:r>
      <w:r>
        <w:rPr>
          <w:i/>
          <w:iCs/>
        </w:rPr>
        <w:t>C</w:t>
      </w:r>
      <w:r>
        <w:t xml:space="preserve"> es un intervalo continuo de la recta real, la lotería o distribución de probabilidades pasa a ser función de distribución acumulada</w:t>
      </w:r>
      <w:r w:rsidR="00821061">
        <w:t xml:space="preserve"> </w:t>
      </w:r>
      <m:oMath>
        <m:r>
          <m:rPr>
            <m:nor/>
          </m:rPr>
          <w:rPr>
            <w:rFonts w:eastAsiaTheme="minorEastAsia"/>
            <w:iCs/>
          </w:rPr>
          <m:t>(</m:t>
        </m:r>
        <m:r>
          <m:rPr>
            <m:nor/>
          </m:rPr>
          <w:rPr>
            <w:i/>
          </w:rPr>
          <m:t>F</m:t>
        </m:r>
        <m:d>
          <m:dPr>
            <m:ctrlPr>
              <w:rPr>
                <w:rFonts w:ascii="Cambria Math" w:hAnsi="Cambria Math"/>
                <w:i/>
                <w:iCs/>
              </w:rPr>
            </m:ctrlPr>
          </m:dPr>
          <m:e>
            <m:r>
              <m:rPr>
                <m:nor/>
              </m:rPr>
              <w:rPr>
                <w:i/>
                <w:iCs/>
              </w:rPr>
              <m:t>x</m:t>
            </m:r>
          </m:e>
        </m:d>
        <m:r>
          <m:rPr>
            <m:sty m:val="p"/>
          </m:rPr>
          <w:rPr>
            <w:rFonts w:ascii="Cambria Math" w:hAnsi="Cambria Math"/>
          </w:rPr>
          <m:t>=</m:t>
        </m:r>
        <m:r>
          <m:rPr>
            <m:nor/>
          </m:rPr>
          <w:rPr>
            <w:i/>
          </w:rPr>
          <m:t>prob</m:t>
        </m:r>
        <m:d>
          <m:dPr>
            <m:ctrlPr>
              <w:rPr>
                <w:rFonts w:ascii="Cambria Math" w:hAnsi="Cambria Math"/>
                <w:i/>
              </w:rPr>
            </m:ctrlPr>
          </m:dPr>
          <m:e>
            <m:acc>
              <m:accPr>
                <m:chr m:val="̃"/>
                <m:ctrlPr>
                  <w:rPr>
                    <w:rFonts w:ascii="Cambria Math" w:hAnsi="Cambria Math"/>
                    <w:i/>
                  </w:rPr>
                </m:ctrlPr>
              </m:accPr>
              <m:e>
                <m:r>
                  <m:rPr>
                    <m:nor/>
                  </m:rPr>
                  <w:rPr>
                    <w:i/>
                  </w:rPr>
                  <m:t>x</m:t>
                </m:r>
              </m:e>
            </m:acc>
            <m:r>
              <w:rPr>
                <w:rFonts w:ascii="Cambria Math" w:hAnsi="Cambria Math"/>
              </w:rPr>
              <m:t>≤</m:t>
            </m:r>
            <m:r>
              <m:rPr>
                <m:nor/>
              </m:rPr>
              <w:rPr>
                <w:i/>
                <w:iCs/>
              </w:rPr>
              <m:t>x</m:t>
            </m:r>
          </m:e>
        </m:d>
        <m:r>
          <m:rPr>
            <m:nor/>
          </m:rPr>
          <w:rPr>
            <w:rFonts w:eastAsiaTheme="minorEastAsia"/>
            <w:iCs/>
          </w:rPr>
          <m:t>)</m:t>
        </m:r>
      </m:oMath>
      <w:r w:rsidR="00821061">
        <w:t xml:space="preserve"> </w:t>
      </w:r>
      <w:r>
        <w:t xml:space="preserve">y los niveles de utilidad cierta de Bernoulli se convierten en una función de variable real denominada </w:t>
      </w:r>
      <w:r w:rsidRPr="00817F69">
        <w:rPr>
          <w:i/>
          <w:iCs/>
        </w:rPr>
        <w:t>función de utilidad de</w:t>
      </w:r>
      <w:r>
        <w:t xml:space="preserve"> </w:t>
      </w:r>
      <w:r>
        <w:rPr>
          <w:i/>
          <w:iCs/>
        </w:rPr>
        <w:t>Bernoulli</w:t>
      </w:r>
      <w:r w:rsidR="00091706">
        <w:t xml:space="preserve">, </w:t>
      </w:r>
      <w:r w:rsidR="00091706">
        <w:rPr>
          <w:i/>
          <w:iCs/>
        </w:rPr>
        <w:t>u</w:t>
      </w:r>
      <w:r w:rsidR="00091706">
        <w:t>(</w:t>
      </w:r>
      <w:r w:rsidR="00091706">
        <w:rPr>
          <w:i/>
          <w:iCs/>
        </w:rPr>
        <w:t>x</w:t>
      </w:r>
      <w:r w:rsidR="00091706">
        <w:t>)</w:t>
      </w:r>
      <w:r w:rsidR="00821061">
        <w:t>.</w:t>
      </w:r>
    </w:p>
    <w:p w14:paraId="2F46B83C" w14:textId="3E9A1625" w:rsidR="00817F69" w:rsidRPr="00D61153" w:rsidRDefault="00A7554A" w:rsidP="00D61153">
      <w:pPr>
        <w:pStyle w:val="Nivel2SM"/>
        <w:keepNext/>
        <w:spacing w:after="0"/>
        <w:rPr>
          <w:spacing w:val="-2"/>
        </w:rPr>
      </w:pPr>
      <w:r w:rsidRPr="00D61153">
        <w:rPr>
          <w:spacing w:val="-2"/>
        </w:rPr>
        <w:t>En este caso, asumiendo los mismo</w:t>
      </w:r>
      <w:r w:rsidR="007A23C4" w:rsidRPr="00D61153">
        <w:rPr>
          <w:spacing w:val="-2"/>
        </w:rPr>
        <w:t>s</w:t>
      </w:r>
      <w:r w:rsidRPr="00D61153">
        <w:rPr>
          <w:spacing w:val="-2"/>
        </w:rPr>
        <w:t xml:space="preserve"> axiomas y aplicando el Teorema de la Utilidad Esperada, la función de utilidad </w:t>
      </w:r>
      <w:r w:rsidR="00084BF4">
        <w:rPr>
          <w:spacing w:val="-2"/>
        </w:rPr>
        <w:t>von Neumann</w:t>
      </w:r>
      <w:r w:rsidRPr="00D61153">
        <w:rPr>
          <w:spacing w:val="-2"/>
        </w:rPr>
        <w:t xml:space="preserve">-Morgenstern quedaría simplemente como una integral </w:t>
      </w:r>
      <w:r w:rsidR="005652D7" w:rsidRPr="00D61153">
        <w:rPr>
          <w:spacing w:val="-2"/>
        </w:rPr>
        <w:t xml:space="preserve">conocida como </w:t>
      </w:r>
      <w:r w:rsidR="005652D7" w:rsidRPr="00D61153">
        <w:rPr>
          <w:i/>
          <w:iCs/>
          <w:spacing w:val="-2"/>
        </w:rPr>
        <w:t>Integral de Riemann-</w:t>
      </w:r>
      <w:proofErr w:type="spellStart"/>
      <w:r w:rsidR="005652D7" w:rsidRPr="00D61153">
        <w:rPr>
          <w:i/>
          <w:iCs/>
          <w:spacing w:val="-2"/>
        </w:rPr>
        <w:t>Stieltjes</w:t>
      </w:r>
      <w:proofErr w:type="spellEnd"/>
      <w:r w:rsidRPr="00D61153">
        <w:rPr>
          <w:spacing w:val="-2"/>
        </w:rPr>
        <w:t>,</w:t>
      </w:r>
      <w:r w:rsidR="005652D7" w:rsidRPr="00D61153">
        <w:rPr>
          <w:spacing w:val="-2"/>
        </w:rPr>
        <w:t xml:space="preserve"> que es la extensión de un sumatorio al caso continuo</w:t>
      </w:r>
      <w:r w:rsidR="00D61153" w:rsidRPr="00D61153">
        <w:rPr>
          <w:spacing w:val="-2"/>
        </w:rPr>
        <w:t>:</w:t>
      </w:r>
    </w:p>
    <w:p w14:paraId="0736E84C" w14:textId="1B5AD8C4" w:rsidR="00A7554A" w:rsidRPr="00A7554A" w:rsidRDefault="00A7554A" w:rsidP="00D61153">
      <w:pPr>
        <w:spacing w:after="0"/>
        <w:ind w:left="567" w:hanging="198"/>
        <w:rPr>
          <w:rFonts w:eastAsiaTheme="minorEastAsia"/>
        </w:rPr>
      </w:pPr>
      <m:oMathPara>
        <m:oMath>
          <m:r>
            <w:rPr>
              <w:rFonts w:ascii="Cambria Math" w:eastAsiaTheme="minorEastAsia" w:hAnsi="Cambria Math"/>
            </w:rPr>
            <m:t xml:space="preserve"> </m:t>
          </m:r>
          <m:r>
            <m:rPr>
              <m:nor/>
            </m:rPr>
            <w:rPr>
              <w:i/>
              <w:iCs/>
            </w:rPr>
            <m:t>V</m:t>
          </m:r>
          <m:d>
            <m:dPr>
              <m:ctrlPr>
                <w:rPr>
                  <w:rFonts w:ascii="Cambria Math" w:hAnsi="Cambria Math"/>
                  <w:i/>
                  <w:iCs/>
                </w:rPr>
              </m:ctrlPr>
            </m:dPr>
            <m:e>
              <m:r>
                <m:rPr>
                  <m:nor/>
                </m:rPr>
                <w:rPr>
                  <w:i/>
                  <w:iCs/>
                </w:rPr>
                <m:t>F</m:t>
              </m:r>
            </m:e>
          </m:d>
          <m:r>
            <w:rPr>
              <w:rFonts w:ascii="Cambria Math" w:hAnsi="Cambria Math"/>
            </w:rPr>
            <m:t>=</m:t>
          </m:r>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dF</m:t>
          </m:r>
          <w:proofErr w:type="spellEnd"/>
          <m:d>
            <m:dPr>
              <m:ctrlPr>
                <w:rPr>
                  <w:rFonts w:ascii="Cambria Math" w:hAnsi="Cambria Math"/>
                  <w:i/>
                  <w:iCs/>
                </w:rPr>
              </m:ctrlPr>
            </m:dPr>
            <m:e>
              <m:r>
                <m:rPr>
                  <m:nor/>
                </m:rPr>
                <w:rPr>
                  <w:i/>
                  <w:iCs/>
                </w:rPr>
                <m:t>x</m:t>
              </m:r>
            </m:e>
          </m:d>
        </m:oMath>
      </m:oMathPara>
    </w:p>
    <w:p w14:paraId="0AD31D23" w14:textId="41053350" w:rsidR="00A7554A" w:rsidRDefault="002375CA" w:rsidP="00D61153">
      <w:pPr>
        <w:pStyle w:val="Nivel2SM"/>
        <w:keepNext/>
        <w:spacing w:after="0"/>
      </w:pPr>
      <w:r>
        <w:t xml:space="preserve">Y, en el caso de que </w:t>
      </w:r>
      <w:r>
        <w:rPr>
          <w:i/>
          <w:iCs/>
        </w:rPr>
        <w:t>F</w:t>
      </w:r>
      <w:r>
        <w:t>(</w:t>
      </w:r>
      <w:r>
        <w:rPr>
          <w:i/>
          <w:iCs/>
        </w:rPr>
        <w:t>x</w:t>
      </w:r>
      <w:r>
        <w:t>) posea una función de densidad asociada</w:t>
      </w:r>
      <m:oMath>
        <m:r>
          <w:rPr>
            <w:rFonts w:ascii="Cambria Math" w:hAnsi="Cambria Math"/>
          </w:rPr>
          <m:t xml:space="preserve"> </m:t>
        </m:r>
        <m:r>
          <m:rPr>
            <m:nor/>
          </m:rPr>
          <w:rPr>
            <w:i/>
            <w:iCs/>
          </w:rPr>
          <m:t>f</m:t>
        </m:r>
        <m:d>
          <m:dPr>
            <m:ctrlPr>
              <w:rPr>
                <w:rFonts w:ascii="Cambria Math" w:hAnsi="Cambria Math"/>
                <w:i/>
                <w:iCs/>
              </w:rPr>
            </m:ctrlPr>
          </m:dPr>
          <m:e>
            <m:r>
              <m:rPr>
                <m:nor/>
              </m:rPr>
              <w:rPr>
                <w:i/>
                <w:iCs/>
              </w:rPr>
              <m:t>x</m:t>
            </m:r>
          </m:e>
        </m:d>
      </m:oMath>
      <w:r>
        <w:t>:</w:t>
      </w:r>
    </w:p>
    <w:p w14:paraId="038CD9C6" w14:textId="48350731" w:rsidR="0012510E" w:rsidRDefault="00450F6E" w:rsidP="00D61153">
      <w:pPr>
        <w:spacing w:after="0"/>
        <w:ind w:left="567" w:hanging="198"/>
        <w:rPr>
          <w:rFonts w:eastAsiaTheme="minorEastAsia"/>
        </w:rPr>
      </w:pPr>
      <m:oMathPara>
        <m:oMath>
          <m:r>
            <m:rPr>
              <m:nor/>
            </m:rPr>
            <w:rPr>
              <w:rFonts w:ascii="Cambria Math"/>
            </w:rPr>
            <m:t xml:space="preserve"> </m:t>
          </m:r>
          <m:r>
            <m:rPr>
              <m:nor/>
            </m:rPr>
            <w:rPr>
              <w:i/>
              <w:iCs/>
            </w:rPr>
            <m:t>V</m:t>
          </m:r>
          <m:d>
            <m:dPr>
              <m:ctrlPr>
                <w:rPr>
                  <w:rFonts w:ascii="Cambria Math" w:hAnsi="Cambria Math"/>
                  <w:i/>
                  <w:iCs/>
                </w:rPr>
              </m:ctrlPr>
            </m:dPr>
            <m:e>
              <m:r>
                <m:rPr>
                  <m:nor/>
                </m:rPr>
                <w:rPr>
                  <w:i/>
                  <w:iCs/>
                </w:rPr>
                <m:t>F</m:t>
              </m:r>
            </m:e>
          </m:d>
          <m:r>
            <w:rPr>
              <w:rFonts w:ascii="Cambria Math" w:hAnsi="Cambria Math"/>
            </w:rPr>
            <m:t>=</m:t>
          </m:r>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r>
                <w:rPr>
                  <w:rFonts w:ascii="Cambria Math" w:hAnsi="Cambria Math"/>
                </w:rPr>
                <m:t>∙</m:t>
              </m:r>
              <m:r>
                <m:rPr>
                  <m:nor/>
                </m:rPr>
                <w:rPr>
                  <w:i/>
                  <w:iCs/>
                </w:rPr>
                <m:t>f</m:t>
              </m:r>
              <m:d>
                <m:dPr>
                  <m:ctrlPr>
                    <w:rPr>
                      <w:rFonts w:ascii="Cambria Math" w:hAnsi="Cambria Math"/>
                      <w:i/>
                      <w:iCs/>
                    </w:rPr>
                  </m:ctrlPr>
                </m:dPr>
                <m:e>
                  <m:r>
                    <m:rPr>
                      <m:nor/>
                    </m:rPr>
                    <w:rPr>
                      <w:i/>
                      <w:iCs/>
                    </w:rPr>
                    <m:t>x</m:t>
                  </m:r>
                </m:e>
              </m:d>
            </m:e>
          </m:nary>
          <w:proofErr w:type="spellStart"/>
          <m:r>
            <m:rPr>
              <m:nor/>
            </m:rPr>
            <w:rPr>
              <w:i/>
              <w:iCs/>
            </w:rPr>
            <m:t>dx</m:t>
          </m:r>
        </m:oMath>
      </m:oMathPara>
      <w:proofErr w:type="spellEnd"/>
    </w:p>
    <w:p w14:paraId="5E718C77" w14:textId="7DCCE088" w:rsidR="00D829F9" w:rsidRDefault="00243104" w:rsidP="00D61153">
      <w:pPr>
        <w:pStyle w:val="Nivel1SM"/>
        <w:rPr>
          <w:b/>
          <w:bCs/>
        </w:rPr>
      </w:pPr>
      <w:r>
        <w:t xml:space="preserve">La teoría recibe su nombre de “utilidad esperada” porque la función </w:t>
      </w:r>
      <w:r w:rsidR="00084BF4">
        <w:t>von Neumann</w:t>
      </w:r>
      <w:r>
        <w:t>-Morgenstern de una lotería consiste en la esperanza matemática de la función de utilidad de Bernoulli con respecto a dicha lotería o distribución de probabilidad.</w:t>
      </w:r>
      <w:r w:rsidR="002B72C2">
        <w:t xml:space="preserve"> Por consiguiente, en situaciones de riesgo, se considera que el agente valora las diferentes alternativas de riesgo (loterías), no según la utilidad de la esperanza del resultado o de la renta (de ahí el origen de la “paradoja de San Petersburgo”), sino según la esperanza de las utilidades de los diferentes resultados. Es decir, </w:t>
      </w:r>
      <w:r w:rsidR="002B72C2" w:rsidRPr="004F7858">
        <w:rPr>
          <w:b/>
          <w:bCs/>
          <w:u w:val="single"/>
        </w:rPr>
        <w:t>el agente no se guiaría por la utilidad de la esperanza, sino por la esperanza de la utilidad</w:t>
      </w:r>
      <w:r w:rsidR="002B72C2">
        <w:rPr>
          <w:b/>
          <w:bCs/>
        </w:rPr>
        <w:t>.</w:t>
      </w:r>
    </w:p>
    <w:p w14:paraId="27ECB24B" w14:textId="6DC2168F" w:rsidR="00577352" w:rsidRDefault="007E512E" w:rsidP="007D3158">
      <w:pPr>
        <w:pStyle w:val="Notaalopositor"/>
        <w:keepNext w:val="0"/>
      </w:pPr>
      <w:r>
        <w:t xml:space="preserve">Posibilidad de añadir aquí la paradoja de San Petersburgo del anexo </w:t>
      </w:r>
      <w:r>
        <w:fldChar w:fldCharType="begin"/>
      </w:r>
      <w:r>
        <w:instrText xml:space="preserve"> REF _Ref99301171 \r \h </w:instrText>
      </w:r>
      <w:r>
        <w:fldChar w:fldCharType="separate"/>
      </w:r>
      <w:r w:rsidR="002E338F">
        <w:t>A.2</w:t>
      </w:r>
      <w:r>
        <w:fldChar w:fldCharType="end"/>
      </w:r>
      <w:r>
        <w:t>.</w:t>
      </w:r>
    </w:p>
    <w:p w14:paraId="1BE6ED65" w14:textId="0E653077" w:rsidR="009A3230" w:rsidRDefault="009A3230" w:rsidP="00520421">
      <w:pPr>
        <w:pStyle w:val="Ttulo3"/>
      </w:pPr>
      <w:bookmarkStart w:id="24" w:name="_Toc172232535"/>
      <w:r>
        <w:t>Componentes de la función de la utilidad esperada</w:t>
      </w:r>
      <w:bookmarkEnd w:id="24"/>
    </w:p>
    <w:p w14:paraId="5B010585" w14:textId="7A986E5C" w:rsidR="002D4AF0" w:rsidRDefault="00464455" w:rsidP="005C735A">
      <w:pPr>
        <w:pStyle w:val="Nivel1SM"/>
        <w:keepNext/>
        <w:spacing w:before="0" w:after="0"/>
      </w:pPr>
      <w:r>
        <w:t xml:space="preserve">En la función de utilidad esperada vemos que existen </w:t>
      </w:r>
      <w:r w:rsidR="003B0BA9">
        <w:rPr>
          <w:i/>
          <w:iCs/>
        </w:rPr>
        <w:t>2 </w:t>
      </w:r>
      <w:r w:rsidRPr="00C85F42">
        <w:rPr>
          <w:i/>
          <w:iCs/>
        </w:rPr>
        <w:t>componentes</w:t>
      </w:r>
      <w:r>
        <w:t xml:space="preserve"> claramente diferenciados:</w:t>
      </w:r>
    </w:p>
    <w:p w14:paraId="4C2D4CC5" w14:textId="4E08877B" w:rsidR="00464455" w:rsidRPr="00464455" w:rsidRDefault="00464455" w:rsidP="005C735A">
      <w:pPr>
        <w:pStyle w:val="Nivel2SM"/>
      </w:pPr>
      <w:r>
        <w:t xml:space="preserve">Un componente subjetivo: </w:t>
      </w:r>
      <w:r w:rsidRPr="005C735A">
        <w:rPr>
          <w:i/>
          <w:iCs/>
          <w:u w:val="single"/>
        </w:rPr>
        <w:t xml:space="preserve">la </w:t>
      </w:r>
      <w:r w:rsidR="008653D3" w:rsidRPr="005C735A">
        <w:rPr>
          <w:i/>
          <w:iCs/>
          <w:u w:val="single"/>
        </w:rPr>
        <w:t xml:space="preserve">función de </w:t>
      </w:r>
      <w:r w:rsidRPr="005C735A">
        <w:rPr>
          <w:i/>
          <w:iCs/>
          <w:u w:val="single"/>
        </w:rPr>
        <w:t>utilidad de Bernoulli</w:t>
      </w:r>
      <w:r w:rsidR="003815F5">
        <w:t>,</w:t>
      </w:r>
      <m:oMath>
        <m:r>
          <m:rPr>
            <m:sty m:val="p"/>
          </m:rPr>
          <w:rPr>
            <w:rFonts w:ascii="Cambria Math" w:hAnsi="Cambria Math"/>
          </w:rPr>
          <m:t xml:space="preserve"> </m:t>
        </m:r>
        <m:r>
          <m:rPr>
            <m:nor/>
          </m:rPr>
          <w:rPr>
            <w:i/>
            <w:iCs/>
          </w:rPr>
          <m:t>u</m:t>
        </m:r>
        <m:d>
          <m:dPr>
            <m:ctrlPr>
              <w:rPr>
                <w:rFonts w:ascii="Cambria Math" w:hAnsi="Cambria Math"/>
                <w:i/>
                <w:iCs/>
              </w:rPr>
            </m:ctrlPr>
          </m:dPr>
          <m:e>
            <m:r>
              <m:rPr>
                <m:nor/>
              </m:rPr>
              <w:rPr>
                <w:i/>
                <w:iCs/>
              </w:rPr>
              <m:t>x</m:t>
            </m:r>
          </m:e>
        </m:d>
      </m:oMath>
      <w:r w:rsidR="003815F5">
        <w:rPr>
          <w:rFonts w:eastAsiaTheme="minorEastAsia"/>
        </w:rPr>
        <w:t>.</w:t>
      </w:r>
    </w:p>
    <w:p w14:paraId="7A2AC0AF" w14:textId="163C5AA1" w:rsidR="00464455" w:rsidRPr="00464455" w:rsidRDefault="00464455" w:rsidP="005C735A">
      <w:pPr>
        <w:pStyle w:val="Nivel2SM"/>
        <w:keepNext/>
        <w:spacing w:after="0"/>
      </w:pPr>
      <w:r>
        <w:t xml:space="preserve">Un componente objetivo: </w:t>
      </w:r>
      <w:r w:rsidRPr="005C735A">
        <w:rPr>
          <w:i/>
          <w:iCs/>
          <w:u w:val="single"/>
        </w:rPr>
        <w:t>la distribución de probabilidad</w:t>
      </w:r>
      <w:r w:rsidR="003815F5">
        <w:t>,</w:t>
      </w:r>
      <m:oMath>
        <m:r>
          <m:rPr>
            <m:sty m:val="p"/>
          </m:rPr>
          <w:rPr>
            <w:rFonts w:ascii="Cambria Math" w:hAnsi="Cambria Math"/>
          </w:rPr>
          <m:t xml:space="preserve"> </m:t>
        </m:r>
        <m:r>
          <m:rPr>
            <m:nor/>
          </m:rPr>
          <w:rPr>
            <w:i/>
            <w:iCs/>
          </w:rPr>
          <m:t>f</m:t>
        </m:r>
        <m:d>
          <m:dPr>
            <m:ctrlPr>
              <w:rPr>
                <w:rFonts w:ascii="Cambria Math" w:hAnsi="Cambria Math"/>
                <w:i/>
                <w:iCs/>
              </w:rPr>
            </m:ctrlPr>
          </m:dPr>
          <m:e>
            <m:r>
              <m:rPr>
                <m:nor/>
              </m:rPr>
              <w:rPr>
                <w:i/>
                <w:iCs/>
              </w:rPr>
              <m:t>x</m:t>
            </m:r>
          </m:e>
        </m:d>
      </m:oMath>
      <w:r w:rsidR="003815F5">
        <w:t>.</w:t>
      </w:r>
    </w:p>
    <w:p w14:paraId="4E61293B" w14:textId="6A7C3ACC" w:rsidR="00464455" w:rsidRPr="002D4AF0" w:rsidRDefault="00464455" w:rsidP="005C735A">
      <w:pPr>
        <w:pStyle w:val="Nivel3SM"/>
      </w:pPr>
      <w:r>
        <w:t>Vamos a analizar ambos por separado.</w:t>
      </w:r>
    </w:p>
    <w:p w14:paraId="6EB72BE4" w14:textId="24282F54" w:rsidR="009A3230" w:rsidRDefault="009A3230" w:rsidP="009A3230">
      <w:pPr>
        <w:pStyle w:val="Ttulo6"/>
      </w:pPr>
      <w:bookmarkStart w:id="25" w:name="_Toc172232536"/>
      <w:r>
        <w:lastRenderedPageBreak/>
        <w:t>Utilidad de Bernoulli</w:t>
      </w:r>
      <w:r w:rsidR="00791B2F">
        <w:t>:</w:t>
      </w:r>
      <w:r w:rsidR="003C08C7">
        <w:t xml:space="preserve"> </w:t>
      </w:r>
      <w:r w:rsidR="003C08C7" w:rsidRPr="003C08C7">
        <w:rPr>
          <w:i/>
          <w:iCs/>
        </w:rPr>
        <w:t>u</w:t>
      </w:r>
      <w:r w:rsidR="003C08C7">
        <w:t>(</w:t>
      </w:r>
      <w:r w:rsidR="003C08C7" w:rsidRPr="003C08C7">
        <w:rPr>
          <w:i/>
          <w:iCs/>
        </w:rPr>
        <w:t>x</w:t>
      </w:r>
      <w:r w:rsidR="003C08C7">
        <w:t>)</w:t>
      </w:r>
      <w:bookmarkEnd w:id="25"/>
    </w:p>
    <w:p w14:paraId="5A5CA955" w14:textId="7C4177AD" w:rsidR="00A31C46" w:rsidRPr="00A31C46" w:rsidRDefault="00A31C46" w:rsidP="00080AD5">
      <w:pPr>
        <w:keepNext/>
        <w:spacing w:after="0"/>
        <w:rPr>
          <w:rFonts w:eastAsiaTheme="minorEastAsia"/>
        </w:rPr>
      </w:pPr>
      <m:oMathPara>
        <m:oMath>
          <m:r>
            <w:rPr>
              <w:rFonts w:ascii="Cambria Math" w:eastAsiaTheme="minorEastAsia" w:hAnsi="Cambria Math"/>
            </w:rPr>
            <m:t xml:space="preserve">  </m:t>
          </m:r>
          <m:r>
            <m:rPr>
              <m:nor/>
            </m:rPr>
            <w:rPr>
              <w:i/>
              <w:iCs/>
            </w:rPr>
            <m:t>V</m:t>
          </m:r>
          <m:d>
            <m:dPr>
              <m:ctrlPr>
                <w:rPr>
                  <w:rFonts w:ascii="Cambria Math" w:hAnsi="Cambria Math"/>
                  <w:i/>
                  <w:iCs/>
                </w:rPr>
              </m:ctrlPr>
            </m:dPr>
            <m:e>
              <m:r>
                <m:rPr>
                  <m:nor/>
                </m:rPr>
                <w:rPr>
                  <w:i/>
                  <w:iCs/>
                </w:rPr>
                <m:t>F</m:t>
              </m:r>
            </m:e>
          </m:d>
          <m:r>
            <w:rPr>
              <w:rFonts w:ascii="Cambria Math" w:hAnsi="Cambria Math"/>
            </w:rPr>
            <m:t>=</m:t>
          </m:r>
          <m:nary>
            <m:naryPr>
              <m:limLoc m:val="undOvr"/>
              <m:subHide m:val="1"/>
              <m:supHide m:val="1"/>
              <m:ctrlPr>
                <w:rPr>
                  <w:rFonts w:ascii="Cambria Math" w:hAnsi="Cambria Math"/>
                  <w:i/>
                  <w:iCs/>
                </w:rPr>
              </m:ctrlPr>
            </m:naryPr>
            <m:sub/>
            <m:sup/>
            <m:e>
              <m:r>
                <m:rPr>
                  <m:nor/>
                </m:rPr>
                <w:rPr>
                  <w:i/>
                  <w:iCs/>
                  <w14:glow w14:rad="63500">
                    <w14:schemeClr w14:val="accent1">
                      <w14:alpha w14:val="75000"/>
                    </w14:schemeClr>
                  </w14:glow>
                </w:rPr>
                <m:t>u</m:t>
              </m:r>
              <m:d>
                <m:dPr>
                  <m:ctrlPr>
                    <w:rPr>
                      <w:rFonts w:ascii="Cambria Math" w:hAnsi="Cambria Math"/>
                      <w:i/>
                      <w14:glow w14:rad="63500">
                        <w14:schemeClr w14:val="accent1">
                          <w14:alpha w14:val="75000"/>
                        </w14:schemeClr>
                      </w14:glow>
                    </w:rPr>
                  </m:ctrlPr>
                </m:dPr>
                <m:e>
                  <m:r>
                    <m:rPr>
                      <m:nor/>
                    </m:rPr>
                    <w:rPr>
                      <w:i/>
                      <w:iCs/>
                      <w14:glow w14:rad="63500">
                        <w14:schemeClr w14:val="accent1">
                          <w14:alpha w14:val="75000"/>
                        </w14:schemeClr>
                      </w14:glow>
                    </w:rPr>
                    <m:t>x</m:t>
                  </m:r>
                </m:e>
              </m:d>
            </m:e>
          </m:nary>
          <w:proofErr w:type="spellStart"/>
          <m:r>
            <m:rPr>
              <m:nor/>
            </m:rPr>
            <w:rPr>
              <w:i/>
              <w:iCs/>
            </w:rPr>
            <m:t>dF</m:t>
          </m:r>
          <w:proofErr w:type="spellEnd"/>
          <m:d>
            <m:dPr>
              <m:ctrlPr>
                <w:rPr>
                  <w:rFonts w:ascii="Cambria Math" w:hAnsi="Cambria Math"/>
                  <w:i/>
                  <w:iCs/>
                </w:rPr>
              </m:ctrlPr>
            </m:dPr>
            <m:e>
              <m:r>
                <m:rPr>
                  <m:nor/>
                </m:rPr>
                <w:rPr>
                  <w:i/>
                  <w:iCs/>
                </w:rPr>
                <m:t>x</m:t>
              </m:r>
            </m:e>
          </m:d>
        </m:oMath>
      </m:oMathPara>
    </w:p>
    <w:p w14:paraId="29C26BFB" w14:textId="535C55E8" w:rsidR="003815F5" w:rsidRDefault="003815F5" w:rsidP="007C258F">
      <w:pPr>
        <w:pStyle w:val="Nivel1SM"/>
        <w:keepNext/>
        <w:spacing w:before="0" w:after="0"/>
      </w:pPr>
      <w:r>
        <w:t xml:space="preserve">Como decimos, la </w:t>
      </w:r>
      <w:r w:rsidR="008653D3">
        <w:rPr>
          <w:i/>
          <w:iCs/>
          <w:u w:val="single"/>
        </w:rPr>
        <w:t xml:space="preserve">función de </w:t>
      </w:r>
      <w:r w:rsidRPr="001A24CB">
        <w:rPr>
          <w:i/>
          <w:iCs/>
          <w:u w:val="single"/>
        </w:rPr>
        <w:t>utilidad de Bernoulli</w:t>
      </w:r>
      <w:r>
        <w:t xml:space="preserve"> representa el componente “</w:t>
      </w:r>
      <w:r w:rsidRPr="00264F3E">
        <w:rPr>
          <w:b/>
          <w:bCs/>
        </w:rPr>
        <w:t>subjetivo</w:t>
      </w:r>
      <w:r>
        <w:t>” de la utilidad esperada. Caracteriza a los agentes</w:t>
      </w:r>
      <w:r w:rsidR="00EF39BB">
        <w:t xml:space="preserve"> (y por lo tanto varía entre ellos)</w:t>
      </w:r>
      <w:r>
        <w:t>, ya que dicha función recoge</w:t>
      </w:r>
      <w:r w:rsidR="003F0D09">
        <w:t xml:space="preserve"> los rasgos distintivos de las preferencias de cada agente sobre unas distribuciones de probabilidad que </w:t>
      </w:r>
      <w:r w:rsidR="003F0D09">
        <w:rPr>
          <w:i/>
          <w:iCs/>
        </w:rPr>
        <w:t>a priori</w:t>
      </w:r>
      <w:r w:rsidR="003F0D09">
        <w:t xml:space="preserve"> son comunes a todos los decisores (objetivas).</w:t>
      </w:r>
    </w:p>
    <w:p w14:paraId="108C9D94" w14:textId="6F004E32" w:rsidR="003F0D09" w:rsidRDefault="003F0D09" w:rsidP="00D61153">
      <w:pPr>
        <w:pStyle w:val="Nivel2SM"/>
        <w:keepNext/>
        <w:spacing w:after="0"/>
      </w:pPr>
      <w:r>
        <w:t>La utilidad de Bernoulli,</w:t>
      </w:r>
      <m:oMath>
        <m:r>
          <w:rPr>
            <w:rFonts w:ascii="Cambria Math" w:hAnsi="Cambria Math"/>
          </w:rPr>
          <m:t xml:space="preserve"> </m:t>
        </m:r>
        <m:r>
          <m:rPr>
            <m:nor/>
          </m:rPr>
          <w:rPr>
            <w:i/>
            <w:iCs/>
          </w:rPr>
          <m:t>u</m:t>
        </m:r>
        <m:d>
          <m:dPr>
            <m:ctrlPr>
              <w:rPr>
                <w:rFonts w:ascii="Cambria Math" w:hAnsi="Cambria Math"/>
                <w:i/>
                <w:iCs/>
              </w:rPr>
            </m:ctrlPr>
          </m:dPr>
          <m:e>
            <m:r>
              <m:rPr>
                <m:nor/>
              </m:rPr>
              <w:rPr>
                <w:i/>
                <w:iCs/>
              </w:rPr>
              <m:t>x</m:t>
            </m:r>
          </m:e>
        </m:d>
      </m:oMath>
      <w:r>
        <w:t>, está definida sobre cantidades ciertas de dinero</w:t>
      </w:r>
      <w:r w:rsidR="00E31F9D">
        <w:rPr>
          <w:rStyle w:val="Refdenotaalpie"/>
        </w:rPr>
        <w:footnoteReference w:id="22"/>
      </w:r>
      <w:r w:rsidR="00E31F9D">
        <w:t xml:space="preserve">, </w:t>
      </w:r>
      <w:r w:rsidR="00E31F9D">
        <w:rPr>
          <w:i/>
          <w:iCs/>
        </w:rPr>
        <w:t>x</w:t>
      </w:r>
      <w:r w:rsidR="00E31F9D">
        <w:t>,</w:t>
      </w:r>
      <w:r>
        <w:t xml:space="preserve"> debido al supuesto de que las consecuencias son pagos monetarios. Parece razonable suponer que</w:t>
      </w:r>
      <m:oMath>
        <m:r>
          <w:rPr>
            <w:rFonts w:ascii="Cambria Math" w:hAnsi="Cambria Math"/>
          </w:rPr>
          <m:t xml:space="preserve"> </m:t>
        </m:r>
        <m:r>
          <m:rPr>
            <m:nor/>
          </m:rPr>
          <w:rPr>
            <w:i/>
            <w:iCs/>
          </w:rPr>
          <m:t>u</m:t>
        </m:r>
        <m:d>
          <m:dPr>
            <m:ctrlPr>
              <w:rPr>
                <w:rFonts w:ascii="Cambria Math" w:hAnsi="Cambria Math"/>
                <w:i/>
                <w:iCs/>
              </w:rPr>
            </m:ctrlPr>
          </m:dPr>
          <m:e>
            <m:r>
              <m:rPr>
                <m:nor/>
              </m:rPr>
              <w:rPr>
                <w:i/>
                <w:iCs/>
              </w:rPr>
              <m:t>x</m:t>
            </m:r>
          </m:e>
        </m:d>
      </m:oMath>
      <w:r>
        <w:t xml:space="preserve"> es </w:t>
      </w:r>
      <w:r w:rsidR="00E31F9D" w:rsidRPr="00651F95">
        <w:t>continua</w:t>
      </w:r>
      <w:r w:rsidR="00790B47">
        <w:rPr>
          <w:rStyle w:val="Refdenotaalpie"/>
        </w:rPr>
        <w:footnoteReference w:id="23"/>
      </w:r>
      <w:r>
        <w:t xml:space="preserve"> y </w:t>
      </w:r>
      <w:r w:rsidR="00E31F9D">
        <w:t>creciente</w:t>
      </w:r>
      <w:r>
        <w:t xml:space="preserve"> en </w:t>
      </w:r>
      <w:r>
        <w:rPr>
          <w:i/>
          <w:iCs/>
        </w:rPr>
        <w:t>x</w:t>
      </w:r>
      <w:r w:rsidR="00790B47" w:rsidRPr="00790B47">
        <w:rPr>
          <w:rStyle w:val="Refdenotaalpie"/>
        </w:rPr>
        <w:footnoteReference w:id="24"/>
      </w:r>
      <w:r>
        <w:t>.</w:t>
      </w:r>
    </w:p>
    <w:p w14:paraId="408B2441" w14:textId="5770228A" w:rsidR="000F18FB" w:rsidRDefault="000F18FB" w:rsidP="000F18FB">
      <w:pPr>
        <w:pStyle w:val="Nivel3SM"/>
      </w:pPr>
      <w:r>
        <w:t xml:space="preserve">Que sea creciente en </w:t>
      </w:r>
      <w:r>
        <w:rPr>
          <w:i/>
          <w:iCs/>
        </w:rPr>
        <w:t>x</w:t>
      </w:r>
      <w:r>
        <w:t xml:space="preserve"> implicará que los agentes preferirán más pagos monetarios a menos, es decir, asumimos que los agentes son </w:t>
      </w:r>
      <w:r>
        <w:rPr>
          <w:i/>
          <w:iCs/>
        </w:rPr>
        <w:t>amantes de la riqueza</w:t>
      </w:r>
      <w:r>
        <w:t>.</w:t>
      </w:r>
    </w:p>
    <w:p w14:paraId="7110F13C" w14:textId="785BF2F8" w:rsidR="005C3D49" w:rsidRPr="001D33D1" w:rsidRDefault="005C3D49" w:rsidP="003B0BA9">
      <w:pPr>
        <w:pStyle w:val="Nivel2SM"/>
      </w:pPr>
      <w:r w:rsidRPr="001D33D1">
        <w:t xml:space="preserve">Sin embargo, gran parte del poder analítico del enfoque de utilidad esperada reposa en la forma concreta que adopta la función de utilidad. En concreto, la importantísima propiedad de la </w:t>
      </w:r>
      <w:r w:rsidRPr="001D33D1">
        <w:rPr>
          <w:b/>
          <w:bCs/>
          <w:i/>
          <w:iCs/>
          <w:u w:val="single"/>
        </w:rPr>
        <w:t>aversión al riesgo</w:t>
      </w:r>
      <w:r w:rsidRPr="001D33D1">
        <w:t xml:space="preserve"> que depende crucialmente de la </w:t>
      </w:r>
      <w:r w:rsidR="001D33D1" w:rsidRPr="001D33D1">
        <w:t>curvatura</w:t>
      </w:r>
      <w:r w:rsidRPr="001D33D1">
        <w:t xml:space="preserve"> de esta función. De este modo, para estudiar la aversión al riesgo del agente podemos acudir a los </w:t>
      </w:r>
      <w:r w:rsidR="00D61153" w:rsidRPr="001D33D1">
        <w:t>2 </w:t>
      </w:r>
      <w:r w:rsidRPr="001D33D1">
        <w:t xml:space="preserve">caracterizadores más habituales, la </w:t>
      </w:r>
      <w:r w:rsidRPr="001D33D1">
        <w:rPr>
          <w:b/>
          <w:bCs/>
        </w:rPr>
        <w:t xml:space="preserve">concavidad/convexidad de </w:t>
      </w:r>
      <w:r w:rsidRPr="001D33D1">
        <w:rPr>
          <w:b/>
          <w:bCs/>
          <w:i/>
          <w:iCs/>
        </w:rPr>
        <w:t>u</w:t>
      </w:r>
      <w:r w:rsidRPr="001D33D1">
        <w:rPr>
          <w:b/>
          <w:bCs/>
        </w:rPr>
        <w:t>(</w:t>
      </w:r>
      <w:r w:rsidRPr="001D33D1">
        <w:rPr>
          <w:b/>
          <w:bCs/>
          <w:i/>
          <w:iCs/>
        </w:rPr>
        <w:t>x</w:t>
      </w:r>
      <w:r w:rsidRPr="001D33D1">
        <w:rPr>
          <w:b/>
          <w:bCs/>
        </w:rPr>
        <w:t>)</w:t>
      </w:r>
      <w:r w:rsidRPr="001D33D1">
        <w:t xml:space="preserve"> y el </w:t>
      </w:r>
      <w:r w:rsidRPr="001D33D1">
        <w:rPr>
          <w:b/>
          <w:bCs/>
        </w:rPr>
        <w:t>equivalente cierto</w:t>
      </w:r>
      <w:r w:rsidRPr="001D33D1">
        <w:t>, siendo ambos requisitos perfectamente equivalentes.</w:t>
      </w:r>
    </w:p>
    <w:p w14:paraId="00612A35" w14:textId="137B8D77" w:rsidR="005C3D49" w:rsidRDefault="005C3D49" w:rsidP="005C3D49">
      <w:pPr>
        <w:pStyle w:val="Ttulo7"/>
        <w:rPr>
          <w:i w:val="0"/>
          <w:iCs w:val="0"/>
        </w:rPr>
      </w:pPr>
      <w:bookmarkStart w:id="26" w:name="_Toc172232537"/>
      <w:r>
        <w:t>Concavidad o convexidad de la función u</w:t>
      </w:r>
      <w:r w:rsidRPr="00317865">
        <w:rPr>
          <w:i w:val="0"/>
          <w:iCs w:val="0"/>
        </w:rPr>
        <w:t>(</w:t>
      </w:r>
      <w:r>
        <w:t>x</w:t>
      </w:r>
      <w:r w:rsidRPr="00317865">
        <w:rPr>
          <w:i w:val="0"/>
          <w:iCs w:val="0"/>
        </w:rPr>
        <w:t>)</w:t>
      </w:r>
      <w:bookmarkEnd w:id="26"/>
    </w:p>
    <w:p w14:paraId="2CEEE76B" w14:textId="46027AD8" w:rsidR="002B4CDF" w:rsidRDefault="005C3D49" w:rsidP="00D61153">
      <w:pPr>
        <w:pStyle w:val="Nivel1SM"/>
        <w:keepNext/>
        <w:spacing w:before="0" w:after="0"/>
      </w:pPr>
      <w:r>
        <w:t xml:space="preserve">Utilizando la </w:t>
      </w:r>
      <w:r w:rsidRPr="00CA68C9">
        <w:rPr>
          <w:b/>
          <w:bCs/>
          <w:i/>
          <w:iCs/>
          <w:u w:val="single"/>
        </w:rPr>
        <w:t>desigualdad de Jensen</w:t>
      </w:r>
      <w:r>
        <w:t>, un agente será:</w:t>
      </w:r>
    </w:p>
    <w:p w14:paraId="1667FA72" w14:textId="362A8D95" w:rsidR="009C0129" w:rsidRDefault="002B4CDF" w:rsidP="00D61153">
      <w:pPr>
        <w:pStyle w:val="Nivel2SM"/>
        <w:keepNext/>
        <w:spacing w:after="0"/>
      </w:pPr>
      <w:r>
        <w:rPr>
          <w:b/>
          <w:bCs/>
        </w:rPr>
        <w:t>Averso al riesgo</w:t>
      </w:r>
      <w:r>
        <w:t xml:space="preserve">: </w:t>
      </w:r>
      <w:r w:rsidR="007F5934">
        <w:t>E</w:t>
      </w:r>
      <w:r>
        <w:t xml:space="preserve">l individuo </w:t>
      </w:r>
      <w:r w:rsidR="007F5934">
        <w:t xml:space="preserve">prefiere evitar enfrentarse al riesgo de </w:t>
      </w:r>
      <w:r>
        <w:t xml:space="preserve">la lotería </w:t>
      </w:r>
      <m:oMath>
        <m:acc>
          <m:accPr>
            <m:chr m:val="̃"/>
            <m:ctrlPr>
              <w:rPr>
                <w:rFonts w:ascii="Cambria Math" w:hAnsi="Cambria Math"/>
                <w:i/>
                <w:iCs/>
              </w:rPr>
            </m:ctrlPr>
          </m:accPr>
          <m:e>
            <m:r>
              <m:rPr>
                <m:nor/>
              </m:rPr>
              <w:rPr>
                <w:i/>
                <w:iCs/>
              </w:rPr>
              <m:t>y</m:t>
            </m:r>
          </m:e>
        </m:acc>
      </m:oMath>
      <w:r w:rsidR="007F5934">
        <w:rPr>
          <w:rFonts w:eastAsiaTheme="minorEastAsia"/>
          <w:iCs/>
        </w:rPr>
        <w:t>, y por lo tanto valora más la lotería degenerada que tenga como pago cierto su esperanza</w:t>
      </w:r>
      <w:r w:rsidR="007F5934">
        <w:t>.</w:t>
      </w:r>
      <w:r w:rsidR="005C3D49">
        <w:t xml:space="preserve"> Por lo tanto, </w:t>
      </w:r>
      <w:r w:rsidR="005C3D49" w:rsidRPr="001D33D1">
        <w:rPr>
          <w:i/>
          <w:iCs/>
        </w:rPr>
        <w:t xml:space="preserve">será </w:t>
      </w:r>
      <w:r w:rsidR="005C3D49" w:rsidRPr="001D33D1">
        <w:rPr>
          <w:i/>
          <w:iCs/>
          <w:u w:val="single"/>
        </w:rPr>
        <w:t>averso al riesgo</w:t>
      </w:r>
      <w:r w:rsidR="005C3D49" w:rsidRPr="001D33D1">
        <w:rPr>
          <w:i/>
          <w:iCs/>
        </w:rPr>
        <w:t xml:space="preserve"> si su función de Bernoulli</w:t>
      </w:r>
      <m:oMath>
        <m:r>
          <w:rPr>
            <w:rFonts w:ascii="Cambria Math" w:hAnsi="Cambria Math"/>
          </w:rPr>
          <m:t xml:space="preserve"> </m:t>
        </m:r>
        <m:r>
          <m:rPr>
            <m:nor/>
          </m:rPr>
          <w:rPr>
            <w:i/>
            <w:iCs/>
          </w:rPr>
          <m:t>u</m:t>
        </m:r>
        <m:d>
          <m:dPr>
            <m:ctrlPr>
              <w:rPr>
                <w:rFonts w:ascii="Cambria Math" w:hAnsi="Cambria Math"/>
                <w:i/>
                <w:iCs/>
              </w:rPr>
            </m:ctrlPr>
          </m:dPr>
          <m:e>
            <m:r>
              <m:rPr>
                <m:nor/>
              </m:rPr>
              <w:rPr>
                <w:i/>
                <w:iCs/>
              </w:rPr>
              <m:t>x</m:t>
            </m:r>
          </m:e>
        </m:d>
      </m:oMath>
      <w:r w:rsidR="005C3D49" w:rsidRPr="003D552F">
        <w:rPr>
          <w:i/>
          <w:iCs/>
        </w:rPr>
        <w:t xml:space="preserve"> es </w:t>
      </w:r>
      <w:r w:rsidR="005C3D49" w:rsidRPr="001D33D1">
        <w:rPr>
          <w:i/>
          <w:iCs/>
          <w:u w:val="single"/>
        </w:rPr>
        <w:t>cóncava</w:t>
      </w:r>
      <w:r w:rsidR="005C3D49">
        <w:t>.</w:t>
      </w:r>
    </w:p>
    <w:p w14:paraId="5921B427" w14:textId="16A890D6" w:rsidR="009C0129" w:rsidRPr="009C0129" w:rsidRDefault="00000000" w:rsidP="00D61153">
      <w:pPr>
        <w:spacing w:after="0"/>
        <w:rPr>
          <w:rFonts w:eastAsiaTheme="minorEastAsia"/>
        </w:rPr>
      </w:pPr>
      <m:oMathPara>
        <m:oMath>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dF</m:t>
          </m:r>
          <w:proofErr w:type="spellEnd"/>
          <m:d>
            <m:dPr>
              <m:ctrlPr>
                <w:rPr>
                  <w:rFonts w:ascii="Cambria Math" w:hAnsi="Cambria Math"/>
                  <w:i/>
                  <w:iCs/>
                </w:rPr>
              </m:ctrlPr>
            </m:dPr>
            <m:e>
              <m:r>
                <m:rPr>
                  <m:nor/>
                </m:rPr>
                <w:rPr>
                  <w:i/>
                  <w:iCs/>
                </w:rPr>
                <m:t>x</m:t>
              </m:r>
            </m:e>
          </m:d>
          <m:r>
            <w:rPr>
              <w:rFonts w:ascii="Cambria Math" w:hAnsi="Cambria Math"/>
            </w:rPr>
            <m:t>&lt;</m:t>
          </m:r>
          <m:r>
            <m:rPr>
              <m:nor/>
            </m:rPr>
            <w:rPr>
              <w:rFonts w:eastAsiaTheme="minorEastAsia"/>
              <w:i/>
            </w:rPr>
            <m:t>u</m:t>
          </m:r>
          <m:d>
            <m:dPr>
              <m:ctrlPr>
                <w:rPr>
                  <w:rFonts w:ascii="Cambria Math" w:hAnsi="Cambria Math"/>
                  <w:i/>
                </w:rPr>
              </m:ctrlPr>
            </m:dPr>
            <m:e>
              <m:nary>
                <m:naryPr>
                  <m:limLoc m:val="undOvr"/>
                  <m:subHide m:val="1"/>
                  <m:supHide m:val="1"/>
                  <m:ctrlPr>
                    <w:rPr>
                      <w:rFonts w:ascii="Cambria Math" w:hAnsi="Cambria Math"/>
                      <w:i/>
                    </w:rPr>
                  </m:ctrlPr>
                </m:naryPr>
                <m:sub/>
                <m:sup/>
                <m:e>
                  <m:r>
                    <m:rPr>
                      <m:nor/>
                    </m:rPr>
                    <w:rPr>
                      <w:i/>
                    </w:rPr>
                    <m:t>x</m:t>
                  </m:r>
                </m:e>
              </m:nary>
              <w:proofErr w:type="spellStart"/>
              <m:r>
                <m:rPr>
                  <m:nor/>
                </m:rPr>
                <w:rPr>
                  <w:i/>
                  <w:iCs/>
                </w:rPr>
                <m:t>dF</m:t>
              </m:r>
              <w:proofErr w:type="spellEnd"/>
              <m:d>
                <m:dPr>
                  <m:ctrlPr>
                    <w:rPr>
                      <w:rFonts w:ascii="Cambria Math" w:hAnsi="Cambria Math"/>
                      <w:i/>
                      <w:iCs/>
                    </w:rPr>
                  </m:ctrlPr>
                </m:dPr>
                <m:e>
                  <m:r>
                    <m:rPr>
                      <m:nor/>
                    </m:rPr>
                    <w:rPr>
                      <w:i/>
                      <w:iCs/>
                    </w:rPr>
                    <m:t>x</m:t>
                  </m:r>
                </m:e>
              </m:d>
            </m:e>
          </m:d>
        </m:oMath>
      </m:oMathPara>
    </w:p>
    <w:p w14:paraId="1C855D97" w14:textId="42873584" w:rsidR="009C0129" w:rsidRDefault="002B4CDF" w:rsidP="00D61153">
      <w:pPr>
        <w:pStyle w:val="Nivel2SM"/>
        <w:keepNext/>
        <w:spacing w:after="0"/>
      </w:pPr>
      <w:r>
        <w:rPr>
          <w:b/>
          <w:bCs/>
        </w:rPr>
        <w:t>Neutral al riesgo</w:t>
      </w:r>
      <w:r>
        <w:t>:</w:t>
      </w:r>
      <w:r w:rsidR="007F5934">
        <w:t xml:space="preserve"> Al individuo le es indiferente percibir la lotería </w:t>
      </w:r>
      <m:oMath>
        <m:acc>
          <m:accPr>
            <m:chr m:val="̃"/>
            <m:ctrlPr>
              <w:rPr>
                <w:rFonts w:ascii="Cambria Math" w:hAnsi="Cambria Math"/>
                <w:i/>
                <w:iCs/>
              </w:rPr>
            </m:ctrlPr>
          </m:accPr>
          <m:e>
            <m:r>
              <m:rPr>
                <m:nor/>
              </m:rPr>
              <w:rPr>
                <w:i/>
                <w:iCs/>
              </w:rPr>
              <m:t>y</m:t>
            </m:r>
          </m:e>
        </m:acc>
      </m:oMath>
      <w:r w:rsidR="007F5934">
        <w:rPr>
          <w:rFonts w:eastAsiaTheme="minorEastAsia"/>
          <w:iCs/>
        </w:rPr>
        <w:t xml:space="preserve"> que una lotería degenerada que tenga como pago cierto su esperanza</w:t>
      </w:r>
      <w:r w:rsidR="007F5934">
        <w:t>.</w:t>
      </w:r>
      <w:r w:rsidR="005C3D49">
        <w:t xml:space="preserve"> Por lo tanto, </w:t>
      </w:r>
      <w:r w:rsidR="005C3D49" w:rsidRPr="001D33D1">
        <w:rPr>
          <w:i/>
          <w:iCs/>
        </w:rPr>
        <w:t xml:space="preserve">será </w:t>
      </w:r>
      <w:r w:rsidR="005C3D49" w:rsidRPr="001D33D1">
        <w:rPr>
          <w:i/>
          <w:iCs/>
          <w:u w:val="single"/>
        </w:rPr>
        <w:t>neutral al riesgo</w:t>
      </w:r>
      <w:r w:rsidR="005C3D49" w:rsidRPr="001D33D1">
        <w:rPr>
          <w:i/>
          <w:iCs/>
        </w:rPr>
        <w:t xml:space="preserve"> si su función de Bernoulli</w:t>
      </w:r>
      <m:oMath>
        <m:r>
          <w:rPr>
            <w:rFonts w:ascii="Cambria Math" w:eastAsiaTheme="minorEastAsia" w:hAnsi="Cambria Math"/>
          </w:rPr>
          <m:t xml:space="preserve"> </m:t>
        </m:r>
        <m:r>
          <m:rPr>
            <m:nor/>
          </m:rPr>
          <w:rPr>
            <w:i/>
            <w:iCs/>
          </w:rPr>
          <m:t>u</m:t>
        </m:r>
        <m:d>
          <m:dPr>
            <m:ctrlPr>
              <w:rPr>
                <w:rFonts w:ascii="Cambria Math" w:hAnsi="Cambria Math"/>
                <w:i/>
                <w:iCs/>
              </w:rPr>
            </m:ctrlPr>
          </m:dPr>
          <m:e>
            <m:r>
              <m:rPr>
                <m:nor/>
              </m:rPr>
              <w:rPr>
                <w:i/>
                <w:iCs/>
              </w:rPr>
              <m:t>x</m:t>
            </m:r>
          </m:e>
        </m:d>
      </m:oMath>
      <w:r w:rsidR="005C3D49" w:rsidRPr="001D33D1">
        <w:rPr>
          <w:i/>
          <w:iCs/>
        </w:rPr>
        <w:t xml:space="preserve"> es</w:t>
      </w:r>
      <w:r w:rsidR="005C3D49" w:rsidRPr="001D33D1">
        <w:rPr>
          <w:iCs/>
        </w:rPr>
        <w:t xml:space="preserve"> </w:t>
      </w:r>
      <w:r w:rsidR="005C3D49" w:rsidRPr="001D33D1">
        <w:rPr>
          <w:i/>
          <w:iCs/>
          <w:u w:val="single"/>
        </w:rPr>
        <w:t>lineal</w:t>
      </w:r>
      <w:r w:rsidR="005C3D49">
        <w:t>.</w:t>
      </w:r>
    </w:p>
    <w:p w14:paraId="77CF5E9B" w14:textId="3374D974" w:rsidR="009C0129" w:rsidRPr="009C0129" w:rsidRDefault="00000000" w:rsidP="00D61153">
      <w:pPr>
        <w:spacing w:after="0"/>
        <w:rPr>
          <w:rFonts w:eastAsiaTheme="minorEastAsia"/>
        </w:rPr>
      </w:pPr>
      <m:oMathPara>
        <m:oMath>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dF</m:t>
          </m:r>
          <w:proofErr w:type="spellEnd"/>
          <m:d>
            <m:dPr>
              <m:ctrlPr>
                <w:rPr>
                  <w:rFonts w:ascii="Cambria Math" w:hAnsi="Cambria Math"/>
                  <w:i/>
                  <w:iCs/>
                </w:rPr>
              </m:ctrlPr>
            </m:dPr>
            <m:e>
              <m:r>
                <m:rPr>
                  <m:nor/>
                </m:rPr>
                <w:rPr>
                  <w:i/>
                  <w:iCs/>
                </w:rPr>
                <m:t>x</m:t>
              </m:r>
            </m:e>
          </m:d>
          <m:r>
            <m:rPr>
              <m:nor/>
            </m:rPr>
            <w:rPr>
              <w:rFonts w:ascii="Cambria Math"/>
            </w:rPr>
            <m:t xml:space="preserve"> </m:t>
          </m:r>
          <m:r>
            <m:rPr>
              <m:nor/>
            </m:rPr>
            <w:rPr>
              <w:rFonts w:ascii="Cambria Math" w:eastAsiaTheme="minorEastAsia"/>
              <w:iCs/>
            </w:rPr>
            <m:t>=</m:t>
          </m:r>
          <m:r>
            <m:rPr>
              <m:nor/>
            </m:rPr>
            <w:rPr>
              <w:rFonts w:ascii="Cambria Math" w:eastAsiaTheme="minorEastAsia"/>
              <w:i/>
            </w:rPr>
            <m:t xml:space="preserve"> </m:t>
          </m:r>
          <m:r>
            <m:rPr>
              <m:nor/>
            </m:rPr>
            <w:rPr>
              <w:rFonts w:eastAsiaTheme="minorEastAsia"/>
              <w:i/>
            </w:rPr>
            <m:t>u</m:t>
          </m:r>
          <m:d>
            <m:dPr>
              <m:ctrlPr>
                <w:rPr>
                  <w:rFonts w:ascii="Cambria Math" w:hAnsi="Cambria Math"/>
                  <w:i/>
                </w:rPr>
              </m:ctrlPr>
            </m:dPr>
            <m:e>
              <m:nary>
                <m:naryPr>
                  <m:limLoc m:val="undOvr"/>
                  <m:subHide m:val="1"/>
                  <m:supHide m:val="1"/>
                  <m:ctrlPr>
                    <w:rPr>
                      <w:rFonts w:ascii="Cambria Math" w:hAnsi="Cambria Math"/>
                      <w:i/>
                    </w:rPr>
                  </m:ctrlPr>
                </m:naryPr>
                <m:sub/>
                <m:sup/>
                <m:e>
                  <m:r>
                    <m:rPr>
                      <m:nor/>
                    </m:rPr>
                    <w:rPr>
                      <w:i/>
                    </w:rPr>
                    <m:t>x</m:t>
                  </m:r>
                </m:e>
              </m:nary>
              <m:r>
                <m:rPr>
                  <m:nor/>
                </m:rPr>
                <w:rPr>
                  <w:i/>
                </w:rPr>
                <m:t>d</m:t>
              </m:r>
              <m:r>
                <m:rPr>
                  <m:nor/>
                </m:rPr>
                <w:rPr>
                  <w:i/>
                  <w:iCs/>
                </w:rPr>
                <m:t>F</m:t>
              </m:r>
              <m:d>
                <m:dPr>
                  <m:ctrlPr>
                    <w:rPr>
                      <w:rFonts w:ascii="Cambria Math" w:hAnsi="Cambria Math"/>
                      <w:i/>
                      <w:iCs/>
                    </w:rPr>
                  </m:ctrlPr>
                </m:dPr>
                <m:e>
                  <m:r>
                    <m:rPr>
                      <m:nor/>
                    </m:rPr>
                    <w:rPr>
                      <w:i/>
                      <w:iCs/>
                    </w:rPr>
                    <m:t>x</m:t>
                  </m:r>
                </m:e>
              </m:d>
            </m:e>
          </m:d>
        </m:oMath>
      </m:oMathPara>
    </w:p>
    <w:p w14:paraId="2F6BF143" w14:textId="25F58BFF" w:rsidR="009C0129" w:rsidRDefault="002B4CDF" w:rsidP="00D61153">
      <w:pPr>
        <w:pStyle w:val="Nivel2SM"/>
        <w:keepNext/>
        <w:spacing w:after="0"/>
      </w:pPr>
      <w:r>
        <w:rPr>
          <w:b/>
          <w:bCs/>
        </w:rPr>
        <w:t>Amante del riesgo</w:t>
      </w:r>
      <w:r>
        <w:t>:</w:t>
      </w:r>
      <w:r w:rsidR="007F5934">
        <w:t xml:space="preserve"> El individuo prefiere recibir la lotería </w:t>
      </w:r>
      <m:oMath>
        <m:acc>
          <m:accPr>
            <m:chr m:val="̃"/>
            <m:ctrlPr>
              <w:rPr>
                <w:rFonts w:ascii="Cambria Math" w:hAnsi="Cambria Math"/>
                <w:i/>
                <w:iCs/>
              </w:rPr>
            </m:ctrlPr>
          </m:accPr>
          <m:e>
            <m:r>
              <m:rPr>
                <m:nor/>
              </m:rPr>
              <w:rPr>
                <w:i/>
                <w:iCs/>
              </w:rPr>
              <m:t>y</m:t>
            </m:r>
          </m:e>
        </m:acc>
      </m:oMath>
      <w:r w:rsidR="007F5934">
        <w:rPr>
          <w:rFonts w:eastAsiaTheme="minorEastAsia"/>
          <w:iCs/>
        </w:rPr>
        <w:t xml:space="preserve"> a una lotería degenerada que tenga como pago cierto su esperanza</w:t>
      </w:r>
      <w:r w:rsidR="007F5934">
        <w:t>.</w:t>
      </w:r>
      <w:r w:rsidR="005C3D49">
        <w:t xml:space="preserve"> Por lo tanto, </w:t>
      </w:r>
      <w:r w:rsidR="005C3D49" w:rsidRPr="001D33D1">
        <w:rPr>
          <w:i/>
          <w:iCs/>
        </w:rPr>
        <w:t xml:space="preserve">será </w:t>
      </w:r>
      <w:r w:rsidR="005C3D49" w:rsidRPr="001D33D1">
        <w:rPr>
          <w:i/>
          <w:iCs/>
          <w:u w:val="single"/>
        </w:rPr>
        <w:t>amante al riesgo</w:t>
      </w:r>
      <w:r w:rsidR="005C3D49" w:rsidRPr="001D33D1">
        <w:rPr>
          <w:i/>
          <w:iCs/>
        </w:rPr>
        <w:t xml:space="preserve"> si su función de Bernoulli</w:t>
      </w:r>
      <m:oMath>
        <m:r>
          <w:rPr>
            <w:rFonts w:ascii="Cambria Math" w:eastAsiaTheme="minorEastAsia" w:hAnsi="Cambria Math"/>
          </w:rPr>
          <m:t xml:space="preserve"> </m:t>
        </m:r>
        <m:r>
          <m:rPr>
            <m:nor/>
          </m:rPr>
          <w:rPr>
            <w:i/>
            <w:iCs/>
          </w:rPr>
          <m:t>u</m:t>
        </m:r>
        <m:d>
          <m:dPr>
            <m:ctrlPr>
              <w:rPr>
                <w:rFonts w:ascii="Cambria Math" w:hAnsi="Cambria Math"/>
                <w:i/>
                <w:iCs/>
              </w:rPr>
            </m:ctrlPr>
          </m:dPr>
          <m:e>
            <m:r>
              <m:rPr>
                <m:nor/>
              </m:rPr>
              <w:rPr>
                <w:i/>
                <w:iCs/>
              </w:rPr>
              <m:t>x</m:t>
            </m:r>
          </m:e>
        </m:d>
      </m:oMath>
      <w:r w:rsidR="005C3D49" w:rsidRPr="001D33D1">
        <w:rPr>
          <w:i/>
          <w:iCs/>
        </w:rPr>
        <w:t xml:space="preserve"> es </w:t>
      </w:r>
      <w:r w:rsidR="005C3D49" w:rsidRPr="001D33D1">
        <w:rPr>
          <w:i/>
          <w:iCs/>
          <w:u w:val="single"/>
        </w:rPr>
        <w:t>convexa</w:t>
      </w:r>
      <w:r w:rsidR="005C3D49">
        <w:t>.</w:t>
      </w:r>
    </w:p>
    <w:p w14:paraId="74BB5A1D" w14:textId="36A11435" w:rsidR="009C0129" w:rsidRPr="005C3D49" w:rsidRDefault="00000000" w:rsidP="009C0129">
      <w:pPr>
        <w:rPr>
          <w:rFonts w:eastAsiaTheme="minorEastAsia"/>
        </w:rPr>
      </w:pPr>
      <m:oMathPara>
        <m:oMath>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rPr>
                  </m:ctrlPr>
                </m:dPr>
                <m:e>
                  <m:r>
                    <m:rPr>
                      <m:nor/>
                    </m:rPr>
                    <w:rPr>
                      <w:i/>
                      <w:iCs/>
                    </w:rPr>
                    <m:t>x</m:t>
                  </m:r>
                </m:e>
              </m:d>
            </m:e>
          </m:nary>
          <w:proofErr w:type="spellStart"/>
          <m:r>
            <m:rPr>
              <m:nor/>
            </m:rPr>
            <w:rPr>
              <w:i/>
              <w:iCs/>
            </w:rPr>
            <m:t>dF</m:t>
          </m:r>
          <w:proofErr w:type="spellEnd"/>
          <m:d>
            <m:dPr>
              <m:ctrlPr>
                <w:rPr>
                  <w:rFonts w:ascii="Cambria Math" w:hAnsi="Cambria Math"/>
                  <w:i/>
                  <w:iCs/>
                </w:rPr>
              </m:ctrlPr>
            </m:dPr>
            <m:e>
              <m:r>
                <m:rPr>
                  <m:nor/>
                </m:rPr>
                <w:rPr>
                  <w:i/>
                  <w:iCs/>
                </w:rPr>
                <m:t>x</m:t>
              </m:r>
            </m:e>
          </m:d>
          <m:r>
            <w:rPr>
              <w:rFonts w:ascii="Cambria Math" w:eastAsiaTheme="minorEastAsia" w:hAnsi="Cambria Math"/>
            </w:rPr>
            <m:t>&gt;</m:t>
          </m:r>
          <m:r>
            <m:rPr>
              <m:nor/>
            </m:rPr>
            <w:rPr>
              <w:rFonts w:eastAsiaTheme="minorEastAsia"/>
              <w:i/>
            </w:rPr>
            <m:t>u</m:t>
          </m:r>
          <m:d>
            <m:dPr>
              <m:ctrlPr>
                <w:rPr>
                  <w:rFonts w:ascii="Cambria Math" w:hAnsi="Cambria Math"/>
                  <w:i/>
                </w:rPr>
              </m:ctrlPr>
            </m:dPr>
            <m:e>
              <m:nary>
                <m:naryPr>
                  <m:limLoc m:val="undOvr"/>
                  <m:subHide m:val="1"/>
                  <m:supHide m:val="1"/>
                  <m:ctrlPr>
                    <w:rPr>
                      <w:rFonts w:ascii="Cambria Math" w:hAnsi="Cambria Math"/>
                      <w:i/>
                    </w:rPr>
                  </m:ctrlPr>
                </m:naryPr>
                <m:sub/>
                <m:sup/>
                <m:e>
                  <m:r>
                    <m:rPr>
                      <m:nor/>
                    </m:rPr>
                    <w:rPr>
                      <w:i/>
                    </w:rPr>
                    <m:t>x</m:t>
                  </m:r>
                </m:e>
              </m:nary>
              <w:proofErr w:type="spellStart"/>
              <m:r>
                <m:rPr>
                  <m:nor/>
                </m:rPr>
                <w:rPr>
                  <w:i/>
                </w:rPr>
                <m:t>d</m:t>
              </m:r>
              <m:r>
                <m:rPr>
                  <m:nor/>
                </m:rPr>
                <w:rPr>
                  <w:i/>
                  <w:iCs/>
                </w:rPr>
                <m:t>F</m:t>
              </m:r>
              <w:proofErr w:type="spellEnd"/>
              <m:d>
                <m:dPr>
                  <m:ctrlPr>
                    <w:rPr>
                      <w:rFonts w:ascii="Cambria Math" w:hAnsi="Cambria Math"/>
                      <w:i/>
                      <w:iCs/>
                    </w:rPr>
                  </m:ctrlPr>
                </m:dPr>
                <m:e>
                  <m:r>
                    <m:rPr>
                      <m:nor/>
                    </m:rPr>
                    <w:rPr>
                      <w:i/>
                      <w:iCs/>
                    </w:rPr>
                    <m:t>x</m:t>
                  </m:r>
                </m:e>
              </m:d>
            </m:e>
          </m:d>
        </m:oMath>
      </m:oMathPara>
    </w:p>
    <w:p w14:paraId="3269483C" w14:textId="69EF5602" w:rsidR="00B757A0" w:rsidRDefault="00101B04" w:rsidP="00D61153">
      <w:pPr>
        <w:pStyle w:val="Nivel1SM"/>
      </w:pPr>
      <w:r>
        <w:t>Como se puede observar, para calificar la actitud frente al riesgo simplemente basta comparar la utilidad esperada de una lotería cualquiera con la utilidad de la esperanza de dicha lotería.</w:t>
      </w:r>
    </w:p>
    <w:p w14:paraId="495C0722" w14:textId="77777777" w:rsidR="002D7FE9" w:rsidRDefault="00B757A0" w:rsidP="002D7FE9">
      <w:pPr>
        <w:pStyle w:val="Nivel1SM"/>
        <w:keepNext/>
        <w:spacing w:after="0"/>
      </w:pPr>
      <w:r>
        <w:t>La intuición económica que subyace la aversión al riesgo es el efecto de la renta ganada frente a la renta perdida.</w:t>
      </w:r>
    </w:p>
    <w:p w14:paraId="34CD5909" w14:textId="3F0BF8FE" w:rsidR="00B757A0" w:rsidRPr="00B757A0" w:rsidRDefault="00C57D7C" w:rsidP="002D7FE9">
      <w:pPr>
        <w:pStyle w:val="Nivel2SM"/>
      </w:pPr>
      <w:r>
        <w:t xml:space="preserve">Por ejemplo, para un sujeto averso al riesgo situado sobre un nivel de renta de partida cualquiera, ante variaciones equivalentes de la renta monetaria </w:t>
      </w:r>
      <w:r>
        <w:rPr>
          <w:i/>
          <w:iCs/>
        </w:rPr>
        <w:t>x</w:t>
      </w:r>
      <w:r>
        <w:t xml:space="preserve"> al alza y a la baja, la desutilidad marginal de la renta perdida es mayor que la utilidad marginal de la renta ganada.</w:t>
      </w:r>
    </w:p>
    <w:p w14:paraId="66717857" w14:textId="09713A88" w:rsidR="009A3230" w:rsidRDefault="009A3230" w:rsidP="009A3230">
      <w:pPr>
        <w:pStyle w:val="Ttulo7"/>
      </w:pPr>
      <w:bookmarkStart w:id="27" w:name="_Toc172232538"/>
      <w:r>
        <w:lastRenderedPageBreak/>
        <w:t>Equivalente cierto</w:t>
      </w:r>
      <w:r w:rsidR="0057474D">
        <w:t xml:space="preserve"> y prima de riesgo</w:t>
      </w:r>
      <w:bookmarkEnd w:id="27"/>
    </w:p>
    <w:p w14:paraId="5EBC423A" w14:textId="3FC8FA7F" w:rsidR="001A24CB" w:rsidRDefault="001A24CB" w:rsidP="00D61153">
      <w:pPr>
        <w:pStyle w:val="Nivel1SM"/>
        <w:keepNext/>
        <w:spacing w:before="0" w:after="0"/>
      </w:pPr>
      <w:r>
        <w:t>Como segundo caracterizador</w:t>
      </w:r>
      <w:r w:rsidR="0057474D">
        <w:t xml:space="preserve"> veremos la prima de riesgo. Para ello,</w:t>
      </w:r>
      <w:r>
        <w:t xml:space="preserve"> es necesario definir previamente el concepto de </w:t>
      </w:r>
      <w:r w:rsidRPr="00CA68C9">
        <w:rPr>
          <w:b/>
          <w:bCs/>
          <w:i/>
          <w:iCs/>
          <w:u w:val="single"/>
        </w:rPr>
        <w:t>equivalente cierto</w:t>
      </w:r>
      <w:r>
        <w:t xml:space="preserve"> </w:t>
      </w:r>
      <w:r w:rsidR="002E543D">
        <w:t xml:space="preserve">de una lotería </w:t>
      </w:r>
      <w:r w:rsidR="002E543D">
        <w:rPr>
          <w:i/>
          <w:iCs/>
        </w:rPr>
        <w:t>F</w:t>
      </w:r>
      <w:r w:rsidR="002E543D">
        <w:t>(</w:t>
      </w:r>
      <w:r w:rsidR="002E543D" w:rsidRPr="002E543D">
        <w:rPr>
          <w:i/>
          <w:iCs/>
        </w:rPr>
        <w:t>x</w:t>
      </w:r>
      <w:r w:rsidR="002E543D">
        <w:t>)</w:t>
      </w:r>
      <w:r w:rsidR="003C08C7">
        <w:t xml:space="preserve"> dada una función de utilidad de Bernoulli, y denotado como</w:t>
      </w:r>
      <m:oMath>
        <m:r>
          <w:rPr>
            <w:rFonts w:ascii="Cambria Math" w:hAnsi="Cambria Math"/>
          </w:rPr>
          <m:t xml:space="preserve"> </m:t>
        </m:r>
        <m:r>
          <m:rPr>
            <m:nor/>
          </m:rPr>
          <w:rPr>
            <w:i/>
          </w:rPr>
          <m:t>ξ</m:t>
        </m:r>
        <m:r>
          <w:rPr>
            <w:rFonts w:ascii="Cambria Math"/>
          </w:rPr>
          <m:t>=</m:t>
        </m:r>
        <m:r>
          <m:rPr>
            <m:nor/>
          </m:rPr>
          <w:rPr>
            <w:i/>
            <w:iCs/>
          </w:rPr>
          <m:t>c</m:t>
        </m:r>
        <m:d>
          <m:dPr>
            <m:ctrlPr>
              <w:rPr>
                <w:rFonts w:ascii="Cambria Math" w:hAnsi="Cambria Math"/>
                <w:i/>
                <w:iCs/>
              </w:rPr>
            </m:ctrlPr>
          </m:dPr>
          <m:e>
            <m:r>
              <m:rPr>
                <m:nor/>
              </m:rPr>
              <w:rPr>
                <w:i/>
                <w:iCs/>
              </w:rPr>
              <m:t>F</m:t>
            </m:r>
            <m:r>
              <m:rPr>
                <m:nor/>
              </m:rPr>
              <m:t>,</m:t>
            </m:r>
            <m:r>
              <m:rPr>
                <m:nor/>
              </m:rPr>
              <w:rPr>
                <w:i/>
                <w:iCs/>
              </w:rPr>
              <m:t>u</m:t>
            </m:r>
          </m:e>
        </m:d>
      </m:oMath>
      <w:r w:rsidR="003C08C7">
        <w:t xml:space="preserve">. El equivalente cierto de una lotería </w:t>
      </w:r>
      <w:r w:rsidR="003C08C7">
        <w:rPr>
          <w:i/>
          <w:iCs/>
        </w:rPr>
        <w:t>F</w:t>
      </w:r>
      <w:r w:rsidR="003C08C7">
        <w:t>(</w:t>
      </w:r>
      <w:r w:rsidR="003C08C7" w:rsidRPr="003C08C7">
        <w:rPr>
          <w:i/>
          <w:iCs/>
        </w:rPr>
        <w:t>x</w:t>
      </w:r>
      <w:r w:rsidR="003C08C7">
        <w:t xml:space="preserve">) dada </w:t>
      </w:r>
      <w:r w:rsidR="003C08C7">
        <w:rPr>
          <w:i/>
          <w:iCs/>
        </w:rPr>
        <w:t>u</w:t>
      </w:r>
      <w:r w:rsidR="003C08C7">
        <w:t>(</w:t>
      </w:r>
      <w:r w:rsidR="003C08C7">
        <w:rPr>
          <w:i/>
          <w:iCs/>
        </w:rPr>
        <w:t>x</w:t>
      </w:r>
      <w:r w:rsidR="003C08C7">
        <w:t xml:space="preserve">) es aquella cantidad monetaria cierta que reporta la misma utilidad esperada que la lotería </w:t>
      </w:r>
      <w:r w:rsidR="003C08C7">
        <w:rPr>
          <w:i/>
          <w:iCs/>
        </w:rPr>
        <w:t>F</w:t>
      </w:r>
      <w:r w:rsidR="003C08C7">
        <w:t>(</w:t>
      </w:r>
      <w:r w:rsidR="003C08C7">
        <w:rPr>
          <w:i/>
          <w:iCs/>
        </w:rPr>
        <w:t>x</w:t>
      </w:r>
      <w:r w:rsidR="003C08C7">
        <w:t>) misma. Formalmente</w:t>
      </w:r>
      <w:r w:rsidR="00E957E1">
        <w:t>,</w:t>
      </w:r>
      <w:r w:rsidR="003C08C7">
        <w:t xml:space="preserve"> el equivalente </w:t>
      </w:r>
      <w:r w:rsidR="00E957E1">
        <w:t>cierto</w:t>
      </w:r>
      <w:r w:rsidR="003C08C7">
        <w:t xml:space="preserve"> es la cantidad que iguala:</w:t>
      </w:r>
    </w:p>
    <w:p w14:paraId="0D124D94" w14:textId="3E89055D" w:rsidR="003C08C7" w:rsidRPr="00573E46" w:rsidRDefault="00E957E1" w:rsidP="00D61153">
      <w:pPr>
        <w:spacing w:after="0"/>
        <w:rPr>
          <w:rFonts w:eastAsiaTheme="minorEastAsia"/>
          <w:iCs/>
        </w:rPr>
      </w:pPr>
      <m:oMathPara>
        <m:oMath>
          <m:r>
            <m:rPr>
              <m:nor/>
            </m:rPr>
            <w:rPr>
              <w:rFonts w:ascii="Cambria Math"/>
              <w:iCs/>
            </w:rPr>
            <m:t xml:space="preserve"> </m:t>
          </m:r>
          <m:r>
            <m:rPr>
              <m:nor/>
            </m:rPr>
            <w:rPr>
              <w:i/>
            </w:rPr>
            <m:t>u</m:t>
          </m:r>
          <m:d>
            <m:dPr>
              <m:ctrlPr>
                <w:rPr>
                  <w:rFonts w:ascii="Cambria Math" w:hAnsi="Cambria Math"/>
                  <w:i/>
                </w:rPr>
              </m:ctrlPr>
            </m:dPr>
            <m:e>
              <w:bookmarkStart w:id="28" w:name="_Hlk89676814"/>
              <m:r>
                <m:rPr>
                  <m:nor/>
                </m:rPr>
                <w:rPr>
                  <w:i/>
                </w:rPr>
                <m:t>ξ</m:t>
              </m:r>
              <w:bookmarkEnd w:id="28"/>
            </m:e>
          </m:d>
          <m:r>
            <w:rPr>
              <w:rFonts w:ascii="Cambria Math" w:hAnsi="Cambria Math"/>
            </w:rPr>
            <m:t>=</m:t>
          </m:r>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dF</m:t>
          </m:r>
          <w:proofErr w:type="spellEnd"/>
          <m:d>
            <m:dPr>
              <m:ctrlPr>
                <w:rPr>
                  <w:rFonts w:ascii="Cambria Math" w:hAnsi="Cambria Math"/>
                  <w:i/>
                  <w:iCs/>
                </w:rPr>
              </m:ctrlPr>
            </m:dPr>
            <m:e>
              <m:r>
                <m:rPr>
                  <m:nor/>
                </m:rPr>
                <w:rPr>
                  <w:i/>
                  <w:iCs/>
                </w:rPr>
                <m:t>x</m:t>
              </m:r>
            </m:e>
          </m:d>
        </m:oMath>
      </m:oMathPara>
    </w:p>
    <w:p w14:paraId="1ED1A3C4" w14:textId="66585EDC" w:rsidR="00573E46" w:rsidRDefault="00573E46" w:rsidP="00084BF4">
      <w:pPr>
        <w:pStyle w:val="Nivel1SM"/>
        <w:keepNext/>
        <w:numPr>
          <w:ilvl w:val="0"/>
          <w:numId w:val="0"/>
        </w:numPr>
        <w:spacing w:after="0"/>
      </w:pPr>
      <w:r>
        <w:t>En palabras, es la cantidad cierta de dinero que reporta al sujeto un nivel idéntico de utilidad que la lotería.</w:t>
      </w:r>
    </w:p>
    <w:p w14:paraId="673C07CB" w14:textId="4F299C7E" w:rsidR="00573E46" w:rsidRDefault="00573E46" w:rsidP="00D61153">
      <w:pPr>
        <w:pStyle w:val="Nivel2SM"/>
        <w:keepNext/>
        <w:spacing w:after="0"/>
      </w:pPr>
      <w:r>
        <w:t xml:space="preserve">El individuo será </w:t>
      </w:r>
      <w:r w:rsidRPr="001513E9">
        <w:rPr>
          <w:i/>
          <w:u w:val="single"/>
        </w:rPr>
        <w:t>averso al riesgo</w:t>
      </w:r>
      <w:r>
        <w:t xml:space="preserve"> cuando el </w:t>
      </w:r>
      <w:r w:rsidR="00B20423">
        <w:t>equivalente cierto sea menor al pago monetario</w:t>
      </w:r>
      <w:r w:rsidR="00B20423" w:rsidRPr="00B20423">
        <w:t xml:space="preserve"> </w:t>
      </w:r>
      <w:r w:rsidR="00B20423">
        <w:t>esperado de la lotería</w:t>
      </w:r>
      <w:r w:rsidR="00F82B75">
        <w:t xml:space="preserve"> (i.e. función de utilidad de Bernoulli cóncava)</w:t>
      </w:r>
      <w:r w:rsidR="00B20423">
        <w:t>.</w:t>
      </w:r>
    </w:p>
    <w:p w14:paraId="4AB21804" w14:textId="301F950C" w:rsidR="001513E9" w:rsidRPr="001513E9" w:rsidRDefault="001513E9" w:rsidP="00D61153">
      <w:pPr>
        <w:pStyle w:val="Nivel1"/>
        <w:numPr>
          <w:ilvl w:val="0"/>
          <w:numId w:val="0"/>
        </w:numPr>
        <w:spacing w:before="0" w:after="0"/>
        <w:ind w:left="709"/>
        <w:rPr>
          <w:i/>
        </w:rPr>
      </w:pPr>
      <m:oMathPara>
        <m:oMath>
          <m:r>
            <w:rPr>
              <w:rFonts w:ascii="Cambria Math" w:eastAsiaTheme="minorEastAsia" w:hAnsi="Cambria Math"/>
            </w:rPr>
            <m:t xml:space="preserve"> </m:t>
          </m:r>
          <m:r>
            <m:rPr>
              <m:nor/>
            </m:rPr>
            <w:rPr>
              <w:i/>
              <w:iCs/>
            </w:rPr>
            <m:t>ξ</m:t>
          </m:r>
          <m:r>
            <w:rPr>
              <w:rFonts w:ascii="Cambria Math" w:hAnsi="Cambria Math"/>
            </w:rPr>
            <m:t>&lt;</m:t>
          </m:r>
          <m:r>
            <m:rPr>
              <m:nor/>
            </m:rPr>
            <w:rPr>
              <w:i/>
              <w:iCs/>
            </w:rPr>
            <m:t>E</m:t>
          </m:r>
          <m:d>
            <m:dPr>
              <m:begChr m:val="["/>
              <m:endChr m:val="]"/>
              <m:ctrlPr>
                <w:rPr>
                  <w:rFonts w:ascii="Cambria Math" w:hAnsi="Cambria Math"/>
                  <w:i/>
                </w:rPr>
              </m:ctrlPr>
            </m:dPr>
            <m:e>
              <m:r>
                <m:rPr>
                  <m:nor/>
                </m:rPr>
                <w:rPr>
                  <w:i/>
                  <w:iCs/>
                </w:rPr>
                <m:t>x</m:t>
              </m:r>
            </m:e>
          </m:d>
          <m:r>
            <m:rPr>
              <m:nor/>
            </m:rPr>
            <w:rPr>
              <w:i/>
              <w:iCs/>
            </w:rPr>
            <m:t xml:space="preserve">, </m:t>
          </m:r>
          <m:r>
            <w:rPr>
              <w:rFonts w:ascii="Cambria Math" w:hAnsi="Cambria Math" w:cs="Cambria Math"/>
            </w:rPr>
            <m:t>∀</m:t>
          </m:r>
          <m:r>
            <m:rPr>
              <m:nor/>
            </m:rPr>
            <w:rPr>
              <w:rFonts w:ascii="Cambria Math" w:hAnsi="Cambria Math" w:cs="Cambria Math"/>
              <w:i/>
              <w:iCs/>
            </w:rPr>
            <m:t xml:space="preserve"> </m:t>
          </m:r>
          <m:r>
            <m:rPr>
              <m:nor/>
            </m:rPr>
            <w:rPr>
              <w:i/>
              <w:iCs/>
            </w:rPr>
            <m:t>F</m:t>
          </m:r>
          <m:r>
            <m:rPr>
              <m:nor/>
            </m:rPr>
            <m:t>(</m:t>
          </m:r>
          <m:r>
            <m:rPr>
              <m:nor/>
            </m:rPr>
            <w:rPr>
              <w:i/>
              <w:iCs/>
            </w:rPr>
            <m:t>x</m:t>
          </m:r>
          <m:r>
            <m:rPr>
              <m:nor/>
            </m:rPr>
            <m:t>)</m:t>
          </m:r>
        </m:oMath>
      </m:oMathPara>
    </w:p>
    <w:p w14:paraId="2FB5D65A" w14:textId="4D4E458E" w:rsidR="001513E9" w:rsidRDefault="00B20423" w:rsidP="00D61153">
      <w:pPr>
        <w:pStyle w:val="Nivel2SM"/>
        <w:keepNext/>
        <w:spacing w:after="0"/>
      </w:pPr>
      <w:r>
        <w:t xml:space="preserve">El individuo será </w:t>
      </w:r>
      <w:r w:rsidRPr="001513E9">
        <w:rPr>
          <w:i/>
          <w:iCs/>
          <w:u w:val="single"/>
        </w:rPr>
        <w:t>neutral al riesgo</w:t>
      </w:r>
      <w:r>
        <w:t xml:space="preserve"> cuando el equivalente cierto sea igual al pago monetario</w:t>
      </w:r>
      <w:r w:rsidRPr="00B20423">
        <w:rPr>
          <w:rFonts w:eastAsiaTheme="minorEastAsia"/>
          <w:iCs/>
        </w:rPr>
        <w:t xml:space="preserve"> </w:t>
      </w:r>
      <w:r>
        <w:rPr>
          <w:rFonts w:eastAsiaTheme="minorEastAsia"/>
          <w:iCs/>
        </w:rPr>
        <w:t>esperado de la lotería</w:t>
      </w:r>
      <w:r w:rsidR="00F82B75">
        <w:rPr>
          <w:rFonts w:eastAsiaTheme="minorEastAsia"/>
          <w:iCs/>
        </w:rPr>
        <w:t xml:space="preserve"> (i.e. función de utilidad de Bernoulli lineal)</w:t>
      </w:r>
      <w:r>
        <w:t>.</w:t>
      </w:r>
    </w:p>
    <w:p w14:paraId="34685488" w14:textId="37B1C46C" w:rsidR="001513E9" w:rsidRPr="001513E9" w:rsidRDefault="001513E9" w:rsidP="00D61153">
      <w:pPr>
        <w:pStyle w:val="Nivel1"/>
        <w:numPr>
          <w:ilvl w:val="0"/>
          <w:numId w:val="0"/>
        </w:numPr>
        <w:spacing w:before="0" w:after="0"/>
        <w:ind w:left="709"/>
        <w:rPr>
          <w:i/>
        </w:rPr>
      </w:pPr>
      <m:oMathPara>
        <m:oMath>
          <m:r>
            <m:rPr>
              <m:nor/>
            </m:rPr>
            <w:rPr>
              <w:rFonts w:ascii="Cambria Math"/>
            </w:rPr>
            <m:t xml:space="preserve"> </m:t>
          </m:r>
          <m:r>
            <m:rPr>
              <m:nor/>
            </m:rPr>
            <w:rPr>
              <w:i/>
              <w:iCs/>
            </w:rPr>
            <m:t>ξ</m:t>
          </m:r>
          <m:r>
            <w:rPr>
              <w:rFonts w:ascii="Cambria Math" w:hAnsi="Cambria Math"/>
            </w:rPr>
            <m:t>=</m:t>
          </m:r>
          <m:r>
            <m:rPr>
              <m:nor/>
            </m:rPr>
            <w:rPr>
              <w:i/>
              <w:iCs/>
            </w:rPr>
            <m:t>E</m:t>
          </m:r>
          <m:d>
            <m:dPr>
              <m:begChr m:val="["/>
              <m:endChr m:val="]"/>
              <m:ctrlPr>
                <w:rPr>
                  <w:rFonts w:ascii="Cambria Math" w:hAnsi="Cambria Math"/>
                  <w:i/>
                </w:rPr>
              </m:ctrlPr>
            </m:dPr>
            <m:e>
              <m:r>
                <m:rPr>
                  <m:nor/>
                </m:rPr>
                <w:rPr>
                  <w:i/>
                  <w:iCs/>
                </w:rPr>
                <m:t>x</m:t>
              </m:r>
            </m:e>
          </m:d>
          <m:r>
            <m:rPr>
              <m:nor/>
            </m:rPr>
            <w:rPr>
              <w:i/>
              <w:iCs/>
            </w:rPr>
            <m:t xml:space="preserve">, </m:t>
          </m:r>
          <m:r>
            <w:rPr>
              <w:rFonts w:ascii="Cambria Math" w:hAnsi="Cambria Math" w:cs="Cambria Math"/>
            </w:rPr>
            <m:t>∀</m:t>
          </m:r>
          <m:r>
            <m:rPr>
              <m:nor/>
            </m:rPr>
            <w:rPr>
              <w:rFonts w:ascii="Cambria Math" w:hAnsi="Cambria Math" w:cs="Cambria Math"/>
              <w:i/>
              <w:iCs/>
            </w:rPr>
            <m:t xml:space="preserve"> </m:t>
          </m:r>
          <m:r>
            <m:rPr>
              <m:nor/>
            </m:rPr>
            <w:rPr>
              <w:i/>
              <w:iCs/>
            </w:rPr>
            <m:t>F</m:t>
          </m:r>
          <m:r>
            <m:rPr>
              <m:nor/>
            </m:rPr>
            <m:t>(</m:t>
          </m:r>
          <m:r>
            <m:rPr>
              <m:nor/>
            </m:rPr>
            <w:rPr>
              <w:i/>
              <w:iCs/>
            </w:rPr>
            <m:t>x</m:t>
          </m:r>
          <m:r>
            <m:rPr>
              <m:nor/>
            </m:rPr>
            <m:t>)</m:t>
          </m:r>
        </m:oMath>
      </m:oMathPara>
    </w:p>
    <w:p w14:paraId="6502B952" w14:textId="59C0499E" w:rsidR="001513E9" w:rsidRDefault="00B20423" w:rsidP="00D61153">
      <w:pPr>
        <w:pStyle w:val="Nivel2SM"/>
        <w:keepNext/>
        <w:spacing w:after="0"/>
      </w:pPr>
      <w:r>
        <w:t xml:space="preserve">El individuo será </w:t>
      </w:r>
      <w:r w:rsidRPr="001513E9">
        <w:rPr>
          <w:i/>
          <w:iCs/>
          <w:u w:val="single"/>
        </w:rPr>
        <w:t>amante del riesgo</w:t>
      </w:r>
      <w:r>
        <w:t xml:space="preserve"> cuando el equivalente cierto sea mayor al pago monetario</w:t>
      </w:r>
      <w:r w:rsidRPr="00B20423">
        <w:rPr>
          <w:rFonts w:eastAsiaTheme="minorEastAsia"/>
          <w:iCs/>
        </w:rPr>
        <w:t xml:space="preserve"> </w:t>
      </w:r>
      <w:r>
        <w:rPr>
          <w:rFonts w:eastAsiaTheme="minorEastAsia"/>
          <w:iCs/>
        </w:rPr>
        <w:t>esperado de la lotería</w:t>
      </w:r>
      <w:r w:rsidR="00F82B75">
        <w:rPr>
          <w:rFonts w:eastAsiaTheme="minorEastAsia"/>
          <w:iCs/>
        </w:rPr>
        <w:t xml:space="preserve"> (i.e. función de utilidad de Bernoulli convexa)</w:t>
      </w:r>
      <w:r>
        <w:t>.</w:t>
      </w:r>
    </w:p>
    <w:p w14:paraId="6B92E807" w14:textId="3450ADE2" w:rsidR="001513E9" w:rsidRPr="006914EF" w:rsidRDefault="001513E9" w:rsidP="00D61153">
      <w:pPr>
        <w:pStyle w:val="Nivel1"/>
        <w:numPr>
          <w:ilvl w:val="0"/>
          <w:numId w:val="0"/>
        </w:numPr>
        <w:spacing w:before="0" w:after="0"/>
        <w:ind w:left="709"/>
        <w:rPr>
          <w:rFonts w:eastAsiaTheme="minorEastAsia"/>
          <w:i/>
        </w:rPr>
      </w:pPr>
      <m:oMathPara>
        <m:oMath>
          <m:r>
            <m:rPr>
              <m:nor/>
            </m:rPr>
            <w:rPr>
              <w:rFonts w:ascii="Cambria Math"/>
            </w:rPr>
            <m:t xml:space="preserve"> </m:t>
          </m:r>
          <m:r>
            <m:rPr>
              <m:nor/>
            </m:rPr>
            <w:rPr>
              <w:i/>
              <w:iCs/>
            </w:rPr>
            <m:t>ξ</m:t>
          </m:r>
          <m:r>
            <w:rPr>
              <w:rFonts w:ascii="Cambria Math"/>
            </w:rPr>
            <m:t>&gt;</m:t>
          </m:r>
          <m:r>
            <m:rPr>
              <m:nor/>
            </m:rPr>
            <w:rPr>
              <w:i/>
              <w:iCs/>
            </w:rPr>
            <m:t>E</m:t>
          </m:r>
          <m:d>
            <m:dPr>
              <m:begChr m:val="["/>
              <m:endChr m:val="]"/>
              <m:ctrlPr>
                <w:rPr>
                  <w:rFonts w:ascii="Cambria Math" w:hAnsi="Cambria Math"/>
                  <w:i/>
                </w:rPr>
              </m:ctrlPr>
            </m:dPr>
            <m:e>
              <m:r>
                <m:rPr>
                  <m:nor/>
                </m:rPr>
                <w:rPr>
                  <w:i/>
                  <w:iCs/>
                </w:rPr>
                <m:t>x</m:t>
              </m:r>
            </m:e>
          </m:d>
          <m:r>
            <m:rPr>
              <m:nor/>
            </m:rPr>
            <w:rPr>
              <w:i/>
              <w:iCs/>
            </w:rPr>
            <m:t xml:space="preserve">, </m:t>
          </m:r>
          <m:r>
            <w:rPr>
              <w:rFonts w:ascii="Cambria Math" w:hAnsi="Cambria Math" w:cs="Cambria Math"/>
            </w:rPr>
            <m:t>∀</m:t>
          </m:r>
          <m:r>
            <m:rPr>
              <m:nor/>
            </m:rPr>
            <w:rPr>
              <w:rFonts w:ascii="Cambria Math" w:hAnsi="Cambria Math" w:cs="Cambria Math"/>
              <w:i/>
              <w:iCs/>
            </w:rPr>
            <m:t xml:space="preserve"> </m:t>
          </m:r>
          <m:r>
            <m:rPr>
              <m:nor/>
            </m:rPr>
            <w:rPr>
              <w:i/>
              <w:iCs/>
            </w:rPr>
            <m:t>F</m:t>
          </m:r>
          <m:r>
            <m:rPr>
              <m:nor/>
            </m:rPr>
            <m:t>(</m:t>
          </m:r>
          <m:r>
            <m:rPr>
              <m:nor/>
            </m:rPr>
            <w:rPr>
              <w:i/>
              <w:iCs/>
            </w:rPr>
            <m:t>x</m:t>
          </m:r>
          <m:r>
            <m:rPr>
              <m:nor/>
            </m:rPr>
            <m:t>)</m:t>
          </m:r>
        </m:oMath>
      </m:oMathPara>
    </w:p>
    <w:p w14:paraId="0630FB43" w14:textId="0BB11615" w:rsidR="00CA68C9" w:rsidRPr="00BF2ADB" w:rsidRDefault="00BF2ADB" w:rsidP="002D7FE9">
      <w:pPr>
        <w:pStyle w:val="Nivel1SM"/>
        <w:keepNext/>
        <w:spacing w:before="0" w:after="0"/>
      </w:pPr>
      <w:r>
        <w:t>Por su parte, la diferencia entre el valor esperado de la lotería</w:t>
      </w:r>
      <m:oMath>
        <m:r>
          <w:rPr>
            <w:rFonts w:ascii="Cambria Math" w:hAnsi="Cambria Math"/>
          </w:rPr>
          <m:t xml:space="preserve"> </m:t>
        </m:r>
        <m:r>
          <m:rPr>
            <m:nor/>
          </m:rPr>
          <w:rPr>
            <w:i/>
          </w:rPr>
          <m:t>E</m:t>
        </m:r>
        <m:d>
          <m:dPr>
            <m:begChr m:val="["/>
            <m:endChr m:val="]"/>
            <m:ctrlPr>
              <w:rPr>
                <w:rFonts w:ascii="Cambria Math" w:hAnsi="Cambria Math"/>
                <w:i/>
              </w:rPr>
            </m:ctrlPr>
          </m:dPr>
          <m:e>
            <m:r>
              <m:rPr>
                <m:nor/>
              </m:rPr>
              <w:rPr>
                <w:i/>
              </w:rPr>
              <m:t>x</m:t>
            </m:r>
          </m:e>
        </m:d>
      </m:oMath>
      <w:r>
        <w:t xml:space="preserve"> y el equivalente cierto </w:t>
      </w:r>
      <w:bookmarkStart w:id="29" w:name="_Hlk73346303"/>
      <m:oMath>
        <m:r>
          <m:rPr>
            <m:nor/>
          </m:rPr>
          <w:rPr>
            <w:i/>
          </w:rPr>
          <m:t>ξ</m:t>
        </m:r>
      </m:oMath>
      <w:bookmarkEnd w:id="29"/>
      <w:r>
        <w:t xml:space="preserve">, se denomina </w:t>
      </w:r>
      <w:r w:rsidRPr="00BF2ADB">
        <w:rPr>
          <w:b/>
          <w:bCs/>
          <w:i/>
          <w:u w:val="single"/>
        </w:rPr>
        <w:t>prima de riesgo</w:t>
      </w:r>
      <w:r w:rsidRPr="00BF2ADB">
        <w:t>,</w:t>
      </w:r>
      <w:r>
        <w:t xml:space="preserve"> </w:t>
      </w:r>
      <m:oMath>
        <m:r>
          <m:rPr>
            <m:nor/>
          </m:rPr>
          <w:rPr>
            <w:i/>
          </w:rPr>
          <m:t>ρ</m:t>
        </m:r>
      </m:oMath>
      <w:r w:rsidR="00EF2F29">
        <w:t>, y nos da una medida monetaria de la cantidad que está dispuesto a pagar un agente para evitar un riesgo</w:t>
      </w:r>
      <w:r w:rsidR="003C4654">
        <w:t>,</w:t>
      </w:r>
      <w:r w:rsidR="00EF2F29">
        <w:t xml:space="preserve"> o</w:t>
      </w:r>
      <w:r w:rsidR="003C4654">
        <w:t>,</w:t>
      </w:r>
      <w:r w:rsidR="00EF2F29">
        <w:t xml:space="preserve"> equivalentemente y con aplicación en la teoría de la selección de carteras, la cantidad que está dispuesto a aceptar para tomar un riesgo</w:t>
      </w:r>
      <w:r>
        <w:t>:</w:t>
      </w:r>
    </w:p>
    <w:p w14:paraId="0A334781" w14:textId="599606EF" w:rsidR="001513E9" w:rsidRPr="002E10F4" w:rsidRDefault="00BF2ADB" w:rsidP="00752719">
      <w:pPr>
        <w:pStyle w:val="Nivel1"/>
        <w:numPr>
          <w:ilvl w:val="0"/>
          <w:numId w:val="0"/>
        </w:numPr>
        <w:spacing w:before="0"/>
        <w:ind w:left="709"/>
        <w:rPr>
          <w:rFonts w:eastAsiaTheme="minorEastAsia"/>
          <w:i/>
        </w:rPr>
      </w:pPr>
      <m:oMathPara>
        <m:oMath>
          <m:r>
            <m:rPr>
              <m:nor/>
            </m:rPr>
            <w:rPr>
              <w:rFonts w:ascii="Cambria Math" w:eastAsiaTheme="minorEastAsia"/>
              <w:iCs/>
            </w:rPr>
            <m:t xml:space="preserve"> </m:t>
          </m:r>
          <m:r>
            <m:rPr>
              <m:nor/>
            </m:rPr>
            <w:rPr>
              <w:rFonts w:eastAsiaTheme="minorEastAsia"/>
              <w:i/>
            </w:rPr>
            <m:t>ρ</m:t>
          </m:r>
          <m:r>
            <w:rPr>
              <w:rFonts w:ascii="Cambria Math" w:eastAsiaTheme="minorEastAsia" w:hAnsi="Cambria Math"/>
            </w:rPr>
            <m:t>=</m:t>
          </m:r>
          <m:r>
            <m:rPr>
              <m:nor/>
            </m:rPr>
            <w:rPr>
              <w:i/>
            </w:rPr>
            <m:t>E</m:t>
          </m:r>
          <m:d>
            <m:dPr>
              <m:begChr m:val="["/>
              <m:endChr m:val="]"/>
              <m:ctrlPr>
                <w:rPr>
                  <w:rFonts w:ascii="Cambria Math" w:hAnsi="Cambria Math"/>
                  <w:i/>
                </w:rPr>
              </m:ctrlPr>
            </m:dPr>
            <m:e>
              <m:r>
                <m:rPr>
                  <m:nor/>
                </m:rPr>
                <w:rPr>
                  <w:i/>
                </w:rPr>
                <m:t>x</m:t>
              </m:r>
            </m:e>
          </m:d>
          <m:r>
            <w:rPr>
              <w:rFonts w:ascii="Cambria Math" w:hAnsi="Cambria Math"/>
            </w:rPr>
            <m:t>-</m:t>
          </m:r>
          <m:r>
            <m:rPr>
              <m:nor/>
            </m:rPr>
            <w:rPr>
              <w:i/>
            </w:rPr>
            <m:t>ξ</m:t>
          </m:r>
        </m:oMath>
      </m:oMathPara>
    </w:p>
    <w:p w14:paraId="4E1C822A" w14:textId="68566FD4" w:rsidR="0057474D" w:rsidRDefault="00577352" w:rsidP="0057474D">
      <w:pPr>
        <w:pStyle w:val="Notaalopositor"/>
      </w:pPr>
      <w:r>
        <w:t>P</w:t>
      </w:r>
      <w:r w:rsidR="0057474D">
        <w:t>rima máxima, prima justa y prima de riesgo</w:t>
      </w:r>
    </w:p>
    <w:p w14:paraId="36BA5668" w14:textId="77777777" w:rsidR="0057474D" w:rsidRPr="00700999" w:rsidRDefault="0057474D" w:rsidP="0057474D">
      <w:pPr>
        <w:pStyle w:val="Notaalopositor"/>
        <w:jc w:val="center"/>
      </w:pPr>
      <w:r w:rsidRPr="009251A9">
        <w:rPr>
          <w:noProof/>
        </w:rPr>
        <w:drawing>
          <wp:inline distT="0" distB="0" distL="0" distR="0" wp14:anchorId="2591A2C2" wp14:editId="5F1DB12F">
            <wp:extent cx="1439343" cy="1066702"/>
            <wp:effectExtent l="0" t="0" r="8890" b="635"/>
            <wp:docPr id="25" name="Imagen 25"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 Dibujo de ingeniería&#10;&#10;Descripción generada automáticamente"/>
                    <pic:cNvPicPr/>
                  </pic:nvPicPr>
                  <pic:blipFill rotWithShape="1">
                    <a:blip r:embed="rId11"/>
                    <a:srcRect t="2674"/>
                    <a:stretch/>
                  </pic:blipFill>
                  <pic:spPr bwMode="auto">
                    <a:xfrm>
                      <a:off x="0" y="0"/>
                      <a:ext cx="1440000" cy="1067189"/>
                    </a:xfrm>
                    <a:prstGeom prst="rect">
                      <a:avLst/>
                    </a:prstGeom>
                    <a:ln>
                      <a:noFill/>
                    </a:ln>
                    <a:extLst>
                      <a:ext uri="{53640926-AAD7-44D8-BBD7-CCE9431645EC}">
                        <a14:shadowObscured xmlns:a14="http://schemas.microsoft.com/office/drawing/2010/main"/>
                      </a:ext>
                    </a:extLst>
                  </pic:spPr>
                </pic:pic>
              </a:graphicData>
            </a:graphic>
          </wp:inline>
        </w:drawing>
      </w:r>
    </w:p>
    <w:p w14:paraId="508A21FC" w14:textId="260A9A11" w:rsidR="002E10F4" w:rsidRDefault="002E10F4" w:rsidP="002D7FE9">
      <w:pPr>
        <w:pStyle w:val="Notaalopositor"/>
        <w:keepNext w:val="0"/>
      </w:pPr>
      <w:r w:rsidRPr="002B110D">
        <w:rPr>
          <w:i/>
          <w:iCs/>
        </w:rPr>
        <w:t>Borrador del Manual de Macro de Jesús Fern</w:t>
      </w:r>
      <w:r>
        <w:rPr>
          <w:i/>
          <w:iCs/>
        </w:rPr>
        <w:t>á</w:t>
      </w:r>
      <w:r w:rsidRPr="002B110D">
        <w:rPr>
          <w:i/>
          <w:iCs/>
        </w:rPr>
        <w:t>ndez Villaverde</w:t>
      </w:r>
      <w:r w:rsidRPr="002B110D">
        <w:t>: No lo usé mucho pero tiene algún detalle interesante más allá del álgebra de los modelos. Por ejemplo, cuando plantea el modelo de crecimiento te explica muy bien las funciones CRRA</w:t>
      </w:r>
      <w:r>
        <w:t xml:space="preserve"> </w:t>
      </w:r>
      <w:r w:rsidRPr="002B110D">
        <w:t>(aversión relativa constante al riesgo). De hecho, en este enlace en el apartado 3.1. te explica algo muy interesante sobre el comportamiento precautorio y la aversión al riesgo</w:t>
      </w:r>
      <w:r>
        <w:t>:</w:t>
      </w:r>
    </w:p>
    <w:bookmarkStart w:id="31" w:name="_Hlk109577036"/>
    <w:p w14:paraId="5E46A88C" w14:textId="1C213877" w:rsidR="002E10F4" w:rsidRDefault="0060687D" w:rsidP="002D7FE9">
      <w:pPr>
        <w:pStyle w:val="Notaalopositor"/>
        <w:keepNext w:val="0"/>
      </w:pPr>
      <w:r>
        <w:fldChar w:fldCharType="begin"/>
      </w:r>
      <w:r>
        <w:instrText xml:space="preserve"> HYPERLINK "https://www.sas.upenn.edu/~jesusfv/Uncertainty_Shocks_Business_Cycle.pdf" </w:instrText>
      </w:r>
      <w:r>
        <w:fldChar w:fldCharType="separate"/>
      </w:r>
      <w:r w:rsidR="002E10F4" w:rsidRPr="00C01A64">
        <w:rPr>
          <w:rStyle w:val="Hipervnculo"/>
        </w:rPr>
        <w:t>https://www.sas.upenn.edu/~jesusfv/Uncertainty_Shocks_Business_Cycle.pdf</w:t>
      </w:r>
      <w:r>
        <w:rPr>
          <w:rStyle w:val="Hipervnculo"/>
        </w:rPr>
        <w:fldChar w:fldCharType="end"/>
      </w:r>
      <w:r w:rsidR="002E10F4" w:rsidRPr="002B110D">
        <w:t xml:space="preserve"> </w:t>
      </w:r>
      <w:r w:rsidR="0083210F">
        <w:t>(págs. 9, 10 y 11)</w:t>
      </w:r>
    </w:p>
    <w:p w14:paraId="2EF4646D" w14:textId="4076BFA6" w:rsidR="002E10F4" w:rsidRDefault="002E10F4" w:rsidP="002D7FE9">
      <w:pPr>
        <w:pStyle w:val="Notaalopositor"/>
        <w:keepNext w:val="0"/>
      </w:pPr>
      <w:r>
        <w:t>Ver esto para entender lo de Leland</w:t>
      </w:r>
      <w:r w:rsidR="0083210F">
        <w:t xml:space="preserve"> (1968)</w:t>
      </w:r>
      <w:r>
        <w:t xml:space="preserve"> y Sandmo </w:t>
      </w:r>
      <w:r w:rsidR="0083210F">
        <w:t xml:space="preserve">(1970) </w:t>
      </w:r>
      <w:r>
        <w:t>– Útil para tema 3.A.3</w:t>
      </w:r>
      <w:r w:rsidR="00AE0338">
        <w:t>3</w:t>
      </w:r>
      <w:r>
        <w:t xml:space="preserve"> de demanda de consumo en la teoría del paseo aleatorio de Hall</w:t>
      </w:r>
      <w:r w:rsidR="0083210F">
        <w:t xml:space="preserve"> (1978).</w:t>
      </w:r>
    </w:p>
    <w:p w14:paraId="2E857299" w14:textId="0D74E54E" w:rsidR="002E10F4" w:rsidRDefault="0083210F" w:rsidP="002D7FE9">
      <w:pPr>
        <w:pStyle w:val="Notaalopositor"/>
        <w:keepNext w:val="0"/>
      </w:pPr>
      <w:r>
        <w:t xml:space="preserve">En este artículo buscan explicar mecanismos para explicar </w:t>
      </w:r>
      <w:r w:rsidR="002D7FE9">
        <w:t>cómo</w:t>
      </w:r>
      <w:r>
        <w:t xml:space="preserve"> shocks de incertidumbre pueden causar ciclos económicos. En el apartado 3.1. destacan el papel del comportamiento precautorio, de forma que si las preferencias de los agentes del modelo muestran comportamiento precautorio, un shock de incertidumbre puede causar ciclos económicos.</w:t>
      </w:r>
    </w:p>
    <w:p w14:paraId="6C37B5ED" w14:textId="56EC185C" w:rsidR="0083210F" w:rsidRDefault="0083210F" w:rsidP="002D7FE9">
      <w:pPr>
        <w:pStyle w:val="Notaalopositor"/>
        <w:keepNext w:val="0"/>
      </w:pPr>
      <w:r>
        <w:t>Cuando la función de utilidad de un agente económico es cóncava, el agente es averso al riesgo y no le gusta la incertidumbre. En este caso, la utilidad esperada del consumo es más baja que la utilidad del consumo esperado (tal y como hemos visto en el tema 3.A.</w:t>
      </w:r>
      <w:r w:rsidR="00AE0338">
        <w:t>10</w:t>
      </w:r>
      <w:r>
        <w:t>).</w:t>
      </w:r>
    </w:p>
    <w:p w14:paraId="70B377D4" w14:textId="7AABE226" w:rsidR="002E10F4" w:rsidRDefault="002E10F4" w:rsidP="002D7FE9">
      <w:pPr>
        <w:pStyle w:val="Notaalopositor"/>
        <w:keepNext w:val="0"/>
      </w:pPr>
      <w:r>
        <w:t xml:space="preserve">La aversión al riesgo es condición necesaria pero no suficiente para el comportamiento precautorio. Este quiere decir, que dada la existencia de riesgo, el agente cambia su comportamiento como consecuencia </w:t>
      </w:r>
      <w:proofErr w:type="gramStart"/>
      <w:r>
        <w:t>del mismo</w:t>
      </w:r>
      <w:proofErr w:type="gramEnd"/>
      <w:r>
        <w:t>.</w:t>
      </w:r>
    </w:p>
    <w:p w14:paraId="2F0FC737" w14:textId="6CA355A9" w:rsidR="002E10F4" w:rsidRDefault="002E10F4" w:rsidP="002D7FE9">
      <w:pPr>
        <w:pStyle w:val="Notaalopositor"/>
        <w:keepNext w:val="0"/>
      </w:pPr>
      <w:r>
        <w:t xml:space="preserve">Para que exista comportamiento precautorio, la tercera derivada ha de ser mayor que cero, es decir, la convexidad de la utilidad marginal es condición suficiente para comportamiento precautorio [también conocido como </w:t>
      </w:r>
      <w:r>
        <w:rPr>
          <w:i/>
          <w:iCs/>
        </w:rPr>
        <w:t>prudencia</w:t>
      </w:r>
      <w:r>
        <w:t>].</w:t>
      </w:r>
    </w:p>
    <w:p w14:paraId="209AEA3B" w14:textId="77777777" w:rsidR="00BF7ECE" w:rsidRDefault="00BF7ECE" w:rsidP="002D7FE9">
      <w:pPr>
        <w:pStyle w:val="Notaalopositor"/>
        <w:keepNext w:val="0"/>
        <w:rPr>
          <w:rFonts w:eastAsiaTheme="minorEastAsia"/>
        </w:rPr>
      </w:pPr>
      <w:r>
        <w:t>Esto se da una función de aversión constante al riesgo (CRRA)</w:t>
      </w:r>
      <w:r>
        <w:rPr>
          <w:rFonts w:eastAsiaTheme="minorEastAsia"/>
        </w:rPr>
        <w:t>.</w:t>
      </w:r>
    </w:p>
    <w:p w14:paraId="59EA5D30" w14:textId="77777777" w:rsidR="00BF7ECE" w:rsidRDefault="00BF7ECE" w:rsidP="002D7FE9">
      <w:pPr>
        <w:pStyle w:val="Notaalopositor"/>
        <w:keepNext w:val="0"/>
        <w:rPr>
          <w:rFonts w:eastAsiaTheme="minorEastAsia"/>
        </w:rPr>
      </w:pPr>
      <w:r>
        <w:rPr>
          <w:rFonts w:eastAsiaTheme="minorEastAsia"/>
        </w:rPr>
        <w:t>Sin embargo, en una función de utilidad cuadrática a pesar de caracterizar a un averso al riesgo (ya que</w:t>
      </w:r>
      <m:oMath>
        <m:r>
          <w:rPr>
            <w:rFonts w:ascii="Cambria Math" w:eastAsiaTheme="minorEastAsia" w:hAnsi="Cambria Math"/>
          </w:rPr>
          <m:t xml:space="preserve"> </m:t>
        </m:r>
        <m:r>
          <m:rPr>
            <m:nor/>
          </m:rPr>
          <w:rPr>
            <w:i/>
          </w:rPr>
          <m:t>u"</m:t>
        </m:r>
        <m:d>
          <m:dPr>
            <m:ctrlPr>
              <w:rPr>
                <w:rFonts w:ascii="Cambria Math" w:hAnsi="Cambria Math"/>
                <w:i/>
              </w:rPr>
            </m:ctrlPr>
          </m:dPr>
          <m:e>
            <m:r>
              <m:rPr>
                <m:nor/>
              </m:rPr>
              <w:rPr>
                <w:i/>
              </w:rPr>
              <m:t>x</m:t>
            </m:r>
          </m:e>
        </m:d>
        <m:r>
          <w:rPr>
            <w:rFonts w:ascii="Cambria Math" w:hAnsi="Cambria Math"/>
          </w:rPr>
          <m:t>&lt;</m:t>
        </m:r>
        <m:r>
          <m:rPr>
            <m:nor/>
          </m:rPr>
          <w:rPr>
            <w:i/>
          </w:rPr>
          <m:t>0</m:t>
        </m:r>
      </m:oMath>
      <w:r>
        <w:rPr>
          <w:rFonts w:eastAsiaTheme="minorEastAsia"/>
        </w:rPr>
        <w:t>), el agente no muestra comportamiento precautorio, es decir, no cambia su comportamiento como respuesta al riesgo.</w:t>
      </w:r>
    </w:p>
    <w:p w14:paraId="6F990359" w14:textId="7D51062C" w:rsidR="00BF7ECE" w:rsidRDefault="00BF7ECE" w:rsidP="002D7FE9">
      <w:pPr>
        <w:pStyle w:val="Notaalopositor"/>
        <w:keepNext w:val="0"/>
        <w:rPr>
          <w:rFonts w:eastAsiaTheme="minorEastAsia"/>
        </w:rPr>
      </w:pPr>
      <w:r>
        <w:rPr>
          <w:rFonts w:eastAsiaTheme="minorEastAsia"/>
        </w:rPr>
        <w:lastRenderedPageBreak/>
        <w:t>¿Cuáles son las consecuencias a nivel agregado de estos cambios en el comportamiento precautorio? En un modelo macroeconómico base, con una función de utilidad CRRA, el comportamiento precautorio aparece típicamente como ahorro precautorio y por tanto un aumento en la incertidumbre conduce a una mayor demanda de ahorros, reduciendo el tipo de interés real de equilibrio. Esta reducción del tipo de interés induce un mayor consumo presente, por lo que se produce un efecto contrario a los efectos contractivos del ahorro precautorio. Por tanto, el efecto final queda indeterminado.</w:t>
      </w:r>
    </w:p>
    <w:p w14:paraId="4EBCB7B7" w14:textId="77777777" w:rsidR="00A912EB" w:rsidRDefault="00BF7ECE" w:rsidP="00BF7ECE">
      <w:pPr>
        <w:pStyle w:val="Notaalopositor"/>
        <w:rPr>
          <w:rFonts w:eastAsiaTheme="minorEastAsia"/>
        </w:rPr>
      </w:pPr>
      <w:r>
        <w:rPr>
          <w:rFonts w:eastAsiaTheme="minorEastAsia"/>
        </w:rPr>
        <w:t xml:space="preserve">Esto será relevante en la teoría de la demanda de consumo del paseo aleatorio de </w:t>
      </w:r>
      <w:r>
        <w:rPr>
          <w:rFonts w:eastAsiaTheme="minorEastAsia"/>
          <w:smallCaps/>
        </w:rPr>
        <w:t>Hall</w:t>
      </w:r>
      <w:r>
        <w:rPr>
          <w:rFonts w:eastAsiaTheme="minorEastAsia"/>
        </w:rPr>
        <w:t>.</w:t>
      </w:r>
    </w:p>
    <w:p w14:paraId="43B0EB6E" w14:textId="0F4F2E68" w:rsidR="002E10F4" w:rsidRDefault="002E10F4" w:rsidP="002E10F4">
      <w:pPr>
        <w:pStyle w:val="Notaalopositor"/>
        <w:jc w:val="center"/>
      </w:pPr>
      <w:r w:rsidRPr="002E10F4">
        <w:rPr>
          <w:noProof/>
        </w:rPr>
        <w:drawing>
          <wp:inline distT="0" distB="0" distL="0" distR="0" wp14:anchorId="64AF57AF" wp14:editId="28EF137B">
            <wp:extent cx="2303585" cy="886349"/>
            <wp:effectExtent l="0" t="0" r="1905" b="9525"/>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12"/>
                    <a:stretch>
                      <a:fillRect/>
                    </a:stretch>
                  </pic:blipFill>
                  <pic:spPr>
                    <a:xfrm>
                      <a:off x="0" y="0"/>
                      <a:ext cx="2325343" cy="894721"/>
                    </a:xfrm>
                    <a:prstGeom prst="rect">
                      <a:avLst/>
                    </a:prstGeom>
                  </pic:spPr>
                </pic:pic>
              </a:graphicData>
            </a:graphic>
          </wp:inline>
        </w:drawing>
      </w:r>
    </w:p>
    <w:p w14:paraId="2BF9EAF4" w14:textId="258D2761" w:rsidR="006914EF" w:rsidRPr="006914EF" w:rsidRDefault="006914EF" w:rsidP="006914EF">
      <w:pPr>
        <w:pStyle w:val="Ttulo7"/>
      </w:pPr>
      <w:bookmarkStart w:id="33" w:name="_Toc172232539"/>
      <w:r>
        <w:rPr>
          <w:rFonts w:eastAsiaTheme="minorEastAsia"/>
        </w:rPr>
        <w:t>C</w:t>
      </w:r>
      <w:r w:rsidRPr="006914EF">
        <w:rPr>
          <w:rFonts w:eastAsiaTheme="minorEastAsia"/>
        </w:rPr>
        <w:t>oeficientes de aversión al riesgo</w:t>
      </w:r>
      <w:bookmarkEnd w:id="33"/>
    </w:p>
    <w:p w14:paraId="4E4DFBA1" w14:textId="1F5B2F20" w:rsidR="00E175D6" w:rsidRDefault="009B759C" w:rsidP="00880831">
      <w:pPr>
        <w:pStyle w:val="Nivel1SM"/>
        <w:keepNext/>
        <w:keepLines/>
        <w:spacing w:before="0" w:after="0"/>
      </w:pPr>
      <w:r>
        <w:t>Una vez delimitadas las tres grandes categorías de agentes por su actitud frente al riesgo, se podría tratar de refinar un poco más el análisis buscando una medida que cuantifique esta actitud,</w:t>
      </w:r>
      <w:r w:rsidR="00385506">
        <w:t xml:space="preserve"> permitiendo cuantificar la aversión al riesgo de un agente. Es por esta r</w:t>
      </w:r>
      <w:r>
        <w:t xml:space="preserve">azón </w:t>
      </w:r>
      <w:r w:rsidR="00385506">
        <w:t>que</w:t>
      </w:r>
      <w:r>
        <w:t xml:space="preserve"> surgen los </w:t>
      </w:r>
      <w:r w:rsidRPr="009B759C">
        <w:rPr>
          <w:b/>
          <w:bCs/>
          <w:i/>
          <w:iCs/>
          <w:u w:val="single"/>
        </w:rPr>
        <w:t>coeficientes de aversión al riesgo</w:t>
      </w:r>
      <w:r w:rsidR="00F74986">
        <w:t>:</w:t>
      </w:r>
    </w:p>
    <w:p w14:paraId="3937A57A" w14:textId="437E38E4" w:rsidR="009B759C" w:rsidRDefault="009B759C" w:rsidP="00D50662">
      <w:pPr>
        <w:pStyle w:val="Nivel2SM"/>
        <w:keepNext/>
        <w:spacing w:after="0"/>
      </w:pPr>
      <w:r>
        <w:t xml:space="preserve">En primer lugar, </w:t>
      </w:r>
      <w:r w:rsidR="00B101DC">
        <w:t>analizaremos</w:t>
      </w:r>
      <w:r>
        <w:t xml:space="preserve"> el </w:t>
      </w:r>
      <w:r>
        <w:rPr>
          <w:i/>
          <w:iCs/>
          <w:u w:val="single"/>
        </w:rPr>
        <w:t>coeficiente de aversión absoluta al riesgo de Arrow-Pratt</w:t>
      </w:r>
      <w:r w:rsidR="00B101DC">
        <w:t xml:space="preserve">, </w:t>
      </w:r>
      <m:oMath>
        <m:sSub>
          <m:sSubPr>
            <m:ctrlPr>
              <w:rPr>
                <w:rFonts w:ascii="Cambria Math" w:hAnsi="Cambria Math"/>
                <w:i/>
              </w:rPr>
            </m:ctrlPr>
          </m:sSubPr>
          <m:e>
            <m:r>
              <m:rPr>
                <m:nor/>
              </m:rPr>
              <w:rPr>
                <w:i/>
              </w:rPr>
              <m:t>r</m:t>
            </m:r>
          </m:e>
          <m:sub>
            <m:r>
              <m:rPr>
                <m:nor/>
              </m:rPr>
              <w:rPr>
                <w:i/>
              </w:rPr>
              <m:t>α</m:t>
            </m:r>
          </m:sub>
        </m:sSub>
      </m:oMath>
      <w:r w:rsidR="00700999">
        <w:t>. D</w:t>
      </w:r>
      <w:r>
        <w:t xml:space="preserve">ada una función de Bernoulli </w:t>
      </w:r>
      <w:r>
        <w:rPr>
          <w:i/>
          <w:iCs/>
        </w:rPr>
        <w:t>u</w:t>
      </w:r>
      <w:r>
        <w:t>(</w:t>
      </w:r>
      <w:r>
        <w:rPr>
          <w:i/>
          <w:iCs/>
        </w:rPr>
        <w:t>x</w:t>
      </w:r>
      <w:r>
        <w:t>) dos veces diferenciable</w:t>
      </w:r>
      <w:r w:rsidR="00BE0F05">
        <w:rPr>
          <w:rStyle w:val="Refdenotaalpie"/>
        </w:rPr>
        <w:footnoteReference w:id="25"/>
      </w:r>
      <w:r w:rsidR="00B101DC">
        <w:t>:</w:t>
      </w:r>
    </w:p>
    <w:p w14:paraId="60474058" w14:textId="0F79CC5E" w:rsidR="00F1279F" w:rsidRPr="00F1279F" w:rsidRDefault="00000000" w:rsidP="00D50662">
      <w:pPr>
        <w:keepNext/>
        <w:spacing w:after="0"/>
        <w:ind w:left="567"/>
        <w:contextualSpacing/>
        <w:rPr>
          <w:rFonts w:eastAsiaTheme="minorEastAsia"/>
          <w:i/>
        </w:rPr>
      </w:pPr>
      <m:oMathPara>
        <m:oMath>
          <m:sSub>
            <m:sSubPr>
              <m:ctrlPr>
                <w:rPr>
                  <w:rFonts w:ascii="Cambria Math" w:hAnsi="Cambria Math"/>
                  <w:i/>
                </w:rPr>
              </m:ctrlPr>
            </m:sSubPr>
            <m:e>
              <m:r>
                <m:rPr>
                  <m:nor/>
                </m:rPr>
                <w:rPr>
                  <w:i/>
                </w:rPr>
                <m:t>r</m:t>
              </m:r>
            </m:e>
            <m:sub>
              <m:r>
                <m:rPr>
                  <m:nor/>
                </m:rPr>
                <w:rPr>
                  <w:i/>
                </w:rPr>
                <m:t>α</m:t>
              </m:r>
            </m:sub>
          </m:sSub>
          <m:r>
            <w:rPr>
              <w:rFonts w:ascii="Cambria Math" w:hAnsi="Cambria Math"/>
            </w:rPr>
            <m:t>=-</m:t>
          </m:r>
          <m:f>
            <m:fPr>
              <m:ctrlPr>
                <w:rPr>
                  <w:rFonts w:ascii="Cambria Math" w:hAnsi="Cambria Math"/>
                  <w:i/>
                </w:rPr>
              </m:ctrlPr>
            </m:fPr>
            <m:num>
              <m:r>
                <m:rPr>
                  <m:nor/>
                </m:rPr>
                <w:rPr>
                  <w:i/>
                </w:rPr>
                <m:t>u''</m:t>
              </m:r>
              <m:d>
                <m:dPr>
                  <m:ctrlPr>
                    <w:rPr>
                      <w:rFonts w:ascii="Cambria Math" w:hAnsi="Cambria Math"/>
                      <w:i/>
                    </w:rPr>
                  </m:ctrlPr>
                </m:dPr>
                <m:e>
                  <m:r>
                    <m:rPr>
                      <m:nor/>
                    </m:rPr>
                    <w:rPr>
                      <w:i/>
                    </w:rPr>
                    <m:t>x</m:t>
                  </m:r>
                </m:e>
              </m:d>
            </m:num>
            <m:den>
              <m:r>
                <m:rPr>
                  <m:nor/>
                </m:rPr>
                <w:rPr>
                  <w:i/>
                </w:rPr>
                <m:t>u'</m:t>
              </m:r>
              <m:d>
                <m:dPr>
                  <m:ctrlPr>
                    <w:rPr>
                      <w:rFonts w:ascii="Cambria Math" w:hAnsi="Cambria Math"/>
                      <w:i/>
                    </w:rPr>
                  </m:ctrlPr>
                </m:dPr>
                <m:e>
                  <m:r>
                    <m:rPr>
                      <m:nor/>
                    </m:rPr>
                    <w:rPr>
                      <w:i/>
                    </w:rPr>
                    <m:t>x</m:t>
                  </m:r>
                </m:e>
              </m:d>
            </m:den>
          </m:f>
        </m:oMath>
      </m:oMathPara>
    </w:p>
    <w:p w14:paraId="5AADB6CC" w14:textId="77777777" w:rsidR="00D50662" w:rsidRDefault="00F1279F" w:rsidP="00D50662">
      <w:pPr>
        <w:pStyle w:val="Nivel3SM"/>
        <w:keepNext/>
      </w:pPr>
      <w:r>
        <w:t>Esta medida recoge la idea de que el grado de aversión al riesgo puede medi</w:t>
      </w:r>
      <w:r w:rsidR="003B12B7">
        <w:t>rs</w:t>
      </w:r>
      <w:r>
        <w:t>e por el grado de curvatura de la función de Bernoulli, pues cuanta más curvatura más nos alejamos del caso de neutralidad al riesgo (curvatura nula)</w:t>
      </w:r>
      <w:r w:rsidR="003B12B7">
        <w:t>.</w:t>
      </w:r>
    </w:p>
    <w:p w14:paraId="4ACC6D6E" w14:textId="3B31F087" w:rsidR="00D50662" w:rsidRDefault="003B12B7" w:rsidP="00D50662">
      <w:pPr>
        <w:pStyle w:val="Nivel4"/>
        <w:ind w:left="1474"/>
      </w:pPr>
      <w:r>
        <w:t>Esta curvatura se obtendría en principio con</w:t>
      </w:r>
      <m:oMath>
        <m:r>
          <w:rPr>
            <w:rFonts w:ascii="Cambria Math" w:hAnsi="Cambria Math"/>
          </w:rPr>
          <m:t xml:space="preserve"> </m:t>
        </m:r>
        <m:r>
          <m:rPr>
            <m:nor/>
          </m:rPr>
          <w:rPr>
            <w:i/>
          </w:rPr>
          <m:t>u''</m:t>
        </m:r>
        <m:d>
          <m:dPr>
            <m:ctrlPr>
              <w:rPr>
                <w:rFonts w:ascii="Cambria Math" w:hAnsi="Cambria Math"/>
                <w:i/>
              </w:rPr>
            </m:ctrlPr>
          </m:dPr>
          <m:e>
            <m:r>
              <m:rPr>
                <m:nor/>
              </m:rPr>
              <w:rPr>
                <w:i/>
              </w:rPr>
              <m:t>x</m:t>
            </m:r>
          </m:e>
        </m:d>
      </m:oMath>
      <w:r>
        <w:t>, pero a fin de hacer esta medida invariante ante transformaciones lineales crecientes</w:t>
      </w:r>
      <w:r w:rsidR="00AE333D">
        <w:t xml:space="preserve"> de la función de Bernoulli</w:t>
      </w:r>
      <w:r>
        <w:t>, es necesario dividirla por</w:t>
      </w:r>
      <m:oMath>
        <m:r>
          <w:rPr>
            <w:rFonts w:ascii="Cambria Math" w:hAnsi="Cambria Math"/>
          </w:rPr>
          <m:t xml:space="preserve"> </m:t>
        </m:r>
        <m:r>
          <m:rPr>
            <m:nor/>
          </m:rPr>
          <w:rPr>
            <w:i/>
          </w:rPr>
          <m:t>u'</m:t>
        </m:r>
        <m:d>
          <m:dPr>
            <m:ctrlPr>
              <w:rPr>
                <w:rFonts w:ascii="Cambria Math" w:hAnsi="Cambria Math"/>
                <w:i/>
              </w:rPr>
            </m:ctrlPr>
          </m:dPr>
          <m:e>
            <m:r>
              <m:rPr>
                <m:nor/>
              </m:rPr>
              <w:rPr>
                <w:i/>
              </w:rPr>
              <m:t>x</m:t>
            </m:r>
          </m:e>
        </m:d>
      </m:oMath>
      <w:r>
        <w:t>.</w:t>
      </w:r>
    </w:p>
    <w:p w14:paraId="257E759E" w14:textId="255BB8C7" w:rsidR="00F1279F" w:rsidRPr="00D50662" w:rsidRDefault="003B12B7" w:rsidP="00D50662">
      <w:pPr>
        <w:pStyle w:val="Nivel4"/>
        <w:ind w:left="1474"/>
        <w:rPr>
          <w:spacing w:val="-4"/>
        </w:rPr>
      </w:pPr>
      <w:r w:rsidRPr="00D50662">
        <w:rPr>
          <w:spacing w:val="-4"/>
        </w:rPr>
        <w:t>El cambio de signo sirve para obtener una medida creciente con</w:t>
      </w:r>
      <w:r w:rsidR="004F5FBF" w:rsidRPr="00D50662">
        <w:rPr>
          <w:spacing w:val="-4"/>
        </w:rPr>
        <w:t xml:space="preserve"> dicho grado de aversión.</w:t>
      </w:r>
    </w:p>
    <w:p w14:paraId="4D5B4638" w14:textId="4B605F42" w:rsidR="00B101DC" w:rsidRPr="009251A9" w:rsidRDefault="00B101DC" w:rsidP="00D50662">
      <w:pPr>
        <w:pStyle w:val="Nivel3SM"/>
        <w:keepNext/>
        <w:rPr>
          <w:rFonts w:eastAsiaTheme="minorEastAsia"/>
          <w:spacing w:val="-1"/>
        </w:rPr>
      </w:pPr>
      <w:r w:rsidRPr="009251A9">
        <w:rPr>
          <w:spacing w:val="-1"/>
        </w:rPr>
        <w:t xml:space="preserve">El coeficiente de aversión absoluta al riesgo de Arrow-Pratt permite realizar comparaciones entre individuos y entre distintos niveles de renta para un mismo individuo (pues nada implica que </w:t>
      </w:r>
      <m:oMath>
        <m:sSub>
          <m:sSubPr>
            <m:ctrlPr>
              <w:rPr>
                <w:rFonts w:ascii="Cambria Math" w:hAnsi="Cambria Math"/>
                <w:i/>
                <w:spacing w:val="-1"/>
              </w:rPr>
            </m:ctrlPr>
          </m:sSubPr>
          <m:e>
            <m:r>
              <m:rPr>
                <m:nor/>
              </m:rPr>
              <w:rPr>
                <w:i/>
                <w:spacing w:val="-1"/>
              </w:rPr>
              <m:t>r</m:t>
            </m:r>
          </m:e>
          <m:sub>
            <m:r>
              <m:rPr>
                <m:nor/>
              </m:rPr>
              <w:rPr>
                <w:i/>
                <w:spacing w:val="-1"/>
              </w:rPr>
              <m:t>α</m:t>
            </m:r>
          </m:sub>
        </m:sSub>
      </m:oMath>
      <w:r w:rsidRPr="009251A9">
        <w:rPr>
          <w:rFonts w:eastAsiaTheme="minorEastAsia"/>
          <w:spacing w:val="-1"/>
        </w:rPr>
        <w:t xml:space="preserve"> sea una constante, sino que variará con el nivel de renta </w:t>
      </w:r>
      <m:oMath>
        <m:sSub>
          <m:sSubPr>
            <m:ctrlPr>
              <w:rPr>
                <w:rFonts w:ascii="Cambria Math" w:hAnsi="Cambria Math"/>
                <w:i/>
                <w:spacing w:val="-1"/>
              </w:rPr>
            </m:ctrlPr>
          </m:sSubPr>
          <m:e>
            <m:r>
              <m:rPr>
                <m:nor/>
              </m:rPr>
              <w:rPr>
                <w:i/>
                <w:spacing w:val="-1"/>
              </w:rPr>
              <m:t>r</m:t>
            </m:r>
          </m:e>
          <m:sub>
            <m:r>
              <m:rPr>
                <m:nor/>
              </m:rPr>
              <w:rPr>
                <w:i/>
                <w:spacing w:val="-1"/>
              </w:rPr>
              <m:t>α</m:t>
            </m:r>
          </m:sub>
        </m:sSub>
        <w:bookmarkStart w:id="34" w:name="_Hlk80273341"/>
        <m:d>
          <m:dPr>
            <m:ctrlPr>
              <w:rPr>
                <w:rFonts w:ascii="Cambria Math" w:hAnsi="Cambria Math"/>
                <w:i/>
                <w:spacing w:val="-1"/>
              </w:rPr>
            </m:ctrlPr>
          </m:dPr>
          <m:e>
            <m:r>
              <m:rPr>
                <m:nor/>
              </m:rPr>
              <w:rPr>
                <w:i/>
                <w:spacing w:val="-1"/>
              </w:rPr>
              <m:t>x</m:t>
            </m:r>
          </m:e>
        </m:d>
      </m:oMath>
      <w:bookmarkEnd w:id="34"/>
      <w:r w:rsidRPr="009251A9">
        <w:rPr>
          <w:rFonts w:eastAsiaTheme="minorEastAsia"/>
          <w:spacing w:val="-1"/>
        </w:rPr>
        <w:t>).</w:t>
      </w:r>
    </w:p>
    <w:p w14:paraId="4B33501A" w14:textId="5D8F8033" w:rsidR="00812AA1" w:rsidRPr="003B12B7" w:rsidRDefault="00812AA1" w:rsidP="00D50662">
      <w:pPr>
        <w:pStyle w:val="Nivel4"/>
        <w:ind w:left="1474"/>
      </w:pPr>
      <w:r>
        <w:t xml:space="preserve">La comparación de actitudes frente al riesgo para un mismo agente ante diferentes niveles de renta lleva a refinar el coeficiente de aversión, pues es sensato pensar que los agentes de mayor riqueza estarán dispuestos a aceptar mayores riesgos en términos absolutos que los de escasa riqueza, es decir, que los agentes exhiban aversión al riesgo decreciente en </w:t>
      </w:r>
      <w:r>
        <w:rPr>
          <w:i/>
          <w:iCs/>
        </w:rPr>
        <w:t>x</w:t>
      </w:r>
      <w:r>
        <w:t xml:space="preserve"> (</w:t>
      </w:r>
      <w:proofErr w:type="spellStart"/>
      <w:r>
        <w:rPr>
          <w:i/>
          <w:iCs/>
        </w:rPr>
        <w:t>decreasing</w:t>
      </w:r>
      <w:proofErr w:type="spellEnd"/>
      <w:r>
        <w:rPr>
          <w:i/>
          <w:iCs/>
        </w:rPr>
        <w:t xml:space="preserve"> absolute </w:t>
      </w:r>
      <w:proofErr w:type="spellStart"/>
      <w:r>
        <w:rPr>
          <w:i/>
          <w:iCs/>
        </w:rPr>
        <w:t>risk</w:t>
      </w:r>
      <w:proofErr w:type="spellEnd"/>
      <w:r>
        <w:rPr>
          <w:i/>
          <w:iCs/>
        </w:rPr>
        <w:t xml:space="preserve"> </w:t>
      </w:r>
      <w:proofErr w:type="spellStart"/>
      <w:r>
        <w:rPr>
          <w:i/>
          <w:iCs/>
        </w:rPr>
        <w:t>aversion</w:t>
      </w:r>
      <w:proofErr w:type="spellEnd"/>
      <w:r>
        <w:t xml:space="preserve"> o </w:t>
      </w:r>
      <w:r w:rsidRPr="006A0A38">
        <w:rPr>
          <w:i/>
          <w:iCs/>
        </w:rPr>
        <w:t>DARA</w:t>
      </w:r>
      <w:r>
        <w:t>).</w:t>
      </w:r>
    </w:p>
    <w:p w14:paraId="76D1D366" w14:textId="1569FD9F" w:rsidR="006A0A38" w:rsidRDefault="006A0A38" w:rsidP="00D50662">
      <w:pPr>
        <w:pStyle w:val="Nivel2SM"/>
        <w:keepNext/>
        <w:spacing w:after="0"/>
      </w:pPr>
      <w:r>
        <w:t xml:space="preserve">Para depurar el coeficiente de los efectos de diferentes niveles de renta puede usarse el denominado </w:t>
      </w:r>
      <w:r>
        <w:rPr>
          <w:i/>
          <w:iCs/>
          <w:u w:val="single"/>
        </w:rPr>
        <w:t>coeficiente de aversión relativa al riesgo</w:t>
      </w:r>
      <w:r>
        <w:t>, que mide dicha aversión en términos de ganancias o pérdidas porcentuales de riqueza y se define como:</w:t>
      </w:r>
    </w:p>
    <w:p w14:paraId="2BEC0980" w14:textId="3F6F2F4D" w:rsidR="006A0A38" w:rsidRPr="009E11F9" w:rsidRDefault="00000000" w:rsidP="00D50662">
      <w:pPr>
        <w:keepNext/>
        <w:spacing w:after="0"/>
        <w:ind w:left="567"/>
        <w:contextualSpacing/>
        <w:rPr>
          <w:rFonts w:eastAsiaTheme="minorEastAsia"/>
          <w:i/>
          <w:lang w:val="en-US"/>
        </w:rPr>
      </w:pPr>
      <m:oMathPara>
        <m:oMath>
          <m:sSub>
            <m:sSubPr>
              <m:ctrlPr>
                <w:rPr>
                  <w:rFonts w:ascii="Cambria Math" w:hAnsi="Cambria Math"/>
                  <w:i/>
                </w:rPr>
              </m:ctrlPr>
            </m:sSubPr>
            <m:e>
              <m:r>
                <m:rPr>
                  <m:nor/>
                </m:rPr>
                <w:rPr>
                  <w:i/>
                  <w:lang w:val="en-US"/>
                </w:rPr>
                <m:t>r</m:t>
              </m:r>
            </m:e>
            <m:sub>
              <m:r>
                <m:rPr>
                  <m:nor/>
                </m:rPr>
                <w:rPr>
                  <w:i/>
                  <w:lang w:val="en-US"/>
                </w:rPr>
                <m:t>r</m:t>
              </m:r>
            </m:sub>
          </m:sSub>
          <m:r>
            <w:rPr>
              <w:rFonts w:ascii="Cambria Math" w:hAnsi="Cambria Math"/>
              <w:lang w:val="en-US"/>
            </w:rPr>
            <m:t>=</m:t>
          </m:r>
          <m:sSub>
            <m:sSubPr>
              <m:ctrlPr>
                <w:rPr>
                  <w:rFonts w:ascii="Cambria Math" w:hAnsi="Cambria Math"/>
                  <w:i/>
                </w:rPr>
              </m:ctrlPr>
            </m:sSubPr>
            <m:e>
              <m:r>
                <m:rPr>
                  <m:nor/>
                </m:rPr>
                <w:rPr>
                  <w:i/>
                  <w:lang w:val="en-US"/>
                </w:rPr>
                <m:t>r</m:t>
              </m:r>
            </m:e>
            <m:sub>
              <m:r>
                <m:rPr>
                  <m:nor/>
                </m:rPr>
                <w:rPr>
                  <w:i/>
                </w:rPr>
                <m:t>α</m:t>
              </m:r>
            </m:sub>
          </m:sSub>
          <m:r>
            <w:rPr>
              <w:rFonts w:ascii="Cambria Math" w:hAnsi="Cambria Math"/>
              <w:lang w:val="en-US"/>
            </w:rPr>
            <m:t>∙</m:t>
          </m:r>
          <m:r>
            <m:rPr>
              <m:nor/>
            </m:rPr>
            <w:rPr>
              <w:i/>
              <w:lang w:val="en-US"/>
            </w:rPr>
            <m:t>x</m:t>
          </m:r>
          <m:r>
            <w:rPr>
              <w:rFonts w:ascii="Cambria Math" w:hAnsi="Cambria Math"/>
              <w:lang w:val="en-US"/>
            </w:rPr>
            <m:t>=-</m:t>
          </m:r>
          <m:f>
            <m:fPr>
              <m:ctrlPr>
                <w:rPr>
                  <w:rFonts w:ascii="Cambria Math" w:hAnsi="Cambria Math"/>
                  <w:i/>
                </w:rPr>
              </m:ctrlPr>
            </m:fPr>
            <m:num>
              <m:r>
                <m:rPr>
                  <m:nor/>
                </m:rPr>
                <w:rPr>
                  <w:i/>
                  <w:lang w:val="en-US"/>
                </w:rPr>
                <m:t>u''</m:t>
              </m:r>
              <m:d>
                <m:dPr>
                  <m:ctrlPr>
                    <w:rPr>
                      <w:rFonts w:ascii="Cambria Math" w:hAnsi="Cambria Math"/>
                      <w:i/>
                    </w:rPr>
                  </m:ctrlPr>
                </m:dPr>
                <m:e>
                  <m:r>
                    <m:rPr>
                      <m:nor/>
                    </m:rPr>
                    <w:rPr>
                      <w:i/>
                      <w:lang w:val="en-US"/>
                    </w:rPr>
                    <m:t>x</m:t>
                  </m:r>
                </m:e>
              </m:d>
            </m:num>
            <m:den>
              <m:r>
                <m:rPr>
                  <m:nor/>
                </m:rPr>
                <w:rPr>
                  <w:i/>
                  <w:lang w:val="en-US"/>
                </w:rPr>
                <m:t>u'</m:t>
              </m:r>
              <m:d>
                <m:dPr>
                  <m:ctrlPr>
                    <w:rPr>
                      <w:rFonts w:ascii="Cambria Math" w:hAnsi="Cambria Math"/>
                      <w:i/>
                    </w:rPr>
                  </m:ctrlPr>
                </m:dPr>
                <m:e>
                  <m:r>
                    <m:rPr>
                      <m:nor/>
                    </m:rPr>
                    <w:rPr>
                      <w:i/>
                      <w:lang w:val="en-US"/>
                    </w:rPr>
                    <m:t>x</m:t>
                  </m:r>
                </m:e>
              </m:d>
            </m:den>
          </m:f>
          <m:r>
            <w:rPr>
              <w:rFonts w:ascii="Cambria Math" w:hAnsi="Cambria Math"/>
              <w:lang w:val="en-US"/>
            </w:rPr>
            <m:t>∙</m:t>
          </m:r>
          <m:r>
            <m:rPr>
              <m:nor/>
            </m:rPr>
            <w:rPr>
              <w:rFonts w:eastAsiaTheme="minorEastAsia"/>
              <w:i/>
              <w:lang w:val="en-US"/>
            </w:rPr>
            <m:t>x</m:t>
          </m:r>
        </m:oMath>
      </m:oMathPara>
    </w:p>
    <w:p w14:paraId="39885906" w14:textId="41035D04" w:rsidR="006A0A38" w:rsidRDefault="0081788C" w:rsidP="00D50662">
      <w:pPr>
        <w:pStyle w:val="Nivel3SM"/>
      </w:pPr>
      <w:r>
        <w:t>Como puede observarse, el coeficiente relativo es una elasticidad de la utilidad marginal</w:t>
      </w:r>
      <w:r w:rsidR="0097778A">
        <w:rPr>
          <w:rStyle w:val="Refdenotaalpie"/>
        </w:rPr>
        <w:footnoteReference w:id="26"/>
      </w:r>
      <w:r>
        <w:t xml:space="preserve"> y como tal no está afectada por las unidades de medida</w:t>
      </w:r>
      <w:r w:rsidR="0056077D">
        <w:t xml:space="preserve"> de la riqueza</w:t>
      </w:r>
      <w:r>
        <w:t>. Respecto a la misma, en muchas aplicaciones es habitual suponer que los agentes exhiben aversión relativa al riesgo no creciente (</w:t>
      </w:r>
      <w:r>
        <w:rPr>
          <w:i/>
          <w:iCs/>
        </w:rPr>
        <w:t>non-</w:t>
      </w:r>
      <w:proofErr w:type="spellStart"/>
      <w:r>
        <w:rPr>
          <w:i/>
          <w:iCs/>
        </w:rPr>
        <w:t>increasing</w:t>
      </w:r>
      <w:proofErr w:type="spellEnd"/>
      <w:r>
        <w:rPr>
          <w:i/>
          <w:iCs/>
        </w:rPr>
        <w:t xml:space="preserve"> relative </w:t>
      </w:r>
      <w:proofErr w:type="spellStart"/>
      <w:r>
        <w:rPr>
          <w:i/>
          <w:iCs/>
        </w:rPr>
        <w:t>risk</w:t>
      </w:r>
      <w:proofErr w:type="spellEnd"/>
      <w:r>
        <w:rPr>
          <w:i/>
          <w:iCs/>
        </w:rPr>
        <w:t xml:space="preserve"> </w:t>
      </w:r>
      <w:proofErr w:type="spellStart"/>
      <w:r>
        <w:rPr>
          <w:i/>
          <w:iCs/>
        </w:rPr>
        <w:t>aversion</w:t>
      </w:r>
      <w:proofErr w:type="spellEnd"/>
      <w:r>
        <w:t>).</w:t>
      </w:r>
    </w:p>
    <w:p w14:paraId="1EBBA29D" w14:textId="77EEEF63" w:rsidR="001C2767" w:rsidRDefault="001C2767" w:rsidP="001C2767">
      <w:pPr>
        <w:pStyle w:val="Nivel3SM"/>
        <w:keepNext/>
      </w:pPr>
      <w:r>
        <w:lastRenderedPageBreak/>
        <w:t xml:space="preserve">De hecho, una categoría de funciones muy utilizada en macroeconomía (por ser </w:t>
      </w:r>
      <w:proofErr w:type="gramStart"/>
      <w:r w:rsidRPr="003A5BB7">
        <w:rPr>
          <w:spacing w:val="-3"/>
        </w:rPr>
        <w:t>muy habitual y muy conveniente</w:t>
      </w:r>
      <w:proofErr w:type="gramEnd"/>
      <w:r>
        <w:rPr>
          <w:spacing w:val="-3"/>
        </w:rPr>
        <w:t>)</w:t>
      </w:r>
      <w:r>
        <w:t xml:space="preserve"> es la función de aversión relativa al riesgo constante (</w:t>
      </w:r>
      <w:proofErr w:type="spellStart"/>
      <w:r>
        <w:rPr>
          <w:i/>
          <w:iCs/>
        </w:rPr>
        <w:t>Constant</w:t>
      </w:r>
      <w:proofErr w:type="spellEnd"/>
      <w:r>
        <w:rPr>
          <w:i/>
          <w:iCs/>
        </w:rPr>
        <w:t xml:space="preserve"> Relative </w:t>
      </w:r>
      <w:proofErr w:type="spellStart"/>
      <w:r>
        <w:rPr>
          <w:i/>
          <w:iCs/>
        </w:rPr>
        <w:t>Risk</w:t>
      </w:r>
      <w:proofErr w:type="spellEnd"/>
      <w:r>
        <w:rPr>
          <w:i/>
          <w:iCs/>
        </w:rPr>
        <w:t xml:space="preserve"> </w:t>
      </w:r>
      <w:proofErr w:type="spellStart"/>
      <w:r>
        <w:rPr>
          <w:i/>
          <w:iCs/>
        </w:rPr>
        <w:t>Aversion</w:t>
      </w:r>
      <w:proofErr w:type="spellEnd"/>
      <w:r>
        <w:t>, CRRA) de la siguiente forma</w:t>
      </w:r>
      <w:r>
        <w:rPr>
          <w:rStyle w:val="Refdenotaalpie"/>
        </w:rPr>
        <w:footnoteReference w:id="27"/>
      </w:r>
      <w:r>
        <w:t>:</w:t>
      </w:r>
    </w:p>
    <w:p w14:paraId="2CE882F4" w14:textId="0CD0E808" w:rsidR="001C2767" w:rsidRPr="001C2767" w:rsidRDefault="001C2767" w:rsidP="001C2767">
      <w:pPr>
        <w:pStyle w:val="Nivel3SM"/>
        <w:keepNext/>
        <w:numPr>
          <w:ilvl w:val="0"/>
          <w:numId w:val="0"/>
        </w:numPr>
        <w:ind w:left="964"/>
      </w:pPr>
      <w:bookmarkStart w:id="35" w:name="_Hlk86220136"/>
      <m:oMathPara>
        <m:oMath>
          <m:r>
            <w:rPr>
              <w:rFonts w:ascii="Cambria Math" w:eastAsiaTheme="minorEastAsia" w:hAnsi="Cambria Math"/>
            </w:rPr>
            <m:t xml:space="preserve"> </m:t>
          </m:r>
          <m:r>
            <m:rPr>
              <m:nor/>
            </m:rPr>
            <w:rPr>
              <w:i/>
            </w:rPr>
            <m:t>u</m:t>
          </m:r>
          <m:d>
            <m:dPr>
              <m:ctrlPr>
                <w:rPr>
                  <w:rFonts w:ascii="Cambria Math" w:hAnsi="Cambria Math"/>
                  <w:i/>
                </w:rPr>
              </m:ctrlPr>
            </m:dPr>
            <m:e>
              <m:r>
                <m:rPr>
                  <m:nor/>
                </m:rPr>
                <w:rPr>
                  <w:i/>
                </w:rPr>
                <m:t>x</m:t>
              </m:r>
            </m:e>
          </m:d>
          <m:r>
            <w:rPr>
              <w:rFonts w:ascii="Cambria Math" w:hAnsi="Cambria Math"/>
            </w:rPr>
            <m:t>=</m:t>
          </m:r>
          <m:d>
            <m:dPr>
              <m:begChr m:val="{"/>
              <m:endChr m:val=""/>
              <m:ctrlPr>
                <w:rPr>
                  <w:rFonts w:ascii="Cambria Math" w:hAnsi="Cambria Math"/>
                  <w:i/>
                  <w:lang w:val="fr-FR"/>
                </w:rPr>
              </m:ctrlPr>
            </m:dPr>
            <m:e>
              <m:eqArr>
                <m:eqArrPr>
                  <m:ctrlPr>
                    <w:rPr>
                      <w:rFonts w:ascii="Cambria Math" w:hAnsi="Cambria Math"/>
                      <w:i/>
                      <w:lang w:val="fr-FR"/>
                    </w:rPr>
                  </m:ctrlPr>
                </m:eqArrPr>
                <m:e>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m:rPr>
                              <m:nor/>
                            </m:rPr>
                            <w:rPr>
                              <w:i/>
                            </w:rPr>
                            <m:t>x</m:t>
                          </m:r>
                        </m:e>
                        <m:sup>
                          <m:r>
                            <m:rPr>
                              <m:nor/>
                            </m:rPr>
                            <w:rPr>
                              <w:i/>
                            </w:rPr>
                            <m:t>1</m:t>
                          </m:r>
                          <m:r>
                            <w:rPr>
                              <w:rFonts w:ascii="Cambria Math" w:hAnsi="Cambria Math"/>
                            </w:rPr>
                            <m:t>-</m:t>
                          </m:r>
                          <m:r>
                            <m:rPr>
                              <m:nor/>
                            </m:rPr>
                            <w:rPr>
                              <w:i/>
                            </w:rPr>
                            <m:t>θ</m:t>
                          </m:r>
                        </m:sup>
                      </m:sSup>
                      <m:r>
                        <w:rPr>
                          <w:rFonts w:ascii="Cambria Math" w:hAnsi="Cambria Math"/>
                        </w:rPr>
                        <m:t>-</m:t>
                      </m:r>
                      <m:r>
                        <m:rPr>
                          <m:nor/>
                        </m:rPr>
                        <w:rPr>
                          <w:i/>
                        </w:rPr>
                        <m:t>1</m:t>
                      </m:r>
                    </m:num>
                    <m:den>
                      <m:r>
                        <m:rPr>
                          <m:nor/>
                        </m:rPr>
                        <w:rPr>
                          <w:i/>
                        </w:rPr>
                        <m:t>1</m:t>
                      </m:r>
                      <m:r>
                        <w:rPr>
                          <w:rFonts w:ascii="Cambria Math" w:hAnsi="Cambria Math"/>
                        </w:rPr>
                        <m:t>-</m:t>
                      </m:r>
                      <m:r>
                        <m:rPr>
                          <m:nor/>
                        </m:rPr>
                        <w:rPr>
                          <w:i/>
                        </w:rPr>
                        <m:t>θ</m:t>
                      </m:r>
                    </m:den>
                  </m:f>
                  <m:r>
                    <m:rPr>
                      <m:nor/>
                    </m:rPr>
                    <w:rPr>
                      <w:rFonts w:ascii="Cambria Math"/>
                      <w:i/>
                    </w:rPr>
                    <m:t xml:space="preserve">  </m:t>
                  </m:r>
                  <m:r>
                    <m:rPr>
                      <m:nor/>
                    </m:rPr>
                    <w:rPr>
                      <w:i/>
                    </w:rPr>
                    <m:t xml:space="preserve">  </m:t>
                  </m:r>
                  <m:r>
                    <m:rPr>
                      <m:nor/>
                    </m:rPr>
                    <w:rPr>
                      <w:rFonts w:ascii="Cambria Math"/>
                      <w:i/>
                    </w:rPr>
                    <m:t xml:space="preserve"> </m:t>
                  </m:r>
                  <m:r>
                    <m:rPr>
                      <m:nor/>
                    </m:rPr>
                    <w:rPr>
                      <w:i/>
                    </w:rPr>
                    <m:t>si</m:t>
                  </m:r>
                  <m:r>
                    <m:rPr>
                      <m:nor/>
                    </m:rPr>
                    <w:rPr>
                      <w:rFonts w:ascii="Cambria Math"/>
                      <w:i/>
                    </w:rPr>
                    <m:t xml:space="preserve">  </m:t>
                  </m:r>
                  <m:r>
                    <m:rPr>
                      <m:nor/>
                    </m:rPr>
                    <w:rPr>
                      <w:i/>
                    </w:rPr>
                    <m:t xml:space="preserve"> θ</m:t>
                  </m:r>
                  <m:r>
                    <w:rPr>
                      <w:rFonts w:ascii="Cambria Math" w:hAnsi="Cambria Math"/>
                    </w:rPr>
                    <m:t>≥</m:t>
                  </m:r>
                  <m:r>
                    <m:rPr>
                      <m:nor/>
                    </m:rPr>
                    <w:rPr>
                      <w:i/>
                    </w:rPr>
                    <m:t>0</m:t>
                  </m:r>
                  <m:r>
                    <m:rPr>
                      <m:nor/>
                    </m:rPr>
                    <w:rPr>
                      <w:rFonts w:ascii="Cambria Math"/>
                      <w:i/>
                    </w:rPr>
                    <m:t xml:space="preserve">  </m:t>
                  </m:r>
                  <m:r>
                    <m:rPr>
                      <m:nor/>
                    </m:rPr>
                    <w:rPr>
                      <w:i/>
                    </w:rPr>
                    <m:t>y</m:t>
                  </m:r>
                  <m:r>
                    <m:rPr>
                      <m:nor/>
                    </m:rPr>
                    <w:rPr>
                      <w:rFonts w:ascii="Cambria Math"/>
                      <w:i/>
                    </w:rPr>
                    <m:t xml:space="preserve">  </m:t>
                  </m:r>
                  <m:r>
                    <m:rPr>
                      <m:nor/>
                    </m:rPr>
                    <w:rPr>
                      <w:i/>
                    </w:rPr>
                    <m:t>θ</m:t>
                  </m:r>
                  <m:r>
                    <w:rPr>
                      <w:rFonts w:ascii="Cambria Math" w:hAnsi="Cambria Math"/>
                    </w:rPr>
                    <m:t>≠</m:t>
                  </m:r>
                  <m:r>
                    <m:rPr>
                      <m:nor/>
                    </m:rPr>
                    <w:rPr>
                      <w:i/>
                    </w:rPr>
                    <m:t>1</m:t>
                  </m:r>
                </m:e>
                <m:e>
                  <m:r>
                    <w:rPr>
                      <w:rFonts w:ascii="Cambria Math" w:hAnsi="Cambria Math"/>
                    </w:rPr>
                    <m:t xml:space="preserve"> </m:t>
                  </m:r>
                  <m:ctrlPr>
                    <w:rPr>
                      <w:rFonts w:ascii="Cambria Math" w:eastAsia="Cambria Math" w:hAnsi="Cambria Math" w:cs="Cambria Math"/>
                      <w:i/>
                      <w:lang w:val="fr-FR"/>
                    </w:rPr>
                  </m:ctrlPr>
                </m:e>
                <m:e>
                  <m:r>
                    <w:rPr>
                      <w:rFonts w:ascii="Cambria Math" w:eastAsia="Cambria Math" w:hAnsi="Cambria Math" w:cs="Cambria Math"/>
                    </w:rPr>
                    <m:t xml:space="preserve"> </m:t>
                  </m:r>
                  <m:func>
                    <m:funcPr>
                      <m:ctrlPr>
                        <w:rPr>
                          <w:rFonts w:ascii="Cambria Math" w:hAnsi="Cambria Math"/>
                          <w:i/>
                        </w:rPr>
                      </m:ctrlPr>
                    </m:funcPr>
                    <m:fName>
                      <m:r>
                        <m:rPr>
                          <m:nor/>
                        </m:rPr>
                        <w:rPr>
                          <w:i/>
                        </w:rPr>
                        <m:t>ln</m:t>
                      </m:r>
                    </m:fName>
                    <m:e>
                      <m:d>
                        <m:dPr>
                          <m:ctrlPr>
                            <w:rPr>
                              <w:rFonts w:ascii="Cambria Math" w:hAnsi="Cambria Math"/>
                              <w:i/>
                            </w:rPr>
                          </m:ctrlPr>
                        </m:dPr>
                        <m:e>
                          <m:r>
                            <m:rPr>
                              <m:nor/>
                            </m:rPr>
                            <w:rPr>
                              <w:i/>
                            </w:rPr>
                            <m:t>x</m:t>
                          </m:r>
                        </m:e>
                      </m:d>
                    </m:e>
                  </m:func>
                  <m:r>
                    <m:rPr>
                      <m:nor/>
                    </m:rPr>
                    <w:rPr>
                      <w:rFonts w:ascii="Cambria Math"/>
                      <w:i/>
                    </w:rPr>
                    <m:t xml:space="preserve">           </m:t>
                  </m:r>
                  <m:r>
                    <m:rPr>
                      <m:nor/>
                    </m:rPr>
                    <w:rPr>
                      <w:i/>
                    </w:rPr>
                    <m:t>si</m:t>
                  </m:r>
                  <m:r>
                    <m:rPr>
                      <m:nor/>
                    </m:rPr>
                    <w:rPr>
                      <w:rFonts w:ascii="Cambria Math"/>
                      <w:i/>
                    </w:rPr>
                    <m:t xml:space="preserve">  </m:t>
                  </m:r>
                  <m:r>
                    <m:rPr>
                      <m:nor/>
                    </m:rPr>
                    <w:rPr>
                      <w:i/>
                    </w:rPr>
                    <m:t xml:space="preserve"> θ</m:t>
                  </m:r>
                  <m:r>
                    <w:rPr>
                      <w:rFonts w:ascii="Cambria Math" w:hAnsi="Cambria Math"/>
                    </w:rPr>
                    <m:t>=</m:t>
                  </m:r>
                  <m:r>
                    <m:rPr>
                      <m:nor/>
                    </m:rPr>
                    <w:rPr>
                      <w:i/>
                    </w:rPr>
                    <m:t>1</m:t>
                  </m:r>
                  <m:r>
                    <m:rPr>
                      <m:nor/>
                    </m:rPr>
                    <w:rPr>
                      <w:rFonts w:ascii="Cambria Math"/>
                      <w:i/>
                    </w:rPr>
                    <m:t xml:space="preserve">                  </m:t>
                  </m:r>
                </m:e>
              </m:eqArr>
            </m:e>
          </m:d>
        </m:oMath>
      </m:oMathPara>
      <w:bookmarkEnd w:id="35"/>
    </w:p>
    <w:p w14:paraId="3440EB4C" w14:textId="07B08B05" w:rsidR="001C2767" w:rsidRDefault="001C2767" w:rsidP="001C2767">
      <w:pPr>
        <w:pStyle w:val="Nivel4"/>
        <w:keepNext/>
        <w:ind w:left="1474"/>
      </w:pPr>
      <w:r>
        <w:t>El coeficiente de aversión relativa al riesgo Arrow-Pratt de esta función es constante:</w:t>
      </w:r>
    </w:p>
    <w:p w14:paraId="398F81D9" w14:textId="77777777" w:rsidR="001C2767" w:rsidRPr="001C2767" w:rsidRDefault="00000000" w:rsidP="001C2767">
      <w:pPr>
        <w:pStyle w:val="Nivel4"/>
        <w:numPr>
          <w:ilvl w:val="0"/>
          <w:numId w:val="0"/>
        </w:numPr>
        <w:ind w:left="1474"/>
        <w:rPr>
          <w:rFonts w:eastAsiaTheme="minorEastAsia"/>
        </w:rPr>
      </w:pPr>
      <m:oMathPara>
        <m:oMath>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sSub>
                      <m:sSubPr>
                        <m:ctrlPr>
                          <w:rPr>
                            <w:rFonts w:ascii="Cambria Math" w:hAnsi="Cambria Math"/>
                            <w:i/>
                          </w:rPr>
                        </m:ctrlPr>
                      </m:sSubPr>
                      <m:e>
                        <m:r>
                          <m:rPr>
                            <m:nor/>
                          </m:rPr>
                          <w:rPr>
                            <w:i/>
                          </w:rPr>
                          <m:t>r</m:t>
                        </m:r>
                      </m:e>
                      <m:sub>
                        <m:r>
                          <m:rPr>
                            <m:nor/>
                          </m:rPr>
                          <w:rPr>
                            <w:i/>
                          </w:rPr>
                          <m:t>r</m:t>
                        </m:r>
                      </m:sub>
                    </m:sSub>
                    <m:r>
                      <w:rPr>
                        <w:rFonts w:ascii="Cambria Math" w:hAnsi="Cambria Math"/>
                        <w:szCs w:val="16"/>
                      </w:rPr>
                      <m:t>=-</m:t>
                    </m:r>
                    <m:f>
                      <m:fPr>
                        <m:ctrlPr>
                          <w:rPr>
                            <w:rFonts w:ascii="Cambria Math" w:hAnsi="Cambria Math"/>
                            <w:i/>
                            <w:szCs w:val="16"/>
                          </w:rPr>
                        </m:ctrlPr>
                      </m:fPr>
                      <m:num>
                        <m:r>
                          <m:rPr>
                            <m:nor/>
                          </m:rPr>
                          <w:rPr>
                            <w:i/>
                          </w:rPr>
                          <m:t>u''</m:t>
                        </m:r>
                        <m:d>
                          <m:dPr>
                            <m:ctrlPr>
                              <w:rPr>
                                <w:rFonts w:ascii="Cambria Math" w:hAnsi="Cambria Math"/>
                                <w:i/>
                                <w:szCs w:val="16"/>
                              </w:rPr>
                            </m:ctrlPr>
                          </m:dPr>
                          <m:e>
                            <m:r>
                              <m:rPr>
                                <m:nor/>
                              </m:rPr>
                              <w:rPr>
                                <w:i/>
                                <w:iCs/>
                              </w:rPr>
                              <m:t>x</m:t>
                            </m:r>
                          </m:e>
                        </m:d>
                        <m:r>
                          <w:rPr>
                            <w:rFonts w:ascii="Cambria Math" w:hAnsi="Cambria Math"/>
                            <w:szCs w:val="16"/>
                          </w:rPr>
                          <m:t>∙</m:t>
                        </m:r>
                        <m:r>
                          <m:rPr>
                            <m:nor/>
                          </m:rPr>
                          <w:rPr>
                            <w:i/>
                            <w:iCs/>
                          </w:rPr>
                          <m:t>x</m:t>
                        </m:r>
                      </m:num>
                      <m:den>
                        <m:r>
                          <m:rPr>
                            <m:nor/>
                          </m:rPr>
                          <w:rPr>
                            <w:i/>
                          </w:rPr>
                          <m:t>u'</m:t>
                        </m:r>
                        <m:d>
                          <m:dPr>
                            <m:ctrlPr>
                              <w:rPr>
                                <w:rFonts w:ascii="Cambria Math" w:hAnsi="Cambria Math"/>
                                <w:i/>
                                <w:szCs w:val="16"/>
                              </w:rPr>
                            </m:ctrlPr>
                          </m:dPr>
                          <m:e>
                            <m:r>
                              <m:rPr>
                                <m:nor/>
                              </m:rPr>
                              <w:rPr>
                                <w:i/>
                                <w:iCs/>
                              </w:rPr>
                              <m:t>x</m:t>
                            </m:r>
                          </m:e>
                        </m:d>
                      </m:den>
                    </m:f>
                  </m:e>
                </m:mr>
                <m:mr>
                  <m:e>
                    <m:r>
                      <w:rPr>
                        <w:rFonts w:ascii="Cambria Math" w:hAnsi="Cambria Math"/>
                        <w:szCs w:val="16"/>
                      </w:rPr>
                      <m:t xml:space="preserve"> </m:t>
                    </m:r>
                  </m:e>
                </m:mr>
                <m:mr>
                  <m:e>
                    <m:r>
                      <m:rPr>
                        <m:nor/>
                      </m:rPr>
                      <w:rPr>
                        <w:i/>
                      </w:rPr>
                      <m:t>u</m:t>
                    </m:r>
                    <m:d>
                      <m:dPr>
                        <m:ctrlPr>
                          <w:rPr>
                            <w:rFonts w:ascii="Cambria Math" w:hAnsi="Cambria Math"/>
                            <w:i/>
                          </w:rPr>
                        </m:ctrlPr>
                      </m:dPr>
                      <m:e>
                        <m:r>
                          <m:rPr>
                            <m:nor/>
                          </m:rPr>
                          <w:rPr>
                            <w:i/>
                            <w:iCs/>
                          </w:rPr>
                          <m:t>x</m:t>
                        </m:r>
                      </m:e>
                    </m:d>
                    <m:r>
                      <w:rPr>
                        <w:rFonts w:ascii="Cambria Math" w:hAnsi="Cambria Math"/>
                        <w:szCs w:val="16"/>
                      </w:rPr>
                      <m:t>=</m:t>
                    </m:r>
                    <m:f>
                      <m:fPr>
                        <m:ctrlPr>
                          <w:rPr>
                            <w:rFonts w:ascii="Cambria Math" w:hAnsi="Cambria Math"/>
                            <w:i/>
                          </w:rPr>
                        </m:ctrlPr>
                      </m:fPr>
                      <m:num>
                        <m:sSup>
                          <m:sSupPr>
                            <m:ctrlPr>
                              <w:rPr>
                                <w:rFonts w:ascii="Cambria Math" w:hAnsi="Cambria Math"/>
                                <w:i/>
                              </w:rPr>
                            </m:ctrlPr>
                          </m:sSupPr>
                          <m:e>
                            <m:r>
                              <m:rPr>
                                <m:nor/>
                              </m:rPr>
                              <w:rPr>
                                <w:i/>
                                <w:iCs/>
                              </w:rPr>
                              <m:t>x</m:t>
                            </m:r>
                          </m:e>
                          <m:sup>
                            <m:r>
                              <m:rPr>
                                <m:nor/>
                              </m:rPr>
                              <w:rPr>
                                <w:i/>
                              </w:rPr>
                              <m:t>1</m:t>
                            </m:r>
                            <m:r>
                              <w:rPr>
                                <w:rFonts w:ascii="Cambria Math" w:hAnsi="Cambria Math"/>
                              </w:rPr>
                              <m:t>-</m:t>
                            </m:r>
                            <m:r>
                              <m:rPr>
                                <m:nor/>
                              </m:rPr>
                              <w:rPr>
                                <w:i/>
                              </w:rPr>
                              <m:t>θ</m:t>
                            </m:r>
                          </m:sup>
                        </m:sSup>
                        <m:r>
                          <w:rPr>
                            <w:rFonts w:ascii="Cambria Math" w:hAnsi="Cambria Math"/>
                          </w:rPr>
                          <m:t>-</m:t>
                        </m:r>
                        <m:r>
                          <m:rPr>
                            <m:nor/>
                          </m:rPr>
                          <w:rPr>
                            <w:i/>
                          </w:rPr>
                          <m:t>1</m:t>
                        </m:r>
                      </m:num>
                      <m:den>
                        <m:r>
                          <m:rPr>
                            <m:nor/>
                          </m:rPr>
                          <w:rPr>
                            <w:i/>
                          </w:rPr>
                          <m:t>1</m:t>
                        </m:r>
                        <m:r>
                          <w:rPr>
                            <w:rFonts w:ascii="Cambria Math" w:hAnsi="Cambria Math"/>
                          </w:rPr>
                          <m:t>-</m:t>
                        </m:r>
                        <m:r>
                          <m:rPr>
                            <m:nor/>
                          </m:rPr>
                          <w:rPr>
                            <w:i/>
                          </w:rPr>
                          <m:t>θ</m:t>
                        </m:r>
                      </m:den>
                    </m:f>
                  </m:e>
                </m:mr>
              </m:m>
            </m:e>
          </m:d>
          <m:r>
            <w:rPr>
              <w:rFonts w:ascii="Cambria Math" w:eastAsiaTheme="minorEastAsia" w:hAnsi="Cambria Math"/>
              <w:szCs w:val="16"/>
            </w:rPr>
            <m:t>⟹</m:t>
          </m:r>
          <m:sSub>
            <m:sSubPr>
              <m:ctrlPr>
                <w:rPr>
                  <w:rFonts w:ascii="Cambria Math" w:hAnsi="Cambria Math"/>
                  <w:i/>
                </w:rPr>
              </m:ctrlPr>
            </m:sSubPr>
            <m:e>
              <m:r>
                <m:rPr>
                  <m:nor/>
                </m:rPr>
                <w:rPr>
                  <w:i/>
                </w:rPr>
                <m:t>r</m:t>
              </m:r>
            </m:e>
            <m:sub>
              <m:r>
                <m:rPr>
                  <m:nor/>
                </m:rPr>
                <w:rPr>
                  <w:i/>
                </w:rPr>
                <m:t>r</m:t>
              </m:r>
            </m:sub>
          </m:sSub>
          <m:r>
            <w:rPr>
              <w:rFonts w:ascii="Cambria Math" w:hAnsi="Cambria Math"/>
              <w:szCs w:val="16"/>
            </w:rPr>
            <m:t>=-</m:t>
          </m:r>
          <m:f>
            <m:fPr>
              <m:ctrlPr>
                <w:rPr>
                  <w:rFonts w:ascii="Cambria Math" w:hAnsi="Cambria Math"/>
                  <w:i/>
                  <w:szCs w:val="16"/>
                  <w:lang w:val="fr-FR"/>
                </w:rPr>
              </m:ctrlPr>
            </m:fPr>
            <m:num>
              <m:r>
                <w:rPr>
                  <w:rFonts w:ascii="Cambria Math" w:hAnsi="Cambria Math"/>
                </w:rPr>
                <m:t>-</m:t>
              </m:r>
              <m:r>
                <m:rPr>
                  <m:nor/>
                </m:rPr>
                <w:rPr>
                  <w:i/>
                </w:rPr>
                <m:t>θ</m:t>
              </m:r>
              <m:r>
                <w:rPr>
                  <w:rFonts w:ascii="Cambria Math" w:hAnsi="Cambria Math"/>
                </w:rPr>
                <m:t>∙</m:t>
              </m:r>
              <m:sSup>
                <m:sSupPr>
                  <m:ctrlPr>
                    <w:rPr>
                      <w:rFonts w:ascii="Cambria Math" w:hAnsi="Cambria Math"/>
                      <w:i/>
                    </w:rPr>
                  </m:ctrlPr>
                </m:sSupPr>
                <m:e>
                  <m:r>
                    <m:rPr>
                      <m:nor/>
                    </m:rPr>
                    <w:rPr>
                      <w:i/>
                      <w:iCs/>
                    </w:rPr>
                    <m:t>x</m:t>
                  </m:r>
                </m:e>
                <m:sup>
                  <m:r>
                    <w:rPr>
                      <w:rFonts w:ascii="Cambria Math" w:hAnsi="Cambria Math"/>
                    </w:rPr>
                    <m:t>-</m:t>
                  </m:r>
                  <m:r>
                    <m:rPr>
                      <m:nor/>
                    </m:rPr>
                    <w:rPr>
                      <w:i/>
                    </w:rPr>
                    <m:t>θ</m:t>
                  </m:r>
                  <m:r>
                    <w:rPr>
                      <w:rFonts w:ascii="Cambria Math" w:hAnsi="Cambria Math"/>
                    </w:rPr>
                    <m:t>-</m:t>
                  </m:r>
                  <m:r>
                    <m:rPr>
                      <m:nor/>
                    </m:rPr>
                    <w:rPr>
                      <w:i/>
                    </w:rPr>
                    <m:t>1</m:t>
                  </m:r>
                </m:sup>
              </m:sSup>
              <m:r>
                <w:rPr>
                  <w:rFonts w:ascii="Cambria Math" w:hAnsi="Cambria Math"/>
                </w:rPr>
                <m:t>∙</m:t>
              </m:r>
              <m:r>
                <m:rPr>
                  <m:nor/>
                </m:rPr>
                <w:rPr>
                  <w:i/>
                  <w:iCs/>
                </w:rPr>
                <m:t>x</m:t>
              </m:r>
            </m:num>
            <m:den>
              <m:sSup>
                <m:sSupPr>
                  <m:ctrlPr>
                    <w:rPr>
                      <w:rFonts w:ascii="Cambria Math" w:hAnsi="Cambria Math"/>
                      <w:i/>
                    </w:rPr>
                  </m:ctrlPr>
                </m:sSupPr>
                <m:e>
                  <m:r>
                    <m:rPr>
                      <m:nor/>
                    </m:rPr>
                    <w:rPr>
                      <w:i/>
                      <w:iCs/>
                    </w:rPr>
                    <m:t>x</m:t>
                  </m:r>
                </m:e>
                <m:sup>
                  <m:r>
                    <w:rPr>
                      <w:rFonts w:ascii="Cambria Math" w:hAnsi="Cambria Math"/>
                    </w:rPr>
                    <m:t>-</m:t>
                  </m:r>
                  <m:r>
                    <m:rPr>
                      <m:nor/>
                    </m:rPr>
                    <w:rPr>
                      <w:i/>
                    </w:rPr>
                    <m:t>θ</m:t>
                  </m:r>
                </m:sup>
              </m:sSup>
            </m:den>
          </m:f>
          <m:r>
            <w:rPr>
              <w:rFonts w:ascii="Cambria Math" w:hAnsi="Cambria Math"/>
              <w:szCs w:val="16"/>
              <w:lang w:val="fr-FR"/>
            </w:rPr>
            <m:t>⟹</m:t>
          </m:r>
          <m:borderBox>
            <m:borderBoxPr>
              <m:ctrlPr>
                <w:rPr>
                  <w:rFonts w:ascii="Cambria Math" w:hAnsi="Cambria Math"/>
                  <w:i/>
                </w:rPr>
              </m:ctrlPr>
            </m:borderBoxPr>
            <m:e>
              <m:sSub>
                <m:sSubPr>
                  <m:ctrlPr>
                    <w:rPr>
                      <w:rFonts w:ascii="Cambria Math" w:hAnsi="Cambria Math"/>
                      <w:i/>
                    </w:rPr>
                  </m:ctrlPr>
                </m:sSubPr>
                <m:e>
                  <m:r>
                    <m:rPr>
                      <m:nor/>
                    </m:rPr>
                    <w:rPr>
                      <w:i/>
                    </w:rPr>
                    <m:t>r</m:t>
                  </m:r>
                </m:e>
                <m:sub>
                  <m:r>
                    <m:rPr>
                      <m:nor/>
                    </m:rPr>
                    <w:rPr>
                      <w:i/>
                    </w:rPr>
                    <m:t>r</m:t>
                  </m:r>
                </m:sub>
              </m:sSub>
              <m:r>
                <w:rPr>
                  <w:rFonts w:ascii="Cambria Math" w:hAnsi="Cambria Math"/>
                  <w:szCs w:val="16"/>
                </w:rPr>
                <m:t>=</m:t>
              </m:r>
              <m:r>
                <m:rPr>
                  <m:nor/>
                </m:rPr>
                <w:rPr>
                  <w:i/>
                </w:rPr>
                <m:t>θ</m:t>
              </m:r>
            </m:e>
          </m:borderBox>
        </m:oMath>
      </m:oMathPara>
    </w:p>
    <w:p w14:paraId="6EF484C8" w14:textId="201AF6E7" w:rsidR="001C2767" w:rsidRDefault="001C2767" w:rsidP="001C2767">
      <w:pPr>
        <w:pStyle w:val="Nivel4"/>
        <w:ind w:left="1474"/>
      </w:pPr>
      <w:r>
        <w:t xml:space="preserve">Además, esta forma funcional es muy utilizada en macroeconomía por presentar elasticidad de sustitución intertemporal constante. Para este tipo de funciones, se demuestra que </w:t>
      </w:r>
      <m:oMath>
        <m:r>
          <m:rPr>
            <m:nor/>
          </m:rPr>
          <m:t>ESI</m:t>
        </m:r>
        <m:r>
          <w:rPr>
            <w:rFonts w:ascii="Cambria Math" w:hAnsi="Cambria Math"/>
          </w:rPr>
          <m:t>≡</m:t>
        </m:r>
        <m:r>
          <m:rPr>
            <m:nor/>
          </m:rPr>
          <w:rPr>
            <w:i/>
          </w:rPr>
          <m:t>σ</m:t>
        </m:r>
        <m:r>
          <w:rPr>
            <w:rFonts w:ascii="Cambria Math" w:hAnsi="Cambria Math"/>
          </w:rPr>
          <m:t>=</m:t>
        </m:r>
        <m:f>
          <m:fPr>
            <m:type m:val="lin"/>
            <m:ctrlPr>
              <w:rPr>
                <w:rFonts w:ascii="Cambria Math" w:hAnsi="Cambria Math"/>
                <w:i/>
              </w:rPr>
            </m:ctrlPr>
          </m:fPr>
          <m:num>
            <m:r>
              <m:rPr>
                <m:nor/>
              </m:rPr>
              <w:rPr>
                <w:i/>
              </w:rPr>
              <m:t>1</m:t>
            </m:r>
          </m:num>
          <m:den>
            <m:r>
              <m:rPr>
                <m:nor/>
              </m:rPr>
              <w:rPr>
                <w:i/>
              </w:rPr>
              <m:t>θ</m:t>
            </m:r>
          </m:den>
        </m:f>
      </m:oMath>
      <w:r>
        <w:t xml:space="preserve">, siendo </w:t>
      </w:r>
      <m:oMath>
        <m:r>
          <m:rPr>
            <m:nor/>
          </m:rPr>
          <w:rPr>
            <w:i/>
          </w:rPr>
          <m:t>θ</m:t>
        </m:r>
      </m:oMath>
      <w:r>
        <w:t xml:space="preserve"> el parámetro de la función de utilidad que, a su vez, representa la elasticidad de la utilidad marginal </w:t>
      </w:r>
      <w:r w:rsidRPr="00D71D97">
        <w:rPr>
          <w:color w:val="767171" w:themeColor="background2" w:themeShade="80"/>
          <w:sz w:val="19"/>
          <w:szCs w:val="19"/>
        </w:rPr>
        <w:t>[</w:t>
      </w:r>
      <w:r>
        <w:rPr>
          <w:color w:val="767171" w:themeColor="background2" w:themeShade="80"/>
          <w:sz w:val="19"/>
          <w:szCs w:val="19"/>
        </w:rPr>
        <w:t>ver tema 3.A.2</w:t>
      </w:r>
      <w:r w:rsidR="00AE0338">
        <w:rPr>
          <w:color w:val="767171" w:themeColor="background2" w:themeShade="80"/>
          <w:sz w:val="19"/>
          <w:szCs w:val="19"/>
        </w:rPr>
        <w:t>9</w:t>
      </w:r>
      <w:r w:rsidRPr="00D71D97">
        <w:rPr>
          <w:color w:val="767171" w:themeColor="background2" w:themeShade="80"/>
          <w:sz w:val="19"/>
          <w:szCs w:val="19"/>
        </w:rPr>
        <w:t>]</w:t>
      </w:r>
      <w:r>
        <w:rPr>
          <w:rStyle w:val="Refdenotaalpie"/>
        </w:rPr>
        <w:footnoteReference w:id="28"/>
      </w:r>
      <w:r>
        <w:t>.</w:t>
      </w:r>
    </w:p>
    <w:p w14:paraId="16AA2433" w14:textId="77777777" w:rsidR="009251A9" w:rsidRDefault="009251A9" w:rsidP="009251A9">
      <w:pPr>
        <w:pStyle w:val="Nivel1SM"/>
        <w:keepNext/>
        <w:spacing w:after="0"/>
      </w:pPr>
      <w:r>
        <w:t xml:space="preserve">Todos estos resultados se pueden ver </w:t>
      </w:r>
      <w:r>
        <w:rPr>
          <w:i/>
          <w:u w:val="single"/>
        </w:rPr>
        <w:t>gráficamente</w:t>
      </w:r>
      <w:r>
        <w:t xml:space="preserve">, en el caso de dos resultados posibles </w:t>
      </w:r>
      <m:oMath>
        <m:r>
          <m:rPr>
            <m:nor/>
          </m:rPr>
          <w:rPr>
            <w:i/>
          </w:rPr>
          <m:t>S</m:t>
        </m:r>
        <m:r>
          <w:rPr>
            <w:rFonts w:ascii="Cambria Math" w:hAnsi="Cambria Math"/>
          </w:rPr>
          <m:t>=</m:t>
        </m:r>
        <m:r>
          <m:rPr>
            <m:nor/>
          </m:rPr>
          <w:rPr>
            <w:i/>
          </w:rPr>
          <m:t>2</m:t>
        </m:r>
      </m:oMath>
      <w:r w:rsidRPr="00373C7A">
        <w:t>:</w:t>
      </w:r>
    </w:p>
    <w:p w14:paraId="183B644A" w14:textId="02717AE1" w:rsidR="009251A9" w:rsidRDefault="009251A9" w:rsidP="009251A9">
      <w:pPr>
        <w:pStyle w:val="Ttuloimagen"/>
      </w:pPr>
      <w:r>
        <w:t>Imagen</w:t>
      </w:r>
      <w:r w:rsidR="002C7D7A">
        <w:t> </w:t>
      </w:r>
      <w:r>
        <w:fldChar w:fldCharType="begin"/>
      </w:r>
      <w:r>
        <w:instrText xml:space="preserve"> SEQ Ilustración \* ARABIC </w:instrText>
      </w:r>
      <w:r>
        <w:fldChar w:fldCharType="separate"/>
      </w:r>
      <w:r w:rsidR="002E338F">
        <w:t>3</w:t>
      </w:r>
      <w:r>
        <w:fldChar w:fldCharType="end"/>
      </w:r>
      <w:r w:rsidRPr="00F231D2">
        <w:rPr>
          <w:smallCaps w:val="0"/>
        </w:rPr>
        <w:t xml:space="preserve">.– </w:t>
      </w:r>
      <w:r w:rsidR="00EF49DE">
        <w:rPr>
          <w:i/>
          <w:iCs/>
          <w:smallCaps w:val="0"/>
        </w:rPr>
        <w:t>Actitud frente al riesgo</w:t>
      </w:r>
    </w:p>
    <w:p w14:paraId="3983215B" w14:textId="12EA7C82" w:rsidR="009251A9" w:rsidRDefault="00DF439E" w:rsidP="009251A9">
      <w:pPr>
        <w:pStyle w:val="Imagen"/>
        <w:rPr>
          <w:i/>
          <w:u w:val="single"/>
        </w:rPr>
      </w:pPr>
      <w:r w:rsidRPr="00DF439E">
        <w:rPr>
          <w:i/>
        </w:rPr>
        <w:drawing>
          <wp:inline distT="0" distB="0" distL="0" distR="0" wp14:anchorId="69F6880D" wp14:editId="19D14EFD">
            <wp:extent cx="5723686" cy="2256692"/>
            <wp:effectExtent l="0" t="0" r="0" b="0"/>
            <wp:docPr id="181578216"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8216" name="Imagen 1" descr="Gráfico, Gráfico de líneas&#10;&#10;Descripción generada automáticamente"/>
                    <pic:cNvPicPr/>
                  </pic:nvPicPr>
                  <pic:blipFill>
                    <a:blip r:embed="rId13"/>
                    <a:stretch>
                      <a:fillRect/>
                    </a:stretch>
                  </pic:blipFill>
                  <pic:spPr>
                    <a:xfrm>
                      <a:off x="0" y="0"/>
                      <a:ext cx="5727357" cy="2258139"/>
                    </a:xfrm>
                    <a:prstGeom prst="rect">
                      <a:avLst/>
                    </a:prstGeom>
                  </pic:spPr>
                </pic:pic>
              </a:graphicData>
            </a:graphic>
          </wp:inline>
        </w:drawing>
      </w:r>
    </w:p>
    <w:p w14:paraId="76A37BEB" w14:textId="54112D6D" w:rsidR="009251A9" w:rsidRPr="006914EF" w:rsidRDefault="009251A9" w:rsidP="009251A9">
      <w:pPr>
        <w:pStyle w:val="PiedeImagen"/>
        <w:rPr>
          <w:i w:val="0"/>
          <w:iCs/>
        </w:rPr>
      </w:pPr>
      <w:r>
        <w:t>Fuente</w:t>
      </w:r>
      <w:r>
        <w:rPr>
          <w:i w:val="0"/>
          <w:iCs/>
        </w:rPr>
        <w:t xml:space="preserve">: Elaborado a partir de </w:t>
      </w:r>
      <w:r w:rsidRPr="006914EF">
        <w:t>Aversión al riesgo | Policonomics</w:t>
      </w:r>
      <w:r w:rsidRPr="006914EF">
        <w:rPr>
          <w:i w:val="0"/>
          <w:iCs/>
        </w:rPr>
        <w:t xml:space="preserve">. </w:t>
      </w:r>
      <w:hyperlink r:id="rId14" w:history="1">
        <w:r w:rsidRPr="00C01A64">
          <w:rPr>
            <w:rStyle w:val="Hipervnculo"/>
            <w:i w:val="0"/>
            <w:iCs/>
          </w:rPr>
          <w:t>https://policonomics.com/es/aversion-riesgo/</w:t>
        </w:r>
      </w:hyperlink>
    </w:p>
    <w:p w14:paraId="4049D2BC" w14:textId="59CA96FF" w:rsidR="009A3230" w:rsidRPr="00791B2F" w:rsidRDefault="009A3230" w:rsidP="009A3230">
      <w:pPr>
        <w:pStyle w:val="Ttulo6"/>
      </w:pPr>
      <w:bookmarkStart w:id="36" w:name="_Toc172232540"/>
      <w:r>
        <w:t>Distribución de probabilidades</w:t>
      </w:r>
      <w:r w:rsidR="00791B2F">
        <w:t xml:space="preserve">: </w:t>
      </w:r>
      <w:r w:rsidR="00791B2F">
        <w:rPr>
          <w:i/>
          <w:iCs/>
        </w:rPr>
        <w:t>F</w:t>
      </w:r>
      <w:r w:rsidR="00791B2F">
        <w:t>(</w:t>
      </w:r>
      <w:r w:rsidR="00791B2F">
        <w:rPr>
          <w:i/>
          <w:iCs/>
        </w:rPr>
        <w:t>x</w:t>
      </w:r>
      <w:r w:rsidR="00791B2F">
        <w:t>)</w:t>
      </w:r>
      <w:bookmarkEnd w:id="36"/>
    </w:p>
    <w:p w14:paraId="5277B3B7" w14:textId="3A7F100A" w:rsidR="00A31C46" w:rsidRPr="00A31C46" w:rsidRDefault="00A31C46" w:rsidP="007C258F">
      <w:pPr>
        <w:keepNext/>
        <w:spacing w:after="0"/>
      </w:pPr>
      <m:oMathPara>
        <m:oMath>
          <m:r>
            <m:rPr>
              <m:nor/>
            </m:rPr>
            <w:rPr>
              <w:rFonts w:ascii="Cambria Math"/>
            </w:rPr>
            <m:t xml:space="preserve"> </m:t>
          </m:r>
          <m:r>
            <m:rPr>
              <m:nor/>
            </m:rPr>
            <w:rPr>
              <w:i/>
              <w:iCs/>
            </w:rPr>
            <m:t>U</m:t>
          </m:r>
          <m:d>
            <m:dPr>
              <m:ctrlPr>
                <w:rPr>
                  <w:rFonts w:ascii="Cambria Math" w:hAnsi="Cambria Math"/>
                  <w:i/>
                  <w:iCs/>
                </w:rPr>
              </m:ctrlPr>
            </m:dPr>
            <m:e>
              <m:r>
                <m:rPr>
                  <m:nor/>
                </m:rPr>
                <w:rPr>
                  <w:i/>
                  <w:iCs/>
                </w:rPr>
                <m:t>F</m:t>
              </m:r>
            </m:e>
          </m:d>
          <m:r>
            <w:rPr>
              <w:rFonts w:ascii="Cambria Math" w:hAnsi="Cambria Math"/>
            </w:rPr>
            <m:t>=</m:t>
          </m:r>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m:t>
          </m:r>
          <m:r>
            <m:rPr>
              <m:nor/>
            </m:rPr>
            <w:rPr>
              <w:i/>
              <w:iCs/>
              <w14:glow w14:rad="63500">
                <w14:schemeClr w14:val="accent1">
                  <w14:alpha w14:val="75000"/>
                </w14:schemeClr>
              </w14:glow>
            </w:rPr>
            <m:t>F</m:t>
          </m:r>
          <w:proofErr w:type="spellEnd"/>
          <m:d>
            <m:dPr>
              <m:ctrlPr>
                <w:rPr>
                  <w:rFonts w:ascii="Cambria Math" w:hAnsi="Cambria Math"/>
                  <w:i/>
                  <w:iCs/>
                  <w14:glow w14:rad="63500">
                    <w14:schemeClr w14:val="accent1">
                      <w14:alpha w14:val="75000"/>
                    </w14:schemeClr>
                  </w14:glow>
                </w:rPr>
              </m:ctrlPr>
            </m:dPr>
            <m:e>
              <m:r>
                <m:rPr>
                  <m:nor/>
                </m:rPr>
                <w:rPr>
                  <w:i/>
                  <w:iCs/>
                  <w14:glow w14:rad="63500">
                    <w14:schemeClr w14:val="accent1">
                      <w14:alpha w14:val="75000"/>
                    </w14:schemeClr>
                  </w14:glow>
                </w:rPr>
                <m:t>x</m:t>
              </m:r>
            </m:e>
          </m:d>
        </m:oMath>
      </m:oMathPara>
    </w:p>
    <w:p w14:paraId="6EAC9F04" w14:textId="140E3697" w:rsidR="00A31C46" w:rsidRDefault="00A31C46" w:rsidP="007C258F">
      <w:pPr>
        <w:pStyle w:val="Nivel1SM"/>
        <w:spacing w:before="0"/>
      </w:pPr>
      <w:r>
        <w:t>La función de probabilidad representa el componente “</w:t>
      </w:r>
      <w:r w:rsidRPr="00790B47">
        <w:rPr>
          <w:b/>
          <w:bCs/>
        </w:rPr>
        <w:t>objetivo</w:t>
      </w:r>
      <w:r>
        <w:t xml:space="preserve">” de la utilidad esperada </w:t>
      </w:r>
      <w:r w:rsidR="00084BF4">
        <w:t>von Neumann</w:t>
      </w:r>
      <w:r>
        <w:t>-Morgenstern, pues dichas funciones de distribución representan las diferentes “loterías” que le vienen dadas de forma exógena al decisor</w:t>
      </w:r>
      <w:r w:rsidR="00ED2EE8">
        <w:t xml:space="preserve"> y son comunes para todos los agentes.</w:t>
      </w:r>
    </w:p>
    <w:p w14:paraId="0A3E035F" w14:textId="1E6C05D6" w:rsidR="000705E4" w:rsidRDefault="000705E4" w:rsidP="00D150F0">
      <w:pPr>
        <w:pStyle w:val="Nivel1SM"/>
        <w:keepNext/>
        <w:spacing w:after="0"/>
      </w:pPr>
      <w:r>
        <w:lastRenderedPageBreak/>
        <w:t xml:space="preserve">Al analizar la utilidad de Bernoulli, hemos investigado si una cierta riqueza aleatoria es </w:t>
      </w:r>
      <w:r>
        <w:rPr>
          <w:i/>
          <w:iCs/>
        </w:rPr>
        <w:t>más preferida</w:t>
      </w:r>
      <w:r w:rsidRPr="000705E4">
        <w:t xml:space="preserve"> que otra</w:t>
      </w:r>
      <w:r>
        <w:t xml:space="preserve"> para un sujeto determinado.</w:t>
      </w:r>
    </w:p>
    <w:p w14:paraId="7E855148" w14:textId="5073AD1A" w:rsidR="001C559A" w:rsidRDefault="00F64BBA" w:rsidP="00D150F0">
      <w:pPr>
        <w:pStyle w:val="Nivel2SM"/>
      </w:pPr>
      <w:r>
        <w:t>Pero</w:t>
      </w:r>
      <w:r w:rsidR="000705E4">
        <w:t xml:space="preserve"> ¿existe una forma </w:t>
      </w:r>
      <w:r w:rsidR="000705E4">
        <w:rPr>
          <w:i/>
          <w:iCs/>
        </w:rPr>
        <w:t>objetiva</w:t>
      </w:r>
      <w:r w:rsidR="000705E4">
        <w:t xml:space="preserve"> (sin necesidad de utilizar funciones de utilidad subjetivas) de comparar alternativas de riesgo?</w:t>
      </w:r>
      <w:r w:rsidR="001C559A">
        <w:t xml:space="preserve"> Es decir, el propósito aquí sería buscar caracterizadores de esas loterías o distribuciones de probabilidad, lo suficientemente sencillos o manejables, que permitan clasificarlas de manera objetiva.</w:t>
      </w:r>
    </w:p>
    <w:p w14:paraId="65FA7858" w14:textId="117E1176" w:rsidR="00DF6E1B" w:rsidRDefault="00DF6E1B" w:rsidP="00DF6E1B">
      <w:pPr>
        <w:pStyle w:val="Ttulo7"/>
      </w:pPr>
      <w:bookmarkStart w:id="37" w:name="_Toc172232541"/>
      <w:r>
        <w:t>Dominancia estocástica de primer orden</w:t>
      </w:r>
      <w:bookmarkEnd w:id="37"/>
    </w:p>
    <w:p w14:paraId="2C709138" w14:textId="37A02715" w:rsidR="00791B2F" w:rsidRDefault="001C559A" w:rsidP="00D150F0">
      <w:pPr>
        <w:pStyle w:val="Nivel1SM"/>
        <w:keepNext/>
        <w:spacing w:before="0" w:after="0"/>
      </w:pPr>
      <w:r>
        <w:t xml:space="preserve">En primer lugar, la pregunta sería: ¿existen loterías que son preferidas a otras para cualquier agente independientemente de sus preferencias, esto es, independientemente de </w:t>
      </w:r>
      <w:r>
        <w:rPr>
          <w:i/>
          <w:iCs/>
        </w:rPr>
        <w:t>u</w:t>
      </w:r>
      <w:r>
        <w:t>(</w:t>
      </w:r>
      <w:r>
        <w:rPr>
          <w:i/>
          <w:iCs/>
        </w:rPr>
        <w:t>x</w:t>
      </w:r>
      <w:r>
        <w:t xml:space="preserve">)? Responder a esta pregunta lleva a categorizar las distintas loterías a través del concepto de </w:t>
      </w:r>
      <w:r w:rsidRPr="001C559A">
        <w:rPr>
          <w:i/>
          <w:iCs/>
          <w:u w:val="single"/>
        </w:rPr>
        <w:t>dominancia estocástica de primer orden</w:t>
      </w:r>
      <w:r w:rsidR="000D5202" w:rsidRPr="008720DA">
        <w:rPr>
          <w:rStyle w:val="Refdenotaalpie"/>
        </w:rPr>
        <w:footnoteReference w:id="29"/>
      </w:r>
      <w:r>
        <w:t xml:space="preserve">. Se dice que una distribución </w:t>
      </w:r>
      <w:r>
        <w:rPr>
          <w:i/>
          <w:iCs/>
        </w:rPr>
        <w:t>F</w:t>
      </w:r>
      <w:r>
        <w:t>(</w:t>
      </w:r>
      <w:r>
        <w:rPr>
          <w:i/>
          <w:iCs/>
        </w:rPr>
        <w:t>x</w:t>
      </w:r>
      <w:r>
        <w:t xml:space="preserve">) domina estocásticamente en primer orden a otra </w:t>
      </w:r>
      <w:r>
        <w:rPr>
          <w:i/>
          <w:iCs/>
        </w:rPr>
        <w:t>G</w:t>
      </w:r>
      <w:r>
        <w:t>(</w:t>
      </w:r>
      <w:r>
        <w:rPr>
          <w:i/>
          <w:iCs/>
        </w:rPr>
        <w:t>x</w:t>
      </w:r>
      <w:r>
        <w:t>) si es preferida por cualquier agente</w:t>
      </w:r>
      <w:r w:rsidR="00C45683">
        <w:t xml:space="preserve"> amante de</w:t>
      </w:r>
      <w:r w:rsidR="0038301A">
        <w:t xml:space="preserve"> la riqueza</w:t>
      </w:r>
      <w:r>
        <w:t xml:space="preserve"> independiente de su actitud frente al riesgo, es decir, si:</w:t>
      </w:r>
    </w:p>
    <w:p w14:paraId="7EEC6908" w14:textId="5B13D896" w:rsidR="001C559A" w:rsidRPr="00EE2BA6" w:rsidRDefault="00000000" w:rsidP="00D150F0">
      <w:pPr>
        <w:keepNext/>
        <w:spacing w:after="0"/>
        <w:rPr>
          <w:rFonts w:eastAsiaTheme="minorEastAsia"/>
        </w:rPr>
      </w:pPr>
      <m:oMathPara>
        <m:oMath>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dF</m:t>
          </m:r>
          <w:proofErr w:type="spellEnd"/>
          <m:d>
            <m:dPr>
              <m:ctrlPr>
                <w:rPr>
                  <w:rFonts w:ascii="Cambria Math" w:hAnsi="Cambria Math"/>
                  <w:i/>
                  <w:iCs/>
                </w:rPr>
              </m:ctrlPr>
            </m:dPr>
            <m:e>
              <m:r>
                <m:rPr>
                  <m:nor/>
                </m:rPr>
                <w:rPr>
                  <w:i/>
                  <w:iCs/>
                </w:rPr>
                <m:t>x</m:t>
              </m:r>
            </m:e>
          </m:d>
          <m:r>
            <w:rPr>
              <w:rFonts w:ascii="Cambria Math" w:hAnsi="Cambria Math"/>
            </w:rPr>
            <m:t>≥</m:t>
          </m:r>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dG</m:t>
          </m:r>
          <w:proofErr w:type="spellEnd"/>
          <m:d>
            <m:dPr>
              <m:ctrlPr>
                <w:rPr>
                  <w:rFonts w:ascii="Cambria Math" w:hAnsi="Cambria Math"/>
                  <w:i/>
                  <w:iCs/>
                </w:rPr>
              </m:ctrlPr>
            </m:dPr>
            <m:e>
              <m:r>
                <m:rPr>
                  <m:nor/>
                </m:rPr>
                <w:rPr>
                  <w:i/>
                  <w:iCs/>
                </w:rPr>
                <m:t>x</m:t>
              </m:r>
            </m:e>
          </m:d>
          <m:r>
            <w:rPr>
              <w:rFonts w:ascii="Cambria Math" w:eastAsiaTheme="minorEastAsia" w:hAnsi="Cambria Math"/>
            </w:rPr>
            <m:t xml:space="preserve"> </m:t>
          </m:r>
          <m:r>
            <w:rPr>
              <w:rFonts w:ascii="Cambria Math" w:eastAsiaTheme="minorEastAsia" w:hAnsi="Cambria Math" w:cs="Cambria Math"/>
            </w:rPr>
            <m:t>∀</m:t>
          </m:r>
          <m:r>
            <m:rPr>
              <m:nor/>
            </m:rPr>
            <w:rPr>
              <w:rFonts w:eastAsiaTheme="minorEastAsia"/>
              <w:i/>
              <w:iCs/>
            </w:rPr>
            <m:t xml:space="preserve"> u</m:t>
          </m:r>
          <m:d>
            <m:dPr>
              <m:ctrlPr>
                <w:rPr>
                  <w:rFonts w:ascii="Cambria Math" w:hAnsi="Cambria Math"/>
                  <w:i/>
                  <w:iCs/>
                </w:rPr>
              </m:ctrlPr>
            </m:dPr>
            <m:e>
              <m:r>
                <m:rPr>
                  <m:nor/>
                </m:rPr>
                <w:rPr>
                  <w:i/>
                  <w:iCs/>
                </w:rPr>
                <m:t>x</m:t>
              </m:r>
            </m:e>
          </m:d>
          <m:r>
            <m:rPr>
              <m:nor/>
            </m:rPr>
            <w:rPr>
              <w:rFonts w:eastAsiaTheme="minorEastAsia"/>
              <w:i/>
              <w:iCs/>
            </w:rPr>
            <m:t xml:space="preserve"> tal que u’</m:t>
          </m:r>
          <m:d>
            <m:dPr>
              <m:ctrlPr>
                <w:rPr>
                  <w:rFonts w:ascii="Cambria Math" w:hAnsi="Cambria Math"/>
                  <w:i/>
                  <w:iCs/>
                </w:rPr>
              </m:ctrlPr>
            </m:dPr>
            <m:e>
              <m:r>
                <m:rPr>
                  <m:nor/>
                </m:rPr>
                <w:rPr>
                  <w:i/>
                  <w:iCs/>
                </w:rPr>
                <m:t>x</m:t>
              </m:r>
            </m:e>
          </m:d>
          <m:r>
            <w:rPr>
              <w:rFonts w:ascii="Cambria Math" w:eastAsiaTheme="minorEastAsia" w:hAnsi="Cambria Math"/>
            </w:rPr>
            <m:t>&gt;</m:t>
          </m:r>
          <m:r>
            <m:rPr>
              <m:nor/>
            </m:rPr>
            <w:rPr>
              <w:rFonts w:eastAsiaTheme="minorEastAsia"/>
              <w:i/>
              <w:iCs/>
            </w:rPr>
            <m:t xml:space="preserve"> 0</m:t>
          </m:r>
        </m:oMath>
      </m:oMathPara>
    </w:p>
    <w:p w14:paraId="4D75811D" w14:textId="569A6379" w:rsidR="00EE2BA6" w:rsidRPr="00EE2BA6" w:rsidRDefault="00EE2BA6" w:rsidP="00D150F0">
      <w:pPr>
        <w:pStyle w:val="Nivel2SM"/>
        <w:rPr>
          <w:i/>
          <w:iCs/>
        </w:rPr>
      </w:pPr>
      <w:r>
        <w:t xml:space="preserve">De este modo, todos los </w:t>
      </w:r>
      <w:r w:rsidRPr="00EE2BA6">
        <w:rPr>
          <w:b/>
          <w:bCs/>
        </w:rPr>
        <w:t>amantes de la riqueza</w:t>
      </w:r>
      <w:r>
        <w:t xml:space="preserve"> (</w:t>
      </w:r>
      <m:oMath>
        <m:r>
          <m:rPr>
            <m:nor/>
          </m:rPr>
          <w:rPr>
            <w:i/>
            <w:iCs/>
          </w:rPr>
          <m:t>u’</m:t>
        </m:r>
        <m:r>
          <m:rPr>
            <m:nor/>
          </m:rPr>
          <m:t>(</m:t>
        </m:r>
        <m:r>
          <m:rPr>
            <m:nor/>
          </m:rPr>
          <w:rPr>
            <w:i/>
            <w:iCs/>
          </w:rPr>
          <m:t>x</m:t>
        </m:r>
        <m:r>
          <m:rPr>
            <m:nor/>
          </m:rPr>
          <m:t>)</m:t>
        </m:r>
        <m:r>
          <w:rPr>
            <w:rFonts w:ascii="Cambria Math" w:hAnsi="Cambria Math"/>
          </w:rPr>
          <m:t>&gt;</m:t>
        </m:r>
        <m:r>
          <m:rPr>
            <m:nor/>
          </m:rPr>
          <w:rPr>
            <w:i/>
            <w:iCs/>
          </w:rPr>
          <m:t xml:space="preserve"> 0</m:t>
        </m:r>
      </m:oMath>
      <w:r>
        <w:t xml:space="preserve">) prefieren siempre </w:t>
      </w:r>
      <w:r>
        <w:rPr>
          <w:i/>
          <w:iCs/>
        </w:rPr>
        <w:t>F</w:t>
      </w:r>
      <w:r w:rsidRPr="00EE2BA6">
        <w:t>(</w:t>
      </w:r>
      <w:r>
        <w:rPr>
          <w:i/>
          <w:iCs/>
        </w:rPr>
        <w:t>x</w:t>
      </w:r>
      <w:r w:rsidRPr="00EE2BA6">
        <w:t>)</w:t>
      </w:r>
      <w:r>
        <w:t>.</w:t>
      </w:r>
    </w:p>
    <w:p w14:paraId="6089D36A" w14:textId="184AE9EC" w:rsidR="00DF6E1B" w:rsidRDefault="00DF6E1B" w:rsidP="00DF6E1B">
      <w:pPr>
        <w:pStyle w:val="Ttulo7"/>
      </w:pPr>
      <w:bookmarkStart w:id="38" w:name="_Toc172232542"/>
      <w:r>
        <w:t>Dominancia estocástica de segundo orden</w:t>
      </w:r>
      <w:bookmarkEnd w:id="38"/>
    </w:p>
    <w:p w14:paraId="4CF10690" w14:textId="77777777" w:rsidR="00061C46" w:rsidRDefault="0070459F" w:rsidP="00061C46">
      <w:pPr>
        <w:pStyle w:val="Nivel1SM"/>
        <w:keepNext/>
        <w:spacing w:before="0" w:after="0"/>
      </w:pPr>
      <w:r>
        <w:t xml:space="preserve">La </w:t>
      </w:r>
      <w:r w:rsidRPr="0070459F">
        <w:rPr>
          <w:i/>
          <w:iCs/>
          <w:u w:val="single"/>
        </w:rPr>
        <w:t>dominancia estocástica de segundo orden</w:t>
      </w:r>
      <w:r w:rsidR="00EE763E" w:rsidRPr="00EE2BA6">
        <w:rPr>
          <w:rStyle w:val="Refdenotaalpie"/>
        </w:rPr>
        <w:footnoteReference w:id="30"/>
      </w:r>
      <w:r>
        <w:t xml:space="preserve"> se utiliza para comparar el “riesgo” de </w:t>
      </w:r>
      <w:r w:rsidR="00463E45">
        <w:t>2 </w:t>
      </w:r>
      <w:r>
        <w:t>loterías.</w:t>
      </w:r>
    </w:p>
    <w:p w14:paraId="0CFCD2FC" w14:textId="094591A4" w:rsidR="0070459F" w:rsidRDefault="0070459F" w:rsidP="00C27ADC">
      <w:pPr>
        <w:pStyle w:val="Nivel2SM"/>
        <w:keepNext/>
        <w:spacing w:after="0"/>
      </w:pPr>
      <w:r>
        <w:t>Para concentrarnos sólo en ese aspecto de las loterías supondremos que todas tienen el mismo valor esperado (ya que un agente puede aceptar un riesgo mayor si el pago esperado es suficientemente grande).</w:t>
      </w:r>
    </w:p>
    <w:p w14:paraId="461C0749" w14:textId="2FA196E1" w:rsidR="00C45683" w:rsidRDefault="00C45683" w:rsidP="00C27ADC">
      <w:pPr>
        <w:pStyle w:val="Nivel3SM"/>
      </w:pPr>
      <w:r>
        <w:t xml:space="preserve">De este modo, dadas </w:t>
      </w:r>
      <w:r w:rsidR="00463E45">
        <w:t>2 </w:t>
      </w:r>
      <w:r>
        <w:t>loterías con igual esperanza</w:t>
      </w:r>
      <w:r w:rsidR="00D408A6">
        <w:t xml:space="preserve"> pero distintas distribuciones, no podremos afirmar que una lotería domine estocásticamente de primer orden a la otra, pero podremos estudiar si cualquier persona aversa al riesgo</w:t>
      </w:r>
      <w:r w:rsidR="00090703">
        <w:t xml:space="preserve"> elegiría una lotería sobre la otra. Esto es lo que se conoce como dominancia estocástica de segundo orden.</w:t>
      </w:r>
    </w:p>
    <w:p w14:paraId="5DFC0ADD" w14:textId="66153A49" w:rsidR="00C45683" w:rsidRDefault="00C45683" w:rsidP="00061C46">
      <w:pPr>
        <w:pStyle w:val="Nivel1SM"/>
        <w:keepNext/>
        <w:spacing w:after="0"/>
      </w:pPr>
      <w:r>
        <w:t xml:space="preserve">En general, se dice que una distribución </w:t>
      </w:r>
      <w:r>
        <w:rPr>
          <w:i/>
          <w:iCs/>
        </w:rPr>
        <w:t>F</w:t>
      </w:r>
      <w:r>
        <w:t>(</w:t>
      </w:r>
      <w:r>
        <w:rPr>
          <w:i/>
          <w:iCs/>
        </w:rPr>
        <w:t>x</w:t>
      </w:r>
      <w:r>
        <w:t xml:space="preserve">) domina estocásticamente en segundo orden a otra </w:t>
      </w:r>
      <w:r>
        <w:rPr>
          <w:i/>
          <w:iCs/>
        </w:rPr>
        <w:t>G</w:t>
      </w:r>
      <w:r>
        <w:t>(</w:t>
      </w:r>
      <w:r>
        <w:rPr>
          <w:i/>
          <w:iCs/>
        </w:rPr>
        <w:t>x</w:t>
      </w:r>
      <w:r>
        <w:t>) si es preferida por cualquier agente averso al riesgo, es decir, si:</w:t>
      </w:r>
    </w:p>
    <w:p w14:paraId="3B76DA43" w14:textId="0175AD99" w:rsidR="00EE2BA6" w:rsidRPr="00EE2BA6" w:rsidRDefault="00000000" w:rsidP="00061C46">
      <w:pPr>
        <w:keepNext/>
        <w:spacing w:after="0"/>
        <w:rPr>
          <w:rFonts w:eastAsiaTheme="minorEastAsia"/>
        </w:rPr>
      </w:pPr>
      <m:oMathPara>
        <m:oMath>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dF</m:t>
          </m:r>
          <w:proofErr w:type="spellEnd"/>
          <m:d>
            <m:dPr>
              <m:ctrlPr>
                <w:rPr>
                  <w:rFonts w:ascii="Cambria Math" w:hAnsi="Cambria Math"/>
                  <w:i/>
                  <w:iCs/>
                </w:rPr>
              </m:ctrlPr>
            </m:dPr>
            <m:e>
              <m:r>
                <m:rPr>
                  <m:nor/>
                </m:rPr>
                <w:rPr>
                  <w:i/>
                  <w:iCs/>
                </w:rPr>
                <m:t>x</m:t>
              </m:r>
            </m:e>
          </m:d>
          <m:r>
            <w:rPr>
              <w:rFonts w:ascii="Cambria Math" w:hAnsi="Cambria Math"/>
            </w:rPr>
            <m:t>≥</m:t>
          </m:r>
          <m:nary>
            <m:naryPr>
              <m:limLoc m:val="undOvr"/>
              <m:subHide m:val="1"/>
              <m:supHide m:val="1"/>
              <m:ctrlPr>
                <w:rPr>
                  <w:rFonts w:ascii="Cambria Math" w:hAnsi="Cambria Math"/>
                  <w:i/>
                  <w:iCs/>
                </w:rPr>
              </m:ctrlPr>
            </m:naryPr>
            <m:sub/>
            <m:sup/>
            <m:e>
              <m:r>
                <m:rPr>
                  <m:nor/>
                </m:rPr>
                <w:rPr>
                  <w:i/>
                  <w:iCs/>
                </w:rPr>
                <m:t>u</m:t>
              </m:r>
              <m:d>
                <m:dPr>
                  <m:ctrlPr>
                    <w:rPr>
                      <w:rFonts w:ascii="Cambria Math" w:hAnsi="Cambria Math"/>
                      <w:i/>
                      <w:iCs/>
                    </w:rPr>
                  </m:ctrlPr>
                </m:dPr>
                <m:e>
                  <m:r>
                    <m:rPr>
                      <m:nor/>
                    </m:rPr>
                    <w:rPr>
                      <w:i/>
                      <w:iCs/>
                    </w:rPr>
                    <m:t>x</m:t>
                  </m:r>
                </m:e>
              </m:d>
            </m:e>
          </m:nary>
          <w:proofErr w:type="spellStart"/>
          <m:r>
            <m:rPr>
              <m:nor/>
            </m:rPr>
            <w:rPr>
              <w:i/>
              <w:iCs/>
            </w:rPr>
            <m:t>dG</m:t>
          </m:r>
          <w:proofErr w:type="spellEnd"/>
          <m:r>
            <m:rPr>
              <m:nor/>
            </m:rPr>
            <m:t>(</m:t>
          </m:r>
          <m:r>
            <m:rPr>
              <m:nor/>
            </m:rPr>
            <w:rPr>
              <w:i/>
              <w:iCs/>
            </w:rPr>
            <m:t>x</m:t>
          </m:r>
          <m:r>
            <m:rPr>
              <m:nor/>
            </m:rPr>
            <m:t>)</m:t>
          </m:r>
          <m:r>
            <w:rPr>
              <w:rFonts w:ascii="Cambria Math" w:eastAsiaTheme="minorEastAsia" w:hAnsi="Cambria Math" w:cs="Cambria Math"/>
            </w:rPr>
            <m:t>∀</m:t>
          </m:r>
          <m:r>
            <m:rPr>
              <m:nor/>
            </m:rPr>
            <w:rPr>
              <w:rFonts w:eastAsiaTheme="minorEastAsia"/>
              <w:i/>
              <w:iCs/>
            </w:rPr>
            <m:t xml:space="preserve"> u</m:t>
          </m:r>
          <m:d>
            <m:dPr>
              <m:ctrlPr>
                <w:rPr>
                  <w:rFonts w:ascii="Cambria Math" w:hAnsi="Cambria Math"/>
                  <w:i/>
                  <w:iCs/>
                </w:rPr>
              </m:ctrlPr>
            </m:dPr>
            <m:e>
              <m:r>
                <m:rPr>
                  <m:nor/>
                </m:rPr>
                <w:rPr>
                  <w:i/>
                  <w:iCs/>
                </w:rPr>
                <m:t>x</m:t>
              </m:r>
            </m:e>
          </m:d>
          <m:r>
            <m:rPr>
              <m:nor/>
            </m:rPr>
            <w:rPr>
              <w:rFonts w:eastAsiaTheme="minorEastAsia"/>
              <w:i/>
              <w:iCs/>
            </w:rPr>
            <m:t xml:space="preserve"> t</m:t>
          </m:r>
          <m:r>
            <m:rPr>
              <m:nor/>
            </m:rPr>
            <w:rPr>
              <w:rFonts w:eastAsiaTheme="minorEastAsia"/>
              <w:i/>
            </w:rPr>
            <m:t xml:space="preserve">al que </m:t>
          </m:r>
          <m:r>
            <m:rPr>
              <m:nor/>
            </m:rPr>
            <w:rPr>
              <w:rFonts w:eastAsiaTheme="minorEastAsia"/>
              <w:i/>
              <w:iCs/>
            </w:rPr>
            <m:t>u'</m:t>
          </m:r>
          <m:d>
            <m:dPr>
              <m:ctrlPr>
                <w:rPr>
                  <w:rFonts w:ascii="Cambria Math" w:hAnsi="Cambria Math"/>
                  <w:i/>
                  <w:iCs/>
                </w:rPr>
              </m:ctrlPr>
            </m:dPr>
            <m:e>
              <m:r>
                <m:rPr>
                  <m:nor/>
                </m:rPr>
                <w:rPr>
                  <w:i/>
                  <w:iCs/>
                </w:rPr>
                <m:t>x</m:t>
              </m:r>
            </m:e>
          </m:d>
          <m:r>
            <w:rPr>
              <w:rFonts w:ascii="Cambria Math" w:eastAsiaTheme="minorEastAsia" w:hAnsi="Cambria Math"/>
            </w:rPr>
            <m:t>&gt;</m:t>
          </m:r>
          <m:r>
            <m:rPr>
              <m:nor/>
            </m:rPr>
            <w:rPr>
              <w:rFonts w:eastAsiaTheme="minorEastAsia"/>
              <w:i/>
              <w:iCs/>
            </w:rPr>
            <m:t>0</m:t>
          </m:r>
          <m:r>
            <m:rPr>
              <m:nor/>
            </m:rPr>
            <w:rPr>
              <w:rFonts w:ascii="Cambria Math" w:eastAsiaTheme="minorEastAsia"/>
              <w:i/>
              <w:iCs/>
            </w:rPr>
            <m:t xml:space="preserve">  </m:t>
          </m:r>
          <m:r>
            <m:rPr>
              <m:nor/>
            </m:rPr>
            <w:rPr>
              <w:rFonts w:eastAsiaTheme="minorEastAsia"/>
              <w:i/>
              <w:iCs/>
            </w:rPr>
            <m:t>y</m:t>
          </m:r>
          <m:r>
            <m:rPr>
              <m:nor/>
            </m:rPr>
            <w:rPr>
              <w:rFonts w:ascii="Cambria Math" w:eastAsiaTheme="minorEastAsia"/>
              <w:i/>
              <w:iCs/>
            </w:rPr>
            <m:t xml:space="preserve">  </m:t>
          </m:r>
          <m:r>
            <m:rPr>
              <m:nor/>
            </m:rPr>
            <w:rPr>
              <w:rFonts w:eastAsiaTheme="minorEastAsia"/>
              <w:i/>
            </w:rPr>
            <m:t>u</m:t>
          </m:r>
          <m:r>
            <m:rPr>
              <m:nor/>
            </m:rPr>
            <w:rPr>
              <w:rFonts w:eastAsiaTheme="minorEastAsia"/>
              <w:i/>
              <w:iCs/>
            </w:rPr>
            <m:t>"</m:t>
          </m:r>
          <m:d>
            <m:dPr>
              <m:ctrlPr>
                <w:rPr>
                  <w:rFonts w:ascii="Cambria Math" w:hAnsi="Cambria Math"/>
                  <w:i/>
                  <w:iCs/>
                </w:rPr>
              </m:ctrlPr>
            </m:dPr>
            <m:e>
              <m:r>
                <m:rPr>
                  <m:nor/>
                </m:rPr>
                <w:rPr>
                  <w:i/>
                  <w:iCs/>
                </w:rPr>
                <m:t>x</m:t>
              </m:r>
            </m:e>
          </m:d>
          <m:r>
            <w:rPr>
              <w:rFonts w:ascii="Cambria Math" w:eastAsiaTheme="minorEastAsia" w:hAnsi="Cambria Math"/>
            </w:rPr>
            <m:t>&lt;</m:t>
          </m:r>
          <m:r>
            <m:rPr>
              <m:nor/>
            </m:rPr>
            <w:rPr>
              <w:rFonts w:eastAsiaTheme="minorEastAsia"/>
              <w:i/>
              <w:iCs/>
            </w:rPr>
            <m:t xml:space="preserve"> 0</m:t>
          </m:r>
        </m:oMath>
      </m:oMathPara>
    </w:p>
    <w:p w14:paraId="59A013EE" w14:textId="03AF6CA5" w:rsidR="00EE2BA6" w:rsidRPr="00061C46" w:rsidRDefault="00EE2BA6" w:rsidP="00061C46">
      <w:pPr>
        <w:pStyle w:val="Nivel2SM"/>
        <w:rPr>
          <w:i/>
          <w:iCs/>
          <w:spacing w:val="-2"/>
        </w:rPr>
      </w:pPr>
      <w:r w:rsidRPr="00061C46">
        <w:rPr>
          <w:spacing w:val="-2"/>
        </w:rPr>
        <w:t xml:space="preserve">De este modo, ya no todos los </w:t>
      </w:r>
      <w:r w:rsidRPr="00061C46">
        <w:rPr>
          <w:b/>
          <w:bCs/>
          <w:spacing w:val="-2"/>
        </w:rPr>
        <w:t>amantes de la riqueza</w:t>
      </w:r>
      <w:r w:rsidRPr="00061C46">
        <w:rPr>
          <w:spacing w:val="-2"/>
        </w:rPr>
        <w:t xml:space="preserve"> (</w:t>
      </w:r>
      <m:oMath>
        <m:r>
          <m:rPr>
            <m:nor/>
          </m:rPr>
          <w:rPr>
            <w:i/>
            <w:iCs/>
            <w:spacing w:val="-2"/>
          </w:rPr>
          <m:t>u'</m:t>
        </m:r>
        <m:r>
          <m:rPr>
            <m:nor/>
          </m:rPr>
          <w:rPr>
            <w:spacing w:val="-2"/>
          </w:rPr>
          <m:t>(</m:t>
        </m:r>
        <m:r>
          <m:rPr>
            <m:nor/>
          </m:rPr>
          <w:rPr>
            <w:i/>
            <w:iCs/>
            <w:spacing w:val="-2"/>
          </w:rPr>
          <m:t>x</m:t>
        </m:r>
        <m:r>
          <m:rPr>
            <m:nor/>
          </m:rPr>
          <w:rPr>
            <w:spacing w:val="-2"/>
          </w:rPr>
          <m:t>)</m:t>
        </m:r>
        <m:r>
          <w:rPr>
            <w:rFonts w:ascii="Cambria Math" w:hAnsi="Cambria Math"/>
            <w:spacing w:val="-2"/>
          </w:rPr>
          <m:t>&gt;</m:t>
        </m:r>
        <m:r>
          <m:rPr>
            <m:nor/>
          </m:rPr>
          <w:rPr>
            <w:i/>
            <w:iCs/>
            <w:spacing w:val="-2"/>
          </w:rPr>
          <m:t>0</m:t>
        </m:r>
      </m:oMath>
      <w:r w:rsidRPr="00061C46">
        <w:rPr>
          <w:spacing w:val="-2"/>
        </w:rPr>
        <w:t xml:space="preserve">) prefieren siempre </w:t>
      </w:r>
      <w:r w:rsidRPr="00061C46">
        <w:rPr>
          <w:i/>
          <w:iCs/>
          <w:spacing w:val="-2"/>
        </w:rPr>
        <w:t>F</w:t>
      </w:r>
      <w:r w:rsidRPr="00061C46">
        <w:rPr>
          <w:spacing w:val="-2"/>
        </w:rPr>
        <w:t>(</w:t>
      </w:r>
      <w:r w:rsidRPr="00061C46">
        <w:rPr>
          <w:i/>
          <w:iCs/>
          <w:spacing w:val="-2"/>
        </w:rPr>
        <w:t>x</w:t>
      </w:r>
      <w:r w:rsidRPr="00061C46">
        <w:rPr>
          <w:spacing w:val="-2"/>
        </w:rPr>
        <w:t xml:space="preserve">), pero aún es posible afirmar que todos los </w:t>
      </w:r>
      <w:r w:rsidRPr="00061C46">
        <w:rPr>
          <w:b/>
          <w:bCs/>
          <w:spacing w:val="-2"/>
        </w:rPr>
        <w:t>aversos al riesgo</w:t>
      </w:r>
      <w:r w:rsidRPr="00061C46">
        <w:rPr>
          <w:spacing w:val="-2"/>
        </w:rPr>
        <w:t xml:space="preserve"> (</w:t>
      </w:r>
      <m:oMath>
        <m:r>
          <m:rPr>
            <m:nor/>
          </m:rPr>
          <w:rPr>
            <w:i/>
            <w:iCs/>
            <w:spacing w:val="-2"/>
          </w:rPr>
          <m:t>u"</m:t>
        </m:r>
        <m:r>
          <m:rPr>
            <m:nor/>
          </m:rPr>
          <w:rPr>
            <w:spacing w:val="-2"/>
          </w:rPr>
          <m:t>(</m:t>
        </m:r>
        <m:r>
          <m:rPr>
            <m:nor/>
          </m:rPr>
          <w:rPr>
            <w:i/>
            <w:iCs/>
            <w:spacing w:val="-2"/>
          </w:rPr>
          <m:t>x</m:t>
        </m:r>
        <m:r>
          <m:rPr>
            <m:nor/>
          </m:rPr>
          <w:rPr>
            <w:spacing w:val="-2"/>
          </w:rPr>
          <m:t>)</m:t>
        </m:r>
        <m:r>
          <w:rPr>
            <w:rFonts w:ascii="Cambria Math" w:hAnsi="Cambria Math"/>
            <w:spacing w:val="-2"/>
          </w:rPr>
          <m:t>&lt;</m:t>
        </m:r>
        <m:r>
          <m:rPr>
            <m:nor/>
          </m:rPr>
          <w:rPr>
            <w:i/>
            <w:iCs/>
            <w:spacing w:val="-2"/>
          </w:rPr>
          <m:t>0</m:t>
        </m:r>
      </m:oMath>
      <w:r w:rsidRPr="00061C46">
        <w:rPr>
          <w:spacing w:val="-2"/>
        </w:rPr>
        <w:t xml:space="preserve">) prefieren la lotería </w:t>
      </w:r>
      <w:r w:rsidRPr="00061C46">
        <w:rPr>
          <w:i/>
          <w:iCs/>
          <w:spacing w:val="-2"/>
        </w:rPr>
        <w:t>F</w:t>
      </w:r>
      <w:r w:rsidRPr="00061C46">
        <w:rPr>
          <w:spacing w:val="-2"/>
        </w:rPr>
        <w:t>(</w:t>
      </w:r>
      <w:r w:rsidRPr="00061C46">
        <w:rPr>
          <w:i/>
          <w:iCs/>
          <w:spacing w:val="-2"/>
        </w:rPr>
        <w:t>x</w:t>
      </w:r>
      <w:r w:rsidRPr="00061C46">
        <w:rPr>
          <w:spacing w:val="-2"/>
        </w:rPr>
        <w:t xml:space="preserve">) a la </w:t>
      </w:r>
      <w:r w:rsidRPr="00061C46">
        <w:rPr>
          <w:i/>
          <w:iCs/>
          <w:spacing w:val="-2"/>
        </w:rPr>
        <w:t>G</w:t>
      </w:r>
      <w:r w:rsidRPr="00061C46">
        <w:rPr>
          <w:spacing w:val="-2"/>
        </w:rPr>
        <w:t>(</w:t>
      </w:r>
      <w:r w:rsidRPr="00061C46">
        <w:rPr>
          <w:i/>
          <w:iCs/>
          <w:spacing w:val="-2"/>
        </w:rPr>
        <w:t>x</w:t>
      </w:r>
      <w:r w:rsidRPr="00061C46">
        <w:rPr>
          <w:spacing w:val="-2"/>
        </w:rPr>
        <w:t>).</w:t>
      </w:r>
    </w:p>
    <w:p w14:paraId="44ACFD1B" w14:textId="3D3C4B77" w:rsidR="00EE2BA6" w:rsidRDefault="00E243C7" w:rsidP="00C27ADC">
      <w:pPr>
        <w:pStyle w:val="Nivel1SM"/>
        <w:keepNext/>
        <w:spacing w:after="0"/>
      </w:pPr>
      <w:r>
        <w:t xml:space="preserve">Desgraciadamente, como se ha comprobado, las propiedades de </w:t>
      </w:r>
      <w:r>
        <w:rPr>
          <w:u w:val="single"/>
        </w:rPr>
        <w:t>dominancia estocástica de primer y de segundo orden</w:t>
      </w:r>
      <w:r>
        <w:t xml:space="preserve">, </w:t>
      </w:r>
      <w:r w:rsidR="00F64BBA">
        <w:t>aun</w:t>
      </w:r>
      <w:r>
        <w:t xml:space="preserve"> basándose únicamente en las nociones de esperanza y dispersión, </w:t>
      </w:r>
      <w:r w:rsidRPr="00E243C7">
        <w:rPr>
          <w:u w:val="single"/>
        </w:rPr>
        <w:t xml:space="preserve">tienden </w:t>
      </w:r>
      <w:r w:rsidRPr="00E243C7">
        <w:rPr>
          <w:u w:val="single"/>
        </w:rPr>
        <w:lastRenderedPageBreak/>
        <w:t>a ser poco prácticas</w:t>
      </w:r>
      <w:r>
        <w:t xml:space="preserve"> por </w:t>
      </w:r>
      <w:r w:rsidRPr="00312048">
        <w:rPr>
          <w:i/>
          <w:iCs/>
        </w:rPr>
        <w:t>demasiado exigentes</w:t>
      </w:r>
      <w:r>
        <w:t xml:space="preserve"> y, </w:t>
      </w:r>
      <w:r w:rsidRPr="00312048">
        <w:rPr>
          <w:i/>
          <w:iCs/>
        </w:rPr>
        <w:t>en el mejor de</w:t>
      </w:r>
      <w:r w:rsidR="00D408A6" w:rsidRPr="00312048">
        <w:rPr>
          <w:i/>
          <w:iCs/>
        </w:rPr>
        <w:t xml:space="preserve"> </w:t>
      </w:r>
      <w:r w:rsidRPr="00312048">
        <w:rPr>
          <w:i/>
          <w:iCs/>
        </w:rPr>
        <w:t>los casos, solo permiten ordenar las diferentes loterías disponibles</w:t>
      </w:r>
      <w:r w:rsidRPr="00312048">
        <w:rPr>
          <w:rStyle w:val="Refdenotaalpie"/>
        </w:rPr>
        <w:footnoteReference w:id="31"/>
      </w:r>
      <w:r w:rsidRPr="00312048">
        <w:rPr>
          <w:i/>
          <w:iCs/>
        </w:rPr>
        <w:t xml:space="preserve"> pero no cuantificar cuánto mejor es una lotería que otra</w:t>
      </w:r>
      <w:r>
        <w:t>.</w:t>
      </w:r>
    </w:p>
    <w:p w14:paraId="2C5DDE1D" w14:textId="6333B306" w:rsidR="00C27ADC" w:rsidRDefault="00E243C7" w:rsidP="00C27ADC">
      <w:pPr>
        <w:pStyle w:val="Nivel2SM"/>
        <w:keepNext/>
        <w:spacing w:after="0"/>
      </w:pPr>
      <w:r>
        <w:t xml:space="preserve">Es posiblemente por esta razón que se acuda a </w:t>
      </w:r>
      <w:r>
        <w:rPr>
          <w:u w:val="single"/>
        </w:rPr>
        <w:t>modelos de decisión simplificados</w:t>
      </w:r>
      <w:r>
        <w:t xml:space="preserve"> basados en el </w:t>
      </w:r>
      <w:r w:rsidRPr="00E243C7">
        <w:rPr>
          <w:b/>
          <w:bCs/>
        </w:rPr>
        <w:t>binomio media-varianza</w:t>
      </w:r>
      <w:r>
        <w:t xml:space="preserve"> como versión reducida</w:t>
      </w:r>
      <w:r>
        <w:rPr>
          <w:rStyle w:val="Refdenotaalpie"/>
        </w:rPr>
        <w:footnoteReference w:id="32"/>
      </w:r>
      <w:r>
        <w:t xml:space="preserve"> del modelo de utilidad esperada </w:t>
      </w:r>
      <w:r w:rsidR="00084BF4">
        <w:t>von Neumann</w:t>
      </w:r>
      <w:r>
        <w:t>-Morgenstern, representando la media un “bien” y la varianza un “mal” (se asume aversión al riesgo).</w:t>
      </w:r>
    </w:p>
    <w:p w14:paraId="387B2E12" w14:textId="77777777" w:rsidR="00312048" w:rsidRDefault="00BA695D" w:rsidP="00312048">
      <w:pPr>
        <w:pStyle w:val="Nivel3SM"/>
        <w:keepNext/>
      </w:pPr>
      <w:r>
        <w:t>Como apuntan</w:t>
      </w:r>
      <w:r>
        <w:rPr>
          <w:smallCaps/>
        </w:rPr>
        <w:t xml:space="preserve"> </w:t>
      </w:r>
      <w:proofErr w:type="spellStart"/>
      <w:r>
        <w:rPr>
          <w:smallCaps/>
        </w:rPr>
        <w:t>Bickchandadi</w:t>
      </w:r>
      <w:proofErr w:type="spellEnd"/>
      <w:r>
        <w:t xml:space="preserve">, </w:t>
      </w:r>
      <w:proofErr w:type="spellStart"/>
      <w:r>
        <w:rPr>
          <w:smallCaps/>
        </w:rPr>
        <w:t>Hirshleifer</w:t>
      </w:r>
      <w:proofErr w:type="spellEnd"/>
      <w:r>
        <w:t xml:space="preserve"> y </w:t>
      </w:r>
      <w:r>
        <w:rPr>
          <w:smallCaps/>
        </w:rPr>
        <w:t>Riley</w:t>
      </w:r>
      <w:r>
        <w:t xml:space="preserve"> (2013), el paso desde una distribución de probabilidad completamente definida (en términos de las consecuencias para todos y cada uno de los estados) a un mero resumen estadístico de la distribución (que sólo tiene en cuenta dos parámetros</w:t>
      </w:r>
      <w:r w:rsidR="00C27ADC">
        <w:t>:</w:t>
      </w:r>
      <w:r>
        <w:t xml:space="preserve"> media y varianza) implica necesariamente una pérdida de información. La cuestión que se plantea es bajo que supuestos dicha simplificación es válida.</w:t>
      </w:r>
    </w:p>
    <w:p w14:paraId="4C03A9EE" w14:textId="583382B3" w:rsidR="00312048" w:rsidRDefault="00BA695D" w:rsidP="00312048">
      <w:pPr>
        <w:pStyle w:val="Nivel4"/>
        <w:ind w:left="1474"/>
      </w:pPr>
      <w:r>
        <w:t xml:space="preserve">Con carácter general, una posible justificación es el </w:t>
      </w:r>
      <w:r w:rsidRPr="00312048">
        <w:rPr>
          <w:i/>
          <w:iCs/>
        </w:rPr>
        <w:t>Teorema Central del Límite</w:t>
      </w:r>
      <w:r>
        <w:t xml:space="preserve">, de la teoría de la probabilidad que, dicho muy simplificadamente, predice que la suma de cualquier número elevado de </w:t>
      </w:r>
      <w:r w:rsidRPr="008C6948">
        <w:rPr>
          <w:i/>
          <w:iCs/>
        </w:rPr>
        <w:t>N</w:t>
      </w:r>
      <w:r w:rsidR="00312048">
        <w:t> </w:t>
      </w:r>
      <w:r>
        <w:t xml:space="preserve">variables aleatorias converge hacia la distribución normal, una distribución que precisamente posee la propiedad de quedar plenamente descrita con solo </w:t>
      </w:r>
      <w:r w:rsidR="00E02345">
        <w:t>2 </w:t>
      </w:r>
      <w:r>
        <w:t>parámetros</w:t>
      </w:r>
      <w:r w:rsidR="00E02345">
        <w:t>:</w:t>
      </w:r>
      <w:r>
        <w:t xml:space="preserve"> media y varianza.</w:t>
      </w:r>
    </w:p>
    <w:p w14:paraId="0C270795" w14:textId="308BCD6A" w:rsidR="00E243C7" w:rsidRDefault="00BA695D" w:rsidP="00C27ADC">
      <w:pPr>
        <w:pStyle w:val="Nivel3SM"/>
      </w:pPr>
      <w:r>
        <w:t>El campo más propicio de los modelos de media-varianza es por tanto las situaciones en que se da dicha suma de múltiples variables aleatorias,</w:t>
      </w:r>
      <w:r w:rsidR="00312048">
        <w:t xml:space="preserve"> siendo el ejemplo más paradigmático</w:t>
      </w:r>
      <w:r>
        <w:t xml:space="preserve"> la teoría de selección de carteras desarrollad</w:t>
      </w:r>
      <w:r w:rsidR="00312048">
        <w:t>a, entre otros,</w:t>
      </w:r>
      <w:r>
        <w:t xml:space="preserve"> por </w:t>
      </w:r>
      <w:r w:rsidR="00312048" w:rsidRPr="00312048">
        <w:rPr>
          <w:smallCaps/>
        </w:rPr>
        <w:t>Markowitz</w:t>
      </w:r>
      <w:r w:rsidR="00312048">
        <w:t xml:space="preserve">, </w:t>
      </w:r>
      <w:r w:rsidR="00312048" w:rsidRPr="00312048">
        <w:rPr>
          <w:smallCaps/>
        </w:rPr>
        <w:t>Tobin</w:t>
      </w:r>
      <w:r w:rsidR="00312048">
        <w:t xml:space="preserve"> y </w:t>
      </w:r>
      <w:r>
        <w:rPr>
          <w:smallCaps/>
        </w:rPr>
        <w:t>Sharpe</w:t>
      </w:r>
      <w:r>
        <w:t xml:space="preserve"> </w:t>
      </w:r>
      <w:r w:rsidR="0092198B" w:rsidRPr="008C6948">
        <w:rPr>
          <w:color w:val="767171" w:themeColor="background2" w:themeShade="80"/>
          <w:sz w:val="19"/>
          <w:szCs w:val="19"/>
        </w:rPr>
        <w:t>[</w:t>
      </w:r>
      <w:r w:rsidR="008C6948" w:rsidRPr="008C6948">
        <w:rPr>
          <w:color w:val="767171" w:themeColor="background2" w:themeShade="80"/>
          <w:sz w:val="19"/>
          <w:szCs w:val="19"/>
        </w:rPr>
        <w:t>ver</w:t>
      </w:r>
      <w:r w:rsidRPr="008C6948">
        <w:rPr>
          <w:color w:val="767171" w:themeColor="background2" w:themeShade="80"/>
          <w:sz w:val="19"/>
          <w:szCs w:val="19"/>
        </w:rPr>
        <w:t xml:space="preserve"> tema 3.</w:t>
      </w:r>
      <w:r w:rsidR="0092198B" w:rsidRPr="008C6948">
        <w:rPr>
          <w:color w:val="767171" w:themeColor="background2" w:themeShade="80"/>
          <w:sz w:val="19"/>
          <w:szCs w:val="19"/>
        </w:rPr>
        <w:t>B</w:t>
      </w:r>
      <w:r w:rsidRPr="008C6948">
        <w:rPr>
          <w:color w:val="767171" w:themeColor="background2" w:themeShade="80"/>
          <w:sz w:val="19"/>
          <w:szCs w:val="19"/>
        </w:rPr>
        <w:t>.2</w:t>
      </w:r>
      <w:r w:rsidR="00AE0338">
        <w:rPr>
          <w:color w:val="767171" w:themeColor="background2" w:themeShade="80"/>
          <w:sz w:val="19"/>
          <w:szCs w:val="19"/>
        </w:rPr>
        <w:t>3</w:t>
      </w:r>
      <w:r w:rsidR="0092198B" w:rsidRPr="008C6948">
        <w:rPr>
          <w:color w:val="767171" w:themeColor="background2" w:themeShade="80"/>
          <w:sz w:val="19"/>
          <w:szCs w:val="19"/>
        </w:rPr>
        <w:t>]</w:t>
      </w:r>
      <w:r>
        <w:t>.</w:t>
      </w:r>
    </w:p>
    <w:p w14:paraId="1A2CC91B" w14:textId="320A2A10" w:rsidR="0015443B" w:rsidRPr="0015443B" w:rsidRDefault="0015443B" w:rsidP="0015443B">
      <w:pPr>
        <w:pStyle w:val="Ttuloimagen"/>
      </w:pPr>
      <w:r>
        <w:t>Imagen</w:t>
      </w:r>
      <w:r w:rsidR="002C7D7A">
        <w:t> </w:t>
      </w:r>
      <w:r>
        <w:fldChar w:fldCharType="begin"/>
      </w:r>
      <w:r w:rsidRPr="0015443B">
        <w:instrText xml:space="preserve"> SEQ Ilustración \* ARABIC </w:instrText>
      </w:r>
      <w:r>
        <w:fldChar w:fldCharType="separate"/>
      </w:r>
      <w:r w:rsidR="002E338F">
        <w:t>4</w:t>
      </w:r>
      <w:r>
        <w:fldChar w:fldCharType="end"/>
      </w:r>
      <w:r w:rsidRPr="0015443B">
        <w:rPr>
          <w:smallCaps w:val="0"/>
        </w:rPr>
        <w:t xml:space="preserve">.– </w:t>
      </w:r>
      <w:r>
        <w:rPr>
          <w:i/>
          <w:iCs/>
          <w:smallCaps w:val="0"/>
        </w:rPr>
        <w:t>Dominancia estocástica de primer y segundo grado</w:t>
      </w:r>
      <w:r w:rsidR="00BF2E29" w:rsidRPr="00BF2E29">
        <w:rPr>
          <w:rStyle w:val="Refdenotaalpie"/>
          <w:smallCaps w:val="0"/>
        </w:rPr>
        <w:footnoteReference w:id="33"/>
      </w:r>
    </w:p>
    <w:p w14:paraId="287E58AA" w14:textId="24519AE6" w:rsidR="0015443B" w:rsidRPr="0015443B" w:rsidRDefault="00BF2E29" w:rsidP="0015443B">
      <w:pPr>
        <w:pStyle w:val="Imagen"/>
      </w:pPr>
      <w:r>
        <w:drawing>
          <wp:inline distT="0" distB="0" distL="0" distR="0" wp14:anchorId="7E5284CC" wp14:editId="0618AEFE">
            <wp:extent cx="2231645" cy="1440000"/>
            <wp:effectExtent l="0" t="0" r="0" b="8255"/>
            <wp:docPr id="28" name="Imagen 28"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Imagen que contiene Gráfico&#10;&#10;Descripción generada automáticamente"/>
                    <pic:cNvPicPr/>
                  </pic:nvPicPr>
                  <pic:blipFill rotWithShape="1">
                    <a:blip r:embed="rId15"/>
                    <a:srcRect l="7285" t="1970" r="5668" b="29706"/>
                    <a:stretch/>
                  </pic:blipFill>
                  <pic:spPr bwMode="auto">
                    <a:xfrm>
                      <a:off x="0" y="0"/>
                      <a:ext cx="2231645" cy="1440000"/>
                    </a:xfrm>
                    <a:prstGeom prst="rect">
                      <a:avLst/>
                    </a:prstGeom>
                    <a:ln>
                      <a:noFill/>
                    </a:ln>
                    <a:extLst>
                      <a:ext uri="{53640926-AAD7-44D8-BBD7-CCE9431645EC}">
                        <a14:shadowObscured xmlns:a14="http://schemas.microsoft.com/office/drawing/2010/main"/>
                      </a:ext>
                    </a:extLst>
                  </pic:spPr>
                </pic:pic>
              </a:graphicData>
            </a:graphic>
          </wp:inline>
        </w:drawing>
      </w:r>
      <w:r w:rsidR="00880831">
        <w:drawing>
          <wp:inline distT="0" distB="0" distL="0" distR="0" wp14:anchorId="50B095C8" wp14:editId="72E1FDE4">
            <wp:extent cx="3233782" cy="900000"/>
            <wp:effectExtent l="0" t="0" r="5080" b="0"/>
            <wp:docPr id="9640343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8315" t="70530" r="4546"/>
                    <a:stretch/>
                  </pic:blipFill>
                  <pic:spPr bwMode="auto">
                    <a:xfrm>
                      <a:off x="0" y="0"/>
                      <a:ext cx="3233782" cy="900000"/>
                    </a:xfrm>
                    <a:prstGeom prst="rect">
                      <a:avLst/>
                    </a:prstGeom>
                    <a:noFill/>
                    <a:ln>
                      <a:noFill/>
                    </a:ln>
                    <a:extLst>
                      <a:ext uri="{53640926-AAD7-44D8-BBD7-CCE9431645EC}">
                        <a14:shadowObscured xmlns:a14="http://schemas.microsoft.com/office/drawing/2010/main"/>
                      </a:ext>
                    </a:extLst>
                  </pic:spPr>
                </pic:pic>
              </a:graphicData>
            </a:graphic>
          </wp:inline>
        </w:drawing>
      </w:r>
    </w:p>
    <w:p w14:paraId="61032FF8" w14:textId="66D0847D" w:rsidR="0015443B" w:rsidRPr="0015443B" w:rsidRDefault="0015443B" w:rsidP="0015443B">
      <w:pPr>
        <w:pStyle w:val="PiedeImagen"/>
        <w:rPr>
          <w:i w:val="0"/>
          <w:iCs/>
        </w:rPr>
      </w:pPr>
      <w:r w:rsidRPr="0015443B">
        <w:rPr>
          <w:lang w:val="en-US"/>
        </w:rPr>
        <w:t>Fuente</w:t>
      </w:r>
      <w:r w:rsidRPr="0015443B">
        <w:rPr>
          <w:i w:val="0"/>
          <w:iCs/>
          <w:lang w:val="en-US"/>
        </w:rPr>
        <w:t xml:space="preserve">: Yemshanov, D., Koch, F., Ducey, M., Haack, R., Siltanen, M. &amp; Wilson, K. (2013). Quantifying uncertainty in pest risk maps and assessments: Adopting a risk-averse decision maker’s perspective. </w:t>
      </w:r>
      <w:r w:rsidRPr="0015443B">
        <w:t>NeoBiota, 18</w:t>
      </w:r>
      <w:r w:rsidRPr="0015443B">
        <w:rPr>
          <w:i w:val="0"/>
          <w:iCs/>
        </w:rPr>
        <w:t xml:space="preserve">, 193-218. </w:t>
      </w:r>
      <w:hyperlink r:id="rId17" w:history="1">
        <w:r w:rsidRPr="00DE46E3">
          <w:rPr>
            <w:rStyle w:val="Hipervnculo"/>
            <w:i w:val="0"/>
            <w:iCs/>
          </w:rPr>
          <w:t>https://doi.org/10.3897/neobiota.18.4002</w:t>
        </w:r>
      </w:hyperlink>
    </w:p>
    <w:p w14:paraId="368295F5" w14:textId="1C8F0D89" w:rsidR="009A3230" w:rsidRDefault="009A3230" w:rsidP="00106DD6">
      <w:pPr>
        <w:pStyle w:val="Ttulo2"/>
      </w:pPr>
      <w:bookmarkStart w:id="39" w:name="_Toc172232543"/>
      <w:r>
        <w:t>Aplicaciones de la teoría de la utilidad esperada</w:t>
      </w:r>
      <w:bookmarkEnd w:id="39"/>
    </w:p>
    <w:p w14:paraId="370712D1" w14:textId="6B1A5DE0" w:rsidR="003413D2" w:rsidRPr="00A50060" w:rsidRDefault="003413D2" w:rsidP="003413D2">
      <w:pPr>
        <w:pStyle w:val="Notaalopositor"/>
      </w:pPr>
      <w:proofErr w:type="gramStart"/>
      <w:r>
        <w:t>Mencionar</w:t>
      </w:r>
      <w:proofErr w:type="gramEnd"/>
      <w:r>
        <w:t xml:space="preserve"> que tiene varias extensiones pero solo cantar una por cuestiones de tiempo.</w:t>
      </w:r>
      <w:r w:rsidR="00682A1E">
        <w:t xml:space="preserve"> Quizás sea </w:t>
      </w:r>
      <w:proofErr w:type="gramStart"/>
      <w:r w:rsidR="00682A1E">
        <w:t>más simple y más intuitivo</w:t>
      </w:r>
      <w:proofErr w:type="gramEnd"/>
      <w:r w:rsidR="00682A1E">
        <w:t xml:space="preserve"> la demanda de seguros</w:t>
      </w:r>
      <w:r w:rsidR="00A50060">
        <w:t xml:space="preserve">, que también es un paso previo al desarrollo del modelo de </w:t>
      </w:r>
      <w:r w:rsidR="00A50060">
        <w:rPr>
          <w:smallCaps/>
        </w:rPr>
        <w:t>Rothschild</w:t>
      </w:r>
      <w:r w:rsidR="00A50060">
        <w:t xml:space="preserve"> y </w:t>
      </w:r>
      <w:r w:rsidR="00A50060">
        <w:rPr>
          <w:smallCaps/>
        </w:rPr>
        <w:t>Stiglitz</w:t>
      </w:r>
      <w:r w:rsidR="00A50060">
        <w:t xml:space="preserve"> del tema 3.A.13</w:t>
      </w:r>
      <w:r w:rsidR="009B2C05">
        <w:t>.</w:t>
      </w:r>
    </w:p>
    <w:p w14:paraId="63FF02C0" w14:textId="77777777" w:rsidR="000B56FC" w:rsidRDefault="009C29AC" w:rsidP="000B56FC">
      <w:pPr>
        <w:pStyle w:val="Nivel1SM"/>
        <w:keepNext/>
        <w:spacing w:before="0" w:after="0"/>
      </w:pPr>
      <w:r>
        <w:t xml:space="preserve">Vista la herramienta básica, es necesario estudiar la aplicación de la utilidad esperada a problemas económicos concretos. En general, las decisiones más importantes del consumidor en situación de riesgo son las </w:t>
      </w:r>
      <w:r w:rsidRPr="009C29AC">
        <w:rPr>
          <w:i/>
          <w:iCs/>
          <w:u w:val="single"/>
        </w:rPr>
        <w:t>decisiones financieras</w:t>
      </w:r>
      <w:r>
        <w:t>, pues son aquellas en las que el riesgo es un aspecto ineludible.</w:t>
      </w:r>
    </w:p>
    <w:p w14:paraId="03B2B3F4" w14:textId="71D3C37A" w:rsidR="004F6E87" w:rsidRPr="000B56FC" w:rsidRDefault="009C29AC" w:rsidP="000B56FC">
      <w:pPr>
        <w:pStyle w:val="Nivel2SM"/>
        <w:keepNext/>
        <w:spacing w:after="0"/>
        <w:rPr>
          <w:spacing w:val="-1"/>
        </w:rPr>
      </w:pPr>
      <w:r w:rsidRPr="000B56FC">
        <w:rPr>
          <w:spacing w:val="-1"/>
        </w:rPr>
        <w:t>Por decisiones financieras se entienden aquellas que determinan la demanda por el consumidor de diferentes instrumentos financieros (en este caso, activos financieros) que en última instancia son siempre “promesas” de pagos (típicamente inciertos), que se diferencian entre sí básicamente por el evento (más o menos incierto) a que se condiciona ese pago prometido.</w:t>
      </w:r>
    </w:p>
    <w:p w14:paraId="5D5AF0FF" w14:textId="3C460120" w:rsidR="00880831" w:rsidRPr="00880831" w:rsidRDefault="001D1B40" w:rsidP="00880831">
      <w:pPr>
        <w:pStyle w:val="Nivel3SM"/>
        <w:rPr>
          <w:spacing w:val="-1"/>
        </w:rPr>
      </w:pPr>
      <w:r w:rsidRPr="00E14AF5">
        <w:rPr>
          <w:spacing w:val="-1"/>
        </w:rPr>
        <w:t>Así, la teoría de la utilidad esperada encuentra aplicaciones en temas como la decisión de cartera o la decisión de aseguramiento, que es en la que nos centraremos en esta exposición.</w:t>
      </w:r>
    </w:p>
    <w:p w14:paraId="3701E036" w14:textId="5CAB9D46" w:rsidR="00614091" w:rsidRDefault="009A3230" w:rsidP="009A3230">
      <w:pPr>
        <w:pStyle w:val="Ttulo6"/>
      </w:pPr>
      <w:bookmarkStart w:id="40" w:name="_Toc172232544"/>
      <w:r>
        <w:lastRenderedPageBreak/>
        <w:t>Decisión de aseguramiento: demanda de seguro</w:t>
      </w:r>
      <w:r w:rsidR="00614091">
        <w:t>s</w:t>
      </w:r>
      <w:r w:rsidR="0021641C">
        <w:t xml:space="preserve"> [Modelo de </w:t>
      </w:r>
      <w:r w:rsidR="0021641C">
        <w:rPr>
          <w:smallCaps/>
        </w:rPr>
        <w:t>Rothschild</w:t>
      </w:r>
      <w:r w:rsidR="0021641C">
        <w:t xml:space="preserve"> y </w:t>
      </w:r>
      <w:r w:rsidR="0021641C">
        <w:rPr>
          <w:smallCaps/>
        </w:rPr>
        <w:t>Stiglitz</w:t>
      </w:r>
      <w:r w:rsidR="0021641C">
        <w:t>, 1976]</w:t>
      </w:r>
      <w:bookmarkEnd w:id="40"/>
    </w:p>
    <w:p w14:paraId="10AB1BBF" w14:textId="7D88D9CB" w:rsidR="005A64E1" w:rsidRDefault="005A64E1" w:rsidP="006E716D">
      <w:pPr>
        <w:pStyle w:val="Ttulo7"/>
        <w:spacing w:before="0"/>
      </w:pPr>
      <w:bookmarkStart w:id="41" w:name="_Toc172232545"/>
      <w:r>
        <w:t>Idea</w:t>
      </w:r>
      <w:bookmarkEnd w:id="41"/>
    </w:p>
    <w:p w14:paraId="06184A05" w14:textId="759A7549" w:rsidR="009B0A6E" w:rsidRPr="009B0A6E" w:rsidRDefault="009B0A6E" w:rsidP="00E14AF5">
      <w:pPr>
        <w:pStyle w:val="Nivel1SM"/>
        <w:spacing w:before="0"/>
      </w:pPr>
      <w:r>
        <w:t>Se trata de un problema en el que el agente busca reducir su exposición al riesgo mediante la adquisición de seguros.</w:t>
      </w:r>
    </w:p>
    <w:p w14:paraId="39353380" w14:textId="77777777" w:rsidR="005A64E1" w:rsidRDefault="005A64E1" w:rsidP="005A64E1">
      <w:pPr>
        <w:pStyle w:val="Ttulo7"/>
      </w:pPr>
      <w:bookmarkStart w:id="42" w:name="_Toc172232546"/>
      <w:r>
        <w:t>Modelo</w:t>
      </w:r>
      <w:bookmarkEnd w:id="42"/>
    </w:p>
    <w:p w14:paraId="455ED99F" w14:textId="7D1B303F" w:rsidR="005A64E1" w:rsidRDefault="005A64E1" w:rsidP="006E716D">
      <w:pPr>
        <w:pStyle w:val="Ttulo8"/>
        <w:spacing w:before="0"/>
      </w:pPr>
      <w:r>
        <w:t>Supuestos</w:t>
      </w:r>
    </w:p>
    <w:p w14:paraId="5D021BFD" w14:textId="40E9CDDA" w:rsidR="00166FC2" w:rsidRPr="00880831" w:rsidRDefault="00166FC2" w:rsidP="00166FC2">
      <w:pPr>
        <w:pStyle w:val="Nivel1SM"/>
        <w:keepNext/>
        <w:spacing w:before="0" w:after="0"/>
        <w:rPr>
          <w:spacing w:val="-5"/>
        </w:rPr>
      </w:pPr>
      <w:r w:rsidRPr="00880831">
        <w:rPr>
          <w:spacing w:val="-5"/>
        </w:rPr>
        <w:t>Supongamos un individuo que se enfrenta a una situación de riesgo, caracterizada por la siguiente lotería:</w:t>
      </w:r>
    </w:p>
    <w:p w14:paraId="34F8A45C" w14:textId="77777777" w:rsidR="00166FC2" w:rsidRDefault="00166FC2" w:rsidP="00166FC2">
      <w:pPr>
        <w:pStyle w:val="Nivel2SM"/>
      </w:pPr>
      <w:r>
        <w:t xml:space="preserve">Tiene una riqueza inicial </w:t>
      </w:r>
      <w:r>
        <w:rPr>
          <w:i/>
        </w:rPr>
        <w:t>W</w:t>
      </w:r>
      <w:r>
        <w:t xml:space="preserve">. Si no ocurre ninguna contingencia (probabilidad </w:t>
      </w:r>
      <m:oMath>
        <m:r>
          <m:rPr>
            <m:nor/>
          </m:rPr>
          <w:rPr>
            <w:i/>
          </w:rPr>
          <m:t>1</m:t>
        </m:r>
        <m:r>
          <w:rPr>
            <w:rFonts w:ascii="Cambria Math" w:hAnsi="Cambria Math"/>
          </w:rPr>
          <m:t>-</m:t>
        </m:r>
        <m:r>
          <m:rPr>
            <m:nor/>
          </m:rPr>
          <w:rPr>
            <w:i/>
          </w:rPr>
          <m:t>p</m:t>
        </m:r>
      </m:oMath>
      <w:r>
        <w:t>), mantendrá esa riqueza.</w:t>
      </w:r>
    </w:p>
    <w:p w14:paraId="41C62308" w14:textId="77777777" w:rsidR="00166FC2" w:rsidRDefault="00166FC2" w:rsidP="00166FC2">
      <w:pPr>
        <w:pStyle w:val="Nivel2SM"/>
        <w:keepNext/>
        <w:spacing w:after="0"/>
      </w:pPr>
      <w:r>
        <w:t xml:space="preserve">Con posibilidad </w:t>
      </w:r>
      <w:r>
        <w:rPr>
          <w:i/>
        </w:rPr>
        <w:t>p</w:t>
      </w:r>
      <w:r>
        <w:t xml:space="preserve"> tendrá un accidente de coche y perderá una parte </w:t>
      </w:r>
      <w:r>
        <w:rPr>
          <w:i/>
        </w:rPr>
        <w:t>L</w:t>
      </w:r>
      <w:r>
        <w:t xml:space="preserve"> de su riqueza.</w:t>
      </w:r>
    </w:p>
    <w:p w14:paraId="693AB9ED" w14:textId="6B81B153" w:rsidR="00166FC2" w:rsidRPr="008B1AAC" w:rsidRDefault="00166FC2" w:rsidP="009A34F1">
      <w:pPr>
        <w:pStyle w:val="Nivel3SM"/>
      </w:pPr>
      <w:r>
        <w:t>Por lo tanto, inicialmente el individuo se situará en el punto</w:t>
      </w:r>
      <m:oMath>
        <m:r>
          <w:rPr>
            <w:rFonts w:ascii="Cambria Math" w:hAnsi="Cambria Math"/>
          </w:rPr>
          <m:t xml:space="preserve"> </m:t>
        </m:r>
        <m:r>
          <m:rPr>
            <m:nor/>
          </m:rPr>
          <w:rPr>
            <w:i/>
          </w:rPr>
          <m:t>A</m:t>
        </m:r>
        <m:r>
          <w:rPr>
            <w:rFonts w:ascii="Cambria Math"/>
          </w:rPr>
          <m:t>=</m:t>
        </m:r>
        <m:d>
          <m:dPr>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w:rPr>
                <w:rFonts w:ascii="Cambria Math" w:hAnsi="Cambria Math"/>
              </w:rPr>
              <m:t xml:space="preserve"> , </m:t>
            </m:r>
            <m:sSub>
              <m:sSubPr>
                <m:ctrlPr>
                  <w:rPr>
                    <w:rFonts w:ascii="Cambria Math" w:hAnsi="Cambria Math"/>
                    <w:i/>
                  </w:rPr>
                </m:ctrlPr>
              </m:sSubPr>
              <m:e>
                <m:r>
                  <m:rPr>
                    <m:nor/>
                  </m:rPr>
                  <w:rPr>
                    <w:i/>
                  </w:rPr>
                  <m:t>p</m:t>
                </m:r>
              </m:e>
              <m:sub>
                <m:r>
                  <m:rPr>
                    <m:nor/>
                  </m:rPr>
                  <w:rPr>
                    <w:i/>
                  </w:rPr>
                  <m:t>2</m:t>
                </m:r>
              </m:sub>
            </m:sSub>
            <m:r>
              <w:rPr>
                <w:rFonts w:ascii="Cambria Math" w:hAnsi="Cambria Math"/>
              </w:rPr>
              <m:t xml:space="preserve"> ; </m:t>
            </m:r>
            <m:r>
              <m:rPr>
                <m:nor/>
              </m:rPr>
              <w:rPr>
                <w:i/>
              </w:rPr>
              <m:t>W</m:t>
            </m:r>
            <m:r>
              <m:rPr>
                <m:nor/>
              </m:rPr>
              <w:rPr>
                <w:rFonts w:ascii="Cambria Math"/>
                <w:i/>
              </w:rPr>
              <m:t xml:space="preserve"> , </m:t>
            </m:r>
            <m:r>
              <m:rPr>
                <m:nor/>
              </m:rPr>
              <w:rPr>
                <w:i/>
              </w:rPr>
              <m:t>W</m:t>
            </m:r>
            <m:r>
              <w:rPr>
                <w:rFonts w:ascii="Cambria Math" w:hAnsi="Cambria Math"/>
              </w:rPr>
              <m:t>-</m:t>
            </m:r>
            <m:r>
              <m:rPr>
                <m:nor/>
              </m:rPr>
              <w:rPr>
                <w:i/>
              </w:rPr>
              <m:t>P</m:t>
            </m:r>
          </m:e>
        </m:d>
      </m:oMath>
      <w:r w:rsidR="009A34F1">
        <w:rPr>
          <w:rFonts w:eastAsiaTheme="minorEastAsia"/>
        </w:rPr>
        <w:t xml:space="preserve"> de la </w:t>
      </w:r>
      <w:r w:rsidR="009A34F1">
        <w:rPr>
          <w:rFonts w:eastAsiaTheme="minorEastAsia"/>
        </w:rPr>
        <w:fldChar w:fldCharType="begin"/>
      </w:r>
      <w:r w:rsidR="009A34F1">
        <w:rPr>
          <w:rFonts w:eastAsiaTheme="minorEastAsia"/>
        </w:rPr>
        <w:instrText xml:space="preserve"> REF _Ref138170862 \h </w:instrText>
      </w:r>
      <w:r w:rsidR="009A34F1">
        <w:rPr>
          <w:rFonts w:eastAsiaTheme="minorEastAsia"/>
        </w:rPr>
      </w:r>
      <w:r w:rsidR="009A34F1">
        <w:rPr>
          <w:rFonts w:eastAsiaTheme="minorEastAsia"/>
        </w:rPr>
        <w:fldChar w:fldCharType="separate"/>
      </w:r>
      <w:r w:rsidR="002E338F">
        <w:t>Imagen </w:t>
      </w:r>
      <w:r w:rsidR="002E338F">
        <w:rPr>
          <w:noProof/>
        </w:rPr>
        <w:t>5</w:t>
      </w:r>
      <w:r w:rsidR="009A34F1">
        <w:rPr>
          <w:rFonts w:eastAsiaTheme="minorEastAsia"/>
        </w:rPr>
        <w:fldChar w:fldCharType="end"/>
      </w:r>
      <w:r w:rsidRPr="006D0BEB">
        <w:t xml:space="preserve"> </w:t>
      </w:r>
      <w:r w:rsidRPr="003928D6">
        <w:rPr>
          <w:sz w:val="19"/>
          <w:szCs w:val="19"/>
        </w:rPr>
        <w:t>(la línea roja es la bisectriz del primer cuadrante y representa la línea de certeza, es decir, aquellos puntos en los que el individuo obtiene la misma renta se dé la contingencia o no)</w:t>
      </w:r>
      <w:r w:rsidR="009A34F1">
        <w:t>.</w:t>
      </w:r>
    </w:p>
    <w:p w14:paraId="0CFBB901" w14:textId="4AE44C15" w:rsidR="00166FC2" w:rsidRPr="0021601D" w:rsidRDefault="00166FC2" w:rsidP="00166FC2">
      <w:pPr>
        <w:pStyle w:val="Ttuloimagen"/>
        <w:rPr>
          <w:smallCaps w:val="0"/>
        </w:rPr>
      </w:pPr>
      <w:bookmarkStart w:id="43" w:name="_Ref138170862"/>
      <w:r>
        <w:t>Imagen</w:t>
      </w:r>
      <w:r w:rsidR="00364A63">
        <w:t> </w:t>
      </w:r>
      <w:r>
        <w:fldChar w:fldCharType="begin"/>
      </w:r>
      <w:r>
        <w:instrText xml:space="preserve"> SEQ Ilustración \* ARABIC </w:instrText>
      </w:r>
      <w:r>
        <w:fldChar w:fldCharType="separate"/>
      </w:r>
      <w:r w:rsidR="002E338F">
        <w:t>5</w:t>
      </w:r>
      <w:r>
        <w:fldChar w:fldCharType="end"/>
      </w:r>
      <w:bookmarkEnd w:id="43"/>
      <w:r>
        <w:rPr>
          <w:smallCaps w:val="0"/>
        </w:rPr>
        <w:t xml:space="preserve">.– </w:t>
      </w:r>
      <w:r w:rsidRPr="0021601D">
        <w:rPr>
          <w:i/>
          <w:iCs/>
          <w:smallCaps w:val="0"/>
        </w:rPr>
        <w:t>Situación inicial</w:t>
      </w:r>
    </w:p>
    <w:p w14:paraId="2FF5112A" w14:textId="77777777" w:rsidR="00166FC2" w:rsidRDefault="00166FC2" w:rsidP="00166FC2">
      <w:pPr>
        <w:pStyle w:val="Imagen"/>
      </w:pPr>
      <w:r>
        <w:drawing>
          <wp:inline distT="0" distB="0" distL="0" distR="0" wp14:anchorId="0921C14C" wp14:editId="08E9688C">
            <wp:extent cx="1547567" cy="1440000"/>
            <wp:effectExtent l="0" t="0" r="0" b="8255"/>
            <wp:docPr id="20" name="Imagen 20"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magen que contiene Diagrama&#10;&#10;Descripción generada automáticamente"/>
                    <pic:cNvPicPr/>
                  </pic:nvPicPr>
                  <pic:blipFill>
                    <a:blip r:embed="rId18"/>
                    <a:stretch>
                      <a:fillRect/>
                    </a:stretch>
                  </pic:blipFill>
                  <pic:spPr>
                    <a:xfrm>
                      <a:off x="0" y="0"/>
                      <a:ext cx="1547567" cy="1440000"/>
                    </a:xfrm>
                    <a:prstGeom prst="rect">
                      <a:avLst/>
                    </a:prstGeom>
                  </pic:spPr>
                </pic:pic>
              </a:graphicData>
            </a:graphic>
          </wp:inline>
        </w:drawing>
      </w:r>
    </w:p>
    <w:p w14:paraId="67A03BC4" w14:textId="77777777" w:rsidR="00166FC2" w:rsidRDefault="00166FC2" w:rsidP="00166FC2">
      <w:pPr>
        <w:pStyle w:val="PiedeImagen"/>
        <w:rPr>
          <w:i w:val="0"/>
          <w:iCs/>
        </w:rPr>
      </w:pPr>
      <w:r>
        <w:t>Fuente</w:t>
      </w:r>
      <w:r>
        <w:rPr>
          <w:i w:val="0"/>
          <w:iCs/>
        </w:rPr>
        <w:t xml:space="preserve">: </w:t>
      </w:r>
      <w:r w:rsidRPr="0021601D">
        <w:rPr>
          <w:i w:val="0"/>
          <w:iCs/>
        </w:rPr>
        <w:t xml:space="preserve">Rodríguez López, J. L. (2017). </w:t>
      </w:r>
      <w:r w:rsidRPr="0021601D">
        <w:t>Tema 3.A.7: Teoría de la elección del consumidor en situaciones de riesgo e incertidumbre</w:t>
      </w:r>
      <w:r w:rsidRPr="0021601D">
        <w:rPr>
          <w:i w:val="0"/>
          <w:iCs/>
        </w:rPr>
        <w:t>. ICEX-CECO.</w:t>
      </w:r>
    </w:p>
    <w:p w14:paraId="12CBB2AD" w14:textId="64058626" w:rsidR="008F16E4" w:rsidRDefault="008F16E4" w:rsidP="00E14AF5">
      <w:pPr>
        <w:pStyle w:val="Nivel1SM"/>
        <w:keepNext/>
        <w:spacing w:after="0"/>
        <w:rPr>
          <w:iCs/>
        </w:rPr>
      </w:pPr>
      <w:r>
        <w:t xml:space="preserve">Se considera que su utilidad de Bernoulli, </w:t>
      </w:r>
      <m:oMath>
        <m:r>
          <m:rPr>
            <m:nor/>
          </m:rPr>
          <w:rPr>
            <w:i/>
            <w:iCs/>
          </w:rPr>
          <m:t>u</m:t>
        </m:r>
        <m:r>
          <m:rPr>
            <m:nor/>
          </m:rPr>
          <m:t>(</m:t>
        </m:r>
        <m:r>
          <m:rPr>
            <m:nor/>
          </m:rPr>
          <w:rPr>
            <w:i/>
            <w:iCs/>
          </w:rPr>
          <m:t>x</m:t>
        </m:r>
        <m:r>
          <m:rPr>
            <m:nor/>
          </m:rPr>
          <m:t>)</m:t>
        </m:r>
      </m:oMath>
      <w:r w:rsidR="0039738C">
        <w:t xml:space="preserve">, será continua, creciente y cóncava, indicando esto último que el agente es averso al riesgo. Gráficamente, esto se traduce en que las curvas de indiferencia representadas sobre el plano </w:t>
      </w:r>
      <m:oMath>
        <m:d>
          <m:dPr>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1</m:t>
                </m:r>
              </m:sub>
            </m:sSub>
            <m:r>
              <m:rPr>
                <m:nor/>
              </m:rPr>
              <w:rPr>
                <w:i/>
                <w:iCs/>
              </w:rPr>
              <m:t>,</m:t>
            </m:r>
            <m:r>
              <m:rPr>
                <m:nor/>
              </m:rPr>
              <w:rPr>
                <w:rFonts w:ascii="Cambria Math"/>
                <w:i/>
                <w:iCs/>
              </w:rPr>
              <m:t xml:space="preserve"> </m:t>
            </m:r>
            <m:sSub>
              <m:sSubPr>
                <m:ctrlPr>
                  <w:rPr>
                    <w:rFonts w:ascii="Cambria Math" w:hAnsi="Cambria Math"/>
                    <w:i/>
                    <w:iCs/>
                  </w:rPr>
                </m:ctrlPr>
              </m:sSubPr>
              <m:e>
                <m:r>
                  <m:rPr>
                    <m:nor/>
                  </m:rPr>
                  <w:rPr>
                    <w:i/>
                    <w:iCs/>
                  </w:rPr>
                  <m:t>x</m:t>
                </m:r>
              </m:e>
              <m:sub>
                <m:r>
                  <m:rPr>
                    <m:nor/>
                  </m:rPr>
                  <w:rPr>
                    <w:i/>
                    <w:iCs/>
                  </w:rPr>
                  <m:t>2</m:t>
                </m:r>
              </m:sub>
            </m:sSub>
          </m:e>
        </m:d>
      </m:oMath>
      <w:r w:rsidR="0039738C">
        <w:rPr>
          <w:iCs/>
        </w:rPr>
        <w:t xml:space="preserve"> serán:</w:t>
      </w:r>
    </w:p>
    <w:p w14:paraId="5C359922" w14:textId="2C7D1517" w:rsidR="0039738C" w:rsidRDefault="0039738C" w:rsidP="00E14AF5">
      <w:pPr>
        <w:pStyle w:val="Nivel2SM"/>
      </w:pPr>
      <w:r>
        <w:t>Continuas;</w:t>
      </w:r>
    </w:p>
    <w:p w14:paraId="335579CD" w14:textId="559EEB05" w:rsidR="0039738C" w:rsidRDefault="0039738C" w:rsidP="00E14AF5">
      <w:pPr>
        <w:pStyle w:val="Nivel2SM"/>
      </w:pPr>
      <w:r>
        <w:t>Decrecientes;</w:t>
      </w:r>
    </w:p>
    <w:p w14:paraId="1663654C" w14:textId="4CAB0C96" w:rsidR="0039738C" w:rsidRDefault="0039738C" w:rsidP="00E14AF5">
      <w:pPr>
        <w:pStyle w:val="Nivel2SM"/>
      </w:pPr>
      <w:r>
        <w:t>Representando más utilidad esperada conforme se alejan de los ejes;</w:t>
      </w:r>
    </w:p>
    <w:p w14:paraId="75A69890" w14:textId="590EB44D" w:rsidR="0039738C" w:rsidRDefault="0039738C" w:rsidP="00E14AF5">
      <w:pPr>
        <w:pStyle w:val="Nivel2SM"/>
      </w:pPr>
      <w:r>
        <w:t>Convexas respecto al origen de coordenadas</w:t>
      </w:r>
      <w:r>
        <w:rPr>
          <w:rStyle w:val="Refdenotaalpie"/>
        </w:rPr>
        <w:footnoteReference w:id="34"/>
      </w:r>
      <w:r>
        <w:t>; y</w:t>
      </w:r>
    </w:p>
    <w:p w14:paraId="3FDA8508" w14:textId="414490C0" w:rsidR="002A6515" w:rsidRPr="002A6515" w:rsidRDefault="002A6515" w:rsidP="002A6515">
      <w:pPr>
        <w:pStyle w:val="Ttulo8"/>
        <w:rPr>
          <w:rFonts w:eastAsiaTheme="minorEastAsia"/>
        </w:rPr>
      </w:pPr>
      <w:r>
        <w:t>Desarrollo</w:t>
      </w:r>
    </w:p>
    <w:p w14:paraId="0735FC2D" w14:textId="77777777" w:rsidR="0021641C" w:rsidRDefault="0021641C" w:rsidP="00E14AF5">
      <w:pPr>
        <w:pStyle w:val="Nivel1SM"/>
        <w:keepNext/>
        <w:spacing w:before="0" w:after="0"/>
      </w:pPr>
      <w:r>
        <w:t xml:space="preserve">Desde esta situación inicial, se le ofrece aseguramiento de su riqueza a cambio de una prima, </w:t>
      </w:r>
      <w:r>
        <w:rPr>
          <w:i/>
          <w:iCs/>
        </w:rPr>
        <w:t>r</w:t>
      </w:r>
      <w:r>
        <w:t>, proporcional a la cantidad asegurada,</w:t>
      </w:r>
      <w:r w:rsidRPr="00A33D8B">
        <w:t xml:space="preserve"> </w:t>
      </w:r>
      <w:r>
        <w:rPr>
          <w:i/>
          <w:iCs/>
        </w:rPr>
        <w:t>S</w:t>
      </w:r>
      <w:r>
        <w:t>. De este modo, el individuo obtendrá una utilidad:</w:t>
      </w:r>
    </w:p>
    <w:p w14:paraId="3D17EED7" w14:textId="77777777" w:rsidR="0021641C" w:rsidRDefault="0021641C" w:rsidP="00E14AF5">
      <w:pPr>
        <w:pStyle w:val="Nivel2SM"/>
      </w:pPr>
      <w:r>
        <w:t xml:space="preserve">En caso de que no haya contingencia, </w:t>
      </w:r>
      <m:oMath>
        <m:sSub>
          <m:sSubPr>
            <m:ctrlPr>
              <w:rPr>
                <w:rFonts w:ascii="Cambria Math" w:hAnsi="Cambria Math"/>
                <w:i/>
                <w:iCs/>
              </w:rPr>
            </m:ctrlPr>
          </m:sSubPr>
          <m:e>
            <m:r>
              <m:rPr>
                <m:nor/>
              </m:rPr>
              <w:rPr>
                <w:i/>
                <w:iCs/>
              </w:rPr>
              <m:t>x</m:t>
            </m:r>
          </m:e>
          <m:sub>
            <m:r>
              <m:rPr>
                <m:nor/>
              </m:rPr>
              <w:rPr>
                <w:i/>
                <w:iCs/>
              </w:rPr>
              <m:t>1</m:t>
            </m:r>
          </m:sub>
        </m:sSub>
      </m:oMath>
      <w:r>
        <w:rPr>
          <w:rFonts w:eastAsiaTheme="minorEastAsia"/>
          <w:iCs/>
        </w:rPr>
        <w:t>,</w:t>
      </w:r>
      <w:r>
        <w:t xml:space="preserve"> obtendrá </w:t>
      </w:r>
      <m:oMath>
        <m:r>
          <m:rPr>
            <m:nor/>
          </m:rPr>
          <w:rPr>
            <w:i/>
            <w:iCs/>
          </w:rPr>
          <m:t>W</m:t>
        </m:r>
        <m:r>
          <w:rPr>
            <w:rFonts w:ascii="Cambria Math" w:hAnsi="Cambria Math"/>
          </w:rPr>
          <m:t>-</m:t>
        </m:r>
        <m:r>
          <m:rPr>
            <m:nor/>
          </m:rPr>
          <w:rPr>
            <w:i/>
            <w:iCs/>
          </w:rPr>
          <m:t>r</m:t>
        </m:r>
        <m:r>
          <w:rPr>
            <w:rFonts w:ascii="Cambria Math" w:hAnsi="Cambria Math"/>
          </w:rPr>
          <m:t>∙</m:t>
        </m:r>
        <m:r>
          <m:rPr>
            <m:nor/>
          </m:rPr>
          <w:rPr>
            <w:i/>
            <w:iCs/>
          </w:rPr>
          <m:t>S</m:t>
        </m:r>
      </m:oMath>
      <w:r>
        <w:t xml:space="preserve"> (con probabilidad </w:t>
      </w:r>
      <m:oMath>
        <m:r>
          <m:rPr>
            <m:nor/>
          </m:rPr>
          <w:rPr>
            <w:i/>
            <w:iCs/>
          </w:rPr>
          <m:t>1</m:t>
        </m:r>
        <m:r>
          <w:rPr>
            <w:rFonts w:ascii="Cambria Math" w:hAnsi="Cambria Math"/>
          </w:rPr>
          <m:t>-</m:t>
        </m:r>
        <m:r>
          <m:rPr>
            <m:nor/>
          </m:rPr>
          <w:rPr>
            <w:i/>
            <w:iCs/>
          </w:rPr>
          <m:t>p</m:t>
        </m:r>
      </m:oMath>
      <w:r>
        <w:rPr>
          <w:rFonts w:eastAsiaTheme="minorEastAsia"/>
          <w:iCs/>
        </w:rPr>
        <w:t>).</w:t>
      </w:r>
    </w:p>
    <w:p w14:paraId="5A327330" w14:textId="77777777" w:rsidR="0021641C" w:rsidRDefault="0021641C" w:rsidP="00166FC2">
      <w:pPr>
        <w:pStyle w:val="Nivel2SM"/>
        <w:keepNext/>
        <w:spacing w:after="0"/>
      </w:pPr>
      <w:r>
        <w:t xml:space="preserve">En caso de contingencia, </w:t>
      </w:r>
      <m:oMath>
        <m:sSub>
          <m:sSubPr>
            <m:ctrlPr>
              <w:rPr>
                <w:rFonts w:ascii="Cambria Math" w:hAnsi="Cambria Math"/>
                <w:i/>
                <w:iCs/>
              </w:rPr>
            </m:ctrlPr>
          </m:sSubPr>
          <m:e>
            <m:r>
              <m:rPr>
                <m:nor/>
              </m:rPr>
              <w:rPr>
                <w:i/>
                <w:iCs/>
              </w:rPr>
              <m:t>x</m:t>
            </m:r>
          </m:e>
          <m:sub>
            <m:r>
              <m:rPr>
                <m:nor/>
              </m:rPr>
              <w:rPr>
                <w:i/>
                <w:iCs/>
              </w:rPr>
              <m:t>2</m:t>
            </m:r>
          </m:sub>
        </m:sSub>
      </m:oMath>
      <w:r>
        <w:rPr>
          <w:rFonts w:eastAsiaTheme="minorEastAsia"/>
          <w:iCs/>
        </w:rPr>
        <w:t>,</w:t>
      </w:r>
      <w:r>
        <w:t xml:space="preserve"> obtendrá </w:t>
      </w:r>
      <m:oMath>
        <m:r>
          <m:rPr>
            <m:nor/>
          </m:rPr>
          <w:rPr>
            <w:i/>
            <w:iCs/>
          </w:rPr>
          <m:t>W</m:t>
        </m:r>
        <m:r>
          <w:rPr>
            <w:rFonts w:ascii="Cambria Math" w:hAnsi="Cambria Math"/>
          </w:rPr>
          <m:t>-</m:t>
        </m:r>
        <m:r>
          <m:rPr>
            <m:nor/>
          </m:rPr>
          <w:rPr>
            <w:i/>
            <w:iCs/>
          </w:rPr>
          <m:t>L</m:t>
        </m:r>
        <m:r>
          <w:rPr>
            <w:rFonts w:ascii="Cambria Math" w:hAnsi="Cambria Math"/>
          </w:rPr>
          <m:t>-</m:t>
        </m:r>
        <m:r>
          <m:rPr>
            <m:nor/>
          </m:rPr>
          <w:rPr>
            <w:i/>
            <w:iCs/>
          </w:rPr>
          <m:t>r</m:t>
        </m:r>
        <m:r>
          <w:rPr>
            <w:rFonts w:ascii="Cambria Math" w:hAnsi="Cambria Math"/>
          </w:rPr>
          <m:t>∙</m:t>
        </m:r>
        <m:r>
          <m:rPr>
            <m:nor/>
          </m:rPr>
          <w:rPr>
            <w:i/>
            <w:iCs/>
          </w:rPr>
          <m:t>S</m:t>
        </m:r>
        <m:r>
          <w:rPr>
            <w:rFonts w:ascii="Cambria Math"/>
          </w:rPr>
          <m:t>+</m:t>
        </m:r>
        <m:r>
          <m:rPr>
            <m:nor/>
          </m:rPr>
          <w:rPr>
            <w:i/>
            <w:iCs/>
          </w:rPr>
          <m:t>S</m:t>
        </m:r>
      </m:oMath>
      <w:r>
        <w:t xml:space="preserve"> (con probabilidad </w:t>
      </w:r>
      <m:oMath>
        <m:r>
          <m:rPr>
            <m:nor/>
          </m:rPr>
          <w:rPr>
            <w:i/>
            <w:iCs/>
          </w:rPr>
          <m:t>p</m:t>
        </m:r>
      </m:oMath>
      <w:r>
        <w:rPr>
          <w:rFonts w:eastAsiaTheme="minorEastAsia"/>
          <w:iCs/>
        </w:rPr>
        <w:t>).</w:t>
      </w:r>
    </w:p>
    <w:p w14:paraId="54C8CB40" w14:textId="77777777" w:rsidR="00166FC2" w:rsidRDefault="00166FC2" w:rsidP="00166FC2">
      <w:pPr>
        <w:pStyle w:val="Nivel3SM"/>
        <w:keepNext/>
      </w:pPr>
      <w:r>
        <w:t xml:space="preserve">Ambas ecuaciones forman la restricción presupuestaria del agente, y despejando en ambas ecuaciones </w:t>
      </w:r>
      <m:oMath>
        <m:r>
          <m:rPr>
            <m:nor/>
          </m:rPr>
          <w:rPr>
            <w:i/>
          </w:rPr>
          <m:t>S</m:t>
        </m:r>
      </m:oMath>
      <w:r>
        <w:t xml:space="preserve">, igualándolas y despejando </w:t>
      </w:r>
      <m:oMath>
        <m:sSub>
          <m:sSubPr>
            <m:ctrlPr>
              <w:rPr>
                <w:rFonts w:ascii="Cambria Math" w:hAnsi="Cambria Math"/>
                <w:i/>
              </w:rPr>
            </m:ctrlPr>
          </m:sSubPr>
          <m:e>
            <m:r>
              <m:rPr>
                <m:nor/>
              </m:rPr>
              <w:rPr>
                <w:i/>
              </w:rPr>
              <m:t>x</m:t>
            </m:r>
          </m:e>
          <m:sub>
            <m:r>
              <m:rPr>
                <m:nor/>
              </m:rPr>
              <w:rPr>
                <w:i/>
              </w:rPr>
              <m:t>2</m:t>
            </m:r>
          </m:sub>
        </m:sSub>
      </m:oMath>
      <w:r>
        <w:t xml:space="preserve"> se obtiene la ecuación de la “recta de aseguramiento”</w:t>
      </w:r>
      <w:r>
        <w:rPr>
          <w:rStyle w:val="Refdenotaalpie"/>
          <w:rFonts w:eastAsiaTheme="minorEastAsia"/>
          <w:iCs/>
        </w:rPr>
        <w:footnoteReference w:id="35"/>
      </w:r>
      <w:r>
        <w:t>:</w:t>
      </w:r>
    </w:p>
    <w:p w14:paraId="362A399B" w14:textId="77777777" w:rsidR="00166FC2" w:rsidRPr="00000DA9" w:rsidRDefault="00000000" w:rsidP="00166FC2">
      <w:pPr>
        <w:pStyle w:val="Nivel1SM"/>
        <w:numPr>
          <w:ilvl w:val="0"/>
          <w:numId w:val="0"/>
        </w:numPr>
        <w:spacing w:before="0"/>
        <w:ind w:left="963"/>
        <w:rPr>
          <w:rFonts w:eastAsiaTheme="minorEastAsia"/>
          <w:iCs/>
          <w:lang w:val="en-US"/>
        </w:rPr>
      </w:pPr>
      <m:oMathPara>
        <m:oMath>
          <m:d>
            <m:dPr>
              <m:begChr m:val=""/>
              <m:endChr m:val="}"/>
              <m:ctrlPr>
                <w:rPr>
                  <w:rFonts w:ascii="Cambria Math" w:eastAsiaTheme="minorEastAsia" w:hAnsi="Cambria Math"/>
                  <w:i/>
                  <w:iCs/>
                </w:rPr>
              </m:ctrlPr>
            </m:dPr>
            <m:e>
              <m:m>
                <m:mPr>
                  <m:mcs>
                    <m:mc>
                      <m:mcPr>
                        <m:count m:val="1"/>
                        <m:mcJc m:val="center"/>
                      </m:mcPr>
                    </m:mc>
                  </m:mcs>
                  <m:ctrlPr>
                    <w:rPr>
                      <w:rFonts w:ascii="Cambria Math" w:eastAsiaTheme="minorEastAsia" w:hAnsi="Cambria Math"/>
                      <w:i/>
                      <w:iCs/>
                    </w:rPr>
                  </m:ctrlPr>
                </m:mPr>
                <m:mr>
                  <m:e>
                    <m:r>
                      <w:rPr>
                        <w:rFonts w:ascii="Cambria Math" w:eastAsiaTheme="minorEastAsia" w:hAnsi="Cambria Math"/>
                        <w:lang w:val="en-US"/>
                      </w:rPr>
                      <m:t xml:space="preserve">                </m:t>
                    </m:r>
                    <m:sSub>
                      <m:sSubPr>
                        <m:ctrlPr>
                          <w:rPr>
                            <w:rFonts w:ascii="Cambria Math" w:hAnsi="Cambria Math"/>
                            <w:i/>
                            <w:iCs/>
                          </w:rPr>
                        </m:ctrlPr>
                      </m:sSubPr>
                      <m:e>
                        <m:r>
                          <m:rPr>
                            <m:nor/>
                          </m:rPr>
                          <w:rPr>
                            <w:i/>
                            <w:iCs/>
                            <w:lang w:val="en-US"/>
                          </w:rPr>
                          <m:t>x</m:t>
                        </m:r>
                      </m:e>
                      <m:sub>
                        <m:r>
                          <m:rPr>
                            <m:nor/>
                          </m:rPr>
                          <w:rPr>
                            <w:i/>
                            <w:iCs/>
                            <w:lang w:val="en-US"/>
                          </w:rPr>
                          <m:t>1</m:t>
                        </m:r>
                      </m:sub>
                    </m:sSub>
                    <m:r>
                      <w:rPr>
                        <w:rFonts w:ascii="Cambria Math" w:hAnsi="Cambria Math"/>
                        <w:lang w:val="en-US"/>
                      </w:rPr>
                      <m:t>=</m:t>
                    </m:r>
                    <m:r>
                      <m:rPr>
                        <m:nor/>
                      </m:rPr>
                      <w:rPr>
                        <w:i/>
                        <w:iCs/>
                        <w:lang w:val="en-US"/>
                      </w:rPr>
                      <m:t>W</m:t>
                    </m:r>
                    <m:r>
                      <w:rPr>
                        <w:rFonts w:ascii="Cambria Math" w:hAnsi="Cambria Math"/>
                        <w:lang w:val="en-US"/>
                      </w:rPr>
                      <m:t>-</m:t>
                    </m:r>
                    <m:r>
                      <m:rPr>
                        <m:nor/>
                      </m:rPr>
                      <w:rPr>
                        <w:i/>
                        <w:iCs/>
                        <w:lang w:val="en-US"/>
                      </w:rPr>
                      <m:t>r</m:t>
                    </m:r>
                    <m:r>
                      <w:rPr>
                        <w:rFonts w:ascii="Cambria Math" w:hAnsi="Cambria Math"/>
                        <w:lang w:val="en-US"/>
                      </w:rPr>
                      <m:t>∙</m:t>
                    </m:r>
                    <m:r>
                      <m:rPr>
                        <m:nor/>
                      </m:rPr>
                      <w:rPr>
                        <w:i/>
                        <w:iCs/>
                        <w:lang w:val="en-US"/>
                      </w:rPr>
                      <m:t>S</m:t>
                    </m:r>
                  </m:e>
                </m:mr>
                <m:mr>
                  <m:e>
                    <m:r>
                      <w:rPr>
                        <w:rFonts w:ascii="Cambria Math" w:eastAsiaTheme="minorEastAsia" w:hAnsi="Cambria Math"/>
                        <w:lang w:val="en-US"/>
                      </w:rPr>
                      <m:t xml:space="preserve"> </m:t>
                    </m:r>
                  </m:e>
                </m:mr>
                <m:mr>
                  <m:e>
                    <m:sSub>
                      <m:sSubPr>
                        <m:ctrlPr>
                          <w:rPr>
                            <w:rFonts w:ascii="Cambria Math" w:hAnsi="Cambria Math"/>
                            <w:i/>
                            <w:iCs/>
                          </w:rPr>
                        </m:ctrlPr>
                      </m:sSubPr>
                      <m:e>
                        <m:r>
                          <m:rPr>
                            <m:nor/>
                          </m:rPr>
                          <w:rPr>
                            <w:i/>
                            <w:iCs/>
                            <w:lang w:val="en-US"/>
                          </w:rPr>
                          <m:t>x</m:t>
                        </m:r>
                      </m:e>
                      <m:sub>
                        <m:r>
                          <m:rPr>
                            <m:nor/>
                          </m:rPr>
                          <w:rPr>
                            <w:i/>
                            <w:iCs/>
                            <w:lang w:val="en-US"/>
                          </w:rPr>
                          <m:t>2</m:t>
                        </m:r>
                      </m:sub>
                    </m:sSub>
                    <m:r>
                      <w:rPr>
                        <w:rFonts w:ascii="Cambria Math" w:hAnsi="Cambria Math"/>
                        <w:lang w:val="en-US"/>
                      </w:rPr>
                      <m:t>=</m:t>
                    </m:r>
                    <m:r>
                      <m:rPr>
                        <m:nor/>
                      </m:rPr>
                      <w:rPr>
                        <w:i/>
                        <w:iCs/>
                        <w:lang w:val="en-US"/>
                      </w:rPr>
                      <m:t>W</m:t>
                    </m:r>
                    <m:r>
                      <w:rPr>
                        <w:rFonts w:ascii="Cambria Math" w:hAnsi="Cambria Math"/>
                        <w:lang w:val="en-US"/>
                      </w:rPr>
                      <m:t>-</m:t>
                    </m:r>
                    <m:r>
                      <m:rPr>
                        <m:nor/>
                      </m:rPr>
                      <w:rPr>
                        <w:i/>
                        <w:iCs/>
                        <w:lang w:val="en-US"/>
                      </w:rPr>
                      <m:t>L</m:t>
                    </m:r>
                    <m:r>
                      <w:rPr>
                        <w:rFonts w:ascii="Cambria Math" w:hAnsi="Cambria Math"/>
                        <w:lang w:val="en-US"/>
                      </w:rPr>
                      <m:t>-</m:t>
                    </m:r>
                    <m:r>
                      <m:rPr>
                        <m:nor/>
                      </m:rPr>
                      <w:rPr>
                        <w:i/>
                        <w:iCs/>
                        <w:lang w:val="en-US"/>
                      </w:rPr>
                      <m:t>r</m:t>
                    </m:r>
                    <m:r>
                      <w:rPr>
                        <w:rFonts w:ascii="Cambria Math" w:hAnsi="Cambria Math"/>
                        <w:lang w:val="en-US"/>
                      </w:rPr>
                      <m:t>∙</m:t>
                    </m:r>
                    <m:r>
                      <m:rPr>
                        <m:nor/>
                      </m:rPr>
                      <w:rPr>
                        <w:i/>
                        <w:iCs/>
                        <w:lang w:val="en-US"/>
                      </w:rPr>
                      <m:t>S</m:t>
                    </m:r>
                    <m:r>
                      <w:rPr>
                        <w:rFonts w:ascii="Cambria Math"/>
                        <w:lang w:val="en-US"/>
                      </w:rPr>
                      <m:t>+</m:t>
                    </m:r>
                    <m:r>
                      <m:rPr>
                        <m:nor/>
                      </m:rPr>
                      <w:rPr>
                        <w:i/>
                        <w:iCs/>
                        <w:lang w:val="en-US"/>
                      </w:rPr>
                      <m:t>S</m:t>
                    </m:r>
                  </m:e>
                </m:mr>
              </m:m>
            </m:e>
          </m:d>
          <m:r>
            <w:rPr>
              <w:rFonts w:ascii="Cambria Math" w:eastAsiaTheme="minorEastAsia" w:hAnsi="Cambria Math"/>
            </w:rPr>
            <m:t>⟹</m:t>
          </m:r>
          <m:sSub>
            <m:sSubPr>
              <m:ctrlPr>
                <w:rPr>
                  <w:rFonts w:ascii="Cambria Math" w:hAnsi="Cambria Math"/>
                  <w:i/>
                  <w:iCs/>
                </w:rPr>
              </m:ctrlPr>
            </m:sSubPr>
            <m:e>
              <m:r>
                <m:rPr>
                  <m:nor/>
                </m:rPr>
                <w:rPr>
                  <w:i/>
                  <w:iCs/>
                  <w:lang w:val="en-US"/>
                </w:rPr>
                <m:t>x</m:t>
              </m:r>
            </m:e>
            <m:sub>
              <m:r>
                <m:rPr>
                  <m:nor/>
                </m:rPr>
                <w:rPr>
                  <w:i/>
                  <w:iCs/>
                  <w:lang w:val="en-US"/>
                </w:rPr>
                <m:t>2</m:t>
              </m:r>
            </m:sub>
          </m:sSub>
          <m:r>
            <w:rPr>
              <w:rFonts w:ascii="Cambria Math" w:hAnsi="Cambria Math"/>
              <w:lang w:val="en-US"/>
            </w:rPr>
            <m:t>=</m:t>
          </m:r>
          <m:f>
            <m:fPr>
              <m:ctrlPr>
                <w:rPr>
                  <w:rFonts w:ascii="Cambria Math" w:hAnsi="Cambria Math"/>
                  <w:i/>
                  <w:iCs/>
                  <w:lang w:val="en-US"/>
                </w:rPr>
              </m:ctrlPr>
            </m:fPr>
            <m:num>
              <m:r>
                <m:rPr>
                  <m:nor/>
                </m:rPr>
                <w:rPr>
                  <w:i/>
                  <w:iCs/>
                  <w:lang w:val="en-US"/>
                </w:rPr>
                <m:t>W</m:t>
              </m:r>
              <m:r>
                <w:rPr>
                  <w:rFonts w:ascii="Cambria Math" w:hAnsi="Cambria Math"/>
                  <w:lang w:val="en-US"/>
                </w:rPr>
                <m:t>-</m:t>
              </m:r>
              <m:r>
                <m:rPr>
                  <m:nor/>
                </m:rPr>
                <w:rPr>
                  <w:i/>
                  <w:iCs/>
                  <w:lang w:val="en-US"/>
                </w:rPr>
                <m:t>r</m:t>
              </m:r>
              <m:r>
                <w:rPr>
                  <w:rFonts w:ascii="Cambria Math" w:hAnsi="Cambria Math"/>
                  <w:lang w:val="en-US"/>
                </w:rPr>
                <m:t>∙</m:t>
              </m:r>
              <m:r>
                <m:rPr>
                  <m:nor/>
                </m:rPr>
                <w:rPr>
                  <w:i/>
                  <w:iCs/>
                  <w:lang w:val="en-US"/>
                </w:rPr>
                <m:t>L</m:t>
              </m:r>
            </m:num>
            <m:den>
              <m:r>
                <m:rPr>
                  <m:nor/>
                </m:rPr>
                <w:rPr>
                  <w:i/>
                  <w:iCs/>
                  <w:lang w:val="en-US"/>
                </w:rPr>
                <m:t>r</m:t>
              </m:r>
            </m:den>
          </m:f>
          <m:r>
            <w:rPr>
              <w:rFonts w:ascii="Cambria Math" w:hAnsi="Cambria Math"/>
              <w:lang w:val="en-US"/>
            </w:rPr>
            <m:t>-</m:t>
          </m:r>
          <m:f>
            <m:fPr>
              <m:ctrlPr>
                <w:rPr>
                  <w:rFonts w:ascii="Cambria Math" w:hAnsi="Cambria Math"/>
                  <w:i/>
                  <w:iCs/>
                  <w:lang w:val="en-US"/>
                </w:rPr>
              </m:ctrlPr>
            </m:fPr>
            <m:num>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r</m:t>
                  </m:r>
                </m:e>
              </m:d>
            </m:num>
            <m:den>
              <m:r>
                <m:rPr>
                  <m:nor/>
                </m:rPr>
                <w:rPr>
                  <w:i/>
                  <w:iCs/>
                  <w:lang w:val="en-US"/>
                </w:rPr>
                <m:t>r</m:t>
              </m:r>
            </m:den>
          </m:f>
          <m:r>
            <w:rPr>
              <w:rFonts w:ascii="Cambria Math" w:hAnsi="Cambria Math"/>
              <w:lang w:val="en-US"/>
            </w:rPr>
            <m:t>∙</m:t>
          </m:r>
          <m:sSub>
            <m:sSubPr>
              <m:ctrlPr>
                <w:rPr>
                  <w:rFonts w:ascii="Cambria Math" w:hAnsi="Cambria Math"/>
                  <w:i/>
                  <w:iCs/>
                </w:rPr>
              </m:ctrlPr>
            </m:sSubPr>
            <m:e>
              <m:r>
                <m:rPr>
                  <m:nor/>
                </m:rPr>
                <w:rPr>
                  <w:i/>
                  <w:iCs/>
                  <w:lang w:val="en-US"/>
                </w:rPr>
                <m:t>x</m:t>
              </m:r>
            </m:e>
            <m:sub>
              <m:r>
                <m:rPr>
                  <m:nor/>
                </m:rPr>
                <w:rPr>
                  <w:i/>
                  <w:iCs/>
                  <w:lang w:val="en-US"/>
                </w:rPr>
                <m:t>1</m:t>
              </m:r>
            </m:sub>
          </m:sSub>
        </m:oMath>
      </m:oMathPara>
    </w:p>
    <w:p w14:paraId="0CF0C39B" w14:textId="77777777" w:rsidR="00166FC2" w:rsidRDefault="00166FC2" w:rsidP="00166FC2">
      <w:pPr>
        <w:pStyle w:val="Nivel4"/>
        <w:keepNext/>
        <w:ind w:left="1474"/>
      </w:pPr>
      <w:r w:rsidRPr="00704771">
        <w:lastRenderedPageBreak/>
        <w:t>En ella se descubre</w:t>
      </w:r>
      <w:r>
        <w:t>, mediante su pendiente, que el precio relativo o relación de intercambio que el agente debe soportar para trasladar rentas entre distintos resultados es:</w:t>
      </w:r>
    </w:p>
    <w:p w14:paraId="0B8CD20D" w14:textId="77777777" w:rsidR="00166FC2" w:rsidRPr="00704771" w:rsidRDefault="00166FC2" w:rsidP="00166FC2">
      <w:pPr>
        <w:pStyle w:val="Nivel2SM"/>
        <w:numPr>
          <w:ilvl w:val="0"/>
          <w:numId w:val="0"/>
        </w:numPr>
        <w:ind w:left="1474" w:hanging="198"/>
        <w:rPr>
          <w:lang w:val="en-US"/>
        </w:rPr>
      </w:pPr>
      <m:oMathPara>
        <m:oMath>
          <m:r>
            <w:rPr>
              <w:rFonts w:ascii="Cambria Math" w:hAnsi="Cambria Math"/>
              <w:lang w:val="en-US"/>
            </w:rPr>
            <m:t>-</m:t>
          </m:r>
          <m:f>
            <m:fPr>
              <m:ctrlPr>
                <w:rPr>
                  <w:rFonts w:ascii="Cambria Math" w:hAnsi="Cambria Math"/>
                  <w:i/>
                  <w:iCs/>
                  <w:lang w:val="en-US"/>
                </w:rPr>
              </m:ctrlPr>
            </m:fPr>
            <m:num>
              <m:r>
                <m:rPr>
                  <m:nor/>
                </m:rPr>
                <w:rPr>
                  <w:i/>
                  <w:iCs/>
                  <w:lang w:val="en-US"/>
                </w:rPr>
                <m:t>d</m:t>
              </m:r>
              <m:sSub>
                <m:sSubPr>
                  <m:ctrlPr>
                    <w:rPr>
                      <w:rFonts w:ascii="Cambria Math" w:hAnsi="Cambria Math"/>
                      <w:i/>
                      <w:iCs/>
                    </w:rPr>
                  </m:ctrlPr>
                </m:sSubPr>
                <m:e>
                  <m:r>
                    <m:rPr>
                      <m:nor/>
                    </m:rPr>
                    <w:rPr>
                      <w:i/>
                      <w:iCs/>
                      <w:lang w:val="en-US"/>
                    </w:rPr>
                    <m:t>x</m:t>
                  </m:r>
                </m:e>
                <m:sub>
                  <m:r>
                    <m:rPr>
                      <m:nor/>
                    </m:rPr>
                    <w:rPr>
                      <w:i/>
                      <w:iCs/>
                      <w:lang w:val="en-US"/>
                    </w:rPr>
                    <m:t>2</m:t>
                  </m:r>
                </m:sub>
              </m:sSub>
            </m:num>
            <m:den>
              <m:r>
                <m:rPr>
                  <m:nor/>
                </m:rPr>
                <w:rPr>
                  <w:i/>
                  <w:iCs/>
                  <w:lang w:val="en-US"/>
                </w:rPr>
                <m:t>d</m:t>
              </m:r>
              <m:sSub>
                <m:sSubPr>
                  <m:ctrlPr>
                    <w:rPr>
                      <w:rFonts w:ascii="Cambria Math" w:hAnsi="Cambria Math"/>
                      <w:i/>
                      <w:iCs/>
                    </w:rPr>
                  </m:ctrlPr>
                </m:sSubPr>
                <m:e>
                  <m:r>
                    <m:rPr>
                      <m:nor/>
                    </m:rPr>
                    <w:rPr>
                      <w:i/>
                      <w:iCs/>
                      <w:lang w:val="en-US"/>
                    </w:rPr>
                    <m:t>x</m:t>
                  </m:r>
                </m:e>
                <m:sub>
                  <m:r>
                    <m:rPr>
                      <m:nor/>
                    </m:rPr>
                    <w:rPr>
                      <w:i/>
                      <w:iCs/>
                      <w:lang w:val="en-US"/>
                    </w:rPr>
                    <m:t>1</m:t>
                  </m:r>
                </m:sub>
              </m:sSub>
            </m:den>
          </m:f>
          <m:r>
            <w:rPr>
              <w:rFonts w:ascii="Cambria Math" w:hAnsi="Cambria Math"/>
              <w:lang w:val="en-US"/>
            </w:rPr>
            <m:t>=-</m:t>
          </m:r>
          <m:f>
            <m:fPr>
              <m:ctrlPr>
                <w:rPr>
                  <w:rFonts w:ascii="Cambria Math" w:hAnsi="Cambria Math"/>
                  <w:i/>
                  <w:iCs/>
                  <w:lang w:val="en-US"/>
                </w:rPr>
              </m:ctrlPr>
            </m:fPr>
            <m:num>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r</m:t>
                  </m:r>
                </m:e>
              </m:d>
            </m:num>
            <m:den>
              <m:r>
                <m:rPr>
                  <m:nor/>
                </m:rPr>
                <w:rPr>
                  <w:i/>
                  <w:iCs/>
                  <w:lang w:val="en-US"/>
                </w:rPr>
                <m:t>r</m:t>
              </m:r>
            </m:den>
          </m:f>
        </m:oMath>
      </m:oMathPara>
    </w:p>
    <w:p w14:paraId="3462EDCD" w14:textId="3D50184A" w:rsidR="00166FC2" w:rsidRDefault="00166FC2" w:rsidP="00233A2B">
      <w:pPr>
        <w:pStyle w:val="Nivel3SM"/>
        <w:keepNext/>
        <w:keepLines/>
        <w:rPr>
          <w:rFonts w:eastAsiaTheme="minorEastAsia"/>
          <w:iCs/>
        </w:rPr>
      </w:pPr>
      <w:r>
        <w:t xml:space="preserve">Si suponemos competencia perfecta </w:t>
      </w:r>
      <w:r w:rsidR="00233A2B">
        <w:t xml:space="preserve">con libre entrada </w:t>
      </w:r>
      <w:r>
        <w:t>en el mercado de seguros de modo que los beneficios esperados de la aseguradora sean nulos</w:t>
      </w:r>
      <w:r>
        <w:rPr>
          <w:rStyle w:val="Refdenotaalpie"/>
        </w:rPr>
        <w:footnoteReference w:id="36"/>
      </w:r>
      <w:r>
        <w:t xml:space="preserve">, obtenemos que la prima es actuarialmente justa, de modo que </w:t>
      </w:r>
      <m:oMath>
        <m:r>
          <m:rPr>
            <m:nor/>
          </m:rPr>
          <w:rPr>
            <w:i/>
            <w:iCs/>
          </w:rPr>
          <m:t>r</m:t>
        </m:r>
        <m:r>
          <w:rPr>
            <w:rFonts w:ascii="Cambria Math" w:eastAsiaTheme="minorEastAsia" w:hAnsi="Cambria Math"/>
          </w:rPr>
          <m:t>=</m:t>
        </m:r>
        <m:r>
          <m:rPr>
            <m:nor/>
          </m:rPr>
          <w:rPr>
            <w:i/>
            <w:iCs/>
          </w:rPr>
          <m:t>p</m:t>
        </m:r>
      </m:oMath>
      <w:r>
        <w:rPr>
          <w:rFonts w:eastAsiaTheme="minorEastAsia"/>
          <w:iCs/>
        </w:rPr>
        <w:t xml:space="preserve"> y la recta de aseguramiento tiene pendiente </w:t>
      </w:r>
      <m:oMath>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r</m:t>
                </m:r>
              </m:e>
            </m:d>
          </m:num>
          <m:den>
            <m:r>
              <m:rPr>
                <m:nor/>
              </m:rPr>
              <w:rPr>
                <w:i/>
                <w:iCs/>
              </w:rPr>
              <m:t>r</m:t>
            </m:r>
          </m:den>
        </m:f>
        <m:r>
          <w:rPr>
            <w:rFonts w:ascii="Cambria Math" w:hAnsi="Cambria Math"/>
          </w:rPr>
          <m:t>=</m:t>
        </m:r>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p</m:t>
                </m:r>
              </m:e>
            </m:d>
          </m:num>
          <m:den>
            <m:r>
              <m:rPr>
                <m:nor/>
              </m:rPr>
              <w:rPr>
                <w:i/>
                <w:iCs/>
              </w:rPr>
              <m:t>p</m:t>
            </m:r>
          </m:den>
        </m:f>
      </m:oMath>
      <w:r>
        <w:rPr>
          <w:rFonts w:eastAsiaTheme="minorEastAsia"/>
          <w:iCs/>
        </w:rPr>
        <w:t>.</w:t>
      </w:r>
    </w:p>
    <w:p w14:paraId="4B3C602B" w14:textId="795AF64B" w:rsidR="0021641C" w:rsidRPr="0021601D" w:rsidRDefault="0021641C" w:rsidP="0021641C">
      <w:pPr>
        <w:pStyle w:val="Ttuloimagen"/>
        <w:rPr>
          <w:smallCaps w:val="0"/>
        </w:rPr>
      </w:pPr>
      <w:r>
        <w:t>Imagen</w:t>
      </w:r>
      <w:r w:rsidR="00364A63">
        <w:t> </w:t>
      </w:r>
      <w:r>
        <w:fldChar w:fldCharType="begin"/>
      </w:r>
      <w:r>
        <w:instrText xml:space="preserve"> SEQ Ilustración \* ARABIC </w:instrText>
      </w:r>
      <w:r>
        <w:fldChar w:fldCharType="separate"/>
      </w:r>
      <w:r w:rsidR="002E338F">
        <w:t>6</w:t>
      </w:r>
      <w:r>
        <w:fldChar w:fldCharType="end"/>
      </w:r>
      <w:r>
        <w:rPr>
          <w:smallCaps w:val="0"/>
        </w:rPr>
        <w:t xml:space="preserve">.– </w:t>
      </w:r>
      <w:r>
        <w:rPr>
          <w:i/>
          <w:iCs/>
          <w:smallCaps w:val="0"/>
        </w:rPr>
        <w:t>Recta de aseguramiento</w:t>
      </w:r>
    </w:p>
    <w:p w14:paraId="66422B29" w14:textId="77777777" w:rsidR="0021641C" w:rsidRDefault="0021641C" w:rsidP="0021641C">
      <w:pPr>
        <w:pStyle w:val="Imagen"/>
      </w:pPr>
      <w:r>
        <w:drawing>
          <wp:inline distT="0" distB="0" distL="0" distR="0" wp14:anchorId="16E8F251" wp14:editId="578DDD3F">
            <wp:extent cx="1540140" cy="1440000"/>
            <wp:effectExtent l="0" t="0" r="3175"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9"/>
                    <a:stretch>
                      <a:fillRect/>
                    </a:stretch>
                  </pic:blipFill>
                  <pic:spPr>
                    <a:xfrm>
                      <a:off x="0" y="0"/>
                      <a:ext cx="1540140" cy="1440000"/>
                    </a:xfrm>
                    <a:prstGeom prst="rect">
                      <a:avLst/>
                    </a:prstGeom>
                  </pic:spPr>
                </pic:pic>
              </a:graphicData>
            </a:graphic>
          </wp:inline>
        </w:drawing>
      </w:r>
    </w:p>
    <w:p w14:paraId="137EA00F" w14:textId="0A610153" w:rsidR="0021641C" w:rsidRDefault="0021641C" w:rsidP="0021641C">
      <w:pPr>
        <w:pStyle w:val="PiedeImagen"/>
        <w:rPr>
          <w:i w:val="0"/>
          <w:iCs/>
        </w:rPr>
      </w:pPr>
      <w:r>
        <w:t>Fuente</w:t>
      </w:r>
      <w:r>
        <w:rPr>
          <w:i w:val="0"/>
          <w:iCs/>
        </w:rPr>
        <w:t xml:space="preserve">: </w:t>
      </w:r>
      <w:r w:rsidRPr="0021601D">
        <w:rPr>
          <w:i w:val="0"/>
          <w:iCs/>
        </w:rPr>
        <w:t xml:space="preserve">Rodríguez López, J. L. (2017). </w:t>
      </w:r>
      <w:r w:rsidRPr="0021601D">
        <w:t>Tema 3.A.7: Teoría de la elección del consumidor en situaciones de riesgo e incertidumbre</w:t>
      </w:r>
      <w:r w:rsidRPr="0021601D">
        <w:rPr>
          <w:i w:val="0"/>
          <w:iCs/>
        </w:rPr>
        <w:t>. ICEX-CECO.</w:t>
      </w:r>
    </w:p>
    <w:p w14:paraId="467C7610" w14:textId="0ADACFC2" w:rsidR="0097607B" w:rsidRPr="0097607B" w:rsidRDefault="0097607B" w:rsidP="0097607B">
      <w:pPr>
        <w:pStyle w:val="Ttulo8"/>
      </w:pPr>
      <w:r>
        <w:t>Implicaciones</w:t>
      </w:r>
    </w:p>
    <w:p w14:paraId="588F53E8" w14:textId="1858B950" w:rsidR="0000138C" w:rsidRPr="003928D6" w:rsidRDefault="0000138C" w:rsidP="00233A2B">
      <w:pPr>
        <w:pStyle w:val="Nivel1SM"/>
        <w:keepNext/>
        <w:spacing w:before="0" w:after="0"/>
        <w:rPr>
          <w:iCs/>
        </w:rPr>
      </w:pPr>
      <w:r>
        <w:t xml:space="preserve">Se puede demostrar haciendo uso de la función de utilidad esperada de </w:t>
      </w:r>
      <w:r w:rsidR="00084BF4">
        <w:t>von Neumann</w:t>
      </w:r>
      <w:r>
        <w:t xml:space="preserve">-Morgenstern, que </w:t>
      </w:r>
      <w:r w:rsidRPr="003928D6">
        <w:rPr>
          <w:i/>
          <w:iCs/>
        </w:rPr>
        <w:t>en caso de prima actuarialmente justa</w:t>
      </w:r>
      <w:r>
        <w:t>, el individuo se asegura completamente.</w:t>
      </w:r>
    </w:p>
    <w:p w14:paraId="0D92DB14" w14:textId="77777777" w:rsidR="0000138C" w:rsidRPr="003928D6" w:rsidRDefault="0000138C" w:rsidP="0000138C">
      <w:pPr>
        <w:pStyle w:val="Nivel2SM"/>
        <w:rPr>
          <w:iCs/>
        </w:rPr>
      </w:pPr>
      <w:r>
        <w:t xml:space="preserve">Esto es así, ya que la Relación Marginal de Sustitución Estocástica (RMSE, pendiente de la curva de indiferencia) se iguala a </w:t>
      </w:r>
      <m:oMath>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p</m:t>
                </m:r>
              </m:e>
            </m:d>
          </m:num>
          <m:den>
            <m:r>
              <m:rPr>
                <m:nor/>
              </m:rPr>
              <w:rPr>
                <w:i/>
                <w:iCs/>
              </w:rPr>
              <m:t>p</m:t>
            </m:r>
          </m:den>
        </m:f>
      </m:oMath>
      <w:r>
        <w:rPr>
          <w:rFonts w:eastAsiaTheme="minorEastAsia"/>
          <w:iCs/>
        </w:rPr>
        <w:t xml:space="preserve"> en la línea de certeza</w:t>
      </w:r>
      <w:r>
        <w:rPr>
          <w:rStyle w:val="Refdenotaalpie"/>
          <w:rFonts w:eastAsiaTheme="minorEastAsia"/>
          <w:iCs/>
        </w:rPr>
        <w:footnoteReference w:id="37"/>
      </w:r>
      <w:r>
        <w:rPr>
          <w:rFonts w:eastAsiaTheme="minorEastAsia"/>
          <w:iCs/>
        </w:rPr>
        <w:t xml:space="preserve">, y la prima es actuarialmente justa </w:t>
      </w:r>
      <w:r w:rsidRPr="003928D6">
        <w:rPr>
          <w:rFonts w:eastAsiaTheme="minorEastAsia"/>
          <w:iCs/>
          <w:sz w:val="19"/>
          <w:szCs w:val="19"/>
        </w:rPr>
        <w:t>(porque hemos supuesto competencia perfecta)</w:t>
      </w:r>
      <w:r>
        <w:rPr>
          <w:rFonts w:eastAsiaTheme="minorEastAsia"/>
          <w:iCs/>
        </w:rPr>
        <w:t xml:space="preserve">, </w:t>
      </w:r>
      <m:oMath>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r</m:t>
                </m:r>
              </m:e>
            </m:d>
          </m:num>
          <m:den>
            <m:r>
              <m:rPr>
                <m:nor/>
              </m:rPr>
              <w:rPr>
                <w:i/>
                <w:iCs/>
              </w:rPr>
              <m:t>r</m:t>
            </m:r>
          </m:den>
        </m:f>
        <m:r>
          <w:rPr>
            <w:rFonts w:ascii="Cambria Math" w:hAnsi="Cambria Math"/>
          </w:rPr>
          <m:t>=</m:t>
        </m:r>
        <m:r>
          <w:rPr>
            <w:rFonts w:ascii="Cambria Math" w:eastAsiaTheme="minorEastAsia" w:hAnsi="Cambria Math"/>
          </w:rPr>
          <m:t>-</m:t>
        </m:r>
        <m:f>
          <m:fPr>
            <m:type m:val="lin"/>
            <m:ctrlPr>
              <w:rPr>
                <w:rFonts w:ascii="Cambria Math" w:eastAsiaTheme="minorEastAsia" w:hAnsi="Cambria Math"/>
                <w:i/>
              </w:rPr>
            </m:ctrlPr>
          </m:fPr>
          <m:num>
            <m:d>
              <m:dPr>
                <m:ctrlPr>
                  <w:rPr>
                    <w:rFonts w:ascii="Cambria Math" w:eastAsiaTheme="minorEastAsia" w:hAnsi="Cambria Math"/>
                    <w:i/>
                  </w:rPr>
                </m:ctrlPr>
              </m:dPr>
              <m:e>
                <m:r>
                  <m:rPr>
                    <m:nor/>
                  </m:rPr>
                  <w:rPr>
                    <w:i/>
                    <w:iCs/>
                  </w:rPr>
                  <m:t>1</m:t>
                </m:r>
                <m:r>
                  <w:rPr>
                    <w:rFonts w:ascii="Cambria Math" w:eastAsiaTheme="minorEastAsia" w:hAnsi="Cambria Math"/>
                  </w:rPr>
                  <m:t>-</m:t>
                </m:r>
                <m:r>
                  <m:rPr>
                    <m:nor/>
                  </m:rPr>
                  <w:rPr>
                    <w:i/>
                    <w:iCs/>
                  </w:rPr>
                  <m:t>p</m:t>
                </m:r>
              </m:e>
            </m:d>
          </m:num>
          <m:den>
            <m:r>
              <m:rPr>
                <m:nor/>
              </m:rPr>
              <w:rPr>
                <w:i/>
                <w:iCs/>
              </w:rPr>
              <m:t>p</m:t>
            </m:r>
          </m:den>
        </m:f>
      </m:oMath>
      <w:r>
        <w:rPr>
          <w:rFonts w:eastAsiaTheme="minorEastAsia"/>
          <w:iCs/>
        </w:rPr>
        <w:t>.</w:t>
      </w:r>
    </w:p>
    <w:p w14:paraId="7BCF22F5" w14:textId="48FD7359" w:rsidR="0021641C" w:rsidRPr="007F10E3" w:rsidRDefault="0021641C" w:rsidP="0000138C">
      <w:pPr>
        <w:pStyle w:val="Nivel2SM"/>
        <w:keepNext/>
        <w:spacing w:after="0"/>
      </w:pPr>
      <w:r>
        <w:t>Por lo tanto, se da la situación</w:t>
      </w:r>
      <w:r w:rsidR="009E11F9">
        <w:t> </w:t>
      </w:r>
      <w:r>
        <w:rPr>
          <w:i/>
        </w:rPr>
        <w:t>E</w:t>
      </w:r>
      <w:r>
        <w:t>, en la que el individuo se asegura completamente maximizando su utilidad y las empresas obtienen beneficio nulo:</w:t>
      </w:r>
    </w:p>
    <w:p w14:paraId="547D0418" w14:textId="13A11249" w:rsidR="0021641C" w:rsidRPr="0021601D" w:rsidRDefault="0021641C" w:rsidP="0021641C">
      <w:pPr>
        <w:pStyle w:val="Ttuloimagen"/>
        <w:rPr>
          <w:smallCaps w:val="0"/>
        </w:rPr>
      </w:pPr>
      <w:bookmarkStart w:id="44" w:name="_Ref100395566"/>
      <w:r>
        <w:t>Imagen</w:t>
      </w:r>
      <w:r w:rsidR="00364A63">
        <w:t> </w:t>
      </w:r>
      <w:r>
        <w:fldChar w:fldCharType="begin"/>
      </w:r>
      <w:r>
        <w:instrText xml:space="preserve"> SEQ Ilustración \* ARABIC </w:instrText>
      </w:r>
      <w:r>
        <w:fldChar w:fldCharType="separate"/>
      </w:r>
      <w:r w:rsidR="002E338F">
        <w:t>7</w:t>
      </w:r>
      <w:r>
        <w:fldChar w:fldCharType="end"/>
      </w:r>
      <w:bookmarkEnd w:id="44"/>
      <w:r>
        <w:rPr>
          <w:smallCaps w:val="0"/>
        </w:rPr>
        <w:t xml:space="preserve">.– </w:t>
      </w:r>
      <w:r>
        <w:rPr>
          <w:i/>
          <w:iCs/>
          <w:smallCaps w:val="0"/>
        </w:rPr>
        <w:t>Situación de equilibrio con riesgo y información simétrica</w:t>
      </w:r>
    </w:p>
    <w:p w14:paraId="5B12E68E" w14:textId="77777777" w:rsidR="0021641C" w:rsidRDefault="0021641C" w:rsidP="0021641C">
      <w:pPr>
        <w:pStyle w:val="Imagen"/>
      </w:pPr>
      <w:r>
        <w:drawing>
          <wp:inline distT="0" distB="0" distL="0" distR="0" wp14:anchorId="2B970C6A" wp14:editId="4DDF4157">
            <wp:extent cx="1614757" cy="1440000"/>
            <wp:effectExtent l="0" t="0" r="508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0"/>
                    <a:stretch>
                      <a:fillRect/>
                    </a:stretch>
                  </pic:blipFill>
                  <pic:spPr>
                    <a:xfrm>
                      <a:off x="0" y="0"/>
                      <a:ext cx="1614757" cy="1440000"/>
                    </a:xfrm>
                    <a:prstGeom prst="rect">
                      <a:avLst/>
                    </a:prstGeom>
                  </pic:spPr>
                </pic:pic>
              </a:graphicData>
            </a:graphic>
          </wp:inline>
        </w:drawing>
      </w:r>
    </w:p>
    <w:p w14:paraId="39E81543" w14:textId="5376A26C" w:rsidR="0021641C" w:rsidRDefault="0021641C" w:rsidP="0021641C">
      <w:pPr>
        <w:pStyle w:val="PiedeImagen"/>
        <w:rPr>
          <w:i w:val="0"/>
          <w:iCs/>
        </w:rPr>
      </w:pPr>
      <w:r>
        <w:t>Fuente</w:t>
      </w:r>
      <w:r>
        <w:rPr>
          <w:i w:val="0"/>
          <w:iCs/>
        </w:rPr>
        <w:t xml:space="preserve">: </w:t>
      </w:r>
      <w:r w:rsidRPr="0021601D">
        <w:rPr>
          <w:i w:val="0"/>
          <w:iCs/>
        </w:rPr>
        <w:t xml:space="preserve">Rodríguez López, J. L. (2017). </w:t>
      </w:r>
      <w:r w:rsidRPr="0021601D">
        <w:t>Tema 3.A.7: Teoría de la elección del consumidor en situaciones de riesgo e incertidumbre</w:t>
      </w:r>
      <w:r w:rsidRPr="0021601D">
        <w:rPr>
          <w:i w:val="0"/>
          <w:iCs/>
        </w:rPr>
        <w:t>. ICEX-CECO.</w:t>
      </w:r>
    </w:p>
    <w:p w14:paraId="52987678" w14:textId="00566779" w:rsidR="00D96C45" w:rsidRDefault="00D96C45" w:rsidP="00D96C45">
      <w:pPr>
        <w:pStyle w:val="Ttulo7"/>
      </w:pPr>
      <w:bookmarkStart w:id="45" w:name="_Toc172232547"/>
      <w:r>
        <w:lastRenderedPageBreak/>
        <w:t>Extensiones</w:t>
      </w:r>
      <w:bookmarkEnd w:id="45"/>
    </w:p>
    <w:p w14:paraId="4B809C74" w14:textId="0218D785" w:rsidR="00A77141" w:rsidRDefault="00A77141" w:rsidP="00A77141">
      <w:pPr>
        <w:pStyle w:val="Nivel1SM"/>
        <w:keepNext/>
        <w:spacing w:before="0"/>
      </w:pPr>
      <w:r>
        <w:t>Podemos extender este modelo para considerar qué es lo que pasa si levantamos los supuestos de competencia perfecta e individuo averso al riesgo.</w:t>
      </w:r>
    </w:p>
    <w:p w14:paraId="7185BC13" w14:textId="77BFC4F3" w:rsidR="00D96C45" w:rsidRDefault="00D96C45" w:rsidP="00D96C45">
      <w:pPr>
        <w:pStyle w:val="Ttulo8"/>
        <w:spacing w:before="0"/>
      </w:pPr>
      <w:r>
        <w:t xml:space="preserve">Considerando la posibilidad </w:t>
      </w:r>
      <w:r w:rsidR="00E97667">
        <w:t>de que la empresa aseguradora obtenga beneficios (competencia imperfecta)</w:t>
      </w:r>
    </w:p>
    <w:p w14:paraId="48C6C152" w14:textId="374482B0" w:rsidR="00D96C45" w:rsidRDefault="00D96C45" w:rsidP="00D96C45">
      <w:pPr>
        <w:pStyle w:val="Nivel1SM"/>
        <w:keepNext/>
        <w:spacing w:before="0" w:after="0"/>
      </w:pPr>
      <w:r>
        <w:t>Si consideramos la posibilidad de que la aseguradora obtenga beneficios extraordinarios se pueden dar 3 situaciones:</w:t>
      </w:r>
    </w:p>
    <w:p w14:paraId="0BF33C5C" w14:textId="4506C1EE" w:rsidR="00D96C45" w:rsidRDefault="00D96C45" w:rsidP="00D96C45">
      <w:pPr>
        <w:pStyle w:val="Nivel2SM"/>
      </w:pPr>
      <w:r>
        <w:rPr>
          <w:i/>
          <w:iCs/>
        </w:rPr>
        <w:t>Prima actuarialmente favorable</w:t>
      </w:r>
      <w:r>
        <w:t xml:space="preserve">: El individuo se sobreaseguraría, es decir, en la </w:t>
      </w:r>
      <w:r>
        <w:fldChar w:fldCharType="begin"/>
      </w:r>
      <w:r>
        <w:instrText xml:space="preserve"> REF _Ref100395566 \h </w:instrText>
      </w:r>
      <w:r>
        <w:fldChar w:fldCharType="separate"/>
      </w:r>
      <w:r w:rsidR="002E338F">
        <w:t>Imagen </w:t>
      </w:r>
      <w:r w:rsidR="002E338F">
        <w:rPr>
          <w:noProof/>
        </w:rPr>
        <w:t>7</w:t>
      </w:r>
      <w:r>
        <w:fldChar w:fldCharType="end"/>
      </w:r>
      <w:r>
        <w:t xml:space="preserve"> se situaría a la izquierda del punto </w:t>
      </w:r>
      <w:r>
        <w:rPr>
          <w:i/>
          <w:iCs/>
        </w:rPr>
        <w:t>E</w:t>
      </w:r>
      <w:r>
        <w:t xml:space="preserve"> sobre la recta de aseguramiento y obtendría un mayor pago si sucediera la contingencia que si no.</w:t>
      </w:r>
    </w:p>
    <w:p w14:paraId="0D5F5989" w14:textId="16BD3A9C" w:rsidR="00D96C45" w:rsidRDefault="00D96C45" w:rsidP="00D96C45">
      <w:pPr>
        <w:pStyle w:val="Nivel2SM"/>
      </w:pPr>
      <w:r>
        <w:rPr>
          <w:i/>
          <w:iCs/>
        </w:rPr>
        <w:t>Prima actuarialmente justa</w:t>
      </w:r>
      <w:r>
        <w:t xml:space="preserve">: El individuo se aseguraría completamente, es decir, en la </w:t>
      </w:r>
      <w:r>
        <w:fldChar w:fldCharType="begin"/>
      </w:r>
      <w:r>
        <w:instrText xml:space="preserve"> REF _Ref100395566 \h  \* MERGEFORMAT </w:instrText>
      </w:r>
      <w:r>
        <w:fldChar w:fldCharType="separate"/>
      </w:r>
      <w:r w:rsidR="002E338F">
        <w:t>Imagen 7</w:t>
      </w:r>
      <w:r>
        <w:fldChar w:fldCharType="end"/>
      </w:r>
      <w:r>
        <w:t xml:space="preserve"> se situaría sobre el punto </w:t>
      </w:r>
      <w:r>
        <w:rPr>
          <w:i/>
          <w:iCs/>
        </w:rPr>
        <w:t>E</w:t>
      </w:r>
      <w:r>
        <w:t xml:space="preserve"> y obtendría el mismo pago suceda la contingencia o no.</w:t>
      </w:r>
    </w:p>
    <w:p w14:paraId="3D82FA3A" w14:textId="1D92A3A6" w:rsidR="00D96C45" w:rsidRPr="00D96C45" w:rsidRDefault="00D96C45" w:rsidP="00D96C45">
      <w:pPr>
        <w:pStyle w:val="Nivel2SM"/>
      </w:pPr>
      <w:r>
        <w:rPr>
          <w:i/>
          <w:iCs/>
        </w:rPr>
        <w:t>Prima actuarialmente desfavorable</w:t>
      </w:r>
      <w:r>
        <w:t xml:space="preserve">: El individuo se aseguraría parcialmente, es decir, en la </w:t>
      </w:r>
      <w:r>
        <w:fldChar w:fldCharType="begin"/>
      </w:r>
      <w:r>
        <w:instrText xml:space="preserve"> REF _Ref100395566 \h  \* MERGEFORMAT </w:instrText>
      </w:r>
      <w:r>
        <w:fldChar w:fldCharType="separate"/>
      </w:r>
      <w:r w:rsidR="002E338F">
        <w:t>Imagen 7</w:t>
      </w:r>
      <w:r>
        <w:fldChar w:fldCharType="end"/>
      </w:r>
      <w:r>
        <w:t xml:space="preserve"> se situaría a la derecha del punto </w:t>
      </w:r>
      <w:r>
        <w:rPr>
          <w:i/>
          <w:iCs/>
        </w:rPr>
        <w:t>E</w:t>
      </w:r>
      <w:r>
        <w:t xml:space="preserve"> sobre la recta de aseguramiento y obtendría un mayor pago si no sucediera la contingencia.</w:t>
      </w:r>
    </w:p>
    <w:p w14:paraId="6E450532" w14:textId="1B8DEBC0" w:rsidR="00B84F30" w:rsidRDefault="00D96C45" w:rsidP="00D96C45">
      <w:pPr>
        <w:pStyle w:val="Ttulo8"/>
      </w:pPr>
      <w:r>
        <w:t>Individuo no averso al riesgo</w:t>
      </w:r>
    </w:p>
    <w:p w14:paraId="6E394602" w14:textId="5C733B25" w:rsidR="00E97667" w:rsidRDefault="00E97667" w:rsidP="00E97667">
      <w:pPr>
        <w:pStyle w:val="Nivel1SM"/>
        <w:keepNext/>
        <w:spacing w:before="0" w:after="0"/>
      </w:pPr>
      <w:r>
        <w:t>Igualmente, en función de la actitud frente al riesgo del individuo también podemos obtener distintos resultados</w:t>
      </w:r>
      <w:r w:rsidR="00A77141">
        <w:t>.</w:t>
      </w:r>
    </w:p>
    <w:tbl>
      <w:tblPr>
        <w:tblStyle w:val="Tablaconcuadrcula"/>
        <w:tblW w:w="11809" w:type="dxa"/>
        <w:jc w:val="center"/>
        <w:tblCellMar>
          <w:left w:w="28" w:type="dxa"/>
          <w:right w:w="28" w:type="dxa"/>
        </w:tblCellMar>
        <w:tblLook w:val="04A0" w:firstRow="1" w:lastRow="0" w:firstColumn="1" w:lastColumn="0" w:noHBand="0" w:noVBand="1"/>
      </w:tblPr>
      <w:tblGrid>
        <w:gridCol w:w="1984"/>
        <w:gridCol w:w="3275"/>
        <w:gridCol w:w="3275"/>
        <w:gridCol w:w="3275"/>
      </w:tblGrid>
      <w:tr w:rsidR="00657A20" w:rsidRPr="00E97667" w14:paraId="5684EA6B" w14:textId="77777777" w:rsidTr="00657A20">
        <w:trPr>
          <w:tblHeader/>
          <w:jc w:val="center"/>
        </w:trPr>
        <w:tc>
          <w:tcPr>
            <w:tcW w:w="1984" w:type="dxa"/>
            <w:tcBorders>
              <w:top w:val="nil"/>
              <w:left w:val="nil"/>
            </w:tcBorders>
            <w:vAlign w:val="center"/>
          </w:tcPr>
          <w:p w14:paraId="1E883B9A" w14:textId="77777777" w:rsidR="00E97667" w:rsidRPr="00E97667" w:rsidRDefault="00E97667" w:rsidP="00657A20">
            <w:pPr>
              <w:keepNext/>
              <w:spacing w:after="0"/>
              <w:jc w:val="right"/>
              <w:rPr>
                <w:spacing w:val="-2"/>
                <w:sz w:val="18"/>
                <w:szCs w:val="18"/>
              </w:rPr>
            </w:pPr>
          </w:p>
        </w:tc>
        <w:tc>
          <w:tcPr>
            <w:tcW w:w="3275" w:type="dxa"/>
            <w:vAlign w:val="center"/>
          </w:tcPr>
          <w:p w14:paraId="6B6347BA" w14:textId="42D737E6" w:rsidR="00E97667" w:rsidRPr="00E97667" w:rsidRDefault="00E97667" w:rsidP="00657A20">
            <w:pPr>
              <w:keepNext/>
              <w:spacing w:after="0"/>
              <w:jc w:val="center"/>
              <w:rPr>
                <w:i/>
                <w:iCs/>
                <w:spacing w:val="-2"/>
                <w:sz w:val="18"/>
                <w:szCs w:val="18"/>
              </w:rPr>
            </w:pPr>
            <w:r w:rsidRPr="00E97667">
              <w:rPr>
                <w:i/>
                <w:iCs/>
                <w:spacing w:val="-2"/>
                <w:sz w:val="18"/>
                <w:szCs w:val="18"/>
              </w:rPr>
              <w:t>Prima actuarialmente favorable</w:t>
            </w:r>
          </w:p>
        </w:tc>
        <w:tc>
          <w:tcPr>
            <w:tcW w:w="3275" w:type="dxa"/>
            <w:vAlign w:val="center"/>
          </w:tcPr>
          <w:p w14:paraId="5AC3A108" w14:textId="5A709E9B" w:rsidR="00E97667" w:rsidRPr="00E97667" w:rsidRDefault="00E97667" w:rsidP="00657A20">
            <w:pPr>
              <w:keepNext/>
              <w:spacing w:after="0"/>
              <w:jc w:val="center"/>
              <w:rPr>
                <w:spacing w:val="-2"/>
                <w:sz w:val="18"/>
                <w:szCs w:val="18"/>
              </w:rPr>
            </w:pPr>
            <w:r w:rsidRPr="00E97667">
              <w:rPr>
                <w:i/>
                <w:iCs/>
                <w:spacing w:val="-2"/>
                <w:sz w:val="18"/>
                <w:szCs w:val="18"/>
              </w:rPr>
              <w:t>Prima actuarialmente justa</w:t>
            </w:r>
          </w:p>
        </w:tc>
        <w:tc>
          <w:tcPr>
            <w:tcW w:w="3275" w:type="dxa"/>
            <w:vAlign w:val="center"/>
          </w:tcPr>
          <w:p w14:paraId="1E05907E" w14:textId="2374D16E" w:rsidR="00E97667" w:rsidRPr="00E97667" w:rsidRDefault="00E97667" w:rsidP="00657A20">
            <w:pPr>
              <w:keepNext/>
              <w:spacing w:after="0"/>
              <w:jc w:val="center"/>
              <w:rPr>
                <w:spacing w:val="-2"/>
                <w:sz w:val="18"/>
                <w:szCs w:val="18"/>
              </w:rPr>
            </w:pPr>
            <w:r w:rsidRPr="00E97667">
              <w:rPr>
                <w:i/>
                <w:iCs/>
                <w:spacing w:val="-2"/>
                <w:sz w:val="18"/>
                <w:szCs w:val="18"/>
              </w:rPr>
              <w:t>Prima actuarialmente desfavorable</w:t>
            </w:r>
          </w:p>
        </w:tc>
      </w:tr>
      <w:tr w:rsidR="00E97667" w:rsidRPr="00E97667" w14:paraId="23CF39CD" w14:textId="77777777" w:rsidTr="00657A20">
        <w:trPr>
          <w:jc w:val="center"/>
        </w:trPr>
        <w:tc>
          <w:tcPr>
            <w:tcW w:w="1984" w:type="dxa"/>
            <w:vAlign w:val="center"/>
          </w:tcPr>
          <w:p w14:paraId="4421F100" w14:textId="2F921922" w:rsidR="00E97667" w:rsidRPr="00E97667" w:rsidRDefault="00E97667" w:rsidP="00E97667">
            <w:pPr>
              <w:spacing w:after="0"/>
              <w:jc w:val="right"/>
              <w:rPr>
                <w:i/>
                <w:iCs/>
                <w:spacing w:val="-2"/>
                <w:sz w:val="18"/>
                <w:szCs w:val="18"/>
              </w:rPr>
            </w:pPr>
            <w:r w:rsidRPr="00E97667">
              <w:rPr>
                <w:i/>
                <w:iCs/>
                <w:spacing w:val="-2"/>
                <w:sz w:val="18"/>
                <w:szCs w:val="18"/>
              </w:rPr>
              <w:t>Individuo averso al riesgo</w:t>
            </w:r>
          </w:p>
        </w:tc>
        <w:tc>
          <w:tcPr>
            <w:tcW w:w="3275" w:type="dxa"/>
            <w:vAlign w:val="center"/>
          </w:tcPr>
          <w:p w14:paraId="46B0C710" w14:textId="63B10549" w:rsidR="00E97667" w:rsidRDefault="00E97667" w:rsidP="00657A20">
            <w:pPr>
              <w:keepNext/>
              <w:spacing w:after="0"/>
              <w:jc w:val="center"/>
              <w:rPr>
                <w:spacing w:val="-2"/>
                <w:sz w:val="18"/>
                <w:szCs w:val="18"/>
              </w:rPr>
            </w:pPr>
            <w:r>
              <w:rPr>
                <w:spacing w:val="-2"/>
                <w:sz w:val="18"/>
                <w:szCs w:val="18"/>
              </w:rPr>
              <w:t xml:space="preserve">Se </w:t>
            </w:r>
            <w:proofErr w:type="spellStart"/>
            <w:r>
              <w:rPr>
                <w:spacing w:val="-2"/>
                <w:sz w:val="18"/>
                <w:szCs w:val="18"/>
              </w:rPr>
              <w:t>sobreasegura</w:t>
            </w:r>
            <w:proofErr w:type="spellEnd"/>
            <w:r w:rsidR="00657A20">
              <w:rPr>
                <w:spacing w:val="-2"/>
                <w:sz w:val="18"/>
                <w:szCs w:val="18"/>
              </w:rPr>
              <w:br/>
            </w:r>
            <w:r w:rsidR="00657A20" w:rsidRPr="00657A20">
              <w:rPr>
                <w:spacing w:val="-2"/>
                <w:sz w:val="16"/>
                <w:szCs w:val="16"/>
              </w:rPr>
              <w:t>(</w:t>
            </w:r>
            <w:r w:rsidR="00657A20">
              <w:rPr>
                <w:spacing w:val="-2"/>
                <w:sz w:val="16"/>
                <w:szCs w:val="16"/>
              </w:rPr>
              <w:t>si suponemos que esto no es posible se asegura completamente</w:t>
            </w:r>
            <w:r w:rsidR="00657A20" w:rsidRPr="00657A20">
              <w:rPr>
                <w:spacing w:val="-2"/>
                <w:sz w:val="16"/>
                <w:szCs w:val="16"/>
              </w:rPr>
              <w:t>)</w:t>
            </w:r>
            <w:r w:rsidR="00657A20">
              <w:rPr>
                <w:spacing w:val="-2"/>
                <w:sz w:val="18"/>
                <w:szCs w:val="18"/>
              </w:rPr>
              <w:t>.</w:t>
            </w:r>
          </w:p>
          <w:p w14:paraId="65275694" w14:textId="698A4843" w:rsidR="00657A20" w:rsidRPr="00E97667" w:rsidRDefault="00001C9E" w:rsidP="00E97667">
            <w:pPr>
              <w:spacing w:after="0"/>
              <w:jc w:val="center"/>
              <w:rPr>
                <w:spacing w:val="-2"/>
                <w:sz w:val="18"/>
                <w:szCs w:val="18"/>
              </w:rPr>
            </w:pPr>
            <w:r>
              <w:rPr>
                <w:noProof/>
                <w:spacing w:val="-2"/>
                <w:sz w:val="18"/>
                <w:szCs w:val="18"/>
              </w:rPr>
              <w:drawing>
                <wp:inline distT="0" distB="0" distL="0" distR="0" wp14:anchorId="7903153E" wp14:editId="556E2D4C">
                  <wp:extent cx="2044317" cy="1440000"/>
                  <wp:effectExtent l="0" t="0" r="0" b="8255"/>
                  <wp:docPr id="1001421124" name="Imagen 100142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1124" name="Imagen 1001421124"/>
                          <pic:cNvPicPr/>
                        </pic:nvPicPr>
                        <pic:blipFill rotWithShape="1">
                          <a:blip r:embed="rId21"/>
                          <a:srcRect l="15569" r="4575"/>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275" w:type="dxa"/>
            <w:vAlign w:val="center"/>
          </w:tcPr>
          <w:p w14:paraId="6AEF4ED4" w14:textId="3AE966A2" w:rsidR="00E97667" w:rsidRDefault="00E97667" w:rsidP="00657A20">
            <w:pPr>
              <w:keepNext/>
              <w:spacing w:after="0"/>
              <w:jc w:val="center"/>
              <w:rPr>
                <w:spacing w:val="-2"/>
                <w:sz w:val="18"/>
                <w:szCs w:val="18"/>
              </w:rPr>
            </w:pPr>
            <w:r>
              <w:rPr>
                <w:spacing w:val="-2"/>
                <w:sz w:val="18"/>
                <w:szCs w:val="18"/>
              </w:rPr>
              <w:t>Se asegura completamente</w:t>
            </w:r>
            <w:r w:rsidR="00657A20">
              <w:rPr>
                <w:spacing w:val="-2"/>
                <w:sz w:val="18"/>
                <w:szCs w:val="18"/>
              </w:rPr>
              <w:t>.</w:t>
            </w:r>
          </w:p>
          <w:p w14:paraId="313153D8" w14:textId="736A4C97" w:rsidR="00B5080E" w:rsidRPr="00E97667" w:rsidRDefault="00B5080E" w:rsidP="00E97667">
            <w:pPr>
              <w:spacing w:after="0"/>
              <w:jc w:val="center"/>
              <w:rPr>
                <w:spacing w:val="-2"/>
                <w:sz w:val="18"/>
                <w:szCs w:val="18"/>
              </w:rPr>
            </w:pPr>
            <w:r>
              <w:rPr>
                <w:noProof/>
                <w:spacing w:val="-2"/>
                <w:sz w:val="18"/>
                <w:szCs w:val="18"/>
              </w:rPr>
              <w:drawing>
                <wp:inline distT="0" distB="0" distL="0" distR="0" wp14:anchorId="50092621" wp14:editId="6F6355A9">
                  <wp:extent cx="2044317" cy="1440000"/>
                  <wp:effectExtent l="0" t="0" r="0" b="8255"/>
                  <wp:docPr id="4010612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61247" name="Imagen 1"/>
                          <pic:cNvPicPr/>
                        </pic:nvPicPr>
                        <pic:blipFill rotWithShape="1">
                          <a:blip r:embed="rId22"/>
                          <a:srcRect l="16027" r="4117"/>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275" w:type="dxa"/>
            <w:vAlign w:val="center"/>
          </w:tcPr>
          <w:p w14:paraId="76A8F62B" w14:textId="33D985A9" w:rsidR="00E97667" w:rsidRDefault="00E97667" w:rsidP="00657A20">
            <w:pPr>
              <w:keepNext/>
              <w:spacing w:after="0"/>
              <w:jc w:val="center"/>
              <w:rPr>
                <w:spacing w:val="-2"/>
                <w:sz w:val="18"/>
                <w:szCs w:val="18"/>
              </w:rPr>
            </w:pPr>
            <w:r>
              <w:rPr>
                <w:spacing w:val="-2"/>
                <w:sz w:val="18"/>
                <w:szCs w:val="18"/>
              </w:rPr>
              <w:t>Se asegura parcialmente</w:t>
            </w:r>
            <w:r w:rsidR="00657A20">
              <w:rPr>
                <w:spacing w:val="-2"/>
                <w:sz w:val="18"/>
                <w:szCs w:val="18"/>
              </w:rPr>
              <w:t>.</w:t>
            </w:r>
          </w:p>
          <w:p w14:paraId="4C6A4468" w14:textId="6946BF31" w:rsidR="00657A20" w:rsidRPr="00E97667" w:rsidRDefault="00657A20" w:rsidP="00E97667">
            <w:pPr>
              <w:spacing w:after="0"/>
              <w:jc w:val="center"/>
              <w:rPr>
                <w:spacing w:val="-2"/>
                <w:sz w:val="18"/>
                <w:szCs w:val="18"/>
              </w:rPr>
            </w:pPr>
            <w:r>
              <w:rPr>
                <w:noProof/>
                <w:spacing w:val="-2"/>
                <w:sz w:val="18"/>
                <w:szCs w:val="18"/>
              </w:rPr>
              <w:drawing>
                <wp:inline distT="0" distB="0" distL="0" distR="0" wp14:anchorId="5A21A978" wp14:editId="7F11AA63">
                  <wp:extent cx="2044317" cy="1440000"/>
                  <wp:effectExtent l="0" t="0" r="0" b="8255"/>
                  <wp:docPr id="2092391724" name="Imagen 209239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91724" name="Imagen 2092391724"/>
                          <pic:cNvPicPr/>
                        </pic:nvPicPr>
                        <pic:blipFill rotWithShape="1">
                          <a:blip r:embed="rId23"/>
                          <a:srcRect l="15630" r="4514"/>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r>
      <w:tr w:rsidR="00E97667" w:rsidRPr="00E97667" w14:paraId="6D980F95" w14:textId="77777777" w:rsidTr="00657A20">
        <w:trPr>
          <w:jc w:val="center"/>
        </w:trPr>
        <w:tc>
          <w:tcPr>
            <w:tcW w:w="1984" w:type="dxa"/>
            <w:vAlign w:val="center"/>
          </w:tcPr>
          <w:p w14:paraId="5FE93627" w14:textId="742F5635" w:rsidR="00E97667" w:rsidRPr="00E97667" w:rsidRDefault="00E97667" w:rsidP="00E97667">
            <w:pPr>
              <w:spacing w:after="0"/>
              <w:jc w:val="right"/>
              <w:rPr>
                <w:spacing w:val="-2"/>
                <w:sz w:val="18"/>
                <w:szCs w:val="18"/>
              </w:rPr>
            </w:pPr>
            <w:r w:rsidRPr="00E97667">
              <w:rPr>
                <w:i/>
                <w:iCs/>
                <w:spacing w:val="-2"/>
                <w:sz w:val="18"/>
                <w:szCs w:val="18"/>
              </w:rPr>
              <w:t>Individuo neutral al riesgo</w:t>
            </w:r>
          </w:p>
        </w:tc>
        <w:tc>
          <w:tcPr>
            <w:tcW w:w="3275" w:type="dxa"/>
            <w:vAlign w:val="center"/>
          </w:tcPr>
          <w:p w14:paraId="40B4C57A" w14:textId="08558074" w:rsidR="00E97667" w:rsidRDefault="00E97667" w:rsidP="00657A20">
            <w:pPr>
              <w:keepNext/>
              <w:spacing w:after="0"/>
              <w:jc w:val="center"/>
              <w:rPr>
                <w:spacing w:val="-2"/>
                <w:sz w:val="18"/>
                <w:szCs w:val="18"/>
              </w:rPr>
            </w:pPr>
            <w:r>
              <w:rPr>
                <w:spacing w:val="-2"/>
                <w:sz w:val="18"/>
                <w:szCs w:val="18"/>
              </w:rPr>
              <w:t>Se asegura completamente</w:t>
            </w:r>
            <w:r w:rsidR="00657A20">
              <w:rPr>
                <w:spacing w:val="-2"/>
                <w:sz w:val="18"/>
                <w:szCs w:val="18"/>
              </w:rPr>
              <w:t>.</w:t>
            </w:r>
          </w:p>
          <w:p w14:paraId="10CF575A" w14:textId="3A35760E" w:rsidR="00657A20" w:rsidRPr="00E97667" w:rsidRDefault="00001C9E" w:rsidP="00E97667">
            <w:pPr>
              <w:spacing w:after="0"/>
              <w:jc w:val="center"/>
              <w:rPr>
                <w:spacing w:val="-2"/>
                <w:sz w:val="18"/>
                <w:szCs w:val="18"/>
              </w:rPr>
            </w:pPr>
            <w:r>
              <w:rPr>
                <w:noProof/>
                <w:spacing w:val="-2"/>
                <w:sz w:val="18"/>
                <w:szCs w:val="18"/>
              </w:rPr>
              <w:drawing>
                <wp:inline distT="0" distB="0" distL="0" distR="0" wp14:anchorId="2FFEC829" wp14:editId="6EEC1BBA">
                  <wp:extent cx="2044317" cy="1440000"/>
                  <wp:effectExtent l="0" t="0" r="0" b="8255"/>
                  <wp:docPr id="1175330035" name="Imagen 117533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0035" name="Imagen 1175330035"/>
                          <pic:cNvPicPr/>
                        </pic:nvPicPr>
                        <pic:blipFill rotWithShape="1">
                          <a:blip r:embed="rId24"/>
                          <a:srcRect l="15798" r="4346"/>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275" w:type="dxa"/>
            <w:vAlign w:val="center"/>
          </w:tcPr>
          <w:p w14:paraId="5177BA23" w14:textId="7D10ED1F" w:rsidR="00E97667" w:rsidRDefault="00E97667" w:rsidP="00657A20">
            <w:pPr>
              <w:keepNext/>
              <w:spacing w:after="0"/>
              <w:jc w:val="center"/>
              <w:rPr>
                <w:spacing w:val="-2"/>
                <w:sz w:val="16"/>
                <w:szCs w:val="16"/>
              </w:rPr>
            </w:pPr>
            <w:r>
              <w:rPr>
                <w:spacing w:val="-2"/>
                <w:sz w:val="18"/>
                <w:szCs w:val="18"/>
              </w:rPr>
              <w:t>Se muestra indiferente entre cualquier cantidad asegurada</w:t>
            </w:r>
            <w:r>
              <w:rPr>
                <w:spacing w:val="-2"/>
                <w:sz w:val="18"/>
                <w:szCs w:val="18"/>
              </w:rPr>
              <w:br/>
            </w:r>
            <w:r w:rsidRPr="00E97667">
              <w:rPr>
                <w:spacing w:val="-2"/>
                <w:sz w:val="16"/>
                <w:szCs w:val="16"/>
              </w:rPr>
              <w:t>(</w:t>
            </w:r>
            <w:r>
              <w:rPr>
                <w:spacing w:val="-2"/>
                <w:sz w:val="16"/>
                <w:szCs w:val="16"/>
              </w:rPr>
              <w:t>i.e. el óptimo es cualquier combinación factible de la recta presupuestaria</w:t>
            </w:r>
            <w:r w:rsidRPr="00E97667">
              <w:rPr>
                <w:spacing w:val="-2"/>
                <w:sz w:val="16"/>
                <w:szCs w:val="16"/>
              </w:rPr>
              <w:t>)</w:t>
            </w:r>
            <w:r w:rsidR="00657A20">
              <w:rPr>
                <w:spacing w:val="-2"/>
                <w:sz w:val="18"/>
                <w:szCs w:val="18"/>
              </w:rPr>
              <w:t>.</w:t>
            </w:r>
          </w:p>
          <w:p w14:paraId="7D56E1B9" w14:textId="58EF6B13" w:rsidR="00657A20" w:rsidRPr="00E97667" w:rsidRDefault="00657A20" w:rsidP="00E97667">
            <w:pPr>
              <w:spacing w:after="0"/>
              <w:jc w:val="center"/>
              <w:rPr>
                <w:spacing w:val="-2"/>
                <w:sz w:val="18"/>
                <w:szCs w:val="18"/>
              </w:rPr>
            </w:pPr>
            <w:r>
              <w:rPr>
                <w:noProof/>
                <w:spacing w:val="-2"/>
                <w:sz w:val="18"/>
                <w:szCs w:val="18"/>
              </w:rPr>
              <w:drawing>
                <wp:inline distT="0" distB="0" distL="0" distR="0" wp14:anchorId="73EBA06D" wp14:editId="667CD11D">
                  <wp:extent cx="2044317" cy="1440000"/>
                  <wp:effectExtent l="0" t="0" r="0" b="8255"/>
                  <wp:docPr id="338701427" name="Imagen 33870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01427" name="Imagen 338701427"/>
                          <pic:cNvPicPr/>
                        </pic:nvPicPr>
                        <pic:blipFill rotWithShape="1">
                          <a:blip r:embed="rId25"/>
                          <a:srcRect l="16256" r="3888"/>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275" w:type="dxa"/>
            <w:vAlign w:val="center"/>
          </w:tcPr>
          <w:p w14:paraId="3C4BB03F" w14:textId="3A06D9AD" w:rsidR="00E97667" w:rsidRDefault="00E97667" w:rsidP="00657A20">
            <w:pPr>
              <w:keepNext/>
              <w:spacing w:after="0"/>
              <w:jc w:val="center"/>
              <w:rPr>
                <w:spacing w:val="-2"/>
                <w:sz w:val="18"/>
                <w:szCs w:val="18"/>
              </w:rPr>
            </w:pPr>
            <w:r>
              <w:rPr>
                <w:spacing w:val="-2"/>
                <w:sz w:val="18"/>
                <w:szCs w:val="18"/>
              </w:rPr>
              <w:t xml:space="preserve">No </w:t>
            </w:r>
            <w:r w:rsidR="00657A20">
              <w:rPr>
                <w:spacing w:val="-2"/>
                <w:sz w:val="18"/>
                <w:szCs w:val="18"/>
              </w:rPr>
              <w:t xml:space="preserve">se </w:t>
            </w:r>
            <w:r>
              <w:rPr>
                <w:spacing w:val="-2"/>
                <w:sz w:val="18"/>
                <w:szCs w:val="18"/>
              </w:rPr>
              <w:t>asegura</w:t>
            </w:r>
            <w:r w:rsidR="00657A20">
              <w:rPr>
                <w:spacing w:val="-2"/>
                <w:sz w:val="18"/>
                <w:szCs w:val="18"/>
              </w:rPr>
              <w:t xml:space="preserve"> nada.</w:t>
            </w:r>
          </w:p>
          <w:p w14:paraId="091E61BC" w14:textId="63E3AE3B" w:rsidR="00657A20" w:rsidRPr="00E97667" w:rsidRDefault="00657A20" w:rsidP="00E97667">
            <w:pPr>
              <w:spacing w:after="0"/>
              <w:jc w:val="center"/>
              <w:rPr>
                <w:spacing w:val="-2"/>
                <w:sz w:val="18"/>
                <w:szCs w:val="18"/>
              </w:rPr>
            </w:pPr>
            <w:r>
              <w:rPr>
                <w:noProof/>
                <w:spacing w:val="-2"/>
                <w:sz w:val="18"/>
                <w:szCs w:val="18"/>
              </w:rPr>
              <w:drawing>
                <wp:inline distT="0" distB="0" distL="0" distR="0" wp14:anchorId="309FE6AD" wp14:editId="453A7BCD">
                  <wp:extent cx="2044317" cy="1440000"/>
                  <wp:effectExtent l="0" t="0" r="0" b="8255"/>
                  <wp:docPr id="1090679303" name="Imagen 109067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79303" name="Imagen 1090679303"/>
                          <pic:cNvPicPr/>
                        </pic:nvPicPr>
                        <pic:blipFill rotWithShape="1">
                          <a:blip r:embed="rId26"/>
                          <a:srcRect l="15798" r="4346"/>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r>
      <w:tr w:rsidR="00E97667" w:rsidRPr="00E97667" w14:paraId="0B750B13" w14:textId="77777777" w:rsidTr="00657A20">
        <w:trPr>
          <w:jc w:val="center"/>
        </w:trPr>
        <w:tc>
          <w:tcPr>
            <w:tcW w:w="1984" w:type="dxa"/>
            <w:vAlign w:val="center"/>
          </w:tcPr>
          <w:p w14:paraId="7D9AC05C" w14:textId="58F46B53" w:rsidR="00E97667" w:rsidRPr="00E97667" w:rsidRDefault="00E97667" w:rsidP="00E97667">
            <w:pPr>
              <w:spacing w:after="0"/>
              <w:jc w:val="right"/>
              <w:rPr>
                <w:spacing w:val="-2"/>
                <w:sz w:val="18"/>
                <w:szCs w:val="18"/>
              </w:rPr>
            </w:pPr>
            <w:r w:rsidRPr="00E97667">
              <w:rPr>
                <w:i/>
                <w:iCs/>
                <w:spacing w:val="-2"/>
                <w:sz w:val="18"/>
                <w:szCs w:val="18"/>
              </w:rPr>
              <w:lastRenderedPageBreak/>
              <w:t>Individuo amante al riesgo</w:t>
            </w:r>
          </w:p>
        </w:tc>
        <w:tc>
          <w:tcPr>
            <w:tcW w:w="3275" w:type="dxa"/>
            <w:vAlign w:val="center"/>
          </w:tcPr>
          <w:p w14:paraId="608908C7" w14:textId="3DA05AE7" w:rsidR="00E97667" w:rsidRDefault="00A77141" w:rsidP="00A77141">
            <w:pPr>
              <w:keepNext/>
              <w:spacing w:after="0"/>
              <w:jc w:val="center"/>
              <w:rPr>
                <w:spacing w:val="-2"/>
                <w:sz w:val="18"/>
                <w:szCs w:val="18"/>
              </w:rPr>
            </w:pPr>
            <w:r>
              <w:rPr>
                <w:spacing w:val="-2"/>
                <w:sz w:val="18"/>
                <w:szCs w:val="18"/>
              </w:rPr>
              <w:t>Podría no asegurar nada, pero s</w:t>
            </w:r>
            <w:r w:rsidR="00E97667">
              <w:rPr>
                <w:spacing w:val="-2"/>
                <w:sz w:val="18"/>
                <w:szCs w:val="18"/>
              </w:rPr>
              <w:t>i la prima es suficientemente baja se asegura completamente</w:t>
            </w:r>
            <w:r w:rsidR="00657A20">
              <w:rPr>
                <w:spacing w:val="-2"/>
                <w:sz w:val="18"/>
                <w:szCs w:val="18"/>
              </w:rPr>
              <w:t>.</w:t>
            </w:r>
          </w:p>
          <w:p w14:paraId="34A30768" w14:textId="77777777" w:rsidR="00657A20" w:rsidRDefault="00001C9E" w:rsidP="00A77141">
            <w:pPr>
              <w:keepNext/>
              <w:spacing w:after="0"/>
              <w:jc w:val="center"/>
              <w:rPr>
                <w:spacing w:val="-2"/>
                <w:sz w:val="18"/>
                <w:szCs w:val="18"/>
              </w:rPr>
            </w:pPr>
            <w:r>
              <w:rPr>
                <w:noProof/>
                <w:spacing w:val="-2"/>
                <w:sz w:val="18"/>
                <w:szCs w:val="18"/>
              </w:rPr>
              <w:drawing>
                <wp:inline distT="0" distB="0" distL="0" distR="0" wp14:anchorId="7D2CCAB2" wp14:editId="0E3B528C">
                  <wp:extent cx="2044317" cy="1440000"/>
                  <wp:effectExtent l="0" t="0" r="0" b="8255"/>
                  <wp:docPr id="1584776633" name="Imagen 1584776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776633" name="Imagen 1584776633"/>
                          <pic:cNvPicPr/>
                        </pic:nvPicPr>
                        <pic:blipFill rotWithShape="1">
                          <a:blip r:embed="rId27"/>
                          <a:srcRect l="16189" r="3955"/>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p w14:paraId="34D285BB" w14:textId="3BB169EE" w:rsidR="00001C9E" w:rsidRPr="00E97667" w:rsidRDefault="00001C9E" w:rsidP="00E97667">
            <w:pPr>
              <w:spacing w:after="0"/>
              <w:jc w:val="center"/>
              <w:rPr>
                <w:spacing w:val="-2"/>
                <w:sz w:val="18"/>
                <w:szCs w:val="18"/>
              </w:rPr>
            </w:pPr>
            <w:r>
              <w:rPr>
                <w:noProof/>
                <w:spacing w:val="-2"/>
                <w:sz w:val="18"/>
                <w:szCs w:val="18"/>
              </w:rPr>
              <w:drawing>
                <wp:inline distT="0" distB="0" distL="0" distR="0" wp14:anchorId="2039AB53" wp14:editId="38389C97">
                  <wp:extent cx="2044317" cy="1440000"/>
                  <wp:effectExtent l="0" t="0" r="0" b="8255"/>
                  <wp:docPr id="263177372" name="Imagen 26317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77372" name="Imagen 263177372"/>
                          <pic:cNvPicPr/>
                        </pic:nvPicPr>
                        <pic:blipFill rotWithShape="1">
                          <a:blip r:embed="rId28"/>
                          <a:srcRect l="16377" t="574" r="3766" b="-574"/>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275" w:type="dxa"/>
            <w:vAlign w:val="center"/>
          </w:tcPr>
          <w:p w14:paraId="0BC320ED" w14:textId="4323364C" w:rsidR="00E97667" w:rsidRDefault="00657A20" w:rsidP="00657A20">
            <w:pPr>
              <w:keepNext/>
              <w:spacing w:after="0"/>
              <w:jc w:val="center"/>
              <w:rPr>
                <w:spacing w:val="-2"/>
                <w:sz w:val="18"/>
                <w:szCs w:val="18"/>
              </w:rPr>
            </w:pPr>
            <w:r>
              <w:rPr>
                <w:spacing w:val="-2"/>
                <w:sz w:val="18"/>
                <w:szCs w:val="18"/>
              </w:rPr>
              <w:t>N</w:t>
            </w:r>
            <w:r w:rsidR="00E97667">
              <w:rPr>
                <w:spacing w:val="-2"/>
                <w:sz w:val="18"/>
                <w:szCs w:val="18"/>
              </w:rPr>
              <w:t xml:space="preserve">o </w:t>
            </w:r>
            <w:r>
              <w:rPr>
                <w:spacing w:val="-2"/>
                <w:sz w:val="18"/>
                <w:szCs w:val="18"/>
              </w:rPr>
              <w:t xml:space="preserve">se </w:t>
            </w:r>
            <w:r w:rsidR="00E97667">
              <w:rPr>
                <w:spacing w:val="-2"/>
                <w:sz w:val="18"/>
                <w:szCs w:val="18"/>
              </w:rPr>
              <w:t>asegura nada.</w:t>
            </w:r>
          </w:p>
          <w:p w14:paraId="0B61179A" w14:textId="57D2D33A" w:rsidR="00657A20" w:rsidRPr="00E97667" w:rsidRDefault="00657A20" w:rsidP="00E97667">
            <w:pPr>
              <w:spacing w:after="0"/>
              <w:jc w:val="center"/>
              <w:rPr>
                <w:spacing w:val="-2"/>
                <w:sz w:val="18"/>
                <w:szCs w:val="18"/>
              </w:rPr>
            </w:pPr>
            <w:r>
              <w:rPr>
                <w:noProof/>
                <w:spacing w:val="-2"/>
                <w:sz w:val="18"/>
                <w:szCs w:val="18"/>
              </w:rPr>
              <w:drawing>
                <wp:inline distT="0" distB="0" distL="0" distR="0" wp14:anchorId="4DFE3B93" wp14:editId="5184EE0F">
                  <wp:extent cx="2044317" cy="1440000"/>
                  <wp:effectExtent l="0" t="0" r="0" b="8255"/>
                  <wp:docPr id="349266505" name="Imagen 34926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266505" name="Imagen 349266505"/>
                          <pic:cNvPicPr/>
                        </pic:nvPicPr>
                        <pic:blipFill rotWithShape="1">
                          <a:blip r:embed="rId29"/>
                          <a:srcRect l="15569" r="4575"/>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275" w:type="dxa"/>
            <w:vAlign w:val="center"/>
          </w:tcPr>
          <w:p w14:paraId="25619E10" w14:textId="0305E90D" w:rsidR="00E97667" w:rsidRDefault="00E97667" w:rsidP="00657A20">
            <w:pPr>
              <w:keepNext/>
              <w:spacing w:after="0"/>
              <w:jc w:val="center"/>
              <w:rPr>
                <w:spacing w:val="-2"/>
                <w:sz w:val="18"/>
                <w:szCs w:val="18"/>
              </w:rPr>
            </w:pPr>
            <w:r>
              <w:rPr>
                <w:spacing w:val="-2"/>
                <w:sz w:val="18"/>
                <w:szCs w:val="18"/>
              </w:rPr>
              <w:t xml:space="preserve">No asegura </w:t>
            </w:r>
            <w:r w:rsidR="00657A20">
              <w:rPr>
                <w:spacing w:val="-2"/>
                <w:sz w:val="18"/>
                <w:szCs w:val="18"/>
              </w:rPr>
              <w:t>nada.</w:t>
            </w:r>
          </w:p>
          <w:p w14:paraId="26D3190F" w14:textId="1E3D8108" w:rsidR="00657A20" w:rsidRPr="00E97667" w:rsidRDefault="00657A20" w:rsidP="00E97667">
            <w:pPr>
              <w:spacing w:after="0"/>
              <w:jc w:val="center"/>
              <w:rPr>
                <w:spacing w:val="-2"/>
                <w:sz w:val="18"/>
                <w:szCs w:val="18"/>
              </w:rPr>
            </w:pPr>
            <w:r>
              <w:rPr>
                <w:noProof/>
                <w:spacing w:val="-2"/>
                <w:sz w:val="18"/>
                <w:szCs w:val="18"/>
              </w:rPr>
              <w:drawing>
                <wp:inline distT="0" distB="0" distL="0" distR="0" wp14:anchorId="388BC8A1" wp14:editId="06F57615">
                  <wp:extent cx="2044317" cy="1440000"/>
                  <wp:effectExtent l="0" t="0" r="0" b="8255"/>
                  <wp:docPr id="1865776190" name="Imagen 1865776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76190" name="Imagen 1865776190"/>
                          <pic:cNvPicPr/>
                        </pic:nvPicPr>
                        <pic:blipFill rotWithShape="1">
                          <a:blip r:embed="rId30"/>
                          <a:srcRect l="15569" r="4575"/>
                          <a:stretch/>
                        </pic:blipFill>
                        <pic:spPr bwMode="auto">
                          <a:xfrm>
                            <a:off x="0" y="0"/>
                            <a:ext cx="2044317" cy="144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6441764" w14:textId="4EEDD9B8" w:rsidR="005A64E1" w:rsidRDefault="005A64E1" w:rsidP="005A64E1">
      <w:pPr>
        <w:pStyle w:val="Ttulo7"/>
      </w:pPr>
      <w:bookmarkStart w:id="46" w:name="_Toc172232548"/>
      <w:r>
        <w:t>Valoración</w:t>
      </w:r>
      <w:bookmarkEnd w:id="46"/>
    </w:p>
    <w:p w14:paraId="2E68E1CD" w14:textId="77777777" w:rsidR="00E80747" w:rsidRDefault="00274F1B" w:rsidP="00E80747">
      <w:pPr>
        <w:pStyle w:val="Nivel1SM"/>
        <w:keepNext/>
        <w:spacing w:before="0" w:after="0"/>
      </w:pPr>
      <w:r>
        <w:t>Este modelo permite tener una visión general con los fundamentos de la demanda de aseguramiento</w:t>
      </w:r>
      <w:r>
        <w:rPr>
          <w:rStyle w:val="Refdenotaalpie"/>
        </w:rPr>
        <w:footnoteReference w:id="38"/>
      </w:r>
      <w:r>
        <w:t xml:space="preserve"> para conocer sus determinantes, sus posibles equilibrios o resultados esperados, así como el análisis de estática comparativa.</w:t>
      </w:r>
    </w:p>
    <w:p w14:paraId="15C6371F" w14:textId="34334849" w:rsidR="00274F1B" w:rsidRPr="00274F1B" w:rsidRDefault="00274F1B" w:rsidP="00E80747">
      <w:pPr>
        <w:pStyle w:val="Nivel2SM"/>
      </w:pPr>
      <w:r>
        <w:t xml:space="preserve">No obstante, la simplicidad de sus supuestos lo hacen susceptible de importantes extensiones o refinamientos que modifican sus supuestos de partida, entre las que destaca por su relevancia la existencia de información asimétrica, tanto </w:t>
      </w:r>
      <w:r>
        <w:rPr>
          <w:i/>
          <w:iCs/>
        </w:rPr>
        <w:t>ex-ante</w:t>
      </w:r>
      <w:r>
        <w:t xml:space="preserve"> que origina problemas de selección adversa, como </w:t>
      </w:r>
      <w:r>
        <w:rPr>
          <w:i/>
          <w:iCs/>
        </w:rPr>
        <w:t>ex-post</w:t>
      </w:r>
      <w:r>
        <w:t xml:space="preserve"> con problemas de riesgo moral </w:t>
      </w:r>
      <w:r w:rsidRPr="00274F1B">
        <w:rPr>
          <w:color w:val="767171" w:themeColor="background2" w:themeShade="80"/>
          <w:sz w:val="19"/>
          <w:szCs w:val="19"/>
        </w:rPr>
        <w:t>[</w:t>
      </w:r>
      <w:r>
        <w:rPr>
          <w:color w:val="767171" w:themeColor="background2" w:themeShade="80"/>
          <w:sz w:val="19"/>
          <w:szCs w:val="19"/>
        </w:rPr>
        <w:t>ver tema 3.A.13</w:t>
      </w:r>
      <w:r w:rsidRPr="00274F1B">
        <w:rPr>
          <w:color w:val="767171" w:themeColor="background2" w:themeShade="80"/>
          <w:sz w:val="19"/>
          <w:szCs w:val="19"/>
        </w:rPr>
        <w:t>]</w:t>
      </w:r>
      <w:r>
        <w:t>.</w:t>
      </w:r>
    </w:p>
    <w:p w14:paraId="04B17073" w14:textId="0780192A" w:rsidR="0086404B" w:rsidRDefault="00614091" w:rsidP="009A3230">
      <w:pPr>
        <w:pStyle w:val="Ttulo6"/>
      </w:pPr>
      <w:bookmarkStart w:id="47" w:name="_Toc172232549"/>
      <w:r>
        <w:t>Decisión de cartera: demanda de bonos y accione</w:t>
      </w:r>
      <w:r w:rsidR="009A3230">
        <w:t>s</w:t>
      </w:r>
      <w:bookmarkEnd w:id="47"/>
    </w:p>
    <w:p w14:paraId="361CAFD7" w14:textId="3BF9D3A5" w:rsidR="00A817FE" w:rsidRDefault="00A817FE" w:rsidP="00A817FE">
      <w:pPr>
        <w:pStyle w:val="Notaalopositor"/>
      </w:pPr>
      <w:r>
        <w:t>Lo mismo pero al revés, cu</w:t>
      </w:r>
      <w:r w:rsidR="00192CB4">
        <w:t>á</w:t>
      </w:r>
      <w:r>
        <w:t>nto es necesario para apartar a un individuo averso al riesgo de su línea de certeza.</w:t>
      </w:r>
    </w:p>
    <w:p w14:paraId="1B9570AC" w14:textId="250FDF64" w:rsidR="002A23E4" w:rsidRDefault="002A23E4" w:rsidP="00A817FE">
      <w:pPr>
        <w:pStyle w:val="Notaalopositor"/>
      </w:pPr>
      <w:r>
        <w:t>No cantar.</w:t>
      </w:r>
      <w:r w:rsidR="00A912EB">
        <w:t xml:space="preserve"> Simplemente mencionar.</w:t>
      </w:r>
    </w:p>
    <w:p w14:paraId="49B3CB69" w14:textId="77777777" w:rsidR="00A817FE" w:rsidRPr="006E38B7" w:rsidRDefault="00A817FE" w:rsidP="00A817FE"/>
    <w:p w14:paraId="45A9BA15" w14:textId="68A68E80" w:rsidR="00614091" w:rsidRDefault="00614091" w:rsidP="00106DD6">
      <w:pPr>
        <w:pStyle w:val="Ttulo2"/>
      </w:pPr>
      <w:bookmarkStart w:id="48" w:name="_Ref109478428"/>
      <w:bookmarkStart w:id="49" w:name="_Toc172232550"/>
      <w:r>
        <w:t>Extensiones</w:t>
      </w:r>
      <w:bookmarkEnd w:id="48"/>
      <w:bookmarkEnd w:id="49"/>
    </w:p>
    <w:p w14:paraId="58B5BC16" w14:textId="46E43DDA" w:rsidR="00146490" w:rsidRDefault="00146490" w:rsidP="00E80747">
      <w:pPr>
        <w:pStyle w:val="Nivel1SM"/>
        <w:keepNext/>
        <w:spacing w:before="0" w:after="0"/>
      </w:pPr>
      <w:r>
        <w:t xml:space="preserve">El enfoque de la utilidad esperada de </w:t>
      </w:r>
      <w:r w:rsidR="00084BF4">
        <w:t>von Neumann</w:t>
      </w:r>
      <w:r>
        <w:t xml:space="preserve">-Morgenstern analizado es el más extendido, pero también es susceptible de ciertas </w:t>
      </w:r>
      <w:r w:rsidRPr="00E80747">
        <w:rPr>
          <w:b/>
          <w:bCs/>
        </w:rPr>
        <w:t>extensiones</w:t>
      </w:r>
      <w:r>
        <w:t>, entre las que destacan:</w:t>
      </w:r>
    </w:p>
    <w:p w14:paraId="2819AEE1" w14:textId="79C24AA9" w:rsidR="00E80747" w:rsidRDefault="00E80747" w:rsidP="00E80747">
      <w:pPr>
        <w:pStyle w:val="Nivel2SM"/>
      </w:pPr>
      <w:r>
        <w:t>Utilidad estado dependiente (</w:t>
      </w:r>
      <w:proofErr w:type="spellStart"/>
      <w:r w:rsidRPr="00E80747">
        <w:rPr>
          <w:i/>
          <w:iCs/>
        </w:rPr>
        <w:t>state-dependent</w:t>
      </w:r>
      <w:proofErr w:type="spellEnd"/>
      <w:r w:rsidRPr="00E80747">
        <w:rPr>
          <w:i/>
          <w:iCs/>
        </w:rPr>
        <w:t xml:space="preserve"> </w:t>
      </w:r>
      <w:proofErr w:type="spellStart"/>
      <w:r w:rsidRPr="00E80747">
        <w:rPr>
          <w:i/>
          <w:iCs/>
        </w:rPr>
        <w:t>utility</w:t>
      </w:r>
      <w:proofErr w:type="spellEnd"/>
      <w:r>
        <w:t>)</w:t>
      </w:r>
    </w:p>
    <w:p w14:paraId="2DB71EAC" w14:textId="0E911CF2" w:rsidR="00E80747" w:rsidRDefault="00E80747" w:rsidP="00E80747">
      <w:pPr>
        <w:pStyle w:val="Nivel2SM"/>
      </w:pPr>
      <w:r>
        <w:t>Enfoque de preferencia por el estado (</w:t>
      </w:r>
      <w:proofErr w:type="spellStart"/>
      <w:r>
        <w:rPr>
          <w:i/>
          <w:iCs/>
        </w:rPr>
        <w:t>state-preference</w:t>
      </w:r>
      <w:proofErr w:type="spellEnd"/>
      <w:r>
        <w:t>)</w:t>
      </w:r>
    </w:p>
    <w:p w14:paraId="32CA5B6F" w14:textId="75FAE7C2" w:rsidR="00E80747" w:rsidRDefault="00E80747" w:rsidP="00E80747">
      <w:pPr>
        <w:pStyle w:val="Ttulo6"/>
      </w:pPr>
      <w:bookmarkStart w:id="50" w:name="_Toc172232551"/>
      <w:r w:rsidRPr="00E80747">
        <w:t>Introducción de utilidad estado-dependiente</w:t>
      </w:r>
      <w:r>
        <w:t xml:space="preserve"> (</w:t>
      </w:r>
      <w:proofErr w:type="spellStart"/>
      <w:r>
        <w:rPr>
          <w:i/>
          <w:iCs/>
        </w:rPr>
        <w:t>state-dependent</w:t>
      </w:r>
      <w:proofErr w:type="spellEnd"/>
      <w:r>
        <w:rPr>
          <w:i/>
          <w:iCs/>
        </w:rPr>
        <w:t xml:space="preserve"> </w:t>
      </w:r>
      <w:proofErr w:type="spellStart"/>
      <w:r>
        <w:rPr>
          <w:i/>
          <w:iCs/>
        </w:rPr>
        <w:t>utility</w:t>
      </w:r>
      <w:proofErr w:type="spellEnd"/>
      <w:r>
        <w:t>)</w:t>
      </w:r>
      <w:bookmarkEnd w:id="50"/>
    </w:p>
    <w:p w14:paraId="7439D440" w14:textId="77777777" w:rsidR="00E80747" w:rsidRDefault="00146490" w:rsidP="00E80747">
      <w:pPr>
        <w:pStyle w:val="Nivel1SM"/>
        <w:keepNext/>
        <w:spacing w:before="0" w:after="0"/>
      </w:pPr>
      <w:r>
        <w:t>En el m</w:t>
      </w:r>
      <w:r w:rsidR="00746967">
        <w:t>odelo básico estudiado se asume que la utilidad de Bernoulli</w:t>
      </w:r>
      <m:oMath>
        <m:r>
          <w:rPr>
            <w:rFonts w:ascii="Cambria Math" w:hAnsi="Cambria Math"/>
          </w:rPr>
          <m:t xml:space="preserve"> </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s</m:t>
                </m:r>
              </m:sub>
            </m:sSub>
          </m:e>
        </m:d>
      </m:oMath>
      <w:r w:rsidR="00746967">
        <w:t xml:space="preserve"> es la misma independientemente del resultado (estado-independiente</w:t>
      </w:r>
      <w:r w:rsidR="006E424D">
        <w:t>).</w:t>
      </w:r>
    </w:p>
    <w:p w14:paraId="4E0D4B5D" w14:textId="7A6CEB5E" w:rsidR="00E80747" w:rsidRDefault="00831E8C" w:rsidP="00E80747">
      <w:pPr>
        <w:pStyle w:val="Nivel2SM"/>
        <w:keepNext/>
        <w:spacing w:after="0"/>
      </w:pPr>
      <w:r>
        <w:t>Sin embargo</w:t>
      </w:r>
      <w:r w:rsidR="00746967">
        <w:t>, es posible que el agente no</w:t>
      </w:r>
      <w:r w:rsidR="00E80747">
        <w:t xml:space="preserve"> </w:t>
      </w:r>
      <w:r w:rsidR="00746967">
        <w:t xml:space="preserve">se preocupe exclusivamente por la lotería o distribución de pagos monetarios como supone el modelo básico, sino que sería sensato pensar </w:t>
      </w:r>
      <w:r w:rsidR="00746967">
        <w:lastRenderedPageBreak/>
        <w:t xml:space="preserve">que </w:t>
      </w:r>
      <w:r w:rsidR="00746967" w:rsidRPr="00E80747">
        <w:rPr>
          <w:i/>
          <w:iCs/>
        </w:rPr>
        <w:t>la causa concreta que los origina (llamados estados de la naturaleza) también afecta a la utilidad</w:t>
      </w:r>
      <w:r w:rsidR="00746967">
        <w:t xml:space="preserve">, que pasaría a ser </w:t>
      </w:r>
      <m:oMath>
        <m:sSub>
          <m:sSubPr>
            <m:ctrlPr>
              <w:rPr>
                <w:rFonts w:ascii="Cambria Math" w:hAnsi="Cambria Math"/>
                <w:i/>
                <w:iCs/>
                <w:szCs w:val="16"/>
              </w:rPr>
            </m:ctrlPr>
          </m:sSubPr>
          <m:e>
            <m:r>
              <m:rPr>
                <m:nor/>
              </m:rPr>
              <w:rPr>
                <w:i/>
                <w:iCs/>
                <w:szCs w:val="16"/>
              </w:rPr>
              <m:t>u</m:t>
            </m:r>
          </m:e>
          <m:sub>
            <m:r>
              <m:rPr>
                <m:nor/>
              </m:rPr>
              <w:rPr>
                <w:i/>
                <w:iCs/>
                <w:szCs w:val="16"/>
              </w:rPr>
              <m:t>s</m:t>
            </m:r>
          </m:sub>
        </m:sSub>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s</m:t>
                </m:r>
              </m:sub>
            </m:sSub>
          </m:e>
        </m:d>
      </m:oMath>
      <w:r w:rsidR="00746967">
        <w:t>.</w:t>
      </w:r>
    </w:p>
    <w:p w14:paraId="438E65BF" w14:textId="1F42503F" w:rsidR="0062309B" w:rsidRPr="00E80747" w:rsidRDefault="00746967" w:rsidP="00E80747">
      <w:pPr>
        <w:pStyle w:val="Nivel3SM"/>
      </w:pPr>
      <w:r w:rsidRPr="00E80747">
        <w:t xml:space="preserve">El ejemplo más típico es el caso en que los diferentes estados de la naturaleza se refieren a la salud, pues no se disfrutaría igual un mismo pago con buena salud que con </w:t>
      </w:r>
      <w:r w:rsidR="00831E8C" w:rsidRPr="00E80747">
        <w:t>la</w:t>
      </w:r>
      <w:r w:rsidR="00CA1470" w:rsidRPr="00E80747">
        <w:t xml:space="preserve"> </w:t>
      </w:r>
      <w:r w:rsidR="00831E8C" w:rsidRPr="00E80747">
        <w:t>salud mermada.</w:t>
      </w:r>
    </w:p>
    <w:p w14:paraId="21F93CE8" w14:textId="77777777" w:rsidR="00E80747" w:rsidRDefault="00831E8C" w:rsidP="00E80747">
      <w:pPr>
        <w:pStyle w:val="Nivel2SM"/>
      </w:pPr>
      <w:r>
        <w:t xml:space="preserve">Aunque el desarrollo formal de este enfoque requiere algunas </w:t>
      </w:r>
      <w:r w:rsidR="00746967">
        <w:t xml:space="preserve">modificaciones con respecto al </w:t>
      </w:r>
      <w:r w:rsidR="00746967" w:rsidRPr="00E80747">
        <w:t>estudiado</w:t>
      </w:r>
      <w:r w:rsidR="00746967">
        <w:t>, existe una utilidad esperada “extendida” o ampliada que lo representa y un teorema de la utilidad esperada ampliada que demuestra su existencia, en términos análogos al modelo básico.</w:t>
      </w:r>
    </w:p>
    <w:p w14:paraId="7AB521BE" w14:textId="2DA805F4" w:rsidR="00146490" w:rsidRDefault="00746967" w:rsidP="00E80747">
      <w:pPr>
        <w:pStyle w:val="Nivel2SM"/>
      </w:pPr>
      <w:r>
        <w:t>Su relevancia práctica puede encontrarse en el modelo de aseguramiento, pues con utilidad estado-dependiente no se cumplirá en general que un agente averso al riesgo se asegure completamente cua</w:t>
      </w:r>
      <w:r w:rsidR="00E80747">
        <w:t>n</w:t>
      </w:r>
      <w:r>
        <w:t>do la prima es actuarialmente justa</w:t>
      </w:r>
      <w:r w:rsidR="00FC4704">
        <w:rPr>
          <w:rStyle w:val="Refdenotaalpie"/>
        </w:rPr>
        <w:footnoteReference w:id="39"/>
      </w:r>
      <w:r>
        <w:t>.</w:t>
      </w:r>
    </w:p>
    <w:p w14:paraId="1A8165DA" w14:textId="45CD85A0" w:rsidR="00E80747" w:rsidRDefault="00E80747" w:rsidP="00E80747">
      <w:pPr>
        <w:pStyle w:val="Ttulo6"/>
      </w:pPr>
      <w:bookmarkStart w:id="51" w:name="_Toc172232552"/>
      <w:r>
        <w:t>E</w:t>
      </w:r>
      <w:r w:rsidR="00746967" w:rsidRPr="00E80747">
        <w:t>nfoque de preferencia por el estado</w:t>
      </w:r>
      <w:r w:rsidR="00746967">
        <w:t xml:space="preserve"> (</w:t>
      </w:r>
      <w:proofErr w:type="spellStart"/>
      <w:r w:rsidR="00746967" w:rsidRPr="00E80747">
        <w:rPr>
          <w:i/>
          <w:iCs/>
        </w:rPr>
        <w:t>state-preference</w:t>
      </w:r>
      <w:proofErr w:type="spellEnd"/>
      <w:r w:rsidR="00746967">
        <w:t>)</w:t>
      </w:r>
      <w:bookmarkEnd w:id="51"/>
    </w:p>
    <w:p w14:paraId="36EAF268" w14:textId="77777777" w:rsidR="001254A9" w:rsidRDefault="00746967" w:rsidP="001254A9">
      <w:pPr>
        <w:pStyle w:val="Nivel1SM"/>
        <w:keepNext/>
        <w:spacing w:before="0" w:after="0"/>
      </w:pPr>
      <w:r>
        <w:t>Aunque la obtención de la función de utilidad esperada guarda muchas semejanzas con el caso de la utilidad bajo certidumbre, el hecho de que las preferencias se definan sobre el espacio de loterías</w:t>
      </w:r>
      <w:r w:rsidR="002570B1">
        <w:t xml:space="preserve"> en lugar de sobre el espacio de bienes aleja ambos enfoques. Esta brecha sería cerrada gracias al enfoque de preferencia por el estado de </w:t>
      </w:r>
      <w:r w:rsidR="002570B1">
        <w:rPr>
          <w:smallCaps/>
        </w:rPr>
        <w:t>Kenneth J. Arrow</w:t>
      </w:r>
      <w:r w:rsidR="002570B1">
        <w:t xml:space="preserve"> (1953) y </w:t>
      </w:r>
      <w:r w:rsidR="002570B1">
        <w:rPr>
          <w:smallCaps/>
        </w:rPr>
        <w:t>Gérard Debreu</w:t>
      </w:r>
      <w:r w:rsidR="002570B1">
        <w:t xml:space="preserve"> (1959).</w:t>
      </w:r>
    </w:p>
    <w:p w14:paraId="57E620B2" w14:textId="77777777" w:rsidR="001254A9" w:rsidRDefault="002570B1" w:rsidP="001254A9">
      <w:pPr>
        <w:pStyle w:val="Nivel2SM"/>
        <w:keepNext/>
        <w:spacing w:after="0"/>
      </w:pPr>
      <w:r>
        <w:t xml:space="preserve">En este enfoque, las decisiones bajo riesgo pueden reducirse a un problema de elección convencional sobre el espacio de resultados gracias a un cambio adecuado de la estructura de los bienes. En efecto, las preferencias se forman sobre cestas de </w:t>
      </w:r>
      <w:r w:rsidRPr="00220DCD">
        <w:rPr>
          <w:i/>
          <w:iCs/>
        </w:rPr>
        <w:t>“bienes estado-contingentes”</w:t>
      </w:r>
      <w:r>
        <w:t>, bienes que se definen no solo por sus propiedades físicas (como en la decisión bajo certidumbre) sino también por el momento y el estado de la naturaleza en que se consumen</w:t>
      </w:r>
      <w:r w:rsidR="001254A9">
        <w:t>.</w:t>
      </w:r>
    </w:p>
    <w:p w14:paraId="3F5A0117" w14:textId="77777777" w:rsidR="001254A9" w:rsidRDefault="001254A9" w:rsidP="001254A9">
      <w:pPr>
        <w:pStyle w:val="Nivel3SM"/>
      </w:pPr>
      <w:r>
        <w:t xml:space="preserve">Por ejemplo, </w:t>
      </w:r>
      <w:r w:rsidR="002570B1">
        <w:t xml:space="preserve">no se valora lo mismo un paraguas cuando llueve que un paraguas cuando hace sol, por lo que </w:t>
      </w:r>
      <w:r w:rsidR="00541229">
        <w:t>e</w:t>
      </w:r>
      <w:r w:rsidR="002570B1">
        <w:t xml:space="preserve">se paraguas debe tener diferentes precios, denominados </w:t>
      </w:r>
      <w:r w:rsidR="002570B1" w:rsidRPr="00220DCD">
        <w:rPr>
          <w:i/>
          <w:iCs/>
        </w:rPr>
        <w:t>precios Arrow-Debreu</w:t>
      </w:r>
      <w:r w:rsidR="002570B1">
        <w:t>, según el momento y el estado de la naturaleza en que se consume, debiendo existir mercados diferentes para cada uno de ellos</w:t>
      </w:r>
      <w:r w:rsidR="00D00DD8">
        <w:t xml:space="preserve"> (</w:t>
      </w:r>
      <w:r w:rsidR="00D00DD8">
        <w:rPr>
          <w:i/>
          <w:iCs/>
        </w:rPr>
        <w:t>mercados contingentes</w:t>
      </w:r>
      <w:r w:rsidR="00D00DD8">
        <w:t>)</w:t>
      </w:r>
      <w:r w:rsidR="002570B1">
        <w:t>.</w:t>
      </w:r>
    </w:p>
    <w:p w14:paraId="760E01FF" w14:textId="738B3AC1" w:rsidR="00746967" w:rsidRDefault="002570B1" w:rsidP="001254A9">
      <w:pPr>
        <w:pStyle w:val="Nivel2SM"/>
      </w:pPr>
      <w:r>
        <w:t>Este análisis tiene la ventaja teórica de permitir incorporar fácilmente el riesgo en modelos de equilibrio general, pero la falta de realismo de sus supuestos hace que tenga limitada aplicación práctica.</w:t>
      </w:r>
    </w:p>
    <w:p w14:paraId="515D5A7C" w14:textId="4824E53F" w:rsidR="00F6052F" w:rsidRDefault="00F6052F" w:rsidP="00F6052F">
      <w:pPr>
        <w:pStyle w:val="Ttulo1"/>
      </w:pPr>
      <w:bookmarkStart w:id="52" w:name="_Toc172232553"/>
      <w:r>
        <w:t>ELECCIÓN DEL CONSUMIDOR EN SITUACIONES DE RIESGO II:</w:t>
      </w:r>
      <w:r>
        <w:br/>
        <w:t>CRÍTICAS A LA TEORÍA DE LA UTILIDAD ESPERADA Y ENFOQUES ALTERNATIVOS</w:t>
      </w:r>
      <w:bookmarkEnd w:id="52"/>
    </w:p>
    <w:p w14:paraId="406CA59C" w14:textId="6EF20215" w:rsidR="00614091" w:rsidRDefault="003F6B27">
      <w:pPr>
        <w:pStyle w:val="Ttulo2"/>
      </w:pPr>
      <w:bookmarkStart w:id="53" w:name="_Toc172232554"/>
      <w:r>
        <w:t>L</w:t>
      </w:r>
      <w:r w:rsidR="00614091">
        <w:t xml:space="preserve">imitaciones y críticas a la </w:t>
      </w:r>
      <w:r>
        <w:t>T</w:t>
      </w:r>
      <w:r w:rsidR="00614091">
        <w:t xml:space="preserve">eoría de la </w:t>
      </w:r>
      <w:r>
        <w:t>U</w:t>
      </w:r>
      <w:r w:rsidR="00614091">
        <w:t xml:space="preserve">tilidad </w:t>
      </w:r>
      <w:r>
        <w:t>E</w:t>
      </w:r>
      <w:r w:rsidR="00614091">
        <w:t>sperada</w:t>
      </w:r>
      <w:bookmarkEnd w:id="53"/>
    </w:p>
    <w:p w14:paraId="7C364CC3" w14:textId="6F01AA54" w:rsidR="00B86A95" w:rsidRPr="001254A9" w:rsidRDefault="00B86A95" w:rsidP="001254A9">
      <w:pPr>
        <w:pStyle w:val="Nivel1SM"/>
        <w:keepNext/>
        <w:spacing w:before="0" w:after="0"/>
        <w:rPr>
          <w:spacing w:val="-3"/>
        </w:rPr>
      </w:pPr>
      <w:r w:rsidRPr="001254A9">
        <w:rPr>
          <w:spacing w:val="-3"/>
        </w:rPr>
        <w:t>Hasta aquí hemos desarrollado la Teoría de la Utilidad Esperada y hemos visto c</w:t>
      </w:r>
      <w:r w:rsidR="001254A9" w:rsidRPr="001254A9">
        <w:rPr>
          <w:spacing w:val="-3"/>
        </w:rPr>
        <w:t>ó</w:t>
      </w:r>
      <w:r w:rsidRPr="001254A9">
        <w:rPr>
          <w:spacing w:val="-3"/>
        </w:rPr>
        <w:t>mo modeliza la teoría económica el comportamiento de los individuos cuando estos se enfrentan a situaciones de riesgo.</w:t>
      </w:r>
    </w:p>
    <w:p w14:paraId="7E34762A" w14:textId="00D1D4DD" w:rsidR="00542EF6" w:rsidRDefault="00542EF6" w:rsidP="001254A9">
      <w:pPr>
        <w:pStyle w:val="Nivel2SM"/>
      </w:pPr>
      <w:r>
        <w:t xml:space="preserve">La </w:t>
      </w:r>
      <w:r w:rsidR="00B86A95">
        <w:t>T</w:t>
      </w:r>
      <w:r>
        <w:t xml:space="preserve">eoría de la </w:t>
      </w:r>
      <w:r w:rsidR="00B86A95">
        <w:t>U</w:t>
      </w:r>
      <w:r>
        <w:t xml:space="preserve">tilidad </w:t>
      </w:r>
      <w:r w:rsidR="00B86A95">
        <w:t>E</w:t>
      </w:r>
      <w:r>
        <w:t xml:space="preserve">sperada </w:t>
      </w:r>
      <w:r w:rsidR="00146490">
        <w:t>representa la herramienta de análisis fundamental para el estudio de situaciones de riesgo. S</w:t>
      </w:r>
      <w:r>
        <w:t>u conveniencia y operatividad son innegables.</w:t>
      </w:r>
    </w:p>
    <w:p w14:paraId="245F0D7A" w14:textId="5F53AD65" w:rsidR="00146490" w:rsidRDefault="00146490" w:rsidP="001254A9">
      <w:pPr>
        <w:pStyle w:val="Nivel1SM"/>
        <w:keepNext/>
        <w:spacing w:after="0"/>
      </w:pPr>
      <w:r>
        <w:t xml:space="preserve">No obstante, la </w:t>
      </w:r>
      <w:r w:rsidR="00B86A95">
        <w:t>T</w:t>
      </w:r>
      <w:r>
        <w:t xml:space="preserve">eoría de la </w:t>
      </w:r>
      <w:r w:rsidR="00B86A95">
        <w:t>U</w:t>
      </w:r>
      <w:r>
        <w:t xml:space="preserve">tilidad </w:t>
      </w:r>
      <w:r w:rsidR="00B86A95">
        <w:t>E</w:t>
      </w:r>
      <w:r>
        <w:t xml:space="preserve">sperada no está exenta de </w:t>
      </w:r>
      <w:r w:rsidRPr="00DF2655">
        <w:rPr>
          <w:i/>
          <w:iCs/>
          <w:u w:val="single"/>
        </w:rPr>
        <w:t>inconvenientes</w:t>
      </w:r>
      <w:r w:rsidR="00935214">
        <w:t>:</w:t>
      </w:r>
    </w:p>
    <w:p w14:paraId="4CACA776" w14:textId="153CBF46" w:rsidR="00935214" w:rsidRDefault="00935214" w:rsidP="001254A9">
      <w:pPr>
        <w:pStyle w:val="Nivel2SM"/>
        <w:keepNext/>
        <w:spacing w:after="0"/>
      </w:pPr>
      <w:r>
        <w:t xml:space="preserve">Entre las primeras críticas destaca el análisis de </w:t>
      </w:r>
      <w:r w:rsidRPr="005D20D4">
        <w:rPr>
          <w:b/>
          <w:bCs/>
          <w:smallCaps/>
        </w:rPr>
        <w:t>Friedman</w:t>
      </w:r>
      <w:r w:rsidRPr="005D20D4">
        <w:rPr>
          <w:b/>
          <w:bCs/>
        </w:rPr>
        <w:t xml:space="preserve"> y </w:t>
      </w:r>
      <w:r w:rsidRPr="005D20D4">
        <w:rPr>
          <w:b/>
          <w:bCs/>
          <w:smallCaps/>
        </w:rPr>
        <w:t>Savage</w:t>
      </w:r>
      <w:r>
        <w:rPr>
          <w:smallCaps/>
        </w:rPr>
        <w:t xml:space="preserve"> </w:t>
      </w:r>
      <w:r>
        <w:t>(1948), que apuntaron la aparente paradoja que suponía que un mismo agente decidiera adquirir seguros contra contingencias (lo que revela aversión al riesgo), y a la vez participar en juegos de azar que son abiertamente desfavorables en términos estadísticos (lo que revela amor por el riesgo).</w:t>
      </w:r>
    </w:p>
    <w:p w14:paraId="46874A47" w14:textId="36AE1EC2" w:rsidR="007D6D82" w:rsidRPr="00FA16EC" w:rsidRDefault="007D6D82" w:rsidP="001254A9">
      <w:pPr>
        <w:pStyle w:val="Nivel3SM"/>
        <w:rPr>
          <w:spacing w:val="-2"/>
        </w:rPr>
      </w:pPr>
      <w:r w:rsidRPr="00FA16EC">
        <w:rPr>
          <w:spacing w:val="-5"/>
        </w:rPr>
        <w:t xml:space="preserve">La solución </w:t>
      </w:r>
      <w:r w:rsidR="00857C49" w:rsidRPr="00FA16EC">
        <w:rPr>
          <w:spacing w:val="-5"/>
        </w:rPr>
        <w:t>propuesta por</w:t>
      </w:r>
      <w:r w:rsidR="005D20D4" w:rsidRPr="00FA16EC">
        <w:rPr>
          <w:spacing w:val="-5"/>
        </w:rPr>
        <w:t xml:space="preserve"> estos autores fue que</w:t>
      </w:r>
      <w:r w:rsidRPr="00FA16EC">
        <w:rPr>
          <w:spacing w:val="-5"/>
        </w:rPr>
        <w:t xml:space="preserve"> la función de utilidad de Bernoulli poseyera varios tramos de concavidad y convexidad con </w:t>
      </w:r>
      <w:r w:rsidR="00FA16EC" w:rsidRPr="00FA16EC">
        <w:rPr>
          <w:spacing w:val="-5"/>
        </w:rPr>
        <w:t>2 </w:t>
      </w:r>
      <w:r w:rsidRPr="00FA16EC">
        <w:rPr>
          <w:spacing w:val="-5"/>
        </w:rPr>
        <w:t xml:space="preserve">puntos de inflexión </w:t>
      </w:r>
      <w:r w:rsidRPr="00FA16EC">
        <w:rPr>
          <w:spacing w:val="-5"/>
          <w:sz w:val="19"/>
          <w:szCs w:val="19"/>
        </w:rPr>
        <w:t>(cóncavo</w:t>
      </w:r>
      <w:r w:rsidR="00FA16EC" w:rsidRPr="00FA16EC">
        <w:rPr>
          <w:spacing w:val="-5"/>
          <w:sz w:val="2"/>
          <w:szCs w:val="2"/>
        </w:rPr>
        <w:t> </w:t>
      </w:r>
      <w:r w:rsidRPr="00FA16EC">
        <w:rPr>
          <w:spacing w:val="-5"/>
          <w:sz w:val="19"/>
          <w:szCs w:val="19"/>
        </w:rPr>
        <w:t>–</w:t>
      </w:r>
      <w:r w:rsidR="00FA16EC" w:rsidRPr="00FA16EC">
        <w:rPr>
          <w:spacing w:val="-5"/>
          <w:sz w:val="2"/>
          <w:szCs w:val="2"/>
        </w:rPr>
        <w:t> </w:t>
      </w:r>
      <w:r w:rsidRPr="00FA16EC">
        <w:rPr>
          <w:spacing w:val="-5"/>
          <w:sz w:val="19"/>
          <w:szCs w:val="19"/>
        </w:rPr>
        <w:t>convexo</w:t>
      </w:r>
      <w:r w:rsidR="00FA16EC" w:rsidRPr="00FA16EC">
        <w:rPr>
          <w:spacing w:val="-5"/>
          <w:sz w:val="2"/>
          <w:szCs w:val="2"/>
        </w:rPr>
        <w:t> </w:t>
      </w:r>
      <w:r w:rsidRPr="00FA16EC">
        <w:rPr>
          <w:spacing w:val="-5"/>
          <w:sz w:val="19"/>
          <w:szCs w:val="19"/>
        </w:rPr>
        <w:t>–</w:t>
      </w:r>
      <w:r w:rsidR="00FA16EC" w:rsidRPr="00FA16EC">
        <w:rPr>
          <w:spacing w:val="-5"/>
          <w:sz w:val="2"/>
          <w:szCs w:val="2"/>
        </w:rPr>
        <w:t> </w:t>
      </w:r>
      <w:r w:rsidRPr="00FA16EC">
        <w:rPr>
          <w:spacing w:val="-5"/>
          <w:sz w:val="19"/>
          <w:szCs w:val="19"/>
        </w:rPr>
        <w:t>cóncavo)</w:t>
      </w:r>
      <w:r w:rsidRPr="00FA16EC">
        <w:rPr>
          <w:spacing w:val="-5"/>
        </w:rPr>
        <w:t xml:space="preserve">, </w:t>
      </w:r>
      <w:r w:rsidRPr="00FA16EC">
        <w:rPr>
          <w:spacing w:val="-2"/>
        </w:rPr>
        <w:lastRenderedPageBreak/>
        <w:t xml:space="preserve">conjeturando que la aversión al riesgo se da en los niveles </w:t>
      </w:r>
      <w:proofErr w:type="gramStart"/>
      <w:r w:rsidRPr="00FA16EC">
        <w:rPr>
          <w:spacing w:val="-2"/>
        </w:rPr>
        <w:t>más altos y más bajos</w:t>
      </w:r>
      <w:proofErr w:type="gramEnd"/>
      <w:r w:rsidRPr="00FA16EC">
        <w:rPr>
          <w:spacing w:val="-2"/>
        </w:rPr>
        <w:t xml:space="preserve"> de renta, pero que sin embargo en los niveles intermedios se da amor por el riesgo.</w:t>
      </w:r>
    </w:p>
    <w:p w14:paraId="015677C7" w14:textId="545BE3CF" w:rsidR="007D6D82" w:rsidRDefault="007D6D82" w:rsidP="001254A9">
      <w:pPr>
        <w:pStyle w:val="Nivel3SM"/>
      </w:pPr>
      <w:r>
        <w:t>Desgraciadamente, se trataba de una solución incompleta y con contradicciones</w:t>
      </w:r>
      <w:r w:rsidR="00E45FCD">
        <w:t xml:space="preserve"> </w:t>
      </w:r>
      <w:r w:rsidR="00E16FAC">
        <w:t xml:space="preserve">empíricas </w:t>
      </w:r>
      <w:r w:rsidR="00E45FCD">
        <w:t>como que los individuos más ricos nunca aceptarían apuestas justas.</w:t>
      </w:r>
      <w:r w:rsidR="00E16FAC">
        <w:t xml:space="preserve"> La existencia de casinos en Montecarlo invalida esta hipótesis.</w:t>
      </w:r>
    </w:p>
    <w:p w14:paraId="643F5789" w14:textId="05B8BA78" w:rsidR="002D1B16" w:rsidRPr="002D1B16" w:rsidRDefault="002D1B16" w:rsidP="002D1B16">
      <w:pPr>
        <w:pStyle w:val="Ttuloimagen"/>
        <w:rPr>
          <w:i/>
          <w:iCs/>
          <w:smallCaps w:val="0"/>
        </w:rPr>
      </w:pPr>
      <w:r>
        <w:t>Imagen</w:t>
      </w:r>
      <w:r w:rsidR="00364A63">
        <w:t> </w:t>
      </w:r>
      <w:r>
        <w:fldChar w:fldCharType="begin"/>
      </w:r>
      <w:r>
        <w:instrText xml:space="preserve"> SEQ Ilustración \* ARABIC </w:instrText>
      </w:r>
      <w:r>
        <w:fldChar w:fldCharType="separate"/>
      </w:r>
      <w:r w:rsidR="002E338F">
        <w:t>8</w:t>
      </w:r>
      <w:r>
        <w:fldChar w:fldCharType="end"/>
      </w:r>
      <w:r>
        <w:rPr>
          <w:smallCaps w:val="0"/>
        </w:rPr>
        <w:t xml:space="preserve">.– </w:t>
      </w:r>
      <w:r>
        <w:rPr>
          <w:i/>
          <w:iCs/>
          <w:smallCaps w:val="0"/>
        </w:rPr>
        <w:t xml:space="preserve">Crítica de </w:t>
      </w:r>
      <w:r>
        <w:rPr>
          <w:i/>
          <w:iCs/>
        </w:rPr>
        <w:t>Friedman</w:t>
      </w:r>
      <w:r>
        <w:rPr>
          <w:i/>
          <w:iCs/>
          <w:smallCaps w:val="0"/>
        </w:rPr>
        <w:t xml:space="preserve"> y </w:t>
      </w:r>
      <w:r>
        <w:rPr>
          <w:i/>
          <w:iCs/>
        </w:rPr>
        <w:t>Savage</w:t>
      </w:r>
      <w:r>
        <w:rPr>
          <w:i/>
          <w:iCs/>
          <w:smallCaps w:val="0"/>
        </w:rPr>
        <w:t xml:space="preserve"> (1948)</w:t>
      </w:r>
    </w:p>
    <w:p w14:paraId="1B139775" w14:textId="2B87C4AA" w:rsidR="002D1B16" w:rsidRDefault="002D1B16" w:rsidP="002D1B16">
      <w:pPr>
        <w:pStyle w:val="Imagen"/>
      </w:pPr>
      <w:r>
        <w:drawing>
          <wp:inline distT="0" distB="0" distL="0" distR="0" wp14:anchorId="6A5CD313" wp14:editId="6ABF021D">
            <wp:extent cx="1264920" cy="126492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64920" cy="1264920"/>
                    </a:xfrm>
                    <a:prstGeom prst="rect">
                      <a:avLst/>
                    </a:prstGeom>
                    <a:noFill/>
                  </pic:spPr>
                </pic:pic>
              </a:graphicData>
            </a:graphic>
          </wp:inline>
        </w:drawing>
      </w:r>
    </w:p>
    <w:p w14:paraId="565EAF3D" w14:textId="33438496" w:rsidR="002D1B16" w:rsidRPr="002D1B16" w:rsidRDefault="002D1B16" w:rsidP="002D1B16">
      <w:pPr>
        <w:pStyle w:val="PiedeImagen"/>
        <w:rPr>
          <w:i w:val="0"/>
          <w:iCs/>
        </w:rPr>
      </w:pPr>
      <w:r>
        <w:t>Fuente</w:t>
      </w:r>
      <w:r>
        <w:rPr>
          <w:i w:val="0"/>
          <w:iCs/>
        </w:rPr>
        <w:t xml:space="preserve">: Policonomics (2017). </w:t>
      </w:r>
      <w:r>
        <w:t>Riesgo e incertidumbre II: Enfoques alternativos</w:t>
      </w:r>
      <w:r>
        <w:rPr>
          <w:i w:val="0"/>
          <w:iCs/>
        </w:rPr>
        <w:t xml:space="preserve">. </w:t>
      </w:r>
      <w:hyperlink r:id="rId32" w:history="1">
        <w:r w:rsidRPr="00DE46E3">
          <w:rPr>
            <w:rStyle w:val="Hipervnculo"/>
            <w:i w:val="0"/>
            <w:iCs/>
          </w:rPr>
          <w:t>https://policonomics.com/es/lp-riesgo-incertidumbre2-criticas-teoria-utilidad-esperada/</w:t>
        </w:r>
      </w:hyperlink>
    </w:p>
    <w:p w14:paraId="5768F77C" w14:textId="5AC15769" w:rsidR="00752A3F" w:rsidRDefault="00E45FCD" w:rsidP="001254A9">
      <w:pPr>
        <w:pStyle w:val="Nivel2SM"/>
        <w:keepNext/>
        <w:spacing w:after="0"/>
      </w:pPr>
      <w:r w:rsidRPr="003F79AB">
        <w:rPr>
          <w:b/>
          <w:smallCaps/>
        </w:rPr>
        <w:t>Harry Markowitz</w:t>
      </w:r>
      <w:r w:rsidR="00D34FB7">
        <w:rPr>
          <w:rStyle w:val="Refdenotaalpie"/>
        </w:rPr>
        <w:footnoteReference w:id="40"/>
      </w:r>
      <w:r w:rsidRPr="00E45FCD">
        <w:t xml:space="preserve">, que fue un estudiante de </w:t>
      </w:r>
      <w:r w:rsidRPr="00E45FCD">
        <w:rPr>
          <w:smallCaps/>
        </w:rPr>
        <w:t>Milton Friedman</w:t>
      </w:r>
      <w:r w:rsidRPr="00E45FCD">
        <w:t xml:space="preserve">, criticó la </w:t>
      </w:r>
      <w:r w:rsidR="003F79AB" w:rsidRPr="00E45FCD">
        <w:t>función</w:t>
      </w:r>
      <w:r w:rsidRPr="00E45FCD">
        <w:t xml:space="preserve"> de utilidad de </w:t>
      </w:r>
      <w:r w:rsidRPr="00E45FCD">
        <w:rPr>
          <w:smallCaps/>
        </w:rPr>
        <w:t>Friedman-Savage</w:t>
      </w:r>
      <w:r w:rsidR="000B03F9">
        <w:t xml:space="preserve"> y</w:t>
      </w:r>
      <w:r w:rsidRPr="00E45FCD">
        <w:t xml:space="preserve"> argumentó en su </w:t>
      </w:r>
      <w:r w:rsidR="00F5341A" w:rsidRPr="00E45FCD">
        <w:t>artículo</w:t>
      </w:r>
      <w:r w:rsidRPr="00E45FCD">
        <w:t xml:space="preserve"> </w:t>
      </w:r>
      <w:r w:rsidRPr="00E45FCD">
        <w:rPr>
          <w:i/>
          <w:iCs/>
        </w:rPr>
        <w:t>“</w:t>
      </w:r>
      <w:proofErr w:type="spellStart"/>
      <w:r w:rsidRPr="00E45FCD">
        <w:rPr>
          <w:i/>
          <w:iCs/>
        </w:rPr>
        <w:t>The</w:t>
      </w:r>
      <w:proofErr w:type="spellEnd"/>
      <w:r w:rsidRPr="00E45FCD">
        <w:rPr>
          <w:i/>
          <w:iCs/>
        </w:rPr>
        <w:t xml:space="preserve"> </w:t>
      </w:r>
      <w:proofErr w:type="spellStart"/>
      <w:r w:rsidRPr="00E45FCD">
        <w:rPr>
          <w:i/>
          <w:iCs/>
        </w:rPr>
        <w:t>Utility</w:t>
      </w:r>
      <w:proofErr w:type="spellEnd"/>
      <w:r w:rsidRPr="00E45FCD">
        <w:rPr>
          <w:i/>
          <w:iCs/>
        </w:rPr>
        <w:t xml:space="preserve"> </w:t>
      </w:r>
      <w:proofErr w:type="spellStart"/>
      <w:r w:rsidRPr="00E45FCD">
        <w:rPr>
          <w:i/>
          <w:iCs/>
        </w:rPr>
        <w:t>of</w:t>
      </w:r>
      <w:proofErr w:type="spellEnd"/>
      <w:r w:rsidRPr="00E45FCD">
        <w:rPr>
          <w:i/>
          <w:iCs/>
        </w:rPr>
        <w:t xml:space="preserve"> </w:t>
      </w:r>
      <w:proofErr w:type="spellStart"/>
      <w:r w:rsidRPr="00E45FCD">
        <w:rPr>
          <w:i/>
          <w:iCs/>
        </w:rPr>
        <w:t>Wealth</w:t>
      </w:r>
      <w:proofErr w:type="spellEnd"/>
      <w:r w:rsidRPr="00E45FCD">
        <w:rPr>
          <w:i/>
          <w:iCs/>
        </w:rPr>
        <w:t>”</w:t>
      </w:r>
      <w:r w:rsidRPr="00E45FCD">
        <w:t xml:space="preserve"> </w:t>
      </w:r>
      <w:r>
        <w:t>(</w:t>
      </w:r>
      <w:r w:rsidRPr="00E45FCD">
        <w:t>1952</w:t>
      </w:r>
      <w:r>
        <w:t>)</w:t>
      </w:r>
      <w:r w:rsidRPr="00E45FCD">
        <w:t xml:space="preserve">, que en la concavidad final de su </w:t>
      </w:r>
      <w:r w:rsidR="00F5341A" w:rsidRPr="00E45FCD">
        <w:t>función</w:t>
      </w:r>
      <w:r w:rsidRPr="00E45FCD">
        <w:t xml:space="preserve">, se asume que los individuos con las rentas más altas nunca </w:t>
      </w:r>
      <w:r w:rsidR="00F5341A" w:rsidRPr="00E45FCD">
        <w:t>apostarán</w:t>
      </w:r>
      <w:r w:rsidR="007C5AD1">
        <w:rPr>
          <w:rStyle w:val="Refdenotaalpie"/>
        </w:rPr>
        <w:footnoteReference w:id="41"/>
      </w:r>
      <w:r w:rsidRPr="00E45FCD">
        <w:t>.</w:t>
      </w:r>
      <w:r w:rsidR="00752A3F">
        <w:t xml:space="preserve"> </w:t>
      </w:r>
      <w:r w:rsidR="009B153B">
        <w:t>Para solucionar esta anomalía</w:t>
      </w:r>
      <w:r w:rsidR="00752A3F">
        <w:t xml:space="preserve">, </w:t>
      </w:r>
      <w:r w:rsidR="00752A3F" w:rsidRPr="00752A3F">
        <w:rPr>
          <w:smallCaps/>
        </w:rPr>
        <w:t>Markowitz</w:t>
      </w:r>
      <w:r w:rsidR="00752A3F">
        <w:t xml:space="preserve"> amplia la crítica de </w:t>
      </w:r>
      <w:r w:rsidR="00752A3F" w:rsidRPr="00752A3F">
        <w:rPr>
          <w:smallCaps/>
        </w:rPr>
        <w:t>Friedman</w:t>
      </w:r>
      <w:r w:rsidR="00752A3F">
        <w:t xml:space="preserve"> y </w:t>
      </w:r>
      <w:r w:rsidR="00752A3F" w:rsidRPr="00752A3F">
        <w:rPr>
          <w:smallCaps/>
        </w:rPr>
        <w:t>Savage</w:t>
      </w:r>
      <w:r w:rsidR="00752A3F">
        <w:t xml:space="preserve"> en </w:t>
      </w:r>
      <w:r w:rsidR="001254A9">
        <w:t>2 </w:t>
      </w:r>
      <w:r w:rsidR="00752A3F">
        <w:t>aspectos:</w:t>
      </w:r>
    </w:p>
    <w:p w14:paraId="251A6A41" w14:textId="3FF0FA73" w:rsidR="001254A9" w:rsidRDefault="001254A9" w:rsidP="001254A9">
      <w:pPr>
        <w:pStyle w:val="Nivel3SM"/>
        <w:keepNext/>
      </w:pPr>
      <w:r>
        <w:rPr>
          <w:noProof/>
        </w:rPr>
        <w:drawing>
          <wp:anchor distT="0" distB="0" distL="114300" distR="114300" simplePos="0" relativeHeight="251641856" behindDoc="1" locked="0" layoutInCell="1" allowOverlap="1" wp14:anchorId="04568B7D" wp14:editId="353CF000">
            <wp:simplePos x="0" y="0"/>
            <wp:positionH relativeFrom="column">
              <wp:posOffset>4737372</wp:posOffset>
            </wp:positionH>
            <wp:positionV relativeFrom="paragraph">
              <wp:posOffset>242570</wp:posOffset>
            </wp:positionV>
            <wp:extent cx="1452245" cy="1364615"/>
            <wp:effectExtent l="0" t="0" r="0" b="6985"/>
            <wp:wrapTight wrapText="bothSides">
              <wp:wrapPolygon edited="0">
                <wp:start x="0" y="0"/>
                <wp:lineTo x="0" y="21409"/>
                <wp:lineTo x="21251" y="21409"/>
                <wp:lineTo x="21251" y="0"/>
                <wp:lineTo x="0" y="0"/>
              </wp:wrapPolygon>
            </wp:wrapTight>
            <wp:docPr id="16" name="Imagen 16"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Diagrama, Esquemático&#10;&#10;Descripción generada automáticamente"/>
                    <pic:cNvPicPr>
                      <a:picLocks noChangeAspect="1" noChangeArrowheads="1"/>
                    </pic:cNvPicPr>
                  </pic:nvPicPr>
                  <pic:blipFill rotWithShape="1">
                    <a:blip r:embed="rId33">
                      <a:extLst>
                        <a:ext uri="{28A0092B-C50C-407E-A947-70E740481C1C}">
                          <a14:useLocalDpi xmlns:a14="http://schemas.microsoft.com/office/drawing/2010/main" val="0"/>
                        </a:ext>
                      </a:extLst>
                    </a:blip>
                    <a:srcRect b="5983"/>
                    <a:stretch/>
                  </pic:blipFill>
                  <pic:spPr bwMode="auto">
                    <a:xfrm>
                      <a:off x="0" y="0"/>
                      <a:ext cx="1452245" cy="1364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La primera aportación consistía en añadir un tercer punto de inflexión. Así según </w:t>
      </w:r>
      <w:r>
        <w:rPr>
          <w:smallCaps/>
        </w:rPr>
        <w:t>Harry Markowitz</w:t>
      </w:r>
      <w:r>
        <w:t>, los individuos:</w:t>
      </w:r>
    </w:p>
    <w:p w14:paraId="016AF63D" w14:textId="77777777" w:rsidR="001254A9" w:rsidRDefault="001254A9" w:rsidP="001254A9">
      <w:pPr>
        <w:pStyle w:val="Nivel4"/>
        <w:keepNext/>
        <w:ind w:left="1474"/>
      </w:pPr>
      <w:r>
        <w:t xml:space="preserve">Son </w:t>
      </w:r>
      <w:r w:rsidRPr="001254A9">
        <w:rPr>
          <w:rStyle w:val="Nivel4Car"/>
        </w:rPr>
        <w:t>av</w:t>
      </w:r>
      <w:r>
        <w:t>ersos</w:t>
      </w:r>
    </w:p>
    <w:p w14:paraId="7F754598" w14:textId="77777777" w:rsidR="001254A9" w:rsidRDefault="001254A9" w:rsidP="001254A9">
      <w:pPr>
        <w:pStyle w:val="Nivel5"/>
        <w:ind w:left="1871"/>
      </w:pPr>
      <w:r>
        <w:t>a riesgos pequeños negativos y</w:t>
      </w:r>
    </w:p>
    <w:p w14:paraId="50FBC457" w14:textId="77777777" w:rsidR="001254A9" w:rsidRDefault="001254A9" w:rsidP="001254A9">
      <w:pPr>
        <w:pStyle w:val="Nivel5"/>
        <w:ind w:left="1871"/>
      </w:pPr>
      <w:r>
        <w:t>a riesgos grandes positivos; y</w:t>
      </w:r>
    </w:p>
    <w:p w14:paraId="65A8272D" w14:textId="77777777" w:rsidR="001254A9" w:rsidRDefault="001254A9" w:rsidP="001254A9">
      <w:pPr>
        <w:pStyle w:val="Nivel4"/>
        <w:keepNext/>
        <w:ind w:left="1474"/>
      </w:pPr>
      <w:r>
        <w:t>Son a</w:t>
      </w:r>
      <w:r w:rsidRPr="001254A9">
        <w:rPr>
          <w:rStyle w:val="Nivel4Car"/>
        </w:rPr>
        <w:t>ma</w:t>
      </w:r>
      <w:r>
        <w:t>ntes</w:t>
      </w:r>
    </w:p>
    <w:p w14:paraId="7EF3E6ED" w14:textId="77777777" w:rsidR="001254A9" w:rsidRDefault="001254A9" w:rsidP="001254A9">
      <w:pPr>
        <w:pStyle w:val="Nivel5"/>
        <w:ind w:left="1871"/>
      </w:pPr>
      <w:r>
        <w:t>a riesgos grandes negativos y</w:t>
      </w:r>
    </w:p>
    <w:p w14:paraId="6DEEFC6B" w14:textId="77777777" w:rsidR="001254A9" w:rsidRDefault="001254A9" w:rsidP="001254A9">
      <w:pPr>
        <w:pStyle w:val="Nivel5"/>
        <w:ind w:left="1871"/>
      </w:pPr>
      <w:r>
        <w:t>a riesgos pequeños positivos.</w:t>
      </w:r>
    </w:p>
    <w:p w14:paraId="26A3E2B5" w14:textId="77777777" w:rsidR="00796019" w:rsidRDefault="00752A3F" w:rsidP="00796019">
      <w:pPr>
        <w:pStyle w:val="Nivel3SM"/>
        <w:keepNext/>
      </w:pPr>
      <w:r>
        <w:t>L</w:t>
      </w:r>
      <w:r w:rsidRPr="00752A3F">
        <w:t>a</w:t>
      </w:r>
      <w:r w:rsidR="001254A9">
        <w:t xml:space="preserve"> segunda </w:t>
      </w:r>
      <w:r>
        <w:t xml:space="preserve">aportación </w:t>
      </w:r>
      <w:r w:rsidR="001254A9">
        <w:t xml:space="preserve">(y la </w:t>
      </w:r>
      <w:r>
        <w:t>más importante</w:t>
      </w:r>
      <w:r w:rsidR="001254A9">
        <w:t>)</w:t>
      </w:r>
      <w:r>
        <w:t xml:space="preserve"> de </w:t>
      </w:r>
      <w:r>
        <w:rPr>
          <w:smallCaps/>
        </w:rPr>
        <w:t>Markowitz</w:t>
      </w:r>
      <w:r>
        <w:t xml:space="preserve"> fue sugerir que las loterías no se evalúan según el nivel de renta final, sino en función de los “cambios de renta” tomando como referencia su renta presente.</w:t>
      </w:r>
    </w:p>
    <w:p w14:paraId="00AE6851" w14:textId="6D34348C" w:rsidR="00542EF6" w:rsidRPr="00796019" w:rsidRDefault="00752A3F" w:rsidP="00796019">
      <w:pPr>
        <w:pStyle w:val="Nivel4"/>
        <w:ind w:left="1474"/>
        <w:rPr>
          <w:spacing w:val="-3"/>
        </w:rPr>
      </w:pPr>
      <w:r w:rsidRPr="00796019">
        <w:rPr>
          <w:spacing w:val="-3"/>
        </w:rPr>
        <w:t xml:space="preserve">Esta idea, fue recogida posteriormente por la </w:t>
      </w:r>
      <w:r w:rsidRPr="00796019">
        <w:rPr>
          <w:i/>
          <w:iCs/>
          <w:spacing w:val="-3"/>
        </w:rPr>
        <w:t>Prospect Theory</w:t>
      </w:r>
      <w:r w:rsidRPr="00796019">
        <w:rPr>
          <w:spacing w:val="-3"/>
        </w:rPr>
        <w:t xml:space="preserve"> de </w:t>
      </w:r>
      <w:r w:rsidRPr="00796019">
        <w:rPr>
          <w:smallCaps/>
          <w:spacing w:val="-3"/>
        </w:rPr>
        <w:t>Kahneman</w:t>
      </w:r>
      <w:r w:rsidRPr="00796019">
        <w:rPr>
          <w:spacing w:val="-3"/>
        </w:rPr>
        <w:t xml:space="preserve"> y </w:t>
      </w:r>
      <w:r w:rsidRPr="00796019">
        <w:rPr>
          <w:smallCaps/>
          <w:spacing w:val="-3"/>
        </w:rPr>
        <w:t>Tversky</w:t>
      </w:r>
      <w:r w:rsidRPr="00796019">
        <w:rPr>
          <w:spacing w:val="-3"/>
        </w:rPr>
        <w:t>.</w:t>
      </w:r>
    </w:p>
    <w:p w14:paraId="16B4B0AA" w14:textId="015AE2DA" w:rsidR="00DF2655" w:rsidRDefault="004D0642" w:rsidP="00B75886">
      <w:pPr>
        <w:pStyle w:val="Nivel1SM"/>
        <w:keepNext/>
        <w:spacing w:before="0" w:after="0"/>
      </w:pPr>
      <w:r>
        <w:t>Posteriormente, los investigadores</w:t>
      </w:r>
      <w:r w:rsidR="00EB7550">
        <w:t>,</w:t>
      </w:r>
      <w:r>
        <w:t xml:space="preserve"> a través de experimentos que permitiesen observar las elecciones reales de los individuos ante situaciones de </w:t>
      </w:r>
      <w:r w:rsidR="00EB7550">
        <w:t>riesgo,</w:t>
      </w:r>
      <w:r>
        <w:t xml:space="preserve"> fueron descubriendo diferentes tipos de </w:t>
      </w:r>
      <w:r w:rsidRPr="0023655E">
        <w:rPr>
          <w:b/>
          <w:bCs/>
        </w:rPr>
        <w:t>violaciones sistemáticas y recurrentes del modelo de utilidad esperada</w:t>
      </w:r>
      <w:r>
        <w:t xml:space="preserve"> y sus hipótesis subyacentes. </w:t>
      </w:r>
      <w:r w:rsidR="0036102A">
        <w:t>E</w:t>
      </w:r>
      <w:r>
        <w:t>stas violaciones pueden clasificarse en:</w:t>
      </w:r>
    </w:p>
    <w:p w14:paraId="528BB757" w14:textId="03FD341C" w:rsidR="004D0642" w:rsidRDefault="0036102A" w:rsidP="00B75886">
      <w:pPr>
        <w:pStyle w:val="Nivel2SM"/>
        <w:keepNext/>
        <w:spacing w:after="0"/>
      </w:pPr>
      <w:r w:rsidRPr="00B75886">
        <w:rPr>
          <w:i/>
          <w:iCs/>
          <w:u w:val="single"/>
        </w:rPr>
        <w:t>Violaciones del axioma de independencia</w:t>
      </w:r>
      <w:r>
        <w:t>:</w:t>
      </w:r>
    </w:p>
    <w:p w14:paraId="404AE902" w14:textId="46EC986F" w:rsidR="00C329EB" w:rsidRPr="00721ADE" w:rsidRDefault="0036102A" w:rsidP="00C329EB">
      <w:pPr>
        <w:pStyle w:val="Nivel3SM"/>
        <w:keepNext/>
        <w:rPr>
          <w:spacing w:val="-5"/>
        </w:rPr>
      </w:pPr>
      <w:r w:rsidRPr="00BE4DCF">
        <w:rPr>
          <w:spacing w:val="-4"/>
        </w:rPr>
        <w:t xml:space="preserve">La violación más conocida es la </w:t>
      </w:r>
      <w:r w:rsidRPr="00BE4DCF">
        <w:rPr>
          <w:i/>
          <w:iCs/>
          <w:spacing w:val="-4"/>
        </w:rPr>
        <w:t>p</w:t>
      </w:r>
      <w:r w:rsidR="00747849" w:rsidRPr="00BE4DCF">
        <w:rPr>
          <w:i/>
          <w:iCs/>
          <w:spacing w:val="-4"/>
        </w:rPr>
        <w:t xml:space="preserve">aradoja de </w:t>
      </w:r>
      <w:r w:rsidR="00747849" w:rsidRPr="00BE4DCF">
        <w:rPr>
          <w:i/>
          <w:iCs/>
          <w:smallCaps/>
          <w:spacing w:val="-4"/>
        </w:rPr>
        <w:t>Allais</w:t>
      </w:r>
      <w:r w:rsidR="00C329EB" w:rsidRPr="00BE4DCF">
        <w:rPr>
          <w:spacing w:val="-4"/>
        </w:rPr>
        <w:t>,</w:t>
      </w:r>
      <w:r w:rsidRPr="00BE4DCF">
        <w:rPr>
          <w:spacing w:val="-4"/>
        </w:rPr>
        <w:t xml:space="preserve"> </w:t>
      </w:r>
      <w:r w:rsidR="00C329EB" w:rsidRPr="00BE4DCF">
        <w:rPr>
          <w:spacing w:val="-4"/>
        </w:rPr>
        <w:t>f</w:t>
      </w:r>
      <w:r w:rsidRPr="00BE4DCF">
        <w:rPr>
          <w:spacing w:val="-4"/>
        </w:rPr>
        <w:t xml:space="preserve">ruto de un experimento donde se pedía a los individuos que eligieran entre </w:t>
      </w:r>
      <w:r w:rsidR="00B75886" w:rsidRPr="00BE4DCF">
        <w:rPr>
          <w:spacing w:val="-4"/>
        </w:rPr>
        <w:t>2 </w:t>
      </w:r>
      <w:r w:rsidRPr="00BE4DCF">
        <w:rPr>
          <w:spacing w:val="-4"/>
        </w:rPr>
        <w:t>pares de lotería</w:t>
      </w:r>
      <w:r w:rsidR="00325817" w:rsidRPr="00BE4DCF">
        <w:rPr>
          <w:spacing w:val="-4"/>
        </w:rPr>
        <w:t>s</w:t>
      </w:r>
      <w:r w:rsidR="00BE4DCF" w:rsidRPr="00BE4DCF">
        <w:rPr>
          <w:spacing w:val="-4"/>
        </w:rPr>
        <w:t>,</w:t>
      </w:r>
      <w:r w:rsidR="001364D4" w:rsidRPr="00BE4DCF">
        <w:rPr>
          <w:spacing w:val="-4"/>
        </w:rPr>
        <w:t xml:space="preserve"> y</w:t>
      </w:r>
      <w:r w:rsidRPr="00BE4DCF">
        <w:rPr>
          <w:spacing w:val="-4"/>
        </w:rPr>
        <w:t xml:space="preserve"> </w:t>
      </w:r>
      <w:r w:rsidR="00BE4DCF" w:rsidRPr="00BE4DCF">
        <w:rPr>
          <w:spacing w:val="-4"/>
        </w:rPr>
        <w:t>el que se observaron</w:t>
      </w:r>
      <w:r w:rsidRPr="00BE4DCF">
        <w:rPr>
          <w:spacing w:val="-4"/>
        </w:rPr>
        <w:t xml:space="preserve"> elecciones que </w:t>
      </w:r>
      <w:r w:rsidRPr="00721ADE">
        <w:rPr>
          <w:spacing w:val="-5"/>
        </w:rPr>
        <w:t xml:space="preserve">contravenían </w:t>
      </w:r>
      <w:r w:rsidR="00BE4DCF" w:rsidRPr="00721ADE">
        <w:rPr>
          <w:spacing w:val="-5"/>
        </w:rPr>
        <w:t xml:space="preserve">sistemáticamente </w:t>
      </w:r>
      <w:r w:rsidRPr="00721ADE">
        <w:rPr>
          <w:spacing w:val="-5"/>
        </w:rPr>
        <w:t>la Teoría de la Utilidad Esperada</w:t>
      </w:r>
      <w:r w:rsidR="00C329EB" w:rsidRPr="00721ADE">
        <w:rPr>
          <w:spacing w:val="-5"/>
        </w:rPr>
        <w:t xml:space="preserve"> </w:t>
      </w:r>
      <w:r w:rsidR="00C329EB" w:rsidRPr="00721ADE">
        <w:rPr>
          <w:spacing w:val="-5"/>
          <w:sz w:val="19"/>
          <w:szCs w:val="19"/>
        </w:rPr>
        <w:t>(</w:t>
      </w:r>
      <w:hyperlink r:id="rId34" w:history="1">
        <w:r w:rsidR="00C329EB" w:rsidRPr="00721ADE">
          <w:rPr>
            <w:rStyle w:val="Hipervnculo"/>
            <w:spacing w:val="-5"/>
            <w:sz w:val="19"/>
            <w:szCs w:val="19"/>
          </w:rPr>
          <w:t>https://youtu.be/FMEApkB4vUo</w:t>
        </w:r>
      </w:hyperlink>
      <w:r w:rsidR="00C329EB" w:rsidRPr="00721ADE">
        <w:rPr>
          <w:spacing w:val="-5"/>
          <w:sz w:val="19"/>
          <w:szCs w:val="19"/>
        </w:rPr>
        <w:t>)</w:t>
      </w:r>
      <w:r w:rsidR="00A8551A" w:rsidRPr="00721ADE">
        <w:rPr>
          <w:spacing w:val="-5"/>
        </w:rPr>
        <w:t>.</w:t>
      </w:r>
    </w:p>
    <w:p w14:paraId="7049A409" w14:textId="5426EB86" w:rsidR="00C329EB" w:rsidRPr="00C329EB" w:rsidRDefault="00A8551A" w:rsidP="00C329EB">
      <w:pPr>
        <w:pStyle w:val="Nivel4"/>
        <w:ind w:left="1474"/>
        <w:rPr>
          <w:spacing w:val="-2"/>
        </w:rPr>
      </w:pPr>
      <w:r w:rsidRPr="00C329EB">
        <w:rPr>
          <w:spacing w:val="-2"/>
        </w:rPr>
        <w:t xml:space="preserve">En concreto, </w:t>
      </w:r>
      <w:r w:rsidRPr="00C329EB">
        <w:rPr>
          <w:smallCaps/>
          <w:spacing w:val="-2"/>
        </w:rPr>
        <w:t>Allais</w:t>
      </w:r>
      <w:r w:rsidRPr="00C329EB">
        <w:rPr>
          <w:spacing w:val="-2"/>
        </w:rPr>
        <w:t xml:space="preserve"> encontró evidencia contraria al axioma de independencia (o linealidad de las probabilidades) al hallar que los individuos </w:t>
      </w:r>
      <w:r w:rsidR="00127674" w:rsidRPr="00C329EB">
        <w:rPr>
          <w:spacing w:val="-2"/>
        </w:rPr>
        <w:t xml:space="preserve">tenían un sesgo cognitivo </w:t>
      </w:r>
      <w:r w:rsidR="00127674" w:rsidRPr="00C329EB">
        <w:rPr>
          <w:spacing w:val="-2"/>
        </w:rPr>
        <w:lastRenderedPageBreak/>
        <w:t xml:space="preserve">que hacía que agentes que elegían una determinada lotería sobre </w:t>
      </w:r>
      <w:r w:rsidR="003E3B90" w:rsidRPr="00C329EB">
        <w:rPr>
          <w:spacing w:val="-2"/>
        </w:rPr>
        <w:t>otra</w:t>
      </w:r>
      <w:r w:rsidR="00F50430" w:rsidRPr="00C329EB">
        <w:rPr>
          <w:spacing w:val="-2"/>
        </w:rPr>
        <w:t xml:space="preserve"> cambiaran sus</w:t>
      </w:r>
      <w:r w:rsidR="00127674" w:rsidRPr="00C329EB">
        <w:rPr>
          <w:spacing w:val="-2"/>
        </w:rPr>
        <w:t xml:space="preserve"> pref</w:t>
      </w:r>
      <w:r w:rsidR="00F50430" w:rsidRPr="00C329EB">
        <w:rPr>
          <w:spacing w:val="-2"/>
        </w:rPr>
        <w:t>erencias</w:t>
      </w:r>
      <w:r w:rsidR="00127674" w:rsidRPr="00C329EB">
        <w:rPr>
          <w:spacing w:val="-2"/>
        </w:rPr>
        <w:t xml:space="preserve"> </w:t>
      </w:r>
      <w:r w:rsidR="00F50430" w:rsidRPr="00C329EB">
        <w:rPr>
          <w:spacing w:val="-2"/>
        </w:rPr>
        <w:t xml:space="preserve">hacia </w:t>
      </w:r>
      <w:r w:rsidR="003E3B90" w:rsidRPr="00C329EB">
        <w:rPr>
          <w:spacing w:val="-2"/>
        </w:rPr>
        <w:t xml:space="preserve">esta segunda </w:t>
      </w:r>
      <w:r w:rsidR="00127674" w:rsidRPr="00C329EB">
        <w:rPr>
          <w:spacing w:val="-2"/>
        </w:rPr>
        <w:t xml:space="preserve">lotería </w:t>
      </w:r>
      <w:r w:rsidR="003E3B90" w:rsidRPr="00C329EB">
        <w:rPr>
          <w:spacing w:val="-2"/>
        </w:rPr>
        <w:t>tras añadir una alternativa irrelevante</w:t>
      </w:r>
      <w:r w:rsidRPr="00C329EB">
        <w:rPr>
          <w:rStyle w:val="Refdenotaalpie"/>
          <w:spacing w:val="-2"/>
        </w:rPr>
        <w:footnoteReference w:id="42"/>
      </w:r>
      <w:r w:rsidR="0036102A" w:rsidRPr="00C329EB">
        <w:rPr>
          <w:spacing w:val="-2"/>
        </w:rPr>
        <w:t>.</w:t>
      </w:r>
    </w:p>
    <w:p w14:paraId="21EB00D2" w14:textId="3427A74A" w:rsidR="00747849" w:rsidRDefault="003E3B90" w:rsidP="00C329EB">
      <w:pPr>
        <w:pStyle w:val="Nivel4"/>
        <w:ind w:left="1474"/>
      </w:pPr>
      <w:r>
        <w:t xml:space="preserve">Particularmente, </w:t>
      </w:r>
      <w:r w:rsidR="00F50430">
        <w:rPr>
          <w:smallCaps/>
        </w:rPr>
        <w:t>Allais</w:t>
      </w:r>
      <w:r w:rsidR="00F50430" w:rsidRPr="00F50430">
        <w:t xml:space="preserve"> </w:t>
      </w:r>
      <w:r>
        <w:t>observó que ese sesgo hacía que los individuos tendieran a preferir loterías con pagos ciertos (</w:t>
      </w:r>
      <w:r>
        <w:rPr>
          <w:i/>
          <w:iCs/>
        </w:rPr>
        <w:t>efecto certeza</w:t>
      </w:r>
      <w:r>
        <w:t>), es decir, loterías de varianza-cero.</w:t>
      </w:r>
    </w:p>
    <w:p w14:paraId="71A61C7D" w14:textId="1C40086F" w:rsidR="000900C5" w:rsidRDefault="000900C5" w:rsidP="000900C5">
      <w:pPr>
        <w:pStyle w:val="Nivel4"/>
        <w:keepNext/>
        <w:ind w:left="1474"/>
      </w:pPr>
      <w:r>
        <w:t>Podemos ilustrar la paradoja de Allais con el siguiente ejemplo:</w:t>
      </w:r>
    </w:p>
    <w:tbl>
      <w:tblPr>
        <w:tblStyle w:val="Tablaconcuadrcula"/>
        <w:tblW w:w="8227" w:type="dxa"/>
        <w:jc w:val="center"/>
        <w:tblLook w:val="04A0" w:firstRow="1" w:lastRow="0" w:firstColumn="1" w:lastColumn="0" w:noHBand="0" w:noVBand="1"/>
      </w:tblPr>
      <w:tblGrid>
        <w:gridCol w:w="2322"/>
        <w:gridCol w:w="1789"/>
        <w:gridCol w:w="2322"/>
        <w:gridCol w:w="1794"/>
      </w:tblGrid>
      <w:tr w:rsidR="00BB01F6" w:rsidRPr="00BB01F6" w14:paraId="7336EA91" w14:textId="77777777" w:rsidTr="00084E1B">
        <w:trPr>
          <w:jc w:val="center"/>
        </w:trPr>
        <w:tc>
          <w:tcPr>
            <w:tcW w:w="4111" w:type="dxa"/>
            <w:gridSpan w:val="2"/>
            <w:tcBorders>
              <w:top w:val="nil"/>
              <w:left w:val="nil"/>
              <w:bottom w:val="single" w:sz="4" w:space="0" w:color="5F2987"/>
              <w:right w:val="single" w:sz="4" w:space="0" w:color="5F2987"/>
            </w:tcBorders>
            <w:vAlign w:val="center"/>
          </w:tcPr>
          <w:p w14:paraId="079C8780" w14:textId="4ECE5745" w:rsidR="00BB01F6" w:rsidRPr="000900C5" w:rsidRDefault="000900C5" w:rsidP="001E4C51">
            <w:pPr>
              <w:keepNext/>
              <w:spacing w:after="0"/>
              <w:jc w:val="center"/>
              <w:rPr>
                <w:rFonts w:eastAsiaTheme="minorEastAsia"/>
                <w:b/>
                <w:bCs/>
                <w:i/>
                <w:iCs/>
              </w:rPr>
            </w:pPr>
            <w:r w:rsidRPr="000900C5">
              <w:rPr>
                <w:rFonts w:eastAsiaTheme="minorEastAsia"/>
                <w:b/>
                <w:bCs/>
                <w:i/>
                <w:iCs/>
                <w:noProof/>
              </w:rPr>
              <mc:AlternateContent>
                <mc:Choice Requires="wps">
                  <w:drawing>
                    <wp:anchor distT="0" distB="0" distL="114300" distR="114300" simplePos="0" relativeHeight="251666432" behindDoc="0" locked="0" layoutInCell="1" allowOverlap="1" wp14:anchorId="6F75554F" wp14:editId="03FEE05B">
                      <wp:simplePos x="0" y="0"/>
                      <wp:positionH relativeFrom="column">
                        <wp:posOffset>1074420</wp:posOffset>
                      </wp:positionH>
                      <wp:positionV relativeFrom="paragraph">
                        <wp:posOffset>205740</wp:posOffset>
                      </wp:positionV>
                      <wp:extent cx="493395" cy="239395"/>
                      <wp:effectExtent l="0" t="19050" r="0" b="27305"/>
                      <wp:wrapNone/>
                      <wp:docPr id="1063444140" name="Cuadro de texto 2"/>
                      <wp:cNvGraphicFramePr/>
                      <a:graphic xmlns:a="http://schemas.openxmlformats.org/drawingml/2006/main">
                        <a:graphicData uri="http://schemas.microsoft.com/office/word/2010/wordprocessingShape">
                          <wps:wsp>
                            <wps:cNvSpPr txBox="1"/>
                            <wps:spPr>
                              <a:xfrm rot="20806188">
                                <a:off x="0" y="0"/>
                                <a:ext cx="493395" cy="239395"/>
                              </a:xfrm>
                              <a:prstGeom prst="rect">
                                <a:avLst/>
                              </a:prstGeom>
                              <a:noFill/>
                              <a:ln w="6350">
                                <a:noFill/>
                              </a:ln>
                            </wps:spPr>
                            <wps:txbx>
                              <w:txbxContent>
                                <w:p w14:paraId="7FB7C600" w14:textId="6B4E04D6" w:rsidR="00084E1B" w:rsidRPr="00084E1B" w:rsidRDefault="00084E1B" w:rsidP="00084E1B">
                                  <w:pPr>
                                    <w:jc w:val="center"/>
                                    <w:rPr>
                                      <w:sz w:val="16"/>
                                      <w:szCs w:val="16"/>
                                    </w:rPr>
                                  </w:pPr>
                                  <w:r>
                                    <w:rPr>
                                      <w:sz w:val="16"/>
                                      <w:szCs w:val="16"/>
                                    </w:rPr>
                                    <w:t>75 %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75554F" id="_x0000_t202" coordsize="21600,21600" o:spt="202" path="m,l,21600r21600,l21600,xe">
                      <v:stroke joinstyle="miter"/>
                      <v:path gradientshapeok="t" o:connecttype="rect"/>
                    </v:shapetype>
                    <v:shape id="Cuadro de texto 2" o:spid="_x0000_s1026" type="#_x0000_t202" style="position:absolute;left:0;text-align:left;margin-left:84.6pt;margin-top:16.2pt;width:38.85pt;height:18.85pt;rotation:-867054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" filled="f" stroked="f" strokeweight=".5pt">
                      <v:textbox>
                        <w:txbxContent>
                          <w:p w14:paraId="7FB7C600" w14:textId="6B4E04D6" w:rsidR="00084E1B" w:rsidRPr="00084E1B" w:rsidRDefault="00084E1B" w:rsidP="00084E1B">
                            <w:pPr>
                              <w:jc w:val="center"/>
                              <w:rPr>
                                <w:sz w:val="16"/>
                                <w:szCs w:val="16"/>
                              </w:rPr>
                            </w:pPr>
                            <w:r>
                              <w:rPr>
                                <w:sz w:val="16"/>
                                <w:szCs w:val="16"/>
                              </w:rPr>
                              <w:t>75 %</w:t>
                            </w:r>
                          </w:p>
                        </w:txbxContent>
                      </v:textbox>
                    </v:shape>
                  </w:pict>
                </mc:Fallback>
              </mc:AlternateContent>
            </w:r>
            <w:r w:rsidR="00084E1B" w:rsidRPr="000900C5">
              <w:rPr>
                <w:rFonts w:eastAsiaTheme="minorEastAsia"/>
                <w:b/>
                <w:bCs/>
                <w:i/>
                <w:iCs/>
                <w:noProof/>
              </w:rPr>
              <mc:AlternateContent>
                <mc:Choice Requires="wps">
                  <w:drawing>
                    <wp:anchor distT="0" distB="0" distL="114300" distR="114300" simplePos="0" relativeHeight="251668480" behindDoc="0" locked="0" layoutInCell="1" allowOverlap="1" wp14:anchorId="24073935" wp14:editId="5CF6C769">
                      <wp:simplePos x="0" y="0"/>
                      <wp:positionH relativeFrom="column">
                        <wp:posOffset>1090930</wp:posOffset>
                      </wp:positionH>
                      <wp:positionV relativeFrom="paragraph">
                        <wp:posOffset>404495</wp:posOffset>
                      </wp:positionV>
                      <wp:extent cx="493395" cy="239395"/>
                      <wp:effectExtent l="0" t="19050" r="0" b="27305"/>
                      <wp:wrapNone/>
                      <wp:docPr id="891451330" name="Cuadro de texto 2"/>
                      <wp:cNvGraphicFramePr/>
                      <a:graphic xmlns:a="http://schemas.openxmlformats.org/drawingml/2006/main">
                        <a:graphicData uri="http://schemas.microsoft.com/office/word/2010/wordprocessingShape">
                          <wps:wsp>
                            <wps:cNvSpPr txBox="1"/>
                            <wps:spPr>
                              <a:xfrm rot="682338">
                                <a:off x="0" y="0"/>
                                <a:ext cx="493395" cy="239395"/>
                              </a:xfrm>
                              <a:prstGeom prst="rect">
                                <a:avLst/>
                              </a:prstGeom>
                              <a:noFill/>
                              <a:ln w="6350">
                                <a:noFill/>
                              </a:ln>
                            </wps:spPr>
                            <wps:txbx>
                              <w:txbxContent>
                                <w:p w14:paraId="7B0F2818" w14:textId="2E949A31" w:rsidR="00084E1B" w:rsidRPr="00084E1B" w:rsidRDefault="00084E1B" w:rsidP="00084E1B">
                                  <w:pPr>
                                    <w:jc w:val="center"/>
                                    <w:rPr>
                                      <w:sz w:val="16"/>
                                      <w:szCs w:val="16"/>
                                    </w:rPr>
                                  </w:pPr>
                                  <w:r>
                                    <w:rPr>
                                      <w:sz w:val="16"/>
                                      <w:szCs w:val="16"/>
                                    </w:rPr>
                                    <w:t>25 %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73935" id="_x0000_s1027" type="#_x0000_t202" style="position:absolute;left:0;text-align:left;margin-left:85.9pt;margin-top:31.85pt;width:38.85pt;height:18.85pt;rotation:745295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" filled="f" stroked="f" strokeweight=".5pt">
                      <v:textbox>
                        <w:txbxContent>
                          <w:p w14:paraId="7B0F2818" w14:textId="2E949A31" w:rsidR="00084E1B" w:rsidRPr="00084E1B" w:rsidRDefault="00084E1B" w:rsidP="00084E1B">
                            <w:pPr>
                              <w:jc w:val="center"/>
                              <w:rPr>
                                <w:sz w:val="16"/>
                                <w:szCs w:val="16"/>
                              </w:rPr>
                            </w:pPr>
                            <w:r>
                              <w:rPr>
                                <w:sz w:val="16"/>
                                <w:szCs w:val="16"/>
                              </w:rPr>
                              <w:t>25 %</w:t>
                            </w:r>
                          </w:p>
                        </w:txbxContent>
                      </v:textbox>
                    </v:shape>
                  </w:pict>
                </mc:Fallback>
              </mc:AlternateContent>
            </w:r>
            <w:r w:rsidR="00084E1B" w:rsidRPr="000900C5">
              <w:rPr>
                <w:rFonts w:eastAsiaTheme="minorEastAsia"/>
                <w:b/>
                <w:bCs/>
                <w:i/>
                <w:iCs/>
                <w:noProof/>
              </w:rPr>
              <mc:AlternateContent>
                <mc:Choice Requires="wps">
                  <w:drawing>
                    <wp:anchor distT="0" distB="0" distL="114300" distR="114300" simplePos="0" relativeHeight="251656192" behindDoc="0" locked="0" layoutInCell="1" allowOverlap="1" wp14:anchorId="3D61B47C" wp14:editId="316B195D">
                      <wp:simplePos x="0" y="0"/>
                      <wp:positionH relativeFrom="column">
                        <wp:posOffset>813435</wp:posOffset>
                      </wp:positionH>
                      <wp:positionV relativeFrom="paragraph">
                        <wp:posOffset>281940</wp:posOffset>
                      </wp:positionV>
                      <wp:extent cx="1007745" cy="197485"/>
                      <wp:effectExtent l="0" t="0" r="20955" b="31115"/>
                      <wp:wrapNone/>
                      <wp:docPr id="1991897509" name="Conector recto 1991897509"/>
                      <wp:cNvGraphicFramePr/>
                      <a:graphic xmlns:a="http://schemas.openxmlformats.org/drawingml/2006/main">
                        <a:graphicData uri="http://schemas.microsoft.com/office/word/2010/wordprocessingShape">
                          <wps:wsp>
                            <wps:cNvCnPr/>
                            <wps:spPr>
                              <a:xfrm flipV="1">
                                <a:off x="0" y="0"/>
                                <a:ext cx="1007745" cy="19748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7A6995" id="Conector recto 1991897509"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05pt,22.2pt" to="143.4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" strokeweight=".5pt">
                      <v:stroke joinstyle="miter"/>
                    </v:line>
                  </w:pict>
                </mc:Fallback>
              </mc:AlternateContent>
            </w:r>
            <w:r w:rsidR="00084E1B" w:rsidRPr="000900C5">
              <w:rPr>
                <w:rFonts w:eastAsiaTheme="minorEastAsia"/>
                <w:b/>
                <w:bCs/>
                <w:i/>
                <w:iCs/>
                <w:noProof/>
              </w:rPr>
              <mc:AlternateContent>
                <mc:Choice Requires="wps">
                  <w:drawing>
                    <wp:anchor distT="0" distB="0" distL="114300" distR="114300" simplePos="0" relativeHeight="251658240" behindDoc="0" locked="0" layoutInCell="1" allowOverlap="1" wp14:anchorId="4062964F" wp14:editId="6CD5D5D4">
                      <wp:simplePos x="0" y="0"/>
                      <wp:positionH relativeFrom="column">
                        <wp:posOffset>812800</wp:posOffset>
                      </wp:positionH>
                      <wp:positionV relativeFrom="paragraph">
                        <wp:posOffset>476250</wp:posOffset>
                      </wp:positionV>
                      <wp:extent cx="1007745" cy="197485"/>
                      <wp:effectExtent l="0" t="0" r="20955" b="31115"/>
                      <wp:wrapNone/>
                      <wp:docPr id="137722212" name="Conector recto 137722212"/>
                      <wp:cNvGraphicFramePr/>
                      <a:graphic xmlns:a="http://schemas.openxmlformats.org/drawingml/2006/main">
                        <a:graphicData uri="http://schemas.microsoft.com/office/word/2010/wordprocessingShape">
                          <wps:wsp>
                            <wps:cNvCnPr/>
                            <wps:spPr>
                              <a:xfrm>
                                <a:off x="0" y="0"/>
                                <a:ext cx="1007745" cy="19748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EF7309" id="Conector recto 1377222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pt,37.5pt" to="143.35pt,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" strokeweight=".5pt">
                      <v:stroke joinstyle="miter"/>
                    </v:line>
                  </w:pict>
                </mc:Fallback>
              </mc:AlternateContent>
            </w:r>
            <w:r w:rsidR="00084E1B" w:rsidRPr="000900C5">
              <w:rPr>
                <w:rFonts w:eastAsiaTheme="minorEastAsia"/>
                <w:b/>
                <w:bCs/>
                <w:i/>
                <w:iCs/>
                <w:noProof/>
              </w:rPr>
              <mc:AlternateContent>
                <mc:Choice Requires="wps">
                  <w:drawing>
                    <wp:anchor distT="0" distB="0" distL="114300" distR="114300" simplePos="0" relativeHeight="251643904" behindDoc="0" locked="0" layoutInCell="1" allowOverlap="1" wp14:anchorId="3678E04A" wp14:editId="1AC74CA0">
                      <wp:simplePos x="0" y="0"/>
                      <wp:positionH relativeFrom="column">
                        <wp:posOffset>795020</wp:posOffset>
                      </wp:positionH>
                      <wp:positionV relativeFrom="paragraph">
                        <wp:posOffset>798830</wp:posOffset>
                      </wp:positionV>
                      <wp:extent cx="1007745" cy="197485"/>
                      <wp:effectExtent l="0" t="0" r="20955" b="31115"/>
                      <wp:wrapNone/>
                      <wp:docPr id="17" name="Conector recto 17"/>
                      <wp:cNvGraphicFramePr/>
                      <a:graphic xmlns:a="http://schemas.openxmlformats.org/drawingml/2006/main">
                        <a:graphicData uri="http://schemas.microsoft.com/office/word/2010/wordprocessingShape">
                          <wps:wsp>
                            <wps:cNvCnPr/>
                            <wps:spPr>
                              <a:xfrm flipV="1">
                                <a:off x="0" y="0"/>
                                <a:ext cx="1007745" cy="19748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226E06" id="Conector recto 17"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6pt,62.9pt" to="141.95pt,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" strokeweight=".5pt">
                      <v:stroke joinstyle="miter"/>
                    </v:line>
                  </w:pict>
                </mc:Fallback>
              </mc:AlternateContent>
            </w:r>
            <w:r w:rsidR="00084E1B" w:rsidRPr="000900C5">
              <w:rPr>
                <w:rFonts w:eastAsiaTheme="minorEastAsia"/>
                <w:b/>
                <w:bCs/>
                <w:i/>
                <w:iCs/>
                <w:noProof/>
              </w:rPr>
              <mc:AlternateContent>
                <mc:Choice Requires="wps">
                  <w:drawing>
                    <wp:anchor distT="0" distB="0" distL="114300" distR="114300" simplePos="0" relativeHeight="251645952" behindDoc="0" locked="0" layoutInCell="1" allowOverlap="1" wp14:anchorId="1EBD892E" wp14:editId="6AD359D9">
                      <wp:simplePos x="0" y="0"/>
                      <wp:positionH relativeFrom="column">
                        <wp:posOffset>794385</wp:posOffset>
                      </wp:positionH>
                      <wp:positionV relativeFrom="paragraph">
                        <wp:posOffset>993140</wp:posOffset>
                      </wp:positionV>
                      <wp:extent cx="1007745" cy="197485"/>
                      <wp:effectExtent l="0" t="0" r="20955" b="31115"/>
                      <wp:wrapNone/>
                      <wp:docPr id="235524057" name="Conector recto 235524057"/>
                      <wp:cNvGraphicFramePr/>
                      <a:graphic xmlns:a="http://schemas.openxmlformats.org/drawingml/2006/main">
                        <a:graphicData uri="http://schemas.microsoft.com/office/word/2010/wordprocessingShape">
                          <wps:wsp>
                            <wps:cNvCnPr/>
                            <wps:spPr>
                              <a:xfrm>
                                <a:off x="0" y="0"/>
                                <a:ext cx="1007745" cy="19748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460BE5" id="Conector recto 235524057"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5pt,78.2pt" to="141.9pt,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" strokeweight=".5pt">
                      <v:stroke joinstyle="miter"/>
                    </v:line>
                  </w:pict>
                </mc:Fallback>
              </mc:AlternateContent>
            </w:r>
            <w:r w:rsidR="00BB01F6" w:rsidRPr="000900C5">
              <w:rPr>
                <w:rFonts w:eastAsiaTheme="minorEastAsia"/>
                <w:b/>
                <w:bCs/>
                <w:i/>
                <w:iCs/>
              </w:rPr>
              <w:t>Juego 1</w:t>
            </w:r>
          </w:p>
        </w:tc>
        <w:tc>
          <w:tcPr>
            <w:tcW w:w="4116" w:type="dxa"/>
            <w:gridSpan w:val="2"/>
            <w:tcBorders>
              <w:top w:val="nil"/>
              <w:left w:val="single" w:sz="4" w:space="0" w:color="5F2987"/>
              <w:bottom w:val="single" w:sz="4" w:space="0" w:color="5F2987"/>
              <w:right w:val="nil"/>
            </w:tcBorders>
            <w:vAlign w:val="center"/>
          </w:tcPr>
          <w:p w14:paraId="1B06E975" w14:textId="6EF6EA29" w:rsidR="00BB01F6" w:rsidRPr="000900C5" w:rsidRDefault="00084E1B" w:rsidP="001E4C51">
            <w:pPr>
              <w:keepNext/>
              <w:spacing w:after="0"/>
              <w:jc w:val="center"/>
              <w:rPr>
                <w:rFonts w:eastAsiaTheme="minorEastAsia"/>
                <w:b/>
                <w:bCs/>
              </w:rPr>
            </w:pPr>
            <w:r w:rsidRPr="000900C5">
              <w:rPr>
                <w:rFonts w:eastAsiaTheme="minorEastAsia"/>
                <w:b/>
                <w:bCs/>
                <w:i/>
                <w:iCs/>
                <w:noProof/>
              </w:rPr>
              <mc:AlternateContent>
                <mc:Choice Requires="wps">
                  <w:drawing>
                    <wp:anchor distT="0" distB="0" distL="114300" distR="114300" simplePos="0" relativeHeight="251674624" behindDoc="0" locked="0" layoutInCell="1" allowOverlap="1" wp14:anchorId="70EC8157" wp14:editId="38492A0B">
                      <wp:simplePos x="0" y="0"/>
                      <wp:positionH relativeFrom="column">
                        <wp:posOffset>1047750</wp:posOffset>
                      </wp:positionH>
                      <wp:positionV relativeFrom="paragraph">
                        <wp:posOffset>405130</wp:posOffset>
                      </wp:positionV>
                      <wp:extent cx="493395" cy="239395"/>
                      <wp:effectExtent l="0" t="19050" r="0" b="27305"/>
                      <wp:wrapNone/>
                      <wp:docPr id="275369296" name="Cuadro de texto 2"/>
                      <wp:cNvGraphicFramePr/>
                      <a:graphic xmlns:a="http://schemas.openxmlformats.org/drawingml/2006/main">
                        <a:graphicData uri="http://schemas.microsoft.com/office/word/2010/wordprocessingShape">
                          <wps:wsp>
                            <wps:cNvSpPr txBox="1"/>
                            <wps:spPr>
                              <a:xfrm rot="682338">
                                <a:off x="0" y="0"/>
                                <a:ext cx="493395" cy="239395"/>
                              </a:xfrm>
                              <a:prstGeom prst="rect">
                                <a:avLst/>
                              </a:prstGeom>
                              <a:noFill/>
                              <a:ln w="6350">
                                <a:noFill/>
                              </a:ln>
                            </wps:spPr>
                            <wps:txbx>
                              <w:txbxContent>
                                <w:p w14:paraId="73C5A0D4" w14:textId="3A5BBA6E" w:rsidR="00084E1B" w:rsidRPr="00084E1B" w:rsidRDefault="00084E1B" w:rsidP="00084E1B">
                                  <w:pPr>
                                    <w:jc w:val="center"/>
                                    <w:rPr>
                                      <w:sz w:val="16"/>
                                      <w:szCs w:val="16"/>
                                    </w:rPr>
                                  </w:pPr>
                                  <w:r>
                                    <w:rPr>
                                      <w:sz w:val="16"/>
                                      <w:szCs w:val="16"/>
                                    </w:rPr>
                                    <w:t>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C8157" id="_x0000_s1028" type="#_x0000_t202" style="position:absolute;left:0;text-align:left;margin-left:82.5pt;margin-top:31.9pt;width:38.85pt;height:18.85pt;rotation:745295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" filled="f" stroked="f" strokeweight=".5pt">
                      <v:textbox>
                        <w:txbxContent>
                          <w:p w14:paraId="73C5A0D4" w14:textId="3A5BBA6E" w:rsidR="00084E1B" w:rsidRPr="00084E1B" w:rsidRDefault="00084E1B" w:rsidP="00084E1B">
                            <w:pPr>
                              <w:jc w:val="center"/>
                              <w:rPr>
                                <w:sz w:val="16"/>
                                <w:szCs w:val="16"/>
                              </w:rPr>
                            </w:pPr>
                            <w:r>
                              <w:rPr>
                                <w:sz w:val="16"/>
                                <w:szCs w:val="16"/>
                              </w:rPr>
                              <w:t>5 %</w:t>
                            </w:r>
                          </w:p>
                        </w:txbxContent>
                      </v:textbox>
                    </v:shape>
                  </w:pict>
                </mc:Fallback>
              </mc:AlternateContent>
            </w:r>
            <w:r w:rsidRPr="000900C5">
              <w:rPr>
                <w:rFonts w:eastAsiaTheme="minorEastAsia"/>
                <w:b/>
                <w:bCs/>
                <w:i/>
                <w:iCs/>
                <w:noProof/>
              </w:rPr>
              <mc:AlternateContent>
                <mc:Choice Requires="wps">
                  <w:drawing>
                    <wp:anchor distT="0" distB="0" distL="114300" distR="114300" simplePos="0" relativeHeight="251660288" behindDoc="0" locked="0" layoutInCell="1" allowOverlap="1" wp14:anchorId="240F62D5" wp14:editId="6ED64F99">
                      <wp:simplePos x="0" y="0"/>
                      <wp:positionH relativeFrom="column">
                        <wp:posOffset>1010920</wp:posOffset>
                      </wp:positionH>
                      <wp:positionV relativeFrom="paragraph">
                        <wp:posOffset>212725</wp:posOffset>
                      </wp:positionV>
                      <wp:extent cx="493395" cy="239395"/>
                      <wp:effectExtent l="0" t="19050" r="0" b="27305"/>
                      <wp:wrapNone/>
                      <wp:docPr id="94556167" name="Cuadro de texto 2"/>
                      <wp:cNvGraphicFramePr/>
                      <a:graphic xmlns:a="http://schemas.openxmlformats.org/drawingml/2006/main">
                        <a:graphicData uri="http://schemas.microsoft.com/office/word/2010/wordprocessingShape">
                          <wps:wsp>
                            <wps:cNvSpPr txBox="1"/>
                            <wps:spPr>
                              <a:xfrm rot="20806188">
                                <a:off x="0" y="0"/>
                                <a:ext cx="493395" cy="239395"/>
                              </a:xfrm>
                              <a:prstGeom prst="rect">
                                <a:avLst/>
                              </a:prstGeom>
                              <a:noFill/>
                              <a:ln w="6350">
                                <a:noFill/>
                              </a:ln>
                            </wps:spPr>
                            <wps:txbx>
                              <w:txbxContent>
                                <w:p w14:paraId="2CD07CD1" w14:textId="05C32BCC" w:rsidR="00084E1B" w:rsidRPr="00084E1B" w:rsidRDefault="00084E1B" w:rsidP="00084E1B">
                                  <w:pPr>
                                    <w:jc w:val="center"/>
                                    <w:rPr>
                                      <w:sz w:val="16"/>
                                      <w:szCs w:val="16"/>
                                    </w:rPr>
                                  </w:pPr>
                                  <w:r>
                                    <w:rPr>
                                      <w:sz w:val="16"/>
                                      <w:szCs w:val="16"/>
                                    </w:rPr>
                                    <w:t>95 %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F62D5" id="_x0000_s1029" type="#_x0000_t202" style="position:absolute;left:0;text-align:left;margin-left:79.6pt;margin-top:16.75pt;width:38.85pt;height:18.85pt;rotation:-867054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" filled="f" stroked="f" strokeweight=".5pt">
                      <v:textbox>
                        <w:txbxContent>
                          <w:p w14:paraId="2CD07CD1" w14:textId="05C32BCC" w:rsidR="00084E1B" w:rsidRPr="00084E1B" w:rsidRDefault="00084E1B" w:rsidP="00084E1B">
                            <w:pPr>
                              <w:jc w:val="center"/>
                              <w:rPr>
                                <w:sz w:val="16"/>
                                <w:szCs w:val="16"/>
                              </w:rPr>
                            </w:pPr>
                            <w:r>
                              <w:rPr>
                                <w:sz w:val="16"/>
                                <w:szCs w:val="16"/>
                              </w:rPr>
                              <w:t>95 %</w:t>
                            </w:r>
                          </w:p>
                        </w:txbxContent>
                      </v:textbox>
                    </v:shape>
                  </w:pict>
                </mc:Fallback>
              </mc:AlternateContent>
            </w:r>
            <w:r w:rsidRPr="000900C5">
              <w:rPr>
                <w:rFonts w:eastAsiaTheme="minorEastAsia"/>
                <w:b/>
                <w:bCs/>
                <w:i/>
                <w:iCs/>
                <w:noProof/>
              </w:rPr>
              <mc:AlternateContent>
                <mc:Choice Requires="wps">
                  <w:drawing>
                    <wp:anchor distT="0" distB="0" distL="114300" distR="114300" simplePos="0" relativeHeight="251652096" behindDoc="0" locked="0" layoutInCell="1" allowOverlap="1" wp14:anchorId="0EE35BAC" wp14:editId="1BAA604F">
                      <wp:simplePos x="0" y="0"/>
                      <wp:positionH relativeFrom="column">
                        <wp:posOffset>817245</wp:posOffset>
                      </wp:positionH>
                      <wp:positionV relativeFrom="paragraph">
                        <wp:posOffset>818515</wp:posOffset>
                      </wp:positionV>
                      <wp:extent cx="1007745" cy="197485"/>
                      <wp:effectExtent l="0" t="0" r="20955" b="31115"/>
                      <wp:wrapNone/>
                      <wp:docPr id="153241417" name="Conector recto 153241417"/>
                      <wp:cNvGraphicFramePr/>
                      <a:graphic xmlns:a="http://schemas.openxmlformats.org/drawingml/2006/main">
                        <a:graphicData uri="http://schemas.microsoft.com/office/word/2010/wordprocessingShape">
                          <wps:wsp>
                            <wps:cNvCnPr/>
                            <wps:spPr>
                              <a:xfrm flipV="1">
                                <a:off x="0" y="0"/>
                                <a:ext cx="1007745" cy="19748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B78DC7" id="Conector recto 153241417"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35pt,64.45pt" to="143.7pt,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" strokeweight=".5pt">
                      <v:stroke joinstyle="miter"/>
                    </v:line>
                  </w:pict>
                </mc:Fallback>
              </mc:AlternateContent>
            </w:r>
            <w:r w:rsidRPr="000900C5">
              <w:rPr>
                <w:rFonts w:eastAsiaTheme="minorEastAsia"/>
                <w:b/>
                <w:bCs/>
                <w:i/>
                <w:iCs/>
                <w:noProof/>
              </w:rPr>
              <mc:AlternateContent>
                <mc:Choice Requires="wps">
                  <w:drawing>
                    <wp:anchor distT="0" distB="0" distL="114300" distR="114300" simplePos="0" relativeHeight="251654144" behindDoc="0" locked="0" layoutInCell="1" allowOverlap="1" wp14:anchorId="21486F35" wp14:editId="3D43BC51">
                      <wp:simplePos x="0" y="0"/>
                      <wp:positionH relativeFrom="column">
                        <wp:posOffset>816610</wp:posOffset>
                      </wp:positionH>
                      <wp:positionV relativeFrom="paragraph">
                        <wp:posOffset>1012825</wp:posOffset>
                      </wp:positionV>
                      <wp:extent cx="1007745" cy="197485"/>
                      <wp:effectExtent l="0" t="0" r="20955" b="31115"/>
                      <wp:wrapNone/>
                      <wp:docPr id="305225182" name="Conector recto 305225182"/>
                      <wp:cNvGraphicFramePr/>
                      <a:graphic xmlns:a="http://schemas.openxmlformats.org/drawingml/2006/main">
                        <a:graphicData uri="http://schemas.microsoft.com/office/word/2010/wordprocessingShape">
                          <wps:wsp>
                            <wps:cNvCnPr/>
                            <wps:spPr>
                              <a:xfrm>
                                <a:off x="0" y="0"/>
                                <a:ext cx="1007745" cy="197485"/>
                              </a:xfrm>
                              <a:prstGeom prst="line">
                                <a:avLst/>
                              </a:prstGeom>
                              <a:ln>
                                <a:solidFill>
                                  <a:schemeClr val="tx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4118F2" id="Conector recto 30522518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3pt,79.75pt" to="143.65pt,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" strokecolor="#a5a5a5 [2093]" strokeweight=".5pt">
                      <v:stroke joinstyle="miter"/>
                    </v:line>
                  </w:pict>
                </mc:Fallback>
              </mc:AlternateContent>
            </w:r>
            <w:r w:rsidRPr="000900C5">
              <w:rPr>
                <w:rFonts w:eastAsiaTheme="minorEastAsia"/>
                <w:b/>
                <w:bCs/>
                <w:i/>
                <w:iCs/>
                <w:noProof/>
              </w:rPr>
              <mc:AlternateContent>
                <mc:Choice Requires="wps">
                  <w:drawing>
                    <wp:anchor distT="0" distB="0" distL="114300" distR="114300" simplePos="0" relativeHeight="251648000" behindDoc="0" locked="0" layoutInCell="1" allowOverlap="1" wp14:anchorId="03B68367" wp14:editId="2D586A9F">
                      <wp:simplePos x="0" y="0"/>
                      <wp:positionH relativeFrom="column">
                        <wp:posOffset>814070</wp:posOffset>
                      </wp:positionH>
                      <wp:positionV relativeFrom="paragraph">
                        <wp:posOffset>285750</wp:posOffset>
                      </wp:positionV>
                      <wp:extent cx="1007745" cy="197485"/>
                      <wp:effectExtent l="0" t="0" r="20955" b="31115"/>
                      <wp:wrapNone/>
                      <wp:docPr id="2094627160" name="Conector recto 2094627160"/>
                      <wp:cNvGraphicFramePr/>
                      <a:graphic xmlns:a="http://schemas.openxmlformats.org/drawingml/2006/main">
                        <a:graphicData uri="http://schemas.microsoft.com/office/word/2010/wordprocessingShape">
                          <wps:wsp>
                            <wps:cNvCnPr/>
                            <wps:spPr>
                              <a:xfrm flipV="1">
                                <a:off x="0" y="0"/>
                                <a:ext cx="1007745" cy="19748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E3B83F" id="Conector recto 2094627160"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pt,22.5pt" to="143.4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" strokeweight=".5pt">
                      <v:stroke joinstyle="miter"/>
                    </v:line>
                  </w:pict>
                </mc:Fallback>
              </mc:AlternateContent>
            </w:r>
            <w:r w:rsidRPr="000900C5">
              <w:rPr>
                <w:rFonts w:eastAsiaTheme="minorEastAsia"/>
                <w:b/>
                <w:bCs/>
                <w:i/>
                <w:iCs/>
                <w:noProof/>
              </w:rPr>
              <mc:AlternateContent>
                <mc:Choice Requires="wps">
                  <w:drawing>
                    <wp:anchor distT="0" distB="0" distL="114300" distR="114300" simplePos="0" relativeHeight="251650048" behindDoc="0" locked="0" layoutInCell="1" allowOverlap="1" wp14:anchorId="05AE4C6E" wp14:editId="0EBF8E8D">
                      <wp:simplePos x="0" y="0"/>
                      <wp:positionH relativeFrom="column">
                        <wp:posOffset>813435</wp:posOffset>
                      </wp:positionH>
                      <wp:positionV relativeFrom="paragraph">
                        <wp:posOffset>480060</wp:posOffset>
                      </wp:positionV>
                      <wp:extent cx="1007745" cy="197485"/>
                      <wp:effectExtent l="0" t="0" r="20955" b="31115"/>
                      <wp:wrapNone/>
                      <wp:docPr id="882788137" name="Conector recto 882788137"/>
                      <wp:cNvGraphicFramePr/>
                      <a:graphic xmlns:a="http://schemas.openxmlformats.org/drawingml/2006/main">
                        <a:graphicData uri="http://schemas.microsoft.com/office/word/2010/wordprocessingShape">
                          <wps:wsp>
                            <wps:cNvCnPr/>
                            <wps:spPr>
                              <a:xfrm>
                                <a:off x="0" y="0"/>
                                <a:ext cx="1007745" cy="19748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5EDA35" id="Conector recto 882788137"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05pt,37.8pt" to="143.4pt,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" strokeweight=".5pt">
                      <v:stroke joinstyle="miter"/>
                    </v:line>
                  </w:pict>
                </mc:Fallback>
              </mc:AlternateContent>
            </w:r>
            <w:r w:rsidR="00BB01F6" w:rsidRPr="000900C5">
              <w:rPr>
                <w:rFonts w:eastAsiaTheme="minorEastAsia"/>
                <w:b/>
                <w:bCs/>
                <w:i/>
                <w:iCs/>
              </w:rPr>
              <w:t>Juego 2</w:t>
            </w:r>
          </w:p>
        </w:tc>
      </w:tr>
      <w:tr w:rsidR="00084E1B" w14:paraId="33B6A5CF" w14:textId="77777777" w:rsidTr="000900C5">
        <w:trPr>
          <w:jc w:val="center"/>
        </w:trPr>
        <w:tc>
          <w:tcPr>
            <w:tcW w:w="2322" w:type="dxa"/>
            <w:vMerge w:val="restart"/>
            <w:tcBorders>
              <w:top w:val="single" w:sz="4" w:space="0" w:color="5F2987"/>
              <w:left w:val="nil"/>
              <w:bottom w:val="nil"/>
              <w:right w:val="nil"/>
            </w:tcBorders>
            <w:shd w:val="clear" w:color="auto" w:fill="E2EFD9" w:themeFill="accent6" w:themeFillTint="33"/>
            <w:vAlign w:val="center"/>
          </w:tcPr>
          <w:p w14:paraId="1CD1BE4E" w14:textId="4938C9CD" w:rsidR="00084E1B" w:rsidRDefault="00000000" w:rsidP="00084E1B">
            <w:pPr>
              <w:keepNext/>
              <w:spacing w:after="0"/>
              <w:jc w:val="center"/>
              <w:rPr>
                <w:rFonts w:eastAsiaTheme="minorEastAsia"/>
              </w:rPr>
            </w:pPr>
            <m:oMathPara>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A</m:t>
                    </m:r>
                  </m:sup>
                </m:sSup>
              </m:oMath>
            </m:oMathPara>
          </w:p>
        </w:tc>
        <w:tc>
          <w:tcPr>
            <w:tcW w:w="1789" w:type="dxa"/>
            <w:tcBorders>
              <w:top w:val="single" w:sz="4" w:space="0" w:color="5F2987"/>
              <w:left w:val="nil"/>
              <w:bottom w:val="nil"/>
              <w:right w:val="single" w:sz="4" w:space="0" w:color="5F2987"/>
            </w:tcBorders>
            <w:shd w:val="clear" w:color="auto" w:fill="E2EFD9" w:themeFill="accent6" w:themeFillTint="33"/>
            <w:vAlign w:val="center"/>
          </w:tcPr>
          <w:p w14:paraId="357E731B" w14:textId="3BA1BF1F" w:rsidR="00084E1B" w:rsidRDefault="00084E1B" w:rsidP="00084E1B">
            <w:pPr>
              <w:keepNext/>
              <w:spacing w:after="0"/>
              <w:jc w:val="center"/>
              <w:rPr>
                <w:rFonts w:eastAsiaTheme="minorEastAsia"/>
              </w:rPr>
            </w:pPr>
            <m:oMathPara>
              <m:oMath>
                <m:r>
                  <m:rPr>
                    <m:nor/>
                  </m:rPr>
                  <w:rPr>
                    <w:i/>
                  </w:rPr>
                  <m:t>110 €</m:t>
                </m:r>
              </m:oMath>
            </m:oMathPara>
          </w:p>
        </w:tc>
        <w:tc>
          <w:tcPr>
            <w:tcW w:w="2322" w:type="dxa"/>
            <w:vMerge w:val="restart"/>
            <w:tcBorders>
              <w:top w:val="single" w:sz="4" w:space="0" w:color="5F2987"/>
              <w:left w:val="single" w:sz="4" w:space="0" w:color="5F2987"/>
              <w:bottom w:val="nil"/>
              <w:right w:val="nil"/>
            </w:tcBorders>
            <w:vAlign w:val="center"/>
          </w:tcPr>
          <w:p w14:paraId="4F129233" w14:textId="4110ACA8" w:rsidR="00084E1B" w:rsidRDefault="00000000" w:rsidP="00084E1B">
            <w:pPr>
              <w:keepNext/>
              <w:spacing w:after="0"/>
              <w:jc w:val="center"/>
              <w:rPr>
                <w:rFonts w:eastAsiaTheme="minorEastAsia"/>
              </w:rPr>
            </w:pPr>
            <m:oMathPara>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A</m:t>
                    </m:r>
                  </m:sup>
                </m:sSup>
              </m:oMath>
            </m:oMathPara>
          </w:p>
        </w:tc>
        <w:tc>
          <w:tcPr>
            <w:tcW w:w="1794" w:type="dxa"/>
            <w:tcBorders>
              <w:top w:val="single" w:sz="4" w:space="0" w:color="5F2987"/>
              <w:left w:val="nil"/>
              <w:bottom w:val="nil"/>
              <w:right w:val="nil"/>
            </w:tcBorders>
            <w:vAlign w:val="center"/>
          </w:tcPr>
          <w:p w14:paraId="167F7BA2" w14:textId="37BC8DE3" w:rsidR="00084E1B" w:rsidRDefault="00084E1B" w:rsidP="00084E1B">
            <w:pPr>
              <w:spacing w:after="0"/>
              <w:jc w:val="center"/>
              <w:rPr>
                <w:rFonts w:eastAsiaTheme="minorEastAsia"/>
              </w:rPr>
            </w:pPr>
            <m:oMathPara>
              <m:oMath>
                <m:r>
                  <m:rPr>
                    <m:nor/>
                  </m:rPr>
                  <w:rPr>
                    <w:i/>
                  </w:rPr>
                  <m:t>110 €</m:t>
                </m:r>
              </m:oMath>
            </m:oMathPara>
          </w:p>
        </w:tc>
      </w:tr>
      <w:tr w:rsidR="00084E1B" w14:paraId="03DB2D5A" w14:textId="77777777" w:rsidTr="000900C5">
        <w:trPr>
          <w:jc w:val="center"/>
        </w:trPr>
        <w:tc>
          <w:tcPr>
            <w:tcW w:w="2322" w:type="dxa"/>
            <w:vMerge/>
            <w:tcBorders>
              <w:left w:val="nil"/>
              <w:bottom w:val="nil"/>
              <w:right w:val="nil"/>
            </w:tcBorders>
            <w:shd w:val="clear" w:color="auto" w:fill="E2EFD9" w:themeFill="accent6" w:themeFillTint="33"/>
            <w:vAlign w:val="center"/>
          </w:tcPr>
          <w:p w14:paraId="0103B345" w14:textId="77777777" w:rsidR="00084E1B" w:rsidRDefault="00084E1B" w:rsidP="00084E1B">
            <w:pPr>
              <w:keepNext/>
              <w:spacing w:after="0"/>
              <w:jc w:val="center"/>
              <w:rPr>
                <w:rFonts w:eastAsia="Times New Roman" w:cs="Arial"/>
              </w:rPr>
            </w:pPr>
          </w:p>
        </w:tc>
        <w:tc>
          <w:tcPr>
            <w:tcW w:w="1789" w:type="dxa"/>
            <w:tcBorders>
              <w:top w:val="nil"/>
              <w:left w:val="nil"/>
              <w:bottom w:val="nil"/>
              <w:right w:val="single" w:sz="4" w:space="0" w:color="5F2987"/>
            </w:tcBorders>
            <w:shd w:val="clear" w:color="auto" w:fill="E2EFD9" w:themeFill="accent6" w:themeFillTint="33"/>
            <w:vAlign w:val="center"/>
          </w:tcPr>
          <w:p w14:paraId="060112F8" w14:textId="0F5ACAE9" w:rsidR="00084E1B" w:rsidRDefault="00084E1B" w:rsidP="00084E1B">
            <w:pPr>
              <w:keepNext/>
              <w:spacing w:after="0"/>
              <w:jc w:val="center"/>
              <w:rPr>
                <w:rFonts w:eastAsia="Times New Roman" w:cs="Arial"/>
              </w:rPr>
            </w:pPr>
            <w:r>
              <w:rPr>
                <w:rFonts w:eastAsiaTheme="minorEastAsia"/>
                <w:i/>
                <w:iCs/>
                <w:noProof/>
              </w:rPr>
              <mc:AlternateContent>
                <mc:Choice Requires="wps">
                  <w:drawing>
                    <wp:anchor distT="0" distB="0" distL="114300" distR="114300" simplePos="0" relativeHeight="251664384" behindDoc="0" locked="0" layoutInCell="1" allowOverlap="1" wp14:anchorId="2BC56447" wp14:editId="38943104">
                      <wp:simplePos x="0" y="0"/>
                      <wp:positionH relativeFrom="column">
                        <wp:posOffset>-403860</wp:posOffset>
                      </wp:positionH>
                      <wp:positionV relativeFrom="paragraph">
                        <wp:posOffset>349885</wp:posOffset>
                      </wp:positionV>
                      <wp:extent cx="493395" cy="239395"/>
                      <wp:effectExtent l="0" t="19050" r="0" b="27305"/>
                      <wp:wrapNone/>
                      <wp:docPr id="927702645" name="Cuadro de texto 2"/>
                      <wp:cNvGraphicFramePr/>
                      <a:graphic xmlns:a="http://schemas.openxmlformats.org/drawingml/2006/main">
                        <a:graphicData uri="http://schemas.microsoft.com/office/word/2010/wordprocessingShape">
                          <wps:wsp>
                            <wps:cNvSpPr txBox="1"/>
                            <wps:spPr>
                              <a:xfrm rot="20806188">
                                <a:off x="0" y="0"/>
                                <a:ext cx="493395" cy="239395"/>
                              </a:xfrm>
                              <a:prstGeom prst="rect">
                                <a:avLst/>
                              </a:prstGeom>
                              <a:noFill/>
                              <a:ln w="6350">
                                <a:noFill/>
                              </a:ln>
                            </wps:spPr>
                            <wps:txbx>
                              <w:txbxContent>
                                <w:p w14:paraId="3CACB4EB" w14:textId="0CF87C93" w:rsidR="00084E1B" w:rsidRPr="00084E1B" w:rsidRDefault="00084E1B" w:rsidP="00084E1B">
                                  <w:pPr>
                                    <w:jc w:val="center"/>
                                    <w:rPr>
                                      <w:sz w:val="16"/>
                                      <w:szCs w:val="16"/>
                                    </w:rPr>
                                  </w:pPr>
                                  <w:r>
                                    <w:rPr>
                                      <w:sz w:val="16"/>
                                      <w:szCs w:val="16"/>
                                    </w:rPr>
                                    <w:t>80 %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56447" id="_x0000_s1030" type="#_x0000_t202" style="position:absolute;left:0;text-align:left;margin-left:-31.8pt;margin-top:27.55pt;width:38.85pt;height:18.85pt;rotation:-867054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" filled="f" stroked="f" strokeweight=".5pt">
                      <v:textbox>
                        <w:txbxContent>
                          <w:p w14:paraId="3CACB4EB" w14:textId="0CF87C93" w:rsidR="00084E1B" w:rsidRPr="00084E1B" w:rsidRDefault="00084E1B" w:rsidP="00084E1B">
                            <w:pPr>
                              <w:jc w:val="center"/>
                              <w:rPr>
                                <w:sz w:val="16"/>
                                <w:szCs w:val="16"/>
                              </w:rPr>
                            </w:pPr>
                            <w:r>
                              <w:rPr>
                                <w:sz w:val="16"/>
                                <w:szCs w:val="16"/>
                              </w:rPr>
                              <w:t>80 %</w:t>
                            </w:r>
                          </w:p>
                        </w:txbxContent>
                      </v:textbox>
                    </v:shape>
                  </w:pict>
                </mc:Fallback>
              </mc:AlternateContent>
            </w:r>
          </w:p>
        </w:tc>
        <w:tc>
          <w:tcPr>
            <w:tcW w:w="2322" w:type="dxa"/>
            <w:vMerge/>
            <w:tcBorders>
              <w:left w:val="single" w:sz="4" w:space="0" w:color="5F2987"/>
              <w:bottom w:val="nil"/>
              <w:right w:val="nil"/>
            </w:tcBorders>
            <w:vAlign w:val="center"/>
          </w:tcPr>
          <w:p w14:paraId="724170B6" w14:textId="77777777" w:rsidR="00084E1B" w:rsidRDefault="00084E1B" w:rsidP="00084E1B">
            <w:pPr>
              <w:keepNext/>
              <w:spacing w:after="0"/>
              <w:jc w:val="center"/>
              <w:rPr>
                <w:rFonts w:eastAsia="Times New Roman" w:cs="Arial"/>
              </w:rPr>
            </w:pPr>
          </w:p>
        </w:tc>
        <w:tc>
          <w:tcPr>
            <w:tcW w:w="1794" w:type="dxa"/>
            <w:tcBorders>
              <w:top w:val="nil"/>
              <w:left w:val="nil"/>
              <w:bottom w:val="nil"/>
              <w:right w:val="nil"/>
            </w:tcBorders>
            <w:vAlign w:val="center"/>
          </w:tcPr>
          <w:p w14:paraId="538DD96E" w14:textId="306A0963" w:rsidR="00084E1B" w:rsidRDefault="00084E1B" w:rsidP="00084E1B">
            <w:pPr>
              <w:spacing w:after="0"/>
              <w:jc w:val="center"/>
              <w:rPr>
                <w:rFonts w:eastAsia="Times New Roman" w:cs="Arial"/>
              </w:rPr>
            </w:pPr>
            <w:r>
              <w:rPr>
                <w:rFonts w:eastAsiaTheme="minorEastAsia"/>
                <w:i/>
                <w:iCs/>
                <w:noProof/>
              </w:rPr>
              <mc:AlternateContent>
                <mc:Choice Requires="wps">
                  <w:drawing>
                    <wp:anchor distT="0" distB="0" distL="114300" distR="114300" simplePos="0" relativeHeight="251662336" behindDoc="0" locked="0" layoutInCell="1" allowOverlap="1" wp14:anchorId="2538D66C" wp14:editId="4FFB71E8">
                      <wp:simplePos x="0" y="0"/>
                      <wp:positionH relativeFrom="column">
                        <wp:posOffset>-381635</wp:posOffset>
                      </wp:positionH>
                      <wp:positionV relativeFrom="paragraph">
                        <wp:posOffset>356235</wp:posOffset>
                      </wp:positionV>
                      <wp:extent cx="493395" cy="239395"/>
                      <wp:effectExtent l="0" t="19050" r="0" b="27305"/>
                      <wp:wrapNone/>
                      <wp:docPr id="1855584297" name="Cuadro de texto 2"/>
                      <wp:cNvGraphicFramePr/>
                      <a:graphic xmlns:a="http://schemas.openxmlformats.org/drawingml/2006/main">
                        <a:graphicData uri="http://schemas.microsoft.com/office/word/2010/wordprocessingShape">
                          <wps:wsp>
                            <wps:cNvSpPr txBox="1"/>
                            <wps:spPr>
                              <a:xfrm rot="20806188">
                                <a:off x="0" y="0"/>
                                <a:ext cx="493395" cy="239395"/>
                              </a:xfrm>
                              <a:prstGeom prst="rect">
                                <a:avLst/>
                              </a:prstGeom>
                              <a:noFill/>
                              <a:ln w="6350">
                                <a:noFill/>
                              </a:ln>
                            </wps:spPr>
                            <wps:txbx>
                              <w:txbxContent>
                                <w:p w14:paraId="4E107886" w14:textId="77777777" w:rsidR="00084E1B" w:rsidRPr="00084E1B" w:rsidRDefault="00084E1B" w:rsidP="00084E1B">
                                  <w:pPr>
                                    <w:jc w:val="center"/>
                                    <w:rPr>
                                      <w:sz w:val="16"/>
                                      <w:szCs w:val="16"/>
                                    </w:rPr>
                                  </w:pPr>
                                  <w:r>
                                    <w:rPr>
                                      <w:sz w:val="16"/>
                                      <w:szCs w:val="16"/>
                                    </w:rPr>
                                    <w:t>100 %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8D66C" id="_x0000_s1031" type="#_x0000_t202" style="position:absolute;left:0;text-align:left;margin-left:-30.05pt;margin-top:28.05pt;width:38.85pt;height:18.85pt;rotation:-86705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" filled="f" stroked="f" strokeweight=".5pt">
                      <v:textbox>
                        <w:txbxContent>
                          <w:p w14:paraId="4E107886" w14:textId="77777777" w:rsidR="00084E1B" w:rsidRPr="00084E1B" w:rsidRDefault="00084E1B" w:rsidP="00084E1B">
                            <w:pPr>
                              <w:jc w:val="center"/>
                              <w:rPr>
                                <w:sz w:val="16"/>
                                <w:szCs w:val="16"/>
                              </w:rPr>
                            </w:pPr>
                            <w:r>
                              <w:rPr>
                                <w:sz w:val="16"/>
                                <w:szCs w:val="16"/>
                              </w:rPr>
                              <w:t>100 %</w:t>
                            </w:r>
                          </w:p>
                        </w:txbxContent>
                      </v:textbox>
                    </v:shape>
                  </w:pict>
                </mc:Fallback>
              </mc:AlternateContent>
            </w:r>
          </w:p>
        </w:tc>
      </w:tr>
      <w:tr w:rsidR="00084E1B" w14:paraId="249C03B0" w14:textId="77777777" w:rsidTr="000900C5">
        <w:trPr>
          <w:jc w:val="center"/>
        </w:trPr>
        <w:tc>
          <w:tcPr>
            <w:tcW w:w="2322" w:type="dxa"/>
            <w:vMerge/>
            <w:tcBorders>
              <w:top w:val="nil"/>
              <w:left w:val="nil"/>
              <w:bottom w:val="nil"/>
              <w:right w:val="nil"/>
            </w:tcBorders>
            <w:shd w:val="clear" w:color="auto" w:fill="E2EFD9" w:themeFill="accent6" w:themeFillTint="33"/>
            <w:vAlign w:val="center"/>
          </w:tcPr>
          <w:p w14:paraId="0A6787C0" w14:textId="77777777" w:rsidR="00084E1B" w:rsidRDefault="00084E1B" w:rsidP="00084E1B">
            <w:pPr>
              <w:keepNext/>
              <w:spacing w:after="0"/>
              <w:jc w:val="center"/>
              <w:rPr>
                <w:rFonts w:eastAsiaTheme="minorEastAsia"/>
              </w:rPr>
            </w:pPr>
          </w:p>
        </w:tc>
        <w:tc>
          <w:tcPr>
            <w:tcW w:w="1789" w:type="dxa"/>
            <w:tcBorders>
              <w:top w:val="nil"/>
              <w:left w:val="nil"/>
              <w:bottom w:val="nil"/>
              <w:right w:val="single" w:sz="4" w:space="0" w:color="5F2987"/>
            </w:tcBorders>
            <w:shd w:val="clear" w:color="auto" w:fill="E2EFD9" w:themeFill="accent6" w:themeFillTint="33"/>
            <w:vAlign w:val="center"/>
          </w:tcPr>
          <w:p w14:paraId="40CF911D" w14:textId="71C86FE8" w:rsidR="00084E1B" w:rsidRDefault="00084E1B" w:rsidP="00084E1B">
            <w:pPr>
              <w:keepNext/>
              <w:spacing w:after="0"/>
              <w:jc w:val="center"/>
              <w:rPr>
                <w:rFonts w:eastAsiaTheme="minorEastAsia"/>
              </w:rPr>
            </w:pPr>
            <m:oMathPara>
              <m:oMath>
                <m:r>
                  <m:rPr>
                    <m:nor/>
                  </m:rPr>
                  <w:rPr>
                    <w:i/>
                  </w:rPr>
                  <m:t>0 €</m:t>
                </m:r>
              </m:oMath>
            </m:oMathPara>
          </w:p>
        </w:tc>
        <w:tc>
          <w:tcPr>
            <w:tcW w:w="2322" w:type="dxa"/>
            <w:vMerge/>
            <w:tcBorders>
              <w:top w:val="nil"/>
              <w:left w:val="single" w:sz="4" w:space="0" w:color="5F2987"/>
              <w:bottom w:val="nil"/>
              <w:right w:val="nil"/>
            </w:tcBorders>
            <w:vAlign w:val="center"/>
          </w:tcPr>
          <w:p w14:paraId="75FEE07F" w14:textId="77777777" w:rsidR="00084E1B" w:rsidRDefault="00084E1B" w:rsidP="00084E1B">
            <w:pPr>
              <w:spacing w:after="0"/>
              <w:jc w:val="center"/>
              <w:rPr>
                <w:rFonts w:eastAsiaTheme="minorEastAsia"/>
              </w:rPr>
            </w:pPr>
          </w:p>
        </w:tc>
        <w:tc>
          <w:tcPr>
            <w:tcW w:w="1794" w:type="dxa"/>
            <w:tcBorders>
              <w:top w:val="nil"/>
              <w:left w:val="nil"/>
              <w:bottom w:val="nil"/>
              <w:right w:val="nil"/>
            </w:tcBorders>
            <w:vAlign w:val="center"/>
          </w:tcPr>
          <w:p w14:paraId="4DF7559B" w14:textId="265656CE" w:rsidR="00084E1B" w:rsidRDefault="00084E1B" w:rsidP="00084E1B">
            <w:pPr>
              <w:keepNext/>
              <w:spacing w:after="0"/>
              <w:jc w:val="center"/>
              <w:rPr>
                <w:rFonts w:eastAsiaTheme="minorEastAsia"/>
              </w:rPr>
            </w:pPr>
            <m:oMathPara>
              <m:oMath>
                <m:r>
                  <m:rPr>
                    <m:nor/>
                  </m:rPr>
                  <w:rPr>
                    <w:i/>
                  </w:rPr>
                  <m:t>0 €</m:t>
                </m:r>
              </m:oMath>
            </m:oMathPara>
          </w:p>
        </w:tc>
      </w:tr>
      <w:tr w:rsidR="00084E1B" w14:paraId="67B9D65C" w14:textId="77777777" w:rsidTr="000900C5">
        <w:trPr>
          <w:jc w:val="center"/>
        </w:trPr>
        <w:tc>
          <w:tcPr>
            <w:tcW w:w="2322" w:type="dxa"/>
            <w:vMerge w:val="restart"/>
            <w:tcBorders>
              <w:top w:val="nil"/>
              <w:left w:val="nil"/>
              <w:bottom w:val="single" w:sz="12" w:space="0" w:color="5F2987"/>
              <w:right w:val="nil"/>
            </w:tcBorders>
            <w:vAlign w:val="center"/>
          </w:tcPr>
          <w:p w14:paraId="3F2D2F95" w14:textId="4244D42C" w:rsidR="00084E1B" w:rsidRDefault="00000000" w:rsidP="00084E1B">
            <w:pPr>
              <w:keepNext/>
              <w:spacing w:after="0"/>
              <w:jc w:val="center"/>
              <w:rPr>
                <w:rFonts w:eastAsiaTheme="minorEastAsia"/>
              </w:rPr>
            </w:pPr>
            <m:oMathPara>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B</m:t>
                    </m:r>
                  </m:sup>
                </m:sSup>
              </m:oMath>
            </m:oMathPara>
          </w:p>
        </w:tc>
        <w:tc>
          <w:tcPr>
            <w:tcW w:w="1789" w:type="dxa"/>
            <w:tcBorders>
              <w:top w:val="nil"/>
              <w:left w:val="nil"/>
              <w:bottom w:val="nil"/>
              <w:right w:val="single" w:sz="4" w:space="0" w:color="5F2987"/>
            </w:tcBorders>
            <w:vAlign w:val="center"/>
          </w:tcPr>
          <w:p w14:paraId="43874EFB" w14:textId="297E0836" w:rsidR="00084E1B" w:rsidRDefault="00084E1B" w:rsidP="00084E1B">
            <w:pPr>
              <w:keepNext/>
              <w:spacing w:after="0"/>
              <w:jc w:val="center"/>
              <w:rPr>
                <w:rFonts w:eastAsia="Times New Roman" w:cs="Arial"/>
              </w:rPr>
            </w:pPr>
            <m:oMathPara>
              <m:oMath>
                <m:r>
                  <m:rPr>
                    <m:nor/>
                  </m:rPr>
                  <w:rPr>
                    <w:i/>
                  </w:rPr>
                  <m:t>100 €</m:t>
                </m:r>
              </m:oMath>
            </m:oMathPara>
          </w:p>
        </w:tc>
        <w:tc>
          <w:tcPr>
            <w:tcW w:w="2322" w:type="dxa"/>
            <w:vMerge w:val="restart"/>
            <w:tcBorders>
              <w:top w:val="nil"/>
              <w:left w:val="single" w:sz="4" w:space="0" w:color="5F2987"/>
              <w:bottom w:val="single" w:sz="12" w:space="0" w:color="5F2987"/>
              <w:right w:val="nil"/>
            </w:tcBorders>
            <w:shd w:val="clear" w:color="auto" w:fill="E2EFD9" w:themeFill="accent6" w:themeFillTint="33"/>
            <w:vAlign w:val="center"/>
          </w:tcPr>
          <w:p w14:paraId="38EDC395" w14:textId="594CE644" w:rsidR="00084E1B" w:rsidRDefault="00000000" w:rsidP="00084E1B">
            <w:pPr>
              <w:spacing w:after="0"/>
              <w:jc w:val="center"/>
              <w:rPr>
                <w:rFonts w:eastAsiaTheme="minorEastAsia"/>
              </w:rPr>
            </w:pPr>
            <m:oMathPara>
              <m:oMath>
                <m:sSup>
                  <m:sSupPr>
                    <m:ctrlPr>
                      <w:rPr>
                        <w:rFonts w:ascii="Cambria Math" w:hAnsi="Cambria Math"/>
                        <w:b/>
                        <w:bCs/>
                        <w:i/>
                        <w:iCs/>
                      </w:rPr>
                    </m:ctrlPr>
                  </m:sSupPr>
                  <m:e>
                    <m:acc>
                      <m:accPr>
                        <m:chr m:val="̃"/>
                        <m:ctrlPr>
                          <w:rPr>
                            <w:rFonts w:ascii="Cambria Math" w:hAnsi="Cambria Math"/>
                            <w:b/>
                            <w:bCs/>
                            <w:i/>
                            <w:iCs/>
                          </w:rPr>
                        </m:ctrlPr>
                      </m:accPr>
                      <m:e>
                        <m:r>
                          <m:rPr>
                            <m:nor/>
                          </m:rPr>
                          <w:rPr>
                            <w:b/>
                            <w:bCs/>
                            <w:i/>
                            <w:iCs/>
                          </w:rPr>
                          <m:t>y</m:t>
                        </m:r>
                      </m:e>
                    </m:acc>
                  </m:e>
                  <m:sup>
                    <m:r>
                      <m:rPr>
                        <m:nor/>
                      </m:rPr>
                      <w:rPr>
                        <w:b/>
                        <w:bCs/>
                        <w:i/>
                        <w:iCs/>
                      </w:rPr>
                      <m:t>B</m:t>
                    </m:r>
                  </m:sup>
                </m:sSup>
              </m:oMath>
            </m:oMathPara>
          </w:p>
        </w:tc>
        <w:tc>
          <w:tcPr>
            <w:tcW w:w="1794" w:type="dxa"/>
            <w:tcBorders>
              <w:top w:val="nil"/>
              <w:left w:val="nil"/>
              <w:bottom w:val="nil"/>
              <w:right w:val="nil"/>
            </w:tcBorders>
            <w:shd w:val="clear" w:color="auto" w:fill="E2EFD9" w:themeFill="accent6" w:themeFillTint="33"/>
            <w:vAlign w:val="center"/>
          </w:tcPr>
          <w:p w14:paraId="14750126" w14:textId="762A98D7" w:rsidR="00084E1B" w:rsidRDefault="00084E1B" w:rsidP="00084E1B">
            <w:pPr>
              <w:keepNext/>
              <w:spacing w:after="0"/>
              <w:jc w:val="center"/>
              <w:rPr>
                <w:rFonts w:eastAsia="Times New Roman" w:cs="Arial"/>
              </w:rPr>
            </w:pPr>
            <m:oMathPara>
              <m:oMath>
                <m:r>
                  <m:rPr>
                    <m:nor/>
                  </m:rPr>
                  <w:rPr>
                    <w:i/>
                  </w:rPr>
                  <m:t>100 €</m:t>
                </m:r>
              </m:oMath>
            </m:oMathPara>
          </w:p>
        </w:tc>
      </w:tr>
      <w:tr w:rsidR="00084E1B" w14:paraId="238CAC65" w14:textId="77777777" w:rsidTr="000900C5">
        <w:trPr>
          <w:jc w:val="center"/>
        </w:trPr>
        <w:tc>
          <w:tcPr>
            <w:tcW w:w="2322" w:type="dxa"/>
            <w:vMerge/>
            <w:tcBorders>
              <w:left w:val="nil"/>
              <w:bottom w:val="single" w:sz="12" w:space="0" w:color="5F2987"/>
              <w:right w:val="nil"/>
            </w:tcBorders>
            <w:vAlign w:val="center"/>
          </w:tcPr>
          <w:p w14:paraId="6EFFBCA9" w14:textId="77777777" w:rsidR="00084E1B" w:rsidRDefault="00084E1B" w:rsidP="00084E1B">
            <w:pPr>
              <w:keepNext/>
              <w:spacing w:after="0"/>
              <w:jc w:val="center"/>
              <w:rPr>
                <w:rFonts w:eastAsiaTheme="minorEastAsia"/>
              </w:rPr>
            </w:pPr>
          </w:p>
        </w:tc>
        <w:tc>
          <w:tcPr>
            <w:tcW w:w="1789" w:type="dxa"/>
            <w:tcBorders>
              <w:top w:val="nil"/>
              <w:left w:val="nil"/>
              <w:bottom w:val="nil"/>
              <w:right w:val="single" w:sz="4" w:space="0" w:color="5F2987"/>
            </w:tcBorders>
            <w:vAlign w:val="center"/>
          </w:tcPr>
          <w:p w14:paraId="63F58A8A" w14:textId="65F542B8" w:rsidR="00084E1B" w:rsidRDefault="00084E1B" w:rsidP="00084E1B">
            <w:pPr>
              <w:keepNext/>
              <w:spacing w:after="0"/>
              <w:jc w:val="center"/>
              <w:rPr>
                <w:rFonts w:eastAsia="Times New Roman" w:cs="Arial"/>
              </w:rPr>
            </w:pPr>
            <w:r>
              <w:rPr>
                <w:rFonts w:eastAsiaTheme="minorEastAsia"/>
                <w:i/>
                <w:iCs/>
                <w:noProof/>
              </w:rPr>
              <mc:AlternateContent>
                <mc:Choice Requires="wps">
                  <w:drawing>
                    <wp:anchor distT="0" distB="0" distL="114300" distR="114300" simplePos="0" relativeHeight="251670528" behindDoc="0" locked="0" layoutInCell="1" allowOverlap="1" wp14:anchorId="16234747" wp14:editId="4854CF13">
                      <wp:simplePos x="0" y="0"/>
                      <wp:positionH relativeFrom="column">
                        <wp:posOffset>-387985</wp:posOffset>
                      </wp:positionH>
                      <wp:positionV relativeFrom="paragraph">
                        <wp:posOffset>20955</wp:posOffset>
                      </wp:positionV>
                      <wp:extent cx="493395" cy="239395"/>
                      <wp:effectExtent l="0" t="19050" r="0" b="27305"/>
                      <wp:wrapNone/>
                      <wp:docPr id="1299771018" name="Cuadro de texto 2"/>
                      <wp:cNvGraphicFramePr/>
                      <a:graphic xmlns:a="http://schemas.openxmlformats.org/drawingml/2006/main">
                        <a:graphicData uri="http://schemas.microsoft.com/office/word/2010/wordprocessingShape">
                          <wps:wsp>
                            <wps:cNvSpPr txBox="1"/>
                            <wps:spPr>
                              <a:xfrm rot="682338">
                                <a:off x="0" y="0"/>
                                <a:ext cx="493395" cy="239395"/>
                              </a:xfrm>
                              <a:prstGeom prst="rect">
                                <a:avLst/>
                              </a:prstGeom>
                              <a:noFill/>
                              <a:ln w="6350">
                                <a:noFill/>
                              </a:ln>
                            </wps:spPr>
                            <wps:txbx>
                              <w:txbxContent>
                                <w:p w14:paraId="72153FC5" w14:textId="6B87F452" w:rsidR="00084E1B" w:rsidRPr="00084E1B" w:rsidRDefault="00084E1B" w:rsidP="00084E1B">
                                  <w:pPr>
                                    <w:jc w:val="center"/>
                                    <w:rPr>
                                      <w:sz w:val="16"/>
                                      <w:szCs w:val="16"/>
                                    </w:rPr>
                                  </w:pPr>
                                  <w:r>
                                    <w:rPr>
                                      <w:sz w:val="16"/>
                                      <w:szCs w:val="16"/>
                                    </w:rPr>
                                    <w:t>20 %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34747" id="_x0000_s1032" type="#_x0000_t202" style="position:absolute;left:0;text-align:left;margin-left:-30.55pt;margin-top:1.65pt;width:38.85pt;height:18.85pt;rotation:745295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" filled="f" stroked="f" strokeweight=".5pt">
                      <v:textbox>
                        <w:txbxContent>
                          <w:p w14:paraId="72153FC5" w14:textId="6B87F452" w:rsidR="00084E1B" w:rsidRPr="00084E1B" w:rsidRDefault="00084E1B" w:rsidP="00084E1B">
                            <w:pPr>
                              <w:jc w:val="center"/>
                              <w:rPr>
                                <w:sz w:val="16"/>
                                <w:szCs w:val="16"/>
                              </w:rPr>
                            </w:pPr>
                            <w:r>
                              <w:rPr>
                                <w:sz w:val="16"/>
                                <w:szCs w:val="16"/>
                              </w:rPr>
                              <w:t>20 %</w:t>
                            </w:r>
                          </w:p>
                        </w:txbxContent>
                      </v:textbox>
                    </v:shape>
                  </w:pict>
                </mc:Fallback>
              </mc:AlternateContent>
            </w:r>
          </w:p>
        </w:tc>
        <w:tc>
          <w:tcPr>
            <w:tcW w:w="2322" w:type="dxa"/>
            <w:vMerge/>
            <w:tcBorders>
              <w:left w:val="single" w:sz="4" w:space="0" w:color="5F2987"/>
              <w:bottom w:val="single" w:sz="12" w:space="0" w:color="5F2987"/>
              <w:right w:val="nil"/>
            </w:tcBorders>
            <w:shd w:val="clear" w:color="auto" w:fill="E2EFD9" w:themeFill="accent6" w:themeFillTint="33"/>
            <w:vAlign w:val="center"/>
          </w:tcPr>
          <w:p w14:paraId="5DD0C6BE" w14:textId="77777777" w:rsidR="00084E1B" w:rsidRDefault="00084E1B" w:rsidP="00084E1B">
            <w:pPr>
              <w:spacing w:after="0"/>
              <w:jc w:val="center"/>
              <w:rPr>
                <w:rFonts w:eastAsiaTheme="minorEastAsia"/>
              </w:rPr>
            </w:pPr>
          </w:p>
        </w:tc>
        <w:tc>
          <w:tcPr>
            <w:tcW w:w="1794" w:type="dxa"/>
            <w:tcBorders>
              <w:top w:val="nil"/>
              <w:left w:val="nil"/>
              <w:bottom w:val="nil"/>
              <w:right w:val="nil"/>
            </w:tcBorders>
            <w:shd w:val="clear" w:color="auto" w:fill="E2EFD9" w:themeFill="accent6" w:themeFillTint="33"/>
            <w:vAlign w:val="center"/>
          </w:tcPr>
          <w:p w14:paraId="2D655578" w14:textId="63AD297F" w:rsidR="00084E1B" w:rsidRDefault="00084E1B" w:rsidP="00084E1B">
            <w:pPr>
              <w:keepNext/>
              <w:spacing w:after="0"/>
              <w:jc w:val="center"/>
              <w:rPr>
                <w:rFonts w:eastAsia="Times New Roman" w:cs="Arial"/>
              </w:rPr>
            </w:pPr>
            <w:r>
              <w:rPr>
                <w:rFonts w:eastAsiaTheme="minorEastAsia"/>
                <w:i/>
                <w:iCs/>
                <w:noProof/>
              </w:rPr>
              <mc:AlternateContent>
                <mc:Choice Requires="wps">
                  <w:drawing>
                    <wp:anchor distT="0" distB="0" distL="114300" distR="114300" simplePos="0" relativeHeight="251672576" behindDoc="0" locked="0" layoutInCell="1" allowOverlap="1" wp14:anchorId="2BE4185D" wp14:editId="2181B100">
                      <wp:simplePos x="0" y="0"/>
                      <wp:positionH relativeFrom="column">
                        <wp:posOffset>-337185</wp:posOffset>
                      </wp:positionH>
                      <wp:positionV relativeFrom="paragraph">
                        <wp:posOffset>27940</wp:posOffset>
                      </wp:positionV>
                      <wp:extent cx="493395" cy="239395"/>
                      <wp:effectExtent l="0" t="19050" r="0" b="27305"/>
                      <wp:wrapNone/>
                      <wp:docPr id="536124997" name="Cuadro de texto 2"/>
                      <wp:cNvGraphicFramePr/>
                      <a:graphic xmlns:a="http://schemas.openxmlformats.org/drawingml/2006/main">
                        <a:graphicData uri="http://schemas.microsoft.com/office/word/2010/wordprocessingShape">
                          <wps:wsp>
                            <wps:cNvSpPr txBox="1"/>
                            <wps:spPr>
                              <a:xfrm rot="682338">
                                <a:off x="0" y="0"/>
                                <a:ext cx="493395" cy="239395"/>
                              </a:xfrm>
                              <a:prstGeom prst="rect">
                                <a:avLst/>
                              </a:prstGeom>
                              <a:noFill/>
                              <a:ln w="6350">
                                <a:noFill/>
                              </a:ln>
                            </wps:spPr>
                            <wps:txbx>
                              <w:txbxContent>
                                <w:p w14:paraId="12CA10F2" w14:textId="07702199" w:rsidR="00084E1B" w:rsidRPr="00084E1B" w:rsidRDefault="00084E1B" w:rsidP="00084E1B">
                                  <w:pPr>
                                    <w:jc w:val="center"/>
                                    <w:rPr>
                                      <w:color w:val="A6A6A6" w:themeColor="text1" w:themeShade="A6"/>
                                      <w:sz w:val="16"/>
                                      <w:szCs w:val="16"/>
                                    </w:rPr>
                                  </w:pPr>
                                  <w:r w:rsidRPr="00084E1B">
                                    <w:rPr>
                                      <w:color w:val="A6A6A6" w:themeColor="text1" w:themeShade="A6"/>
                                      <w:sz w:val="16"/>
                                      <w:szCs w:val="16"/>
                                    </w:rPr>
                                    <w:t>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4185D" id="_x0000_s1033" type="#_x0000_t202" style="position:absolute;left:0;text-align:left;margin-left:-26.55pt;margin-top:2.2pt;width:38.85pt;height:18.85pt;rotation:745295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" filled="f" stroked="f" strokeweight=".5pt">
                      <v:textbox>
                        <w:txbxContent>
                          <w:p w14:paraId="12CA10F2" w14:textId="07702199" w:rsidR="00084E1B" w:rsidRPr="00084E1B" w:rsidRDefault="00084E1B" w:rsidP="00084E1B">
                            <w:pPr>
                              <w:jc w:val="center"/>
                              <w:rPr>
                                <w:color w:val="A6A6A6" w:themeColor="text1" w:themeShade="A6"/>
                                <w:sz w:val="16"/>
                                <w:szCs w:val="16"/>
                              </w:rPr>
                            </w:pPr>
                            <w:r w:rsidRPr="00084E1B">
                              <w:rPr>
                                <w:color w:val="A6A6A6" w:themeColor="text1" w:themeShade="A6"/>
                                <w:sz w:val="16"/>
                                <w:szCs w:val="16"/>
                              </w:rPr>
                              <w:t>0 %</w:t>
                            </w:r>
                          </w:p>
                        </w:txbxContent>
                      </v:textbox>
                    </v:shape>
                  </w:pict>
                </mc:Fallback>
              </mc:AlternateContent>
            </w:r>
          </w:p>
        </w:tc>
      </w:tr>
      <w:tr w:rsidR="00084E1B" w14:paraId="321D492C" w14:textId="77777777" w:rsidTr="000900C5">
        <w:trPr>
          <w:jc w:val="center"/>
        </w:trPr>
        <w:tc>
          <w:tcPr>
            <w:tcW w:w="2322" w:type="dxa"/>
            <w:vMerge/>
            <w:tcBorders>
              <w:left w:val="nil"/>
              <w:bottom w:val="single" w:sz="12" w:space="0" w:color="5F2987"/>
              <w:right w:val="nil"/>
            </w:tcBorders>
            <w:vAlign w:val="center"/>
          </w:tcPr>
          <w:p w14:paraId="6585584D" w14:textId="77777777" w:rsidR="00084E1B" w:rsidRDefault="00084E1B" w:rsidP="00084E1B">
            <w:pPr>
              <w:keepNext/>
              <w:spacing w:after="0"/>
              <w:jc w:val="center"/>
              <w:rPr>
                <w:rFonts w:eastAsiaTheme="minorEastAsia"/>
              </w:rPr>
            </w:pPr>
          </w:p>
        </w:tc>
        <w:tc>
          <w:tcPr>
            <w:tcW w:w="1789" w:type="dxa"/>
            <w:tcBorders>
              <w:top w:val="nil"/>
              <w:left w:val="nil"/>
              <w:bottom w:val="single" w:sz="12" w:space="0" w:color="5F2987"/>
              <w:right w:val="single" w:sz="4" w:space="0" w:color="5F2987"/>
            </w:tcBorders>
            <w:vAlign w:val="center"/>
          </w:tcPr>
          <w:p w14:paraId="47997463" w14:textId="0AA2F8BF" w:rsidR="00084E1B" w:rsidRDefault="00084E1B" w:rsidP="00084E1B">
            <w:pPr>
              <w:keepNext/>
              <w:spacing w:after="0"/>
              <w:jc w:val="center"/>
              <w:rPr>
                <w:rFonts w:eastAsia="Times New Roman" w:cs="Arial"/>
              </w:rPr>
            </w:pPr>
            <m:oMathPara>
              <m:oMath>
                <m:r>
                  <m:rPr>
                    <m:nor/>
                  </m:rPr>
                  <w:rPr>
                    <w:i/>
                  </w:rPr>
                  <m:t>0 €</m:t>
                </m:r>
              </m:oMath>
            </m:oMathPara>
          </w:p>
        </w:tc>
        <w:tc>
          <w:tcPr>
            <w:tcW w:w="2322" w:type="dxa"/>
            <w:vMerge/>
            <w:tcBorders>
              <w:left w:val="single" w:sz="4" w:space="0" w:color="5F2987"/>
              <w:bottom w:val="single" w:sz="12" w:space="0" w:color="5F2987"/>
              <w:right w:val="nil"/>
            </w:tcBorders>
            <w:shd w:val="clear" w:color="auto" w:fill="E2EFD9" w:themeFill="accent6" w:themeFillTint="33"/>
            <w:vAlign w:val="center"/>
          </w:tcPr>
          <w:p w14:paraId="6512E1D0" w14:textId="77777777" w:rsidR="00084E1B" w:rsidRDefault="00084E1B" w:rsidP="00084E1B">
            <w:pPr>
              <w:spacing w:after="0"/>
              <w:jc w:val="center"/>
              <w:rPr>
                <w:rFonts w:eastAsiaTheme="minorEastAsia"/>
              </w:rPr>
            </w:pPr>
          </w:p>
        </w:tc>
        <w:tc>
          <w:tcPr>
            <w:tcW w:w="1794" w:type="dxa"/>
            <w:tcBorders>
              <w:top w:val="nil"/>
              <w:left w:val="nil"/>
              <w:bottom w:val="single" w:sz="12" w:space="0" w:color="5F2987"/>
              <w:right w:val="nil"/>
            </w:tcBorders>
            <w:shd w:val="clear" w:color="auto" w:fill="E2EFD9" w:themeFill="accent6" w:themeFillTint="33"/>
            <w:vAlign w:val="center"/>
          </w:tcPr>
          <w:p w14:paraId="206DDF53" w14:textId="5B365DA6" w:rsidR="00084E1B" w:rsidRDefault="00084E1B" w:rsidP="00084E1B">
            <w:pPr>
              <w:keepNext/>
              <w:spacing w:after="0"/>
              <w:jc w:val="center"/>
              <w:rPr>
                <w:rFonts w:eastAsia="Times New Roman" w:cs="Arial"/>
              </w:rPr>
            </w:pPr>
            <m:oMathPara>
              <m:oMath>
                <m:r>
                  <m:rPr>
                    <m:nor/>
                  </m:rPr>
                  <w:rPr>
                    <w:i/>
                    <w:color w:val="A6A6A6" w:themeColor="text1" w:themeShade="A6"/>
                  </w:rPr>
                  <m:t>0 €</m:t>
                </m:r>
              </m:oMath>
            </m:oMathPara>
          </w:p>
        </w:tc>
      </w:tr>
    </w:tbl>
    <w:p w14:paraId="3791A659" w14:textId="60A7ED29" w:rsidR="000900C5" w:rsidRDefault="000900C5" w:rsidP="000900C5">
      <w:pPr>
        <w:pStyle w:val="Nivel5"/>
        <w:ind w:left="1871"/>
      </w:pPr>
      <w:r>
        <w:t>Al hacer frente al juego 1, la mayoría de las personas elige la lotería A (ya que ofrece un mayor pago esperado y consideran las diferencias en probabilidad de obtener un pago positivo poco significativas).</w:t>
      </w:r>
    </w:p>
    <w:p w14:paraId="69A77B9F" w14:textId="5A52BE95" w:rsidR="000900C5" w:rsidRDefault="000900C5" w:rsidP="000900C5">
      <w:pPr>
        <w:pStyle w:val="Nivel5"/>
        <w:ind w:left="1871"/>
      </w:pPr>
      <w:r>
        <w:t>Sin embargo, en el juego 2 (que es igual que el juego 1 pero añadiendo un 20 % adicional de posibilidades de recibir el pago) la mayoría de las personas prefiere el pago seguro.</w:t>
      </w:r>
    </w:p>
    <w:p w14:paraId="593E740D" w14:textId="77777777" w:rsidR="000900C5" w:rsidRDefault="000900C5" w:rsidP="000900C5">
      <w:pPr>
        <w:pStyle w:val="Nivel5"/>
        <w:ind w:left="1871"/>
      </w:pPr>
      <w:r>
        <w:t>Esto va en contra del axioma de independencia de las alternativas irrelevantes y sirve para ilustrar la paradoja de Allais y el efecto certeza.</w:t>
      </w:r>
    </w:p>
    <w:p w14:paraId="3FA89A5E" w14:textId="6F2F7515" w:rsidR="00361C88" w:rsidRDefault="00603E91" w:rsidP="00B75886">
      <w:pPr>
        <w:pStyle w:val="Nivel2SM"/>
        <w:keepNext/>
        <w:spacing w:after="0"/>
      </w:pPr>
      <w:r>
        <w:rPr>
          <w:i/>
          <w:iCs/>
          <w:u w:val="single"/>
        </w:rPr>
        <w:t>Violaciones del supuesto de invarianza descriptiva y procedimental</w:t>
      </w:r>
      <w:r w:rsidR="00C477D1">
        <w:t xml:space="preserve"> (en este tipo de estudios cabe destacar la contribución de </w:t>
      </w:r>
      <w:r w:rsidR="00C477D1">
        <w:rPr>
          <w:smallCaps/>
        </w:rPr>
        <w:t>Richard Thaler</w:t>
      </w:r>
      <w:r w:rsidR="00C477D1" w:rsidRPr="00C477D1">
        <w:rPr>
          <w:rStyle w:val="Refdenotaalpie"/>
        </w:rPr>
        <w:footnoteReference w:id="43"/>
      </w:r>
      <w:r w:rsidR="00C477D1">
        <w:t>)</w:t>
      </w:r>
      <w:r w:rsidR="006F3584">
        <w:t>:</w:t>
      </w:r>
    </w:p>
    <w:p w14:paraId="7EE6E809" w14:textId="7B9321B6" w:rsidR="00747849" w:rsidRDefault="00361C88" w:rsidP="00B75886">
      <w:pPr>
        <w:pStyle w:val="Nivel3SM"/>
        <w:keepNext/>
      </w:pPr>
      <w:proofErr w:type="spellStart"/>
      <w:r>
        <w:rPr>
          <w:i/>
          <w:iCs/>
        </w:rPr>
        <w:t>Framing</w:t>
      </w:r>
      <w:proofErr w:type="spellEnd"/>
      <w:r>
        <w:rPr>
          <w:i/>
          <w:iCs/>
        </w:rPr>
        <w:t xml:space="preserve"> </w:t>
      </w:r>
      <w:proofErr w:type="spellStart"/>
      <w:r>
        <w:rPr>
          <w:i/>
          <w:iCs/>
        </w:rPr>
        <w:t>effects</w:t>
      </w:r>
      <w:proofErr w:type="spellEnd"/>
      <w:r>
        <w:rPr>
          <w:i/>
          <w:iCs/>
        </w:rPr>
        <w:t xml:space="preserve"> </w:t>
      </w:r>
      <w:r>
        <w:t xml:space="preserve">(efectos marco): </w:t>
      </w:r>
      <w:r w:rsidR="006F3584">
        <w:t>Por un lado</w:t>
      </w:r>
      <w:r w:rsidR="004A0615">
        <w:t>,</w:t>
      </w:r>
      <w:r w:rsidR="006F3584">
        <w:t xml:space="preserve"> se han encontrado violaciones sistemáticas del supuesto subyacente estándar de estabilidad de las preferencias y de invarianza con respecto a la descripción del problema en elecciones de riesgo, de modo que variaciones en el “marco” o</w:t>
      </w:r>
      <w:r w:rsidR="00A414B9">
        <w:t xml:space="preserve"> en la</w:t>
      </w:r>
      <w:r w:rsidR="006F3584">
        <w:t xml:space="preserve"> forma de presentar un mismo problema conlleva</w:t>
      </w:r>
      <w:r w:rsidR="00A414B9">
        <w:t>n</w:t>
      </w:r>
      <w:r w:rsidR="006F3584">
        <w:t xml:space="preserve"> elecciones diferentes por parte de los sujetos. Algunos ejemplos de este tipo de violaciones son:</w:t>
      </w:r>
    </w:p>
    <w:p w14:paraId="1427FEE9" w14:textId="18C89AB9" w:rsidR="006F3584" w:rsidRDefault="006F3584" w:rsidP="00B75886">
      <w:pPr>
        <w:pStyle w:val="Nivel4"/>
        <w:ind w:left="1474"/>
      </w:pPr>
      <w:r>
        <w:t xml:space="preserve">El </w:t>
      </w:r>
      <w:r w:rsidRPr="006F3584">
        <w:rPr>
          <w:i/>
          <w:iCs/>
        </w:rPr>
        <w:t>fenómeno del “punto de referencia”</w:t>
      </w:r>
      <w:r>
        <w:t xml:space="preserve">, pues las actitudes de riesgo hacia ganancias y pérdidas no pueden ser explicadas satisfactoriamente con una rígida función de utilidad sobre los niveles de riqueza total final sino que podrían explicarse mejor mediante funciones definidas en términos de cambios o variaciones desde el “punto de referencia” de la riqueza presente, siguiendo la idea de </w:t>
      </w:r>
      <w:r>
        <w:rPr>
          <w:smallCaps/>
        </w:rPr>
        <w:t>Markowitz</w:t>
      </w:r>
      <w:r w:rsidR="00A414B9">
        <w:t>.</w:t>
      </w:r>
    </w:p>
    <w:p w14:paraId="25D8A0FB" w14:textId="23E070A0" w:rsidR="006F3584" w:rsidRDefault="006F3584" w:rsidP="00B75886">
      <w:pPr>
        <w:pStyle w:val="Nivel4"/>
        <w:ind w:left="1474"/>
      </w:pPr>
      <w:r>
        <w:t xml:space="preserve">La </w:t>
      </w:r>
      <w:r>
        <w:rPr>
          <w:i/>
          <w:iCs/>
        </w:rPr>
        <w:t>descripción del problema</w:t>
      </w:r>
      <w:r>
        <w:t>, según este se presente en forma de matriz, árbol de decisión, ruedas de ruleta</w:t>
      </w:r>
      <w:r w:rsidR="008117B4">
        <w:t>,</w:t>
      </w:r>
      <w:r>
        <w:t xml:space="preserve"> enunciados escritos</w:t>
      </w:r>
      <w:r w:rsidR="008117B4">
        <w:t>…</w:t>
      </w:r>
    </w:p>
    <w:p w14:paraId="22F62F03" w14:textId="67945300" w:rsidR="00361C88" w:rsidRDefault="00361C88" w:rsidP="00B75886">
      <w:pPr>
        <w:pStyle w:val="Nivel4"/>
        <w:ind w:left="1474"/>
      </w:pPr>
      <w:r>
        <w:t>El enunciado de un mismo problema de riesgo en forma de decisión de apostar frente a la decisión de asegurarse.</w:t>
      </w:r>
    </w:p>
    <w:p w14:paraId="404112BF" w14:textId="7798E28F" w:rsidR="00361C88" w:rsidRPr="00FD1713" w:rsidRDefault="00361C88" w:rsidP="00B75886">
      <w:pPr>
        <w:pStyle w:val="Nivel3SM"/>
        <w:rPr>
          <w:spacing w:val="-1"/>
        </w:rPr>
      </w:pPr>
      <w:r w:rsidRPr="00FD1713">
        <w:rPr>
          <w:i/>
          <w:iCs/>
          <w:spacing w:val="-1"/>
        </w:rPr>
        <w:t>Response-</w:t>
      </w:r>
      <w:proofErr w:type="spellStart"/>
      <w:r w:rsidRPr="00FD1713">
        <w:rPr>
          <w:i/>
          <w:iCs/>
          <w:spacing w:val="-1"/>
        </w:rPr>
        <w:t>mode</w:t>
      </w:r>
      <w:proofErr w:type="spellEnd"/>
      <w:r w:rsidRPr="00FD1713">
        <w:rPr>
          <w:i/>
          <w:iCs/>
          <w:spacing w:val="-1"/>
        </w:rPr>
        <w:t xml:space="preserve"> </w:t>
      </w:r>
      <w:proofErr w:type="spellStart"/>
      <w:r w:rsidRPr="00FD1713">
        <w:rPr>
          <w:i/>
          <w:iCs/>
          <w:spacing w:val="-1"/>
        </w:rPr>
        <w:t>effects</w:t>
      </w:r>
      <w:proofErr w:type="spellEnd"/>
      <w:r w:rsidRPr="00FD1713">
        <w:rPr>
          <w:spacing w:val="-1"/>
        </w:rPr>
        <w:t xml:space="preserve"> (efectos modo de respuesta): Por otro lado, se ha encontrado evidencia de que formatos de respuesta alternativos (p</w:t>
      </w:r>
      <w:r w:rsidR="00FF6FE4" w:rsidRPr="00FD1713">
        <w:rPr>
          <w:spacing w:val="-1"/>
        </w:rPr>
        <w:t>.</w:t>
      </w:r>
      <w:r w:rsidRPr="00FD1713">
        <w:rPr>
          <w:spacing w:val="-1"/>
        </w:rPr>
        <w:t>ej</w:t>
      </w:r>
      <w:r w:rsidR="00FF6FE4" w:rsidRPr="00FD1713">
        <w:rPr>
          <w:spacing w:val="-1"/>
        </w:rPr>
        <w:t>.</w:t>
      </w:r>
      <w:r w:rsidRPr="00FD1713">
        <w:rPr>
          <w:spacing w:val="-1"/>
        </w:rPr>
        <w:t xml:space="preserve"> pidiendo que los sujetos expresen sus preferencias sobre unas loterías especificando sus equivalentes de certeza, de ganancia o de probabilidad</w:t>
      </w:r>
      <w:r w:rsidR="007D4CF8" w:rsidRPr="00FD1713">
        <w:rPr>
          <w:spacing w:val="-1"/>
        </w:rPr>
        <w:t>)</w:t>
      </w:r>
      <w:r w:rsidRPr="00FD1713">
        <w:rPr>
          <w:spacing w:val="-1"/>
        </w:rPr>
        <w:t xml:space="preserve"> conducen a ordenaciones diferentes, y, por ende, inconsistentes.</w:t>
      </w:r>
    </w:p>
    <w:p w14:paraId="25BDE8F6" w14:textId="77777777" w:rsidR="00280A45" w:rsidRDefault="00146490" w:rsidP="00280A45">
      <w:pPr>
        <w:pStyle w:val="Nivel1SM"/>
        <w:keepNext/>
        <w:spacing w:after="0"/>
      </w:pPr>
      <w:r>
        <w:lastRenderedPageBreak/>
        <w:t>En cualquier caso, s</w:t>
      </w:r>
      <w:r w:rsidR="005E22CA">
        <w:t>i bien la Teoría de la Utilidad Esperada no es capaz en muchas ocasiones de predecir qué decisiones tomarán agentes reales concretos, sí constituye una referencia básica a la hora de determinar qué decisión deberán tomar.</w:t>
      </w:r>
    </w:p>
    <w:p w14:paraId="48821F2A" w14:textId="77777777" w:rsidR="00280A45" w:rsidRDefault="005E22CA" w:rsidP="00280A45">
      <w:pPr>
        <w:pStyle w:val="Nivel2SM"/>
        <w:keepNext/>
        <w:spacing w:after="0"/>
      </w:pPr>
      <w:r>
        <w:t>De esta forma, adquiere una dimensión normativa que sobrepasa la dimensión positiva inicial.</w:t>
      </w:r>
    </w:p>
    <w:p w14:paraId="63228797" w14:textId="12224A1E" w:rsidR="005E22CA" w:rsidRDefault="005E22CA" w:rsidP="00280A45">
      <w:pPr>
        <w:pStyle w:val="Nivel3SM"/>
      </w:pPr>
      <w:r>
        <w:t>Así, parece razonable pensar que en la medida en que los agentes estén plenamente informados y estén dispuestos a asumir el coste de utilizar esa información para tomar decisiones racionales, se comportarán siguiendo en muchos casos los dictados de la Teoría de la Utilidad Esperada.</w:t>
      </w:r>
    </w:p>
    <w:p w14:paraId="604C1693" w14:textId="3B37EC34" w:rsidR="000770C8" w:rsidRPr="005E22CA" w:rsidRDefault="000770C8" w:rsidP="001B635E">
      <w:pPr>
        <w:pStyle w:val="Nivel1SM"/>
      </w:pPr>
      <w:r>
        <w:t>En definitiva, las regularidades empíricas que acabamos de mencionar y que contradicen ciertos supuestos del enfoque de la Teoría de la Utilidad Esperada han guiado el desarrollo de enfoques teóricos alternativos posteriores que permitan acomodarlas.</w:t>
      </w:r>
    </w:p>
    <w:p w14:paraId="2468B651" w14:textId="089FFA13" w:rsidR="00614091" w:rsidRDefault="00614091" w:rsidP="00F6052F">
      <w:pPr>
        <w:pStyle w:val="Ttulo2"/>
      </w:pPr>
      <w:bookmarkStart w:id="54" w:name="_Toc172232555"/>
      <w:r>
        <w:t>Enfoques alternativos: modelos de la utilidad no esperada</w:t>
      </w:r>
      <w:r w:rsidR="00106DD6">
        <w:br/>
      </w:r>
      <w:r w:rsidR="00F6052F">
        <w:rPr>
          <w:i/>
          <w:iCs/>
        </w:rPr>
        <w:t>Prospect Theory</w:t>
      </w:r>
      <w:r w:rsidR="00106DD6">
        <w:t xml:space="preserve">– </w:t>
      </w:r>
      <w:r w:rsidR="00F6052F">
        <w:rPr>
          <w:smallCaps/>
        </w:rPr>
        <w:t>Kahneman</w:t>
      </w:r>
      <w:r w:rsidR="00106DD6">
        <w:t xml:space="preserve"> </w:t>
      </w:r>
      <w:r w:rsidR="00F6052F">
        <w:t>y</w:t>
      </w:r>
      <w:r w:rsidR="00106DD6">
        <w:t xml:space="preserve"> </w:t>
      </w:r>
      <w:r w:rsidR="00F6052F">
        <w:rPr>
          <w:smallCaps/>
        </w:rPr>
        <w:t>Tversky</w:t>
      </w:r>
      <w:r w:rsidR="00106DD6">
        <w:t xml:space="preserve"> (1979)</w:t>
      </w:r>
      <w:bookmarkEnd w:id="54"/>
    </w:p>
    <w:p w14:paraId="4B3CD530" w14:textId="01C1C85F" w:rsidR="007B492F" w:rsidRPr="007B492F" w:rsidRDefault="007B492F" w:rsidP="006E716D">
      <w:pPr>
        <w:pStyle w:val="Ttulo6"/>
        <w:spacing w:before="0"/>
      </w:pPr>
      <w:bookmarkStart w:id="55" w:name="_Toc172232556"/>
      <w:r>
        <w:t>Idea</w:t>
      </w:r>
      <w:bookmarkEnd w:id="55"/>
    </w:p>
    <w:p w14:paraId="2EF440C9" w14:textId="77777777" w:rsidR="00721ADE" w:rsidRDefault="009B3093" w:rsidP="00721ADE">
      <w:pPr>
        <w:pStyle w:val="Nivel1SM"/>
        <w:spacing w:before="0"/>
      </w:pPr>
      <w:r>
        <w:t xml:space="preserve">A </w:t>
      </w:r>
      <w:r w:rsidRPr="00721ADE">
        <w:t>consecuencia</w:t>
      </w:r>
      <w:r w:rsidR="008C5AA6">
        <w:t xml:space="preserve"> de la acumulación de </w:t>
      </w:r>
      <w:r w:rsidR="008C5AA6">
        <w:rPr>
          <w:i/>
          <w:iCs/>
        </w:rPr>
        <w:t>anomalías</w:t>
      </w:r>
      <w:r w:rsidR="008C5AA6">
        <w:t xml:space="preserve"> que no encajaban con la TUE, </w:t>
      </w:r>
      <w:r>
        <w:t xml:space="preserve">surge </w:t>
      </w:r>
      <w:r w:rsidR="008C5AA6">
        <w:t>la formulación de una teoría alternativa</w:t>
      </w:r>
      <w:r>
        <w:t>.</w:t>
      </w:r>
      <w:r w:rsidR="001B635E">
        <w:t xml:space="preserve"> Surgen así una serie de enfoque alternativos, conocidos como </w:t>
      </w:r>
      <w:r w:rsidR="001B635E">
        <w:rPr>
          <w:b/>
          <w:bCs/>
        </w:rPr>
        <w:t>teorías de la utilidad no esperada</w:t>
      </w:r>
      <w:r w:rsidR="001B635E">
        <w:t xml:space="preserve"> (</w:t>
      </w:r>
      <w:r w:rsidR="001B635E">
        <w:rPr>
          <w:i/>
          <w:iCs/>
        </w:rPr>
        <w:t>non-</w:t>
      </w:r>
      <w:proofErr w:type="spellStart"/>
      <w:r w:rsidR="001B635E">
        <w:rPr>
          <w:i/>
          <w:iCs/>
        </w:rPr>
        <w:t>expected</w:t>
      </w:r>
      <w:proofErr w:type="spellEnd"/>
      <w:r w:rsidR="001B635E">
        <w:rPr>
          <w:i/>
          <w:iCs/>
        </w:rPr>
        <w:t xml:space="preserve"> </w:t>
      </w:r>
      <w:proofErr w:type="spellStart"/>
      <w:r w:rsidR="001B635E">
        <w:rPr>
          <w:i/>
          <w:iCs/>
        </w:rPr>
        <w:t>utility</w:t>
      </w:r>
      <w:proofErr w:type="spellEnd"/>
      <w:r w:rsidR="001B635E">
        <w:rPr>
          <w:i/>
          <w:iCs/>
        </w:rPr>
        <w:t xml:space="preserve"> </w:t>
      </w:r>
      <w:proofErr w:type="spellStart"/>
      <w:r w:rsidR="001B635E">
        <w:rPr>
          <w:i/>
          <w:iCs/>
        </w:rPr>
        <w:t>theories</w:t>
      </w:r>
      <w:proofErr w:type="spellEnd"/>
      <w:r w:rsidR="001B635E">
        <w:t>)</w:t>
      </w:r>
      <w:r w:rsidR="001B635E">
        <w:rPr>
          <w:rStyle w:val="Refdenotaalpie"/>
        </w:rPr>
        <w:footnoteReference w:id="44"/>
      </w:r>
      <w:r w:rsidR="001B635E">
        <w:t>.</w:t>
      </w:r>
    </w:p>
    <w:p w14:paraId="3A370B97" w14:textId="53779DF9" w:rsidR="00CC6DB7" w:rsidRDefault="001B635E" w:rsidP="006E716D">
      <w:pPr>
        <w:pStyle w:val="Nivel1SM"/>
        <w:keepNext/>
        <w:spacing w:before="0" w:after="0"/>
      </w:pPr>
      <w:r>
        <w:t xml:space="preserve">Entre estos enfoques, destaca la </w:t>
      </w:r>
      <w:r w:rsidRPr="00721ADE">
        <w:rPr>
          <w:b/>
          <w:bCs/>
          <w:i/>
          <w:iCs/>
        </w:rPr>
        <w:t>Prospect Theory</w:t>
      </w:r>
      <w:r>
        <w:t>:</w:t>
      </w:r>
    </w:p>
    <w:p w14:paraId="6BC7991E" w14:textId="7A01C6FA" w:rsidR="00CC6DB7" w:rsidRDefault="009B3093" w:rsidP="00CC6DB7">
      <w:pPr>
        <w:pStyle w:val="Nivel2SM"/>
        <w:keepNext/>
        <w:spacing w:after="0"/>
      </w:pPr>
      <w:r>
        <w:t xml:space="preserve">Esta teoría </w:t>
      </w:r>
      <w:r w:rsidR="008C5AA6">
        <w:t xml:space="preserve">fue fruto de la dilatada colaboración entre dos psicólogos, </w:t>
      </w:r>
      <w:r w:rsidR="008C5AA6">
        <w:rPr>
          <w:smallCaps/>
        </w:rPr>
        <w:t>Daniel Kahneman</w:t>
      </w:r>
      <w:r w:rsidR="008C5AA6">
        <w:t xml:space="preserve"> y </w:t>
      </w:r>
      <w:r w:rsidR="008C5AA6">
        <w:rPr>
          <w:smallCaps/>
        </w:rPr>
        <w:t>Amos Tversky</w:t>
      </w:r>
      <w:r w:rsidR="008C5AA6">
        <w:t>, que se inició en los años</w:t>
      </w:r>
      <w:r w:rsidR="000900C5">
        <w:t> 50</w:t>
      </w:r>
      <w:r w:rsidR="008C5AA6">
        <w:t xml:space="preserve"> en el ejército israelí, donde el primero trabajaba como psicólogo y el segundo como capitán de paracaidistas.</w:t>
      </w:r>
    </w:p>
    <w:p w14:paraId="41E74B2B" w14:textId="77777777" w:rsidR="00CC6DB7" w:rsidRDefault="009B3093" w:rsidP="00CC6DB7">
      <w:pPr>
        <w:pStyle w:val="Nivel3SM"/>
      </w:pPr>
      <w:r>
        <w:t>En marzo de 19</w:t>
      </w:r>
      <w:r w:rsidR="006A508B">
        <w:t>7</w:t>
      </w:r>
      <w:r>
        <w:t xml:space="preserve">9, estos psicólogos enunciaron la que denominaron como </w:t>
      </w:r>
      <w:r w:rsidR="008C5AA6" w:rsidRPr="008C5AA6">
        <w:rPr>
          <w:i/>
          <w:iCs/>
        </w:rPr>
        <w:t>Prospect Theory</w:t>
      </w:r>
      <w:r w:rsidR="008C5AA6">
        <w:t xml:space="preserve"> en </w:t>
      </w:r>
      <w:r>
        <w:t xml:space="preserve">un artículo publicado en </w:t>
      </w:r>
      <w:r w:rsidR="008C5AA6">
        <w:t xml:space="preserve">la revista </w:t>
      </w:r>
      <w:proofErr w:type="spellStart"/>
      <w:r w:rsidR="008C5AA6">
        <w:rPr>
          <w:i/>
          <w:iCs/>
        </w:rPr>
        <w:t>Econometrica</w:t>
      </w:r>
      <w:proofErr w:type="spellEnd"/>
      <w:r w:rsidR="006A508B">
        <w:t>. Tras esta primera versión de 1979 que presentaba algunas limitaciones</w:t>
      </w:r>
      <w:r w:rsidR="006A508B">
        <w:rPr>
          <w:rStyle w:val="Refdenotaalpie"/>
        </w:rPr>
        <w:footnoteReference w:id="45"/>
      </w:r>
      <w:r w:rsidR="006A508B">
        <w:t>, los autores mejoraron su análisis mediante la incorporación de probabilidades acumuladas y publicaron una revisión en el año 1992</w:t>
      </w:r>
      <w:r w:rsidR="008C5AA6">
        <w:t>.</w:t>
      </w:r>
    </w:p>
    <w:p w14:paraId="33D0185E" w14:textId="77BA51F6" w:rsidR="008C5AA6" w:rsidRDefault="008C5AA6" w:rsidP="00CC6DB7">
      <w:pPr>
        <w:pStyle w:val="Nivel3SM"/>
      </w:pPr>
      <w:r>
        <w:t xml:space="preserve">Según señala </w:t>
      </w:r>
      <w:r>
        <w:rPr>
          <w:smallCaps/>
        </w:rPr>
        <w:t>Peter Bernstein</w:t>
      </w:r>
      <w:r>
        <w:t xml:space="preserve"> en su entretenida explicación de la teoría, </w:t>
      </w:r>
      <w:r>
        <w:rPr>
          <w:smallCaps/>
        </w:rPr>
        <w:t>Kahneman</w:t>
      </w:r>
      <w:r>
        <w:t xml:space="preserve"> y </w:t>
      </w:r>
      <w:r>
        <w:rPr>
          <w:smallCaps/>
        </w:rPr>
        <w:t>Tversky</w:t>
      </w:r>
      <w:r>
        <w:t xml:space="preserve"> eligieron ese nombre porque era llamativo y memorable, no porque guardara relación con su contenido.</w:t>
      </w:r>
    </w:p>
    <w:p w14:paraId="7A282880" w14:textId="1C367D00" w:rsidR="007B492F" w:rsidRDefault="007B492F" w:rsidP="00CC6DB7">
      <w:pPr>
        <w:pStyle w:val="Nivel2SM"/>
      </w:pPr>
      <w:r>
        <w:t xml:space="preserve">La </w:t>
      </w:r>
      <w:r w:rsidR="004851E9" w:rsidRPr="004851E9">
        <w:rPr>
          <w:i/>
          <w:iCs/>
        </w:rPr>
        <w:t>Prospect Theory</w:t>
      </w:r>
      <w:r>
        <w:t xml:space="preserve"> tiene base empírica y aspira a reflejar cómo la gente se comporta en realidad, no cómo debiera hacerlo si fuera racional. No es, pues, una teoría normativa, sino empírica y positiva.</w:t>
      </w:r>
    </w:p>
    <w:p w14:paraId="03C31646" w14:textId="7FFFD025" w:rsidR="007B492F" w:rsidRDefault="007B492F" w:rsidP="00F6052F">
      <w:pPr>
        <w:pStyle w:val="Ttulo6"/>
      </w:pPr>
      <w:bookmarkStart w:id="56" w:name="_Toc172232557"/>
      <w:r>
        <w:lastRenderedPageBreak/>
        <w:t>Diferencias con la TUE</w:t>
      </w:r>
      <w:bookmarkEnd w:id="56"/>
    </w:p>
    <w:p w14:paraId="7C4EE2F3" w14:textId="2053D206" w:rsidR="001D2560" w:rsidRDefault="008C5AA6" w:rsidP="00B3647B">
      <w:pPr>
        <w:pStyle w:val="Nivel1SM"/>
        <w:keepNext/>
        <w:spacing w:before="0" w:after="0"/>
      </w:pPr>
      <w:r>
        <w:t xml:space="preserve">Sus </w:t>
      </w:r>
      <w:r w:rsidRPr="00B3647B">
        <w:rPr>
          <w:b/>
          <w:bCs/>
        </w:rPr>
        <w:t xml:space="preserve">diferencias esenciales con la TUE se refieren a </w:t>
      </w:r>
      <w:r w:rsidR="00B3647B" w:rsidRPr="00B3647B">
        <w:rPr>
          <w:b/>
          <w:bCs/>
        </w:rPr>
        <w:t>3 </w:t>
      </w:r>
      <w:r w:rsidRPr="00B3647B">
        <w:rPr>
          <w:b/>
          <w:bCs/>
        </w:rPr>
        <w:t>grandes cuestiones</w:t>
      </w:r>
      <w:r>
        <w:t>:</w:t>
      </w:r>
    </w:p>
    <w:p w14:paraId="44F2AEE3" w14:textId="08471629" w:rsidR="001D2560" w:rsidRDefault="00B3647B" w:rsidP="00B3647B">
      <w:pPr>
        <w:pStyle w:val="Nmeroromano"/>
      </w:pPr>
      <w:r>
        <w:t>L</w:t>
      </w:r>
      <w:r w:rsidR="008C5AA6">
        <w:t>a definición de las alternativas sobre las que versan nuestras decisiones humanas;</w:t>
      </w:r>
    </w:p>
    <w:p w14:paraId="0AF051D8" w14:textId="250E69C9" w:rsidR="001D2560" w:rsidRDefault="00B3647B" w:rsidP="00B3647B">
      <w:pPr>
        <w:pStyle w:val="Nmeroromano"/>
      </w:pPr>
      <w:r>
        <w:t>L</w:t>
      </w:r>
      <w:r w:rsidR="008C5AA6">
        <w:t>a valoración que les damos; y</w:t>
      </w:r>
    </w:p>
    <w:p w14:paraId="02124D18" w14:textId="6A10F964" w:rsidR="008C5AA6" w:rsidRDefault="00B3647B" w:rsidP="00B3647B">
      <w:pPr>
        <w:pStyle w:val="Nmeroromano"/>
      </w:pPr>
      <w:r>
        <w:t>L</w:t>
      </w:r>
      <w:r w:rsidR="008C5AA6">
        <w:t>a ponderación que, a la vista de su probabilidad, les atribuimos.</w:t>
      </w:r>
    </w:p>
    <w:p w14:paraId="21F43B88" w14:textId="0A4AE592" w:rsidR="00620DB3" w:rsidRDefault="00620DB3">
      <w:pPr>
        <w:pStyle w:val="Ttulo7"/>
        <w:numPr>
          <w:ilvl w:val="0"/>
          <w:numId w:val="13"/>
        </w:numPr>
        <w:ind w:left="568" w:hanging="284"/>
      </w:pPr>
      <w:bookmarkStart w:id="57" w:name="_Toc172232558"/>
      <w:r>
        <w:t xml:space="preserve">Definición de las alternativas: </w:t>
      </w:r>
      <w:r w:rsidR="00631280">
        <w:t>reglas heurísticas</w:t>
      </w:r>
      <w:bookmarkEnd w:id="57"/>
    </w:p>
    <w:p w14:paraId="668E1992" w14:textId="45EF561B" w:rsidR="008C5AA6" w:rsidRPr="00631280" w:rsidRDefault="008C5AA6" w:rsidP="00B3647B">
      <w:pPr>
        <w:pStyle w:val="Nivel1SM"/>
        <w:keepNext/>
        <w:spacing w:before="0" w:after="0"/>
      </w:pPr>
      <w:r w:rsidRPr="00631280">
        <w:t xml:space="preserve">La </w:t>
      </w:r>
      <w:r w:rsidRPr="00631280">
        <w:rPr>
          <w:i/>
          <w:iCs/>
        </w:rPr>
        <w:t>Prospect Theory</w:t>
      </w:r>
      <w:r w:rsidRPr="00631280">
        <w:t xml:space="preserve"> parte de que </w:t>
      </w:r>
      <w:r w:rsidRPr="00631280">
        <w:rPr>
          <w:b/>
          <w:bCs/>
        </w:rPr>
        <w:t>nuestra limitada capacidad intelectiva nos obliga a simplificar los problemas de decisión</w:t>
      </w:r>
      <w:r w:rsidRPr="00631280">
        <w:t xml:space="preserve"> que se nos plantean, y lo hacemos siguiendo ciertas reglas (</w:t>
      </w:r>
      <w:proofErr w:type="spellStart"/>
      <w:r w:rsidRPr="00631280">
        <w:rPr>
          <w:i/>
          <w:iCs/>
        </w:rPr>
        <w:t>heuristic</w:t>
      </w:r>
      <w:proofErr w:type="spellEnd"/>
      <w:r w:rsidRPr="00631280">
        <w:rPr>
          <w:i/>
          <w:iCs/>
        </w:rPr>
        <w:t xml:space="preserve"> rules</w:t>
      </w:r>
      <w:r w:rsidRPr="00631280">
        <w:t>)</w:t>
      </w:r>
      <w:r w:rsidR="00620DB3" w:rsidRPr="00631280">
        <w:t>.</w:t>
      </w:r>
    </w:p>
    <w:p w14:paraId="6EA628A3" w14:textId="47936FCA" w:rsidR="008C5AA6" w:rsidRDefault="008C5AA6">
      <w:pPr>
        <w:pStyle w:val="Prrafodelista"/>
        <w:numPr>
          <w:ilvl w:val="0"/>
          <w:numId w:val="15"/>
        </w:numPr>
        <w:spacing w:after="100"/>
        <w:ind w:left="568" w:hanging="284"/>
      </w:pPr>
      <w:r>
        <w:t xml:space="preserve">La primera y principal es que, al enjuiciar alternativas, comparamos no valores absolutos –como supone la TUE–, sino </w:t>
      </w:r>
      <w:r w:rsidRPr="00171F67">
        <w:rPr>
          <w:i/>
          <w:iCs/>
          <w:u w:val="single"/>
        </w:rPr>
        <w:t>variaciones o cambios respecto a cierto nivel que tomamos como punto de referencia</w:t>
      </w:r>
      <w:r>
        <w:t xml:space="preserve">. Así pues, las alternativas las vemos en términos de </w:t>
      </w:r>
      <w:r w:rsidRPr="00171F67">
        <w:rPr>
          <w:i/>
          <w:iCs/>
        </w:rPr>
        <w:t>ganancias</w:t>
      </w:r>
      <w:r>
        <w:t xml:space="preserve"> o </w:t>
      </w:r>
      <w:r w:rsidRPr="00171F67">
        <w:rPr>
          <w:i/>
          <w:iCs/>
        </w:rPr>
        <w:t>pérdidas</w:t>
      </w:r>
      <w:r>
        <w:t xml:space="preserve"> respecto a cierto nivel de referencia</w:t>
      </w:r>
      <w:r w:rsidR="009B3093">
        <w:t xml:space="preserve">, tal y como sugirió </w:t>
      </w:r>
      <w:r w:rsidR="009B3093" w:rsidRPr="00171F67">
        <w:rPr>
          <w:smallCaps/>
        </w:rPr>
        <w:t>Markowitz</w:t>
      </w:r>
      <w:r>
        <w:t xml:space="preserve">. Ese nivel de referencia suele ser el </w:t>
      </w:r>
      <w:r w:rsidRPr="00171F67">
        <w:rPr>
          <w:i/>
          <w:iCs/>
        </w:rPr>
        <w:t>statu quo</w:t>
      </w:r>
      <w:r>
        <w:t>, pero puede ser también el nivel psicológico al que aspiramos o incluso algún nivel arbitrario que, sin darnos cuenta, nos ha sugerido aqu</w:t>
      </w:r>
      <w:r w:rsidR="004467AB">
        <w:t>e</w:t>
      </w:r>
      <w:r>
        <w:t>l que nos ha planteado la cuestión.</w:t>
      </w:r>
    </w:p>
    <w:p w14:paraId="56B79933" w14:textId="790974FB" w:rsidR="00171F67" w:rsidRDefault="008C5AA6">
      <w:pPr>
        <w:pStyle w:val="Prrafodelista"/>
        <w:keepNext/>
        <w:numPr>
          <w:ilvl w:val="0"/>
          <w:numId w:val="15"/>
        </w:numPr>
        <w:spacing w:after="0"/>
        <w:ind w:left="568" w:hanging="284"/>
      </w:pPr>
      <w:r>
        <w:t xml:space="preserve">La segunda regla, relevante cuando nos enfrentamos a una serie de acontecimientos, se refiere a su </w:t>
      </w:r>
      <w:r w:rsidRPr="00171F67">
        <w:rPr>
          <w:i/>
          <w:iCs/>
          <w:u w:val="single"/>
        </w:rPr>
        <w:t>combinación</w:t>
      </w:r>
      <w:r>
        <w:t>.</w:t>
      </w:r>
    </w:p>
    <w:p w14:paraId="15718911" w14:textId="3ACC9D34" w:rsidR="008C5AA6" w:rsidRDefault="008C5AA6" w:rsidP="00171F67">
      <w:pPr>
        <w:pStyle w:val="Nivel3SM"/>
      </w:pPr>
      <w:r>
        <w:t>Así, por ejemplo, una ganancia seguida de una pérdida más pequeña, ¿las percibiremos psicológicamente como una ganancia neta o, por el contrario, las mantendremos intelectualmente separadas y las percibiremos de forma separada? Al igual que ocurre con las reglas sobre acumulación de rentas o declaración separada en un IRPF progresivo, esas reglas de combinación o acumulación de sucesos tienen gran importancia.</w:t>
      </w:r>
    </w:p>
    <w:p w14:paraId="38F0E8C0" w14:textId="0EA52A0E" w:rsidR="00171F67" w:rsidRPr="00171F67" w:rsidRDefault="00631280">
      <w:pPr>
        <w:pStyle w:val="Prrafodelista"/>
        <w:keepNext/>
        <w:numPr>
          <w:ilvl w:val="0"/>
          <w:numId w:val="15"/>
        </w:numPr>
        <w:spacing w:after="0"/>
        <w:ind w:left="568" w:hanging="284"/>
        <w:rPr>
          <w:spacing w:val="-1"/>
        </w:rPr>
      </w:pPr>
      <w:r w:rsidRPr="00171F67">
        <w:rPr>
          <w:spacing w:val="-1"/>
        </w:rPr>
        <w:t>Finalmente, u</w:t>
      </w:r>
      <w:r w:rsidR="008C5AA6" w:rsidRPr="00171F67">
        <w:rPr>
          <w:spacing w:val="-1"/>
        </w:rPr>
        <w:t xml:space="preserve">na de las predicciones de la </w:t>
      </w:r>
      <w:r w:rsidR="008C5AA6" w:rsidRPr="00171F67">
        <w:rPr>
          <w:i/>
          <w:iCs/>
          <w:spacing w:val="-1"/>
        </w:rPr>
        <w:t>Prospect T</w:t>
      </w:r>
      <w:r w:rsidR="009E315E">
        <w:rPr>
          <w:i/>
          <w:iCs/>
          <w:spacing w:val="-1"/>
        </w:rPr>
        <w:t>h</w:t>
      </w:r>
      <w:r w:rsidR="008C5AA6" w:rsidRPr="00171F67">
        <w:rPr>
          <w:i/>
          <w:iCs/>
          <w:spacing w:val="-1"/>
        </w:rPr>
        <w:t>eory</w:t>
      </w:r>
      <w:r w:rsidR="008C5AA6" w:rsidRPr="00171F67">
        <w:rPr>
          <w:spacing w:val="-1"/>
        </w:rPr>
        <w:t xml:space="preserve"> es que, aunque no se modifique el fondo de las alternativas, un cambio en el </w:t>
      </w:r>
      <w:r w:rsidR="008C5AA6" w:rsidRPr="00171F67">
        <w:rPr>
          <w:i/>
          <w:iCs/>
          <w:spacing w:val="-1"/>
        </w:rPr>
        <w:t>marco de referencia</w:t>
      </w:r>
      <w:r w:rsidR="008C5AA6" w:rsidRPr="00171F67">
        <w:rPr>
          <w:spacing w:val="-1"/>
        </w:rPr>
        <w:t xml:space="preserve"> puede alterar nuestra elección (</w:t>
      </w:r>
      <w:proofErr w:type="spellStart"/>
      <w:r w:rsidR="008C5AA6" w:rsidRPr="00171F67">
        <w:rPr>
          <w:i/>
          <w:iCs/>
          <w:spacing w:val="-1"/>
          <w:u w:val="single"/>
        </w:rPr>
        <w:t>framework</w:t>
      </w:r>
      <w:proofErr w:type="spellEnd"/>
      <w:r w:rsidR="008C5AA6" w:rsidRPr="00171F67">
        <w:rPr>
          <w:i/>
          <w:iCs/>
          <w:spacing w:val="-1"/>
          <w:u w:val="single"/>
        </w:rPr>
        <w:t xml:space="preserve"> </w:t>
      </w:r>
      <w:proofErr w:type="spellStart"/>
      <w:r w:rsidR="008C5AA6" w:rsidRPr="00171F67">
        <w:rPr>
          <w:i/>
          <w:iCs/>
          <w:spacing w:val="-1"/>
          <w:u w:val="single"/>
        </w:rPr>
        <w:t>effect</w:t>
      </w:r>
      <w:proofErr w:type="spellEnd"/>
      <w:r w:rsidR="008C5AA6" w:rsidRPr="00171F67">
        <w:rPr>
          <w:spacing w:val="-1"/>
        </w:rPr>
        <w:t>), pues nos sentimos atraídos por las ganancias ciertas y rehuimos las pérdidas seguras.</w:t>
      </w:r>
    </w:p>
    <w:p w14:paraId="73CB1B4D" w14:textId="77777777" w:rsidR="004467AB" w:rsidRDefault="008C5AA6" w:rsidP="004467AB">
      <w:pPr>
        <w:pStyle w:val="Nivel3SM"/>
        <w:keepNext/>
      </w:pPr>
      <w:r>
        <w:t xml:space="preserve">Ese </w:t>
      </w:r>
      <w:r w:rsidRPr="00631280">
        <w:rPr>
          <w:i/>
          <w:iCs/>
        </w:rPr>
        <w:t>efecto contexto</w:t>
      </w:r>
      <w:r>
        <w:t xml:space="preserve"> queda ilustrado en este clásico experimento:</w:t>
      </w:r>
    </w:p>
    <w:p w14:paraId="28707248" w14:textId="77777777" w:rsidR="004467AB" w:rsidRDefault="008C5AA6" w:rsidP="004467AB">
      <w:pPr>
        <w:pStyle w:val="Nivel4"/>
        <w:keepNext/>
        <w:ind w:left="1474"/>
      </w:pPr>
      <w:r>
        <w:t>Le regalamos a un sujeto 1.000</w:t>
      </w:r>
      <w:r w:rsidR="0052677F">
        <w:t> </w:t>
      </w:r>
      <w:r>
        <w:t>€ y le decimos que en una segunda fase tiene que elegir entre dos premios adicionales: a)</w:t>
      </w:r>
      <w:r w:rsidR="005C4725">
        <w:t> </w:t>
      </w:r>
      <w:r>
        <w:t>500</w:t>
      </w:r>
      <w:r w:rsidR="0052677F">
        <w:t> </w:t>
      </w:r>
      <w:r>
        <w:t>€ más, seguros; o b)</w:t>
      </w:r>
      <w:r w:rsidR="005C4725">
        <w:t> </w:t>
      </w:r>
      <w:r>
        <w:t>1.000</w:t>
      </w:r>
      <w:r w:rsidR="0052677F">
        <w:t> </w:t>
      </w:r>
      <w:r>
        <w:t>€ más, pero con una probabilidad del 50</w:t>
      </w:r>
      <w:r w:rsidR="0052677F">
        <w:t> </w:t>
      </w:r>
      <w:r>
        <w:t>%.</w:t>
      </w:r>
    </w:p>
    <w:p w14:paraId="4667A7DA" w14:textId="21A3EAB9" w:rsidR="004467AB" w:rsidRDefault="008C5AA6" w:rsidP="004467AB">
      <w:pPr>
        <w:pStyle w:val="Nivel5"/>
        <w:ind w:left="1871"/>
      </w:pPr>
      <w:r>
        <w:t>Casi todo el mundo prefiere los 500</w:t>
      </w:r>
      <w:r w:rsidR="0052677F">
        <w:t> </w:t>
      </w:r>
      <w:r>
        <w:t>€ adicionales, asegurándose 1.500</w:t>
      </w:r>
      <w:r w:rsidR="0052677F">
        <w:t> </w:t>
      </w:r>
      <w:r>
        <w:t>€ en total.</w:t>
      </w:r>
    </w:p>
    <w:p w14:paraId="09C654F9" w14:textId="4C200134" w:rsidR="004467AB" w:rsidRDefault="008C5AA6" w:rsidP="004467AB">
      <w:pPr>
        <w:pStyle w:val="Nivel4"/>
        <w:keepNext/>
        <w:ind w:left="1474"/>
      </w:pPr>
      <w:r>
        <w:t>En un segundo experimento, regalamos a un sujeto 2.000</w:t>
      </w:r>
      <w:r w:rsidR="0052677F">
        <w:t> </w:t>
      </w:r>
      <w:r>
        <w:t>€ y le decimos que, en una segunda fase, tiene que escoger entre dos multas, que restarán de sus 2.000</w:t>
      </w:r>
      <w:r w:rsidR="0052677F">
        <w:t> </w:t>
      </w:r>
      <w:r>
        <w:t>€: a)</w:t>
      </w:r>
      <w:r w:rsidR="000D7392">
        <w:t> </w:t>
      </w:r>
      <w:r>
        <w:t>perder 500</w:t>
      </w:r>
      <w:r w:rsidR="0052677F">
        <w:t> </w:t>
      </w:r>
      <w:r>
        <w:t>€ seguro; o b)</w:t>
      </w:r>
      <w:r w:rsidR="000D7392">
        <w:t> </w:t>
      </w:r>
      <w:r>
        <w:t>perder 1.000</w:t>
      </w:r>
      <w:r w:rsidR="0052677F">
        <w:t> </w:t>
      </w:r>
      <w:r>
        <w:t>€ con una probabilidad del 50</w:t>
      </w:r>
      <w:r w:rsidR="0052677F">
        <w:t> </w:t>
      </w:r>
      <w:r>
        <w:t>%.</w:t>
      </w:r>
    </w:p>
    <w:p w14:paraId="50606215" w14:textId="42A0134F" w:rsidR="004467AB" w:rsidRDefault="008C5AA6" w:rsidP="004467AB">
      <w:pPr>
        <w:pStyle w:val="Nivel5"/>
        <w:ind w:left="1871"/>
      </w:pPr>
      <w:r>
        <w:t>Casi todo el mundo se inclina ahora por la segunda alternativa, porque se resiste a perder con seguridad 500</w:t>
      </w:r>
      <w:r w:rsidR="009E315E">
        <w:t> €</w:t>
      </w:r>
      <w:r>
        <w:t xml:space="preserve"> de sus 2.000</w:t>
      </w:r>
      <w:r w:rsidR="0052677F">
        <w:t> </w:t>
      </w:r>
      <w:r>
        <w:t>€.</w:t>
      </w:r>
    </w:p>
    <w:p w14:paraId="27AF4ED1" w14:textId="356FBD9D" w:rsidR="008C5AA6" w:rsidRDefault="008C5AA6" w:rsidP="004467AB">
      <w:pPr>
        <w:pStyle w:val="Nivel4"/>
        <w:ind w:left="1474"/>
      </w:pPr>
      <w:r>
        <w:t>Ahora bien, ese par de elecciones resulta paradójico, porque en ambos casos se está dando a elegir entre lo mismo: a)</w:t>
      </w:r>
      <w:r w:rsidR="004467AB">
        <w:t> </w:t>
      </w:r>
      <w:r>
        <w:t>1.500</w:t>
      </w:r>
      <w:r w:rsidR="0052677F">
        <w:t> </w:t>
      </w:r>
      <w:r>
        <w:t>€ seguros; o b)</w:t>
      </w:r>
      <w:r w:rsidR="004467AB">
        <w:t> </w:t>
      </w:r>
      <w:r>
        <w:t>1.000</w:t>
      </w:r>
      <w:r w:rsidR="0052677F">
        <w:t> </w:t>
      </w:r>
      <w:r>
        <w:t>€ ó 2.000</w:t>
      </w:r>
      <w:r w:rsidR="0052677F">
        <w:t> </w:t>
      </w:r>
      <w:r>
        <w:t>€ con probabilidad del 50</w:t>
      </w:r>
      <w:r w:rsidR="0052677F">
        <w:t> </w:t>
      </w:r>
      <w:r>
        <w:t xml:space="preserve">%. Como en el primero se utiliza un marco de referencia de </w:t>
      </w:r>
      <w:r w:rsidRPr="00631280">
        <w:rPr>
          <w:i/>
          <w:iCs/>
        </w:rPr>
        <w:t>ganancias</w:t>
      </w:r>
      <w:r>
        <w:t xml:space="preserve">, la gente suele ser menos arriesgada. </w:t>
      </w:r>
      <w:r w:rsidR="004467AB">
        <w:t>Sin embargo,</w:t>
      </w:r>
      <w:r>
        <w:t xml:space="preserve"> en el segundo experimento el marco de referencia hace alusión a </w:t>
      </w:r>
      <w:r w:rsidRPr="00631280">
        <w:rPr>
          <w:i/>
          <w:iCs/>
        </w:rPr>
        <w:t>pérdidas</w:t>
      </w:r>
      <w:r>
        <w:t xml:space="preserve">, </w:t>
      </w:r>
      <w:r w:rsidR="004467AB">
        <w:t xml:space="preserve">por lo que </w:t>
      </w:r>
      <w:r>
        <w:t>la gente suele estar más dispuesta a jugársela.</w:t>
      </w:r>
    </w:p>
    <w:p w14:paraId="3705D09C" w14:textId="43942FC4" w:rsidR="00620DB3" w:rsidRDefault="00620DB3">
      <w:pPr>
        <w:pStyle w:val="Ttulo7"/>
        <w:numPr>
          <w:ilvl w:val="0"/>
          <w:numId w:val="13"/>
        </w:numPr>
        <w:ind w:left="568" w:hanging="284"/>
      </w:pPr>
      <w:bookmarkStart w:id="58" w:name="_Toc172232559"/>
      <w:r>
        <w:lastRenderedPageBreak/>
        <w:t>Valoración de las alternativas: la función de valor en forma de S</w:t>
      </w:r>
      <w:bookmarkEnd w:id="58"/>
    </w:p>
    <w:p w14:paraId="4B663011" w14:textId="4E5328DD" w:rsidR="00620DB3" w:rsidRPr="00620DB3" w:rsidRDefault="00620DB3" w:rsidP="00B3647B">
      <w:pPr>
        <w:pStyle w:val="Nivel1SM"/>
        <w:keepNext/>
        <w:spacing w:before="0" w:after="0"/>
      </w:pPr>
      <w:r>
        <w:t xml:space="preserve">Al igual que la TUE atribuye a cada resultado cierta utilidad, la </w:t>
      </w:r>
      <w:r w:rsidR="004851E9" w:rsidRPr="004851E9">
        <w:rPr>
          <w:i/>
          <w:iCs/>
        </w:rPr>
        <w:t>Prospect Theory</w:t>
      </w:r>
      <w:r>
        <w:t xml:space="preserve"> atribuye a cada alternativa (entendida como ganancia o pérdida respecto a nuestro nivel de referencia) un cierto valor. Esa </w:t>
      </w:r>
      <w:r>
        <w:rPr>
          <w:i/>
          <w:iCs/>
        </w:rPr>
        <w:t>función</w:t>
      </w:r>
      <w:r w:rsidRPr="002112F7">
        <w:rPr>
          <w:i/>
          <w:iCs/>
        </w:rPr>
        <w:t xml:space="preserve"> de </w:t>
      </w:r>
      <w:r>
        <w:rPr>
          <w:i/>
          <w:iCs/>
        </w:rPr>
        <w:t>valor</w:t>
      </w:r>
      <w:r>
        <w:t xml:space="preserve"> tiene la </w:t>
      </w:r>
      <w:r>
        <w:rPr>
          <w:i/>
          <w:iCs/>
        </w:rPr>
        <w:t>forma</w:t>
      </w:r>
      <w:r>
        <w:t xml:space="preserve"> aproximada de S que aparece en el siguiente gráfico:</w:t>
      </w:r>
    </w:p>
    <w:p w14:paraId="605A4E3B" w14:textId="49945F5E" w:rsidR="00F231D2" w:rsidRDefault="00F231D2" w:rsidP="00F231D2">
      <w:pPr>
        <w:pStyle w:val="Ttuloimagen"/>
      </w:pPr>
      <w:r>
        <w:t>Imagen</w:t>
      </w:r>
      <w:r w:rsidR="002C7D7A">
        <w:t> </w:t>
      </w:r>
      <w:r>
        <w:fldChar w:fldCharType="begin"/>
      </w:r>
      <w:r>
        <w:instrText xml:space="preserve"> SEQ Ilustración \* ARABIC </w:instrText>
      </w:r>
      <w:r>
        <w:fldChar w:fldCharType="separate"/>
      </w:r>
      <w:r w:rsidR="002E338F">
        <w:t>9</w:t>
      </w:r>
      <w:r>
        <w:fldChar w:fldCharType="end"/>
      </w:r>
      <w:r w:rsidRPr="00F231D2">
        <w:rPr>
          <w:smallCaps w:val="0"/>
        </w:rPr>
        <w:t xml:space="preserve">.– </w:t>
      </w:r>
      <w:r>
        <w:rPr>
          <w:i/>
          <w:iCs/>
          <w:smallCaps w:val="0"/>
        </w:rPr>
        <w:t>Valoración de las alternativas</w:t>
      </w:r>
    </w:p>
    <w:p w14:paraId="260E6896" w14:textId="5FB93CB1" w:rsidR="00620DB3" w:rsidRDefault="001E5094" w:rsidP="00970554">
      <w:pPr>
        <w:pStyle w:val="Imagen"/>
      </w:pPr>
      <w:r>
        <w:drawing>
          <wp:inline distT="0" distB="0" distL="0" distR="0" wp14:anchorId="07B008DA" wp14:editId="0DB8FAEF">
            <wp:extent cx="2240280" cy="2360773"/>
            <wp:effectExtent l="0" t="0" r="7620" b="1905"/>
            <wp:docPr id="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a:blip r:embed="rId35"/>
                    <a:stretch>
                      <a:fillRect/>
                    </a:stretch>
                  </pic:blipFill>
                  <pic:spPr>
                    <a:xfrm>
                      <a:off x="0" y="0"/>
                      <a:ext cx="2243916" cy="2364605"/>
                    </a:xfrm>
                    <a:prstGeom prst="rect">
                      <a:avLst/>
                    </a:prstGeom>
                  </pic:spPr>
                </pic:pic>
              </a:graphicData>
            </a:graphic>
          </wp:inline>
        </w:drawing>
      </w:r>
    </w:p>
    <w:p w14:paraId="49EA44AF" w14:textId="0FBFFDEF" w:rsidR="00620DB3" w:rsidRDefault="00CC2DF6" w:rsidP="00CC2DF6">
      <w:pPr>
        <w:pStyle w:val="PiedeImagen"/>
      </w:pPr>
      <w:r w:rsidRPr="0046334B">
        <w:rPr>
          <w:lang w:val="en-US"/>
        </w:rPr>
        <w:t>Fuente</w:t>
      </w:r>
      <w:r w:rsidRPr="0046334B">
        <w:rPr>
          <w:i w:val="0"/>
          <w:iCs/>
          <w:lang w:val="en-US"/>
        </w:rPr>
        <w:t>: Macmillan Publishers Ltd (Ed.). (2018).</w:t>
      </w:r>
      <w:r w:rsidRPr="0046334B">
        <w:rPr>
          <w:lang w:val="en-US"/>
        </w:rPr>
        <w:t xml:space="preserve"> The New Palgrave Dictionary of Economics</w:t>
      </w:r>
      <w:r w:rsidRPr="0046334B">
        <w:rPr>
          <w:i w:val="0"/>
          <w:iCs/>
          <w:lang w:val="en-US"/>
        </w:rPr>
        <w:t xml:space="preserve">. </w:t>
      </w:r>
      <w:r w:rsidRPr="00CC2DF6">
        <w:rPr>
          <w:i w:val="0"/>
          <w:iCs/>
        </w:rPr>
        <w:t xml:space="preserve">Palgrave Macmillan UK. </w:t>
      </w:r>
      <w:hyperlink r:id="rId36" w:history="1">
        <w:r w:rsidRPr="00CC2DF6">
          <w:rPr>
            <w:rStyle w:val="Hipervnculo"/>
            <w:i w:val="0"/>
            <w:iCs/>
          </w:rPr>
          <w:t>https://doi.org/10.1057/978-1-349-95189-5</w:t>
        </w:r>
      </w:hyperlink>
    </w:p>
    <w:p w14:paraId="7ECB1919" w14:textId="4F7E2FDF" w:rsidR="00620DB3" w:rsidRDefault="00620DB3" w:rsidP="00B3647B">
      <w:pPr>
        <w:pStyle w:val="Nivel1SM"/>
        <w:keepNext/>
        <w:spacing w:after="0"/>
      </w:pPr>
      <w:r>
        <w:t xml:space="preserve">Esta </w:t>
      </w:r>
      <w:r>
        <w:rPr>
          <w:i/>
          <w:iCs/>
        </w:rPr>
        <w:t>función de valor</w:t>
      </w:r>
      <w:r>
        <w:t xml:space="preserve"> se caracteriza por lo siguiente:</w:t>
      </w:r>
    </w:p>
    <w:p w14:paraId="3D4CBAA0" w14:textId="4777F762" w:rsidR="002112F7" w:rsidRDefault="00620DB3" w:rsidP="00B3647B">
      <w:pPr>
        <w:pStyle w:val="Prrafodelista"/>
        <w:numPr>
          <w:ilvl w:val="0"/>
          <w:numId w:val="9"/>
        </w:numPr>
        <w:ind w:left="567" w:hanging="153"/>
      </w:pPr>
      <w:r>
        <w:t xml:space="preserve">En materia de ganancias, el valor marginal –el que atribuimos a cada nueva unidad– es cada vez menor (esto es, la curva va perdiendo pendiente). Por eso, en materia de ganancias somos </w:t>
      </w:r>
      <w:r>
        <w:rPr>
          <w:i/>
          <w:iCs/>
        </w:rPr>
        <w:t>amarrones</w:t>
      </w:r>
      <w:r>
        <w:t>, y preferimos una ganancia cierta a otra mayor pero hipotética (</w:t>
      </w:r>
      <w:r>
        <w:rPr>
          <w:i/>
          <w:iCs/>
        </w:rPr>
        <w:t>más vale pájaro en mano</w:t>
      </w:r>
      <w:r w:rsidR="0079082E">
        <w:rPr>
          <w:i/>
          <w:iCs/>
        </w:rPr>
        <w:t xml:space="preserve"> que ciento volando</w:t>
      </w:r>
      <w:r>
        <w:t>).</w:t>
      </w:r>
    </w:p>
    <w:p w14:paraId="36FF4E1C" w14:textId="33295006" w:rsidR="00620DB3" w:rsidRDefault="002112F7" w:rsidP="00B3647B">
      <w:pPr>
        <w:pStyle w:val="Prrafodelista"/>
        <w:spacing w:after="100"/>
        <w:ind w:left="567"/>
      </w:pPr>
      <w:r>
        <w:t>Esto implicar</w:t>
      </w:r>
      <w:r w:rsidR="00D24424">
        <w:t>á</w:t>
      </w:r>
      <w:r>
        <w:t xml:space="preserve"> que </w:t>
      </w:r>
      <w:r w:rsidRPr="00D24424">
        <w:rPr>
          <w:u w:val="single"/>
        </w:rPr>
        <w:t xml:space="preserve">la función de valor </w:t>
      </w:r>
      <w:r w:rsidR="00D24424">
        <w:rPr>
          <w:u w:val="single"/>
        </w:rPr>
        <w:t>es</w:t>
      </w:r>
      <w:r w:rsidRPr="00D24424">
        <w:rPr>
          <w:u w:val="single"/>
        </w:rPr>
        <w:t xml:space="preserve"> cóncava en el lado de las ganancias</w:t>
      </w:r>
      <w:r>
        <w:t>.</w:t>
      </w:r>
    </w:p>
    <w:p w14:paraId="583FAD89" w14:textId="77777777" w:rsidR="002112F7" w:rsidRDefault="00620DB3" w:rsidP="00B3647B">
      <w:pPr>
        <w:pStyle w:val="Prrafodelista"/>
        <w:numPr>
          <w:ilvl w:val="0"/>
          <w:numId w:val="9"/>
        </w:numPr>
        <w:spacing w:after="100"/>
        <w:ind w:left="567" w:hanging="102"/>
      </w:pPr>
      <w:r>
        <w:t>En materia de pérdidas ocurre algo parecido: su impacto marginal es cada vez menor. Por eso no nos importa arriesgarnos a sufrir grandes pérdidas si con ello evitamos una pérdida menor pero cierta (</w:t>
      </w:r>
      <w:r>
        <w:rPr>
          <w:i/>
          <w:iCs/>
        </w:rPr>
        <w:t>de perdidos, al río</w:t>
      </w:r>
      <w:r>
        <w:t xml:space="preserve">). Así pues, a diferencia de la TUE, la </w:t>
      </w:r>
      <w:r>
        <w:rPr>
          <w:i/>
          <w:iCs/>
        </w:rPr>
        <w:t>Prospect Theory</w:t>
      </w:r>
      <w:r>
        <w:t xml:space="preserve"> pronostica que, en materia de pérdidas, somos amantes del riesgo (</w:t>
      </w:r>
      <w:proofErr w:type="spellStart"/>
      <w:r>
        <w:rPr>
          <w:i/>
          <w:iCs/>
        </w:rPr>
        <w:t>risk-seekers</w:t>
      </w:r>
      <w:proofErr w:type="spellEnd"/>
      <w:r>
        <w:t>).</w:t>
      </w:r>
    </w:p>
    <w:p w14:paraId="348EBFE4" w14:textId="72B85DB0" w:rsidR="00620DB3" w:rsidRDefault="002112F7" w:rsidP="00B3647B">
      <w:pPr>
        <w:pStyle w:val="Prrafodelista"/>
        <w:spacing w:after="100"/>
        <w:ind w:left="567"/>
      </w:pPr>
      <w:r>
        <w:t xml:space="preserve">Esto implicará que </w:t>
      </w:r>
      <w:r w:rsidRPr="00D24424">
        <w:rPr>
          <w:u w:val="single"/>
        </w:rPr>
        <w:t xml:space="preserve">la función de valor </w:t>
      </w:r>
      <w:r w:rsidR="00D24424">
        <w:rPr>
          <w:u w:val="single"/>
        </w:rPr>
        <w:t>es</w:t>
      </w:r>
      <w:r w:rsidRPr="00D24424">
        <w:rPr>
          <w:u w:val="single"/>
        </w:rPr>
        <w:t xml:space="preserve"> convexa en el lado de las pérdidas</w:t>
      </w:r>
      <w:r>
        <w:t>.</w:t>
      </w:r>
    </w:p>
    <w:p w14:paraId="1A530995" w14:textId="451ECED4" w:rsidR="00620DB3" w:rsidRDefault="00620DB3" w:rsidP="00B3647B">
      <w:pPr>
        <w:pStyle w:val="Prrafodelista"/>
        <w:numPr>
          <w:ilvl w:val="0"/>
          <w:numId w:val="9"/>
        </w:numPr>
        <w:spacing w:after="100"/>
        <w:ind w:left="567" w:hanging="102"/>
      </w:pPr>
      <w:r>
        <w:t xml:space="preserve">En las inmediaciones del origen de coordenadas, la pendiente de la curva en el tramo de pérdidas (esto es, en el cuadrante inferior izquierdo) es mucho mayor que en el de ganancias (cuadrante superior derecho. Así pues, </w:t>
      </w:r>
      <w:r w:rsidRPr="00D24424">
        <w:rPr>
          <w:u w:val="single"/>
        </w:rPr>
        <w:t>la S es asimétrica</w:t>
      </w:r>
      <w:r>
        <w:t xml:space="preserve">, y su tramo descendente es más vertical que el ascendente. Esa asimetría refleja la </w:t>
      </w:r>
      <w:r>
        <w:rPr>
          <w:i/>
          <w:iCs/>
        </w:rPr>
        <w:t>aversión a las pérdidas</w:t>
      </w:r>
      <w:r>
        <w:t>:</w:t>
      </w:r>
      <w:r w:rsidRPr="00A36CD9">
        <w:rPr>
          <w:spacing w:val="-1"/>
        </w:rPr>
        <w:t xml:space="preserve"> siempre rechazamos una apuesta que nos ofrezca ganar o perder la misma cantidad con una probabilidad del 50</w:t>
      </w:r>
      <w:r w:rsidR="00A36CD9" w:rsidRPr="00A36CD9">
        <w:rPr>
          <w:spacing w:val="-1"/>
        </w:rPr>
        <w:t> </w:t>
      </w:r>
      <w:r w:rsidRPr="00A36CD9">
        <w:rPr>
          <w:spacing w:val="-1"/>
        </w:rPr>
        <w:t>%, pues las pérdidas nos duelen más que lo que nos alegran las ganancias de igual importe.</w:t>
      </w:r>
    </w:p>
    <w:p w14:paraId="670B5B00" w14:textId="64517EF1" w:rsidR="00620DB3" w:rsidRDefault="00620DB3" w:rsidP="00B3647B">
      <w:pPr>
        <w:pStyle w:val="Prrafodelista"/>
        <w:ind w:left="567"/>
      </w:pPr>
      <w:r>
        <w:t xml:space="preserve">Una manifestación directa de lo anterior es el llamado </w:t>
      </w:r>
      <w:proofErr w:type="spellStart"/>
      <w:r>
        <w:rPr>
          <w:i/>
          <w:iCs/>
        </w:rPr>
        <w:t>endowment</w:t>
      </w:r>
      <w:proofErr w:type="spellEnd"/>
      <w:r>
        <w:rPr>
          <w:i/>
          <w:iCs/>
        </w:rPr>
        <w:t xml:space="preserve"> </w:t>
      </w:r>
      <w:proofErr w:type="spellStart"/>
      <w:r>
        <w:rPr>
          <w:i/>
          <w:iCs/>
        </w:rPr>
        <w:t>effect</w:t>
      </w:r>
      <w:proofErr w:type="spellEnd"/>
      <w:r>
        <w:t xml:space="preserve"> (</w:t>
      </w:r>
      <w:r>
        <w:rPr>
          <w:i/>
          <w:iCs/>
        </w:rPr>
        <w:t>efecto dotación</w:t>
      </w:r>
      <w:r>
        <w:t>):</w:t>
      </w:r>
      <w:bookmarkStart w:id="59" w:name="_Hlk120629591"/>
      <w:r>
        <w:t xml:space="preserve"> en general, pedimos mucho más por desprendernos de algo que ya tenemos (pérdida) que lo que estaríamos dispuestos a pagar por adquirirlo (ganancia).</w:t>
      </w:r>
      <w:bookmarkEnd w:id="59"/>
    </w:p>
    <w:p w14:paraId="31A56A96" w14:textId="62E0F486" w:rsidR="0027707E" w:rsidRDefault="0027707E">
      <w:pPr>
        <w:pStyle w:val="Ttulo7"/>
        <w:numPr>
          <w:ilvl w:val="0"/>
          <w:numId w:val="13"/>
        </w:numPr>
        <w:ind w:left="568" w:hanging="284"/>
      </w:pPr>
      <w:bookmarkStart w:id="60" w:name="_Toc172232560"/>
      <w:r>
        <w:t>Ponderación de las alternativas: pesos decisorios y efecto certeza</w:t>
      </w:r>
      <w:bookmarkEnd w:id="60"/>
    </w:p>
    <w:p w14:paraId="257FC496" w14:textId="0EBB708C" w:rsidR="0027707E" w:rsidRPr="00AC6972" w:rsidRDefault="0027707E" w:rsidP="00B3647B">
      <w:pPr>
        <w:pStyle w:val="Nivel1SM"/>
        <w:keepNext/>
        <w:spacing w:before="0" w:after="0"/>
        <w:rPr>
          <w:i/>
          <w:iCs/>
        </w:rPr>
      </w:pPr>
      <w:r>
        <w:t xml:space="preserve">Al igual que la TUE, en la </w:t>
      </w:r>
      <w:r w:rsidR="004851E9" w:rsidRPr="004851E9">
        <w:rPr>
          <w:i/>
          <w:iCs/>
        </w:rPr>
        <w:t>Prospect Theory</w:t>
      </w:r>
      <w:r>
        <w:t xml:space="preserve">, los valores o utilidades atribuidos a cada alternativa se ponderan por cierto peso antes de su comparación definitiva. Con el fin, sin embargo, de reflejar la </w:t>
      </w:r>
      <w:r>
        <w:rPr>
          <w:i/>
          <w:iCs/>
        </w:rPr>
        <w:t>paradoja de Allais</w:t>
      </w:r>
      <w:r>
        <w:t xml:space="preserve">  y nuestra hipersensibilidad a pequeños riesgos, la </w:t>
      </w:r>
      <w:r w:rsidR="00AC6972">
        <w:rPr>
          <w:i/>
          <w:iCs/>
        </w:rPr>
        <w:t>Prospect Theory</w:t>
      </w:r>
      <w:r>
        <w:t xml:space="preserve"> no pondera las alternativas con sus probabilidades objetivas, sino con ciertos </w:t>
      </w:r>
      <w:r>
        <w:rPr>
          <w:i/>
          <w:iCs/>
        </w:rPr>
        <w:t>pesos decisorios</w:t>
      </w:r>
      <w:r>
        <w:t xml:space="preserve"> (</w:t>
      </w:r>
      <w:proofErr w:type="spellStart"/>
      <w:r>
        <w:rPr>
          <w:i/>
          <w:iCs/>
        </w:rPr>
        <w:t>decision</w:t>
      </w:r>
      <w:proofErr w:type="spellEnd"/>
      <w:r>
        <w:rPr>
          <w:i/>
          <w:iCs/>
        </w:rPr>
        <w:t xml:space="preserve"> </w:t>
      </w:r>
      <w:proofErr w:type="spellStart"/>
      <w:r>
        <w:rPr>
          <w:i/>
          <w:iCs/>
        </w:rPr>
        <w:t>weights</w:t>
      </w:r>
      <w:proofErr w:type="spellEnd"/>
      <w:r>
        <w:t xml:space="preserve">) que guardan una relación no lineal con las probabilidades: son mayores que estas cuando las probabilidades son bajas, pierden sensibilidad (pendiente) en los tramos centrales de probabilidad </w:t>
      </w:r>
      <w:r>
        <w:lastRenderedPageBreak/>
        <w:t xml:space="preserve">y la recuperan de nuevo para probabilidades muy altas, atraídas por el imán del </w:t>
      </w:r>
      <w:r>
        <w:rPr>
          <w:i/>
          <w:iCs/>
        </w:rPr>
        <w:t>efecto certeza</w:t>
      </w:r>
      <w:r w:rsidR="00CE615F">
        <w:t xml:space="preserve"> (tal y como sugiere la paradoja de Allais)</w:t>
      </w:r>
      <w:r>
        <w:t>. Esto se muestra en el siguiente gráfico:</w:t>
      </w:r>
    </w:p>
    <w:p w14:paraId="20D93EE1" w14:textId="43A42B72" w:rsidR="00F231D2" w:rsidRDefault="00F231D2" w:rsidP="00F231D2">
      <w:pPr>
        <w:pStyle w:val="Ttuloimagen"/>
      </w:pPr>
      <w:r>
        <w:t>Imagen</w:t>
      </w:r>
      <w:r w:rsidR="002C7D7A">
        <w:t> </w:t>
      </w:r>
      <w:r>
        <w:fldChar w:fldCharType="begin"/>
      </w:r>
      <w:r>
        <w:instrText xml:space="preserve"> SEQ Ilustración \* ARABIC </w:instrText>
      </w:r>
      <w:r>
        <w:fldChar w:fldCharType="separate"/>
      </w:r>
      <w:r w:rsidR="002E338F">
        <w:t>10</w:t>
      </w:r>
      <w:r>
        <w:fldChar w:fldCharType="end"/>
      </w:r>
      <w:r w:rsidRPr="00F231D2">
        <w:rPr>
          <w:smallCaps w:val="0"/>
        </w:rPr>
        <w:t xml:space="preserve">.– </w:t>
      </w:r>
      <w:r>
        <w:rPr>
          <w:i/>
          <w:iCs/>
          <w:smallCaps w:val="0"/>
        </w:rPr>
        <w:t>Ponderación de las alternativas</w:t>
      </w:r>
    </w:p>
    <w:p w14:paraId="3EC7DCD5" w14:textId="5A9AC9C9" w:rsidR="001E5094" w:rsidRDefault="001E5094" w:rsidP="00970554">
      <w:pPr>
        <w:pStyle w:val="Imagen"/>
      </w:pPr>
      <w:r>
        <w:drawing>
          <wp:inline distT="0" distB="0" distL="0" distR="0" wp14:anchorId="345E95B1" wp14:editId="5DE214B7">
            <wp:extent cx="2566007" cy="2509157"/>
            <wp:effectExtent l="0" t="0" r="6350" b="5715"/>
            <wp:docPr id="10" name="Imagen 10"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que contiene Gráfico&#10;&#10;Descripción generada automáticamente"/>
                    <pic:cNvPicPr/>
                  </pic:nvPicPr>
                  <pic:blipFill>
                    <a:blip r:embed="rId37"/>
                    <a:stretch>
                      <a:fillRect/>
                    </a:stretch>
                  </pic:blipFill>
                  <pic:spPr>
                    <a:xfrm>
                      <a:off x="0" y="0"/>
                      <a:ext cx="2572818" cy="2515817"/>
                    </a:xfrm>
                    <a:prstGeom prst="rect">
                      <a:avLst/>
                    </a:prstGeom>
                  </pic:spPr>
                </pic:pic>
              </a:graphicData>
            </a:graphic>
          </wp:inline>
        </w:drawing>
      </w:r>
    </w:p>
    <w:p w14:paraId="7F3C11B6" w14:textId="7079D43A" w:rsidR="0027707E" w:rsidRDefault="00CC2DF6" w:rsidP="00CC2DF6">
      <w:pPr>
        <w:pStyle w:val="PiedeImagen"/>
      </w:pPr>
      <w:r w:rsidRPr="0046334B">
        <w:rPr>
          <w:lang w:val="en-US"/>
        </w:rPr>
        <w:t>Fuente</w:t>
      </w:r>
      <w:r w:rsidRPr="0046334B">
        <w:rPr>
          <w:i w:val="0"/>
          <w:iCs/>
          <w:lang w:val="en-US"/>
        </w:rPr>
        <w:t>: Macmillan Publishers Ltd (Ed.). (2018).</w:t>
      </w:r>
      <w:r w:rsidRPr="0046334B">
        <w:rPr>
          <w:lang w:val="en-US"/>
        </w:rPr>
        <w:t xml:space="preserve"> The New Palgrave Dictionary of Economics</w:t>
      </w:r>
      <w:r w:rsidRPr="0046334B">
        <w:rPr>
          <w:i w:val="0"/>
          <w:iCs/>
          <w:lang w:val="en-US"/>
        </w:rPr>
        <w:t xml:space="preserve">. </w:t>
      </w:r>
      <w:r w:rsidRPr="00CC2DF6">
        <w:rPr>
          <w:i w:val="0"/>
          <w:iCs/>
        </w:rPr>
        <w:t xml:space="preserve">Palgrave Macmillan UK. </w:t>
      </w:r>
      <w:hyperlink r:id="rId38" w:history="1">
        <w:r w:rsidRPr="00CC2DF6">
          <w:rPr>
            <w:rStyle w:val="Hipervnculo"/>
            <w:i w:val="0"/>
            <w:iCs/>
          </w:rPr>
          <w:t>https://doi.org/10.1057/978-1-349-95189-5</w:t>
        </w:r>
      </w:hyperlink>
    </w:p>
    <w:p w14:paraId="0C73D261" w14:textId="2B9E8671" w:rsidR="00CC2DF6" w:rsidRDefault="00CF2953" w:rsidP="001E2905">
      <w:pPr>
        <w:pStyle w:val="Ttulo6"/>
      </w:pPr>
      <w:bookmarkStart w:id="61" w:name="_Toc172232561"/>
      <w:r>
        <w:t>Anomalías explicadas</w:t>
      </w:r>
      <w:bookmarkEnd w:id="61"/>
    </w:p>
    <w:p w14:paraId="0EF08C3B" w14:textId="566AB067" w:rsidR="00CF2953" w:rsidRDefault="00CF2953" w:rsidP="00B3647B">
      <w:pPr>
        <w:pStyle w:val="Nivel1SM"/>
        <w:keepNext/>
        <w:spacing w:before="0" w:after="0"/>
      </w:pPr>
      <w:r>
        <w:t xml:space="preserve">La </w:t>
      </w:r>
      <w:r w:rsidR="004851E9">
        <w:rPr>
          <w:i/>
          <w:iCs/>
        </w:rPr>
        <w:t>Prospect Theory</w:t>
      </w:r>
      <w:r>
        <w:t xml:space="preserve"> da una explicación coherente de muchos fenómenos económicos y políticos, difícilmente reconciliables con la TUE y la racionalidad de los agentes económicos. Algunos de los más relevantes son</w:t>
      </w:r>
      <w:r w:rsidR="00775C11">
        <w:t>:</w:t>
      </w:r>
    </w:p>
    <w:p w14:paraId="595EC354" w14:textId="77777777" w:rsidR="003C26D2" w:rsidRDefault="00CF2953">
      <w:pPr>
        <w:pStyle w:val="Prrafodelista"/>
        <w:numPr>
          <w:ilvl w:val="0"/>
          <w:numId w:val="16"/>
        </w:numPr>
        <w:spacing w:after="100"/>
        <w:ind w:left="568" w:hanging="284"/>
      </w:pPr>
      <w:r>
        <w:t xml:space="preserve">Las ventajas de las devaluaciones y la inflación para alterar los precios relativos y salarios reales. Los salarios y </w:t>
      </w:r>
      <w:r w:rsidRPr="00775C11">
        <w:t>precios</w:t>
      </w:r>
      <w:r>
        <w:t xml:space="preserve"> nominales son inflexibles a la baja, porque su reducción se ve como una </w:t>
      </w:r>
      <w:r w:rsidRPr="003C26D2">
        <w:rPr>
          <w:i/>
          <w:iCs/>
        </w:rPr>
        <w:t>pérdida</w:t>
      </w:r>
      <w:r>
        <w:t>; por el contrario, su falta de ajuste a la inflación se tiende a ver como la renuncia a una ganancia, lo cual es menos doloroso.</w:t>
      </w:r>
    </w:p>
    <w:p w14:paraId="3D4BA4C0" w14:textId="77777777" w:rsidR="003C26D2" w:rsidRPr="003C26D2" w:rsidRDefault="00CF2953">
      <w:pPr>
        <w:pStyle w:val="Prrafodelista"/>
        <w:numPr>
          <w:ilvl w:val="0"/>
          <w:numId w:val="16"/>
        </w:numPr>
        <w:spacing w:after="100"/>
        <w:ind w:left="568" w:hanging="284"/>
        <w:rPr>
          <w:spacing w:val="-2"/>
        </w:rPr>
      </w:pPr>
      <w:r w:rsidRPr="003C26D2">
        <w:rPr>
          <w:spacing w:val="-2"/>
        </w:rPr>
        <w:t xml:space="preserve">En las épocas de recesión, el mercado de viviendas de segunda mano tiende a paralizarse, ante la inflexibilidad a la baja de los precios de venta. Esa inflexibilidad puede atribuirse a la renuncia de los propietarios a incurrir en </w:t>
      </w:r>
      <w:r w:rsidRPr="003C26D2">
        <w:rPr>
          <w:i/>
          <w:iCs/>
          <w:spacing w:val="-2"/>
        </w:rPr>
        <w:t>pérdidas</w:t>
      </w:r>
      <w:r w:rsidRPr="003C26D2">
        <w:rPr>
          <w:spacing w:val="-2"/>
        </w:rPr>
        <w:t xml:space="preserve"> respecto a su nivel de referencia (</w:t>
      </w:r>
      <w:proofErr w:type="spellStart"/>
      <w:r w:rsidRPr="003C26D2">
        <w:rPr>
          <w:i/>
          <w:iCs/>
          <w:spacing w:val="-2"/>
        </w:rPr>
        <w:t>endowment</w:t>
      </w:r>
      <w:proofErr w:type="spellEnd"/>
      <w:r w:rsidRPr="003C26D2">
        <w:rPr>
          <w:i/>
          <w:iCs/>
          <w:spacing w:val="-2"/>
        </w:rPr>
        <w:t xml:space="preserve"> </w:t>
      </w:r>
      <w:proofErr w:type="spellStart"/>
      <w:r w:rsidRPr="003C26D2">
        <w:rPr>
          <w:i/>
          <w:iCs/>
          <w:spacing w:val="-2"/>
        </w:rPr>
        <w:t>effect</w:t>
      </w:r>
      <w:proofErr w:type="spellEnd"/>
      <w:r w:rsidRPr="003C26D2">
        <w:rPr>
          <w:spacing w:val="-2"/>
        </w:rPr>
        <w:t>).</w:t>
      </w:r>
    </w:p>
    <w:p w14:paraId="120E29DB" w14:textId="77777777" w:rsidR="009F6FD1" w:rsidRDefault="00CF2953">
      <w:pPr>
        <w:pStyle w:val="Prrafodelista"/>
        <w:numPr>
          <w:ilvl w:val="0"/>
          <w:numId w:val="16"/>
        </w:numPr>
        <w:spacing w:after="100"/>
        <w:ind w:left="568" w:hanging="284"/>
      </w:pPr>
      <w:r>
        <w:t>La reacción social ante riesgos que se consideran nuevos (</w:t>
      </w:r>
      <w:r w:rsidRPr="009F6FD1">
        <w:rPr>
          <w:i/>
          <w:iCs/>
        </w:rPr>
        <w:t>vacas locas</w:t>
      </w:r>
      <w:r>
        <w:t xml:space="preserve"> en 1996, </w:t>
      </w:r>
      <w:r w:rsidRPr="009F6FD1">
        <w:rPr>
          <w:i/>
          <w:iCs/>
        </w:rPr>
        <w:t>organismos genéticamente modificados</w:t>
      </w:r>
      <w:r>
        <w:t xml:space="preserve"> en 1997</w:t>
      </w:r>
      <w:r w:rsidR="007B492F">
        <w:t>, etc.</w:t>
      </w:r>
      <w:r>
        <w:t>) es muy virulenta, aunque los riesgos s</w:t>
      </w:r>
      <w:r w:rsidR="00AC6972">
        <w:t>ea</w:t>
      </w:r>
      <w:r>
        <w:t xml:space="preserve">n muy remotos. De forma parecida por eliminar todo vestigio de ciertos riesgos (en Estados Unidos limpieza de espacios medioambientales) se gastan fortunas que no se aplican a reducir riesgos inevitables, pero mucho mayores (por ejemplo, accidentes en carretera). Así pues, el </w:t>
      </w:r>
      <w:r w:rsidRPr="009F6FD1">
        <w:rPr>
          <w:i/>
          <w:iCs/>
        </w:rPr>
        <w:t>peso decisorio</w:t>
      </w:r>
      <w:r>
        <w:t xml:space="preserve"> que nuestra mente atribuye a riesgos que consideramos nuevos es muy superior al de su probabilidad objetiva.</w:t>
      </w:r>
    </w:p>
    <w:p w14:paraId="6B24793E" w14:textId="71E932FF" w:rsidR="00CF2953" w:rsidRPr="009E315E" w:rsidRDefault="00CF2953">
      <w:pPr>
        <w:pStyle w:val="Prrafodelista"/>
        <w:numPr>
          <w:ilvl w:val="0"/>
          <w:numId w:val="16"/>
        </w:numPr>
        <w:spacing w:after="100"/>
        <w:ind w:left="568" w:hanging="284"/>
        <w:rPr>
          <w:spacing w:val="-3"/>
        </w:rPr>
      </w:pPr>
      <w:r w:rsidRPr="009E315E">
        <w:rPr>
          <w:spacing w:val="-3"/>
        </w:rPr>
        <w:t xml:space="preserve">La </w:t>
      </w:r>
      <w:r w:rsidRPr="009E315E">
        <w:rPr>
          <w:i/>
          <w:iCs/>
          <w:spacing w:val="-3"/>
        </w:rPr>
        <w:t>paradoja de Easterlin</w:t>
      </w:r>
      <w:r w:rsidRPr="009E315E">
        <w:rPr>
          <w:spacing w:val="-3"/>
        </w:rPr>
        <w:t>: Según constató en los años</w:t>
      </w:r>
      <w:r w:rsidR="009E315E" w:rsidRPr="009E315E">
        <w:rPr>
          <w:spacing w:val="-3"/>
        </w:rPr>
        <w:t> 70</w:t>
      </w:r>
      <w:r w:rsidRPr="009E315E">
        <w:rPr>
          <w:spacing w:val="-3"/>
        </w:rPr>
        <w:t xml:space="preserve"> </w:t>
      </w:r>
      <w:r w:rsidRPr="009E315E">
        <w:rPr>
          <w:smallCaps/>
          <w:spacing w:val="-3"/>
        </w:rPr>
        <w:t>Richard Easterlin</w:t>
      </w:r>
      <w:r w:rsidRPr="009E315E">
        <w:rPr>
          <w:spacing w:val="-3"/>
        </w:rPr>
        <w:t xml:space="preserve"> </w:t>
      </w:r>
      <w:r w:rsidR="009E315E" w:rsidRPr="009E315E">
        <w:rPr>
          <w:spacing w:val="-3"/>
        </w:rPr>
        <w:t>(</w:t>
      </w:r>
      <w:r w:rsidRPr="009E315E">
        <w:rPr>
          <w:spacing w:val="-3"/>
        </w:rPr>
        <w:t xml:space="preserve">y se ha corroborado </w:t>
      </w:r>
      <w:r w:rsidR="009E315E" w:rsidRPr="009E315E">
        <w:rPr>
          <w:spacing w:val="-3"/>
        </w:rPr>
        <w:t>posteriormente</w:t>
      </w:r>
      <w:r w:rsidRPr="009E315E">
        <w:rPr>
          <w:spacing w:val="-3"/>
        </w:rPr>
        <w:t xml:space="preserve"> varias veces</w:t>
      </w:r>
      <w:r w:rsidR="009E315E" w:rsidRPr="009E315E">
        <w:rPr>
          <w:spacing w:val="-3"/>
        </w:rPr>
        <w:t>)</w:t>
      </w:r>
      <w:r w:rsidRPr="009E315E">
        <w:rPr>
          <w:spacing w:val="-3"/>
        </w:rPr>
        <w:t xml:space="preserve">, aunque aumente la renta por habitante de un país, el porcentaje de sus habitantes que se declaran </w:t>
      </w:r>
      <w:r w:rsidRPr="009E315E">
        <w:rPr>
          <w:i/>
          <w:iCs/>
          <w:spacing w:val="-3"/>
        </w:rPr>
        <w:t>felices</w:t>
      </w:r>
      <w:r w:rsidRPr="009E315E">
        <w:rPr>
          <w:spacing w:val="-3"/>
        </w:rPr>
        <w:t xml:space="preserve"> suele permanecer estable. La razón es que la felicidad es un concepto relativo, para el que tomamos como referencia el nivel de bienestar de nuestros vecinos.</w:t>
      </w:r>
    </w:p>
    <w:p w14:paraId="7B924EF7" w14:textId="7D678D55" w:rsidR="00C61D00" w:rsidRPr="0066497D" w:rsidRDefault="004851E9" w:rsidP="00385506">
      <w:pPr>
        <w:pStyle w:val="Cajadeanotaciones"/>
        <w:keepNext/>
        <w:spacing w:after="60"/>
        <w:jc w:val="center"/>
        <w:rPr>
          <w:b/>
          <w:bCs/>
          <w:u w:val="single"/>
        </w:rPr>
      </w:pPr>
      <w:r w:rsidRPr="00385506">
        <w:rPr>
          <w:b/>
          <w:bCs/>
          <w:i/>
          <w:iCs/>
        </w:rPr>
        <w:t xml:space="preserve">Aplicación al </w:t>
      </w:r>
      <w:proofErr w:type="spellStart"/>
      <w:r w:rsidRPr="00385506">
        <w:rPr>
          <w:b/>
          <w:bCs/>
          <w:i/>
          <w:iCs/>
        </w:rPr>
        <w:t>behavioral</w:t>
      </w:r>
      <w:proofErr w:type="spellEnd"/>
      <w:r w:rsidRPr="00385506">
        <w:rPr>
          <w:b/>
          <w:bCs/>
          <w:i/>
          <w:iCs/>
        </w:rPr>
        <w:t xml:space="preserve"> </w:t>
      </w:r>
      <w:proofErr w:type="spellStart"/>
      <w:r w:rsidRPr="00385506">
        <w:rPr>
          <w:b/>
          <w:bCs/>
          <w:i/>
          <w:iCs/>
        </w:rPr>
        <w:t>finance</w:t>
      </w:r>
      <w:proofErr w:type="spellEnd"/>
      <w:r w:rsidR="0066497D" w:rsidRPr="0066497D">
        <w:t xml:space="preserve"> </w:t>
      </w:r>
      <w:r w:rsidR="0066497D" w:rsidRPr="0066497D">
        <w:rPr>
          <w:color w:val="767171" w:themeColor="background2" w:themeShade="80"/>
          <w:sz w:val="19"/>
          <w:szCs w:val="19"/>
        </w:rPr>
        <w:t>[ver tema 3.B.2</w:t>
      </w:r>
      <w:r w:rsidR="00AE0338">
        <w:rPr>
          <w:color w:val="767171" w:themeColor="background2" w:themeShade="80"/>
          <w:sz w:val="19"/>
          <w:szCs w:val="19"/>
        </w:rPr>
        <w:t>4</w:t>
      </w:r>
      <w:r w:rsidR="0066497D" w:rsidRPr="0066497D">
        <w:rPr>
          <w:color w:val="767171" w:themeColor="background2" w:themeShade="80"/>
          <w:sz w:val="19"/>
          <w:szCs w:val="19"/>
        </w:rPr>
        <w:t>]</w:t>
      </w:r>
    </w:p>
    <w:p w14:paraId="7BF3D543" w14:textId="74C1FDAA" w:rsidR="00775C11" w:rsidRDefault="00775C11" w:rsidP="00385506">
      <w:pPr>
        <w:pStyle w:val="Cajadeanotaciones"/>
        <w:keepNext/>
        <w:spacing w:after="40"/>
      </w:pPr>
      <w:bookmarkStart w:id="62" w:name="_Hlk120629631"/>
      <w:r>
        <w:t xml:space="preserve">Además de resultar coherente con los fenómenos descritos, la </w:t>
      </w:r>
      <w:r w:rsidR="004851E9" w:rsidRPr="003F6B27">
        <w:rPr>
          <w:i/>
          <w:iCs/>
        </w:rPr>
        <w:t>Prospect Theory</w:t>
      </w:r>
      <w:r>
        <w:t xml:space="preserve"> y la </w:t>
      </w:r>
      <w:r w:rsidRPr="003F6B27">
        <w:rPr>
          <w:i/>
          <w:iCs/>
        </w:rPr>
        <w:t>Psicología de las Finanzas</w:t>
      </w:r>
      <w:r>
        <w:t xml:space="preserve"> explican varios </w:t>
      </w:r>
      <w:r w:rsidRPr="00446411">
        <w:rPr>
          <w:b/>
          <w:bCs/>
        </w:rPr>
        <w:t>enigmas financieros</w:t>
      </w:r>
      <w:r>
        <w:t xml:space="preserve"> o anomalías difíciles de explicar desde una óptica tradicional:</w:t>
      </w:r>
    </w:p>
    <w:p w14:paraId="5A9BC872" w14:textId="4E41D509" w:rsidR="00775C11" w:rsidRPr="0066497D" w:rsidRDefault="00385506" w:rsidP="00385506">
      <w:pPr>
        <w:pStyle w:val="Cajadeanotaciones"/>
        <w:spacing w:after="40"/>
        <w:rPr>
          <w:spacing w:val="-1"/>
        </w:rPr>
      </w:pPr>
      <w:r>
        <w:t xml:space="preserve">     </w:t>
      </w:r>
      <w:r w:rsidRPr="0066497D">
        <w:rPr>
          <w:i/>
          <w:iCs/>
          <w:spacing w:val="-1"/>
        </w:rPr>
        <w:t xml:space="preserve">a. </w:t>
      </w:r>
      <w:proofErr w:type="spellStart"/>
      <w:r w:rsidR="00775C11" w:rsidRPr="0066497D">
        <w:rPr>
          <w:i/>
          <w:iCs/>
          <w:spacing w:val="-1"/>
          <w:u w:val="single"/>
        </w:rPr>
        <w:t>Equity</w:t>
      </w:r>
      <w:proofErr w:type="spellEnd"/>
      <w:r w:rsidR="00775C11" w:rsidRPr="0066497D">
        <w:rPr>
          <w:i/>
          <w:iCs/>
          <w:spacing w:val="-1"/>
          <w:u w:val="single"/>
        </w:rPr>
        <w:t xml:space="preserve"> premium </w:t>
      </w:r>
      <w:proofErr w:type="spellStart"/>
      <w:r w:rsidR="00775C11" w:rsidRPr="0066497D">
        <w:rPr>
          <w:i/>
          <w:iCs/>
          <w:spacing w:val="-1"/>
          <w:u w:val="single"/>
        </w:rPr>
        <w:t>puzzle</w:t>
      </w:r>
      <w:proofErr w:type="spellEnd"/>
      <w:r w:rsidR="00775C11" w:rsidRPr="0066497D">
        <w:rPr>
          <w:spacing w:val="-1"/>
        </w:rPr>
        <w:t xml:space="preserve">: ¿Cómo explicar que, según reiterados cálculos, la inversión en acciones produzca, de forma sistemática a largo plazo una rentabilidad superior en más de </w:t>
      </w:r>
      <w:r w:rsidR="00233420" w:rsidRPr="0066497D">
        <w:rPr>
          <w:spacing w:val="-1"/>
        </w:rPr>
        <w:t>6</w:t>
      </w:r>
      <w:r w:rsidR="00671A3A">
        <w:rPr>
          <w:spacing w:val="-1"/>
        </w:rPr>
        <w:t> </w:t>
      </w:r>
      <w:r w:rsidR="00775C11" w:rsidRPr="0066497D">
        <w:rPr>
          <w:spacing w:val="-1"/>
        </w:rPr>
        <w:t xml:space="preserve">puntos </w:t>
      </w:r>
      <w:r w:rsidR="00233420" w:rsidRPr="0066497D">
        <w:rPr>
          <w:spacing w:val="-1"/>
        </w:rPr>
        <w:t xml:space="preserve">porcentuales </w:t>
      </w:r>
      <w:r w:rsidR="00775C11" w:rsidRPr="0066497D">
        <w:rPr>
          <w:spacing w:val="-1"/>
        </w:rPr>
        <w:t xml:space="preserve">a la de la deuda pública? La </w:t>
      </w:r>
      <w:r w:rsidR="004851E9" w:rsidRPr="0066497D">
        <w:rPr>
          <w:i/>
          <w:iCs/>
          <w:spacing w:val="-1"/>
        </w:rPr>
        <w:t>Prospect Theory</w:t>
      </w:r>
      <w:r w:rsidR="00775C11" w:rsidRPr="0066497D">
        <w:rPr>
          <w:spacing w:val="-1"/>
        </w:rPr>
        <w:t xml:space="preserve"> lo achaca a la gran frecuencia con la que los inversores evalúan el valor de sus carteras y a la asimetría con la que reaccionamos a las pérdidas y ganancias. Esa evaluación frecuente hace muy dolorosas las pérdidas que provocan las fluctuaciones </w:t>
      </w:r>
      <w:r w:rsidR="00775C11" w:rsidRPr="0066497D">
        <w:rPr>
          <w:spacing w:val="-1"/>
        </w:rPr>
        <w:lastRenderedPageBreak/>
        <w:t xml:space="preserve">a corto plazo de las cotizaciones incluso aunque luego sean compensadas por ganancias. Tal </w:t>
      </w:r>
      <w:r w:rsidR="00775C11" w:rsidRPr="0066497D">
        <w:rPr>
          <w:i/>
          <w:iCs/>
          <w:spacing w:val="-1"/>
        </w:rPr>
        <w:t>aversión miope a las pérdidas</w:t>
      </w:r>
      <w:r w:rsidR="00775C11" w:rsidRPr="0066497D">
        <w:rPr>
          <w:spacing w:val="-1"/>
        </w:rPr>
        <w:t xml:space="preserve"> hace que, en equilibrio, los inversores exijan de las acciones un rendimiento superior al de la renta fija. Un corolario –refrendado experimentalmente– es que la aversión por la renta variable disminuye cuanto más se alarga el período de valoración de las carteras.</w:t>
      </w:r>
    </w:p>
    <w:p w14:paraId="40A0399F" w14:textId="322FFCC6" w:rsidR="00775C11" w:rsidRDefault="00385506" w:rsidP="00385506">
      <w:pPr>
        <w:pStyle w:val="Cajadeanotaciones"/>
        <w:spacing w:after="40"/>
      </w:pPr>
      <w:r>
        <w:t xml:space="preserve">     </w:t>
      </w:r>
      <w:r w:rsidRPr="00385506">
        <w:rPr>
          <w:i/>
          <w:iCs/>
        </w:rPr>
        <w:t xml:space="preserve">b. </w:t>
      </w:r>
      <w:proofErr w:type="spellStart"/>
      <w:r w:rsidR="00775C11" w:rsidRPr="00385506">
        <w:rPr>
          <w:i/>
          <w:iCs/>
          <w:u w:val="single"/>
        </w:rPr>
        <w:t>Volatility</w:t>
      </w:r>
      <w:proofErr w:type="spellEnd"/>
      <w:r w:rsidR="00775C11" w:rsidRPr="00385506">
        <w:rPr>
          <w:i/>
          <w:iCs/>
          <w:u w:val="single"/>
        </w:rPr>
        <w:t xml:space="preserve"> </w:t>
      </w:r>
      <w:proofErr w:type="spellStart"/>
      <w:r w:rsidR="00775C11" w:rsidRPr="00385506">
        <w:rPr>
          <w:i/>
          <w:iCs/>
          <w:u w:val="single"/>
        </w:rPr>
        <w:t>puzzle</w:t>
      </w:r>
      <w:proofErr w:type="spellEnd"/>
      <w:r w:rsidR="00775C11">
        <w:t xml:space="preserve">: ¿Por qué las cotizaciones de las acciones </w:t>
      </w:r>
      <w:r w:rsidR="00435560">
        <w:t>–que, en teoría, reflejan tan sólo el valor presente de su flujo futuro de dividendos– oscilan mucho más que los propios dividendos</w:t>
      </w:r>
      <w:r w:rsidR="00775C11">
        <w:t>?</w:t>
      </w:r>
      <w:r w:rsidR="00435560">
        <w:t xml:space="preserve"> La </w:t>
      </w:r>
      <w:r w:rsidR="004851E9" w:rsidRPr="003F6B27">
        <w:rPr>
          <w:i/>
          <w:iCs/>
        </w:rPr>
        <w:t>Prospect Theory</w:t>
      </w:r>
      <w:r w:rsidR="00435560">
        <w:t xml:space="preserve"> lo fundamenta en el proceso psicológico de combinación de ganancias y pérdidas. En época de bonanza, cuando los dividendos y la Bolsa suben, los inversores acumulan ganancias latentes y pierden miedo a las futuras pérdidas, pues si éstas se producen tan sólo minorarán las ganancias: no se verán, pues, como genuinas pérdidas, sino como </w:t>
      </w:r>
      <w:r w:rsidR="00435560" w:rsidRPr="003F6B27">
        <w:rPr>
          <w:i/>
          <w:iCs/>
        </w:rPr>
        <w:t>menores ganancias</w:t>
      </w:r>
      <w:r w:rsidR="00435560">
        <w:t xml:space="preserve">. Ese </w:t>
      </w:r>
      <w:r w:rsidR="00435560" w:rsidRPr="003F6B27">
        <w:rPr>
          <w:i/>
          <w:iCs/>
        </w:rPr>
        <w:t>neteo</w:t>
      </w:r>
      <w:r w:rsidR="00435560">
        <w:t xml:space="preserve"> psicológico reducirá su aversión al riesgo y su tasa subjetiva de descuento, lo que los llevará a estar dispuestos a pagar más por acción para un mismo nivel de dividendos. Así pues, un aumento de dividendos, al disminuir la prima de riesgo exigida por los inversores, hará que las cotizaciones suban por doble motivo. El proceso contrario se dará cuando bajen los dividendos. En suma, el </w:t>
      </w:r>
      <w:r w:rsidR="00435560" w:rsidRPr="003F6B27">
        <w:rPr>
          <w:i/>
          <w:iCs/>
        </w:rPr>
        <w:t>efecto colchón</w:t>
      </w:r>
      <w:r w:rsidR="00435560">
        <w:t xml:space="preserve"> de las ganancias acumuladas durante la bonanza (llamado </w:t>
      </w:r>
      <w:proofErr w:type="spellStart"/>
      <w:r w:rsidR="00435560" w:rsidRPr="003F6B27">
        <w:rPr>
          <w:i/>
          <w:iCs/>
        </w:rPr>
        <w:t>house</w:t>
      </w:r>
      <w:proofErr w:type="spellEnd"/>
      <w:r w:rsidR="00435560" w:rsidRPr="003F6B27">
        <w:rPr>
          <w:i/>
          <w:iCs/>
        </w:rPr>
        <w:t xml:space="preserve"> </w:t>
      </w:r>
      <w:proofErr w:type="spellStart"/>
      <w:r w:rsidR="00435560" w:rsidRPr="003F6B27">
        <w:rPr>
          <w:i/>
          <w:iCs/>
        </w:rPr>
        <w:t>money</w:t>
      </w:r>
      <w:proofErr w:type="spellEnd"/>
      <w:r w:rsidR="00435560" w:rsidRPr="003F6B27">
        <w:rPr>
          <w:i/>
          <w:iCs/>
        </w:rPr>
        <w:t xml:space="preserve"> </w:t>
      </w:r>
      <w:proofErr w:type="spellStart"/>
      <w:r w:rsidR="00435560" w:rsidRPr="003F6B27">
        <w:rPr>
          <w:i/>
          <w:iCs/>
        </w:rPr>
        <w:t>effect</w:t>
      </w:r>
      <w:proofErr w:type="spellEnd"/>
      <w:r w:rsidR="00435560">
        <w:t>, en alusión al optimismo típico del jugador de casino que va ganando</w:t>
      </w:r>
      <w:r w:rsidR="00275D21">
        <w:t>)</w:t>
      </w:r>
      <w:r w:rsidR="00435560">
        <w:t xml:space="preserve"> tendrá un efecto procíclico.</w:t>
      </w:r>
    </w:p>
    <w:p w14:paraId="37088143" w14:textId="40FD09DF" w:rsidR="00435560" w:rsidRDefault="00385506" w:rsidP="00385506">
      <w:pPr>
        <w:pStyle w:val="Cajadeanotaciones"/>
        <w:spacing w:after="40"/>
      </w:pPr>
      <w:r>
        <w:t xml:space="preserve">     </w:t>
      </w:r>
      <w:r>
        <w:rPr>
          <w:i/>
          <w:iCs/>
        </w:rPr>
        <w:t xml:space="preserve">c. </w:t>
      </w:r>
      <w:proofErr w:type="spellStart"/>
      <w:r w:rsidR="00435560" w:rsidRPr="00385506">
        <w:rPr>
          <w:i/>
          <w:iCs/>
          <w:u w:val="single"/>
        </w:rPr>
        <w:t>Disposition</w:t>
      </w:r>
      <w:proofErr w:type="spellEnd"/>
      <w:r w:rsidR="00435560" w:rsidRPr="00385506">
        <w:rPr>
          <w:i/>
          <w:iCs/>
          <w:u w:val="single"/>
        </w:rPr>
        <w:t xml:space="preserve"> </w:t>
      </w:r>
      <w:proofErr w:type="spellStart"/>
      <w:r w:rsidR="00435560" w:rsidRPr="00385506">
        <w:rPr>
          <w:i/>
          <w:iCs/>
          <w:u w:val="single"/>
        </w:rPr>
        <w:t>effect</w:t>
      </w:r>
      <w:proofErr w:type="spellEnd"/>
      <w:r w:rsidR="00435560">
        <w:t xml:space="preserve">: ¿Por qué los inversores son reacios a vender acciones con pérdida y proclives a vender las que arrojan plusvalías? La </w:t>
      </w:r>
      <w:r w:rsidR="004851E9" w:rsidRPr="003F6B27">
        <w:rPr>
          <w:i/>
          <w:iCs/>
        </w:rPr>
        <w:t>Prospect Theory</w:t>
      </w:r>
      <w:r w:rsidR="00435560">
        <w:t xml:space="preserve"> lo atribuye a la forma de </w:t>
      </w:r>
      <w:r w:rsidR="00435560" w:rsidRPr="003F6B27">
        <w:rPr>
          <w:i/>
          <w:iCs/>
        </w:rPr>
        <w:t>S</w:t>
      </w:r>
      <w:r w:rsidR="00435560">
        <w:t xml:space="preserve"> de la </w:t>
      </w:r>
      <w:r w:rsidR="00435560" w:rsidRPr="003F6B27">
        <w:rPr>
          <w:i/>
          <w:iCs/>
        </w:rPr>
        <w:t>función de valor</w:t>
      </w:r>
      <w:r w:rsidR="00175BC4">
        <w:t>,</w:t>
      </w:r>
      <w:r w:rsidR="00435560">
        <w:t xml:space="preserve"> que refleja el valor marginal decreciente de ganancias y pérdidas. Imaginemos, por ejemplo, que un inversor compró una acción en 50</w:t>
      </w:r>
      <w:r w:rsidR="00AA04CF">
        <w:t> €</w:t>
      </w:r>
      <w:r w:rsidR="00435560">
        <w:t>. La acción ahora cotiza a 55</w:t>
      </w:r>
      <w:r w:rsidR="00AA04CF">
        <w:t> €</w:t>
      </w:r>
      <w:r w:rsidR="00435560">
        <w:t xml:space="preserve"> y existe la misma probabilidad de que suba a 60</w:t>
      </w:r>
      <w:r w:rsidR="00AA04CF">
        <w:t> €</w:t>
      </w:r>
      <w:r w:rsidR="00435560">
        <w:t xml:space="preserve"> o de que baje a 50</w:t>
      </w:r>
      <w:r w:rsidR="00AA04CF">
        <w:t> €</w:t>
      </w:r>
      <w:r w:rsidR="00435560">
        <w:t>. Pues bien, el valor atribuido a una plusvalía segura de cinco euros será mayor que el de una potencial ganancia de 10</w:t>
      </w:r>
      <w:r w:rsidR="00AA04CF">
        <w:t> </w:t>
      </w:r>
      <w:r w:rsidR="00435560">
        <w:t>€ con una probabilidad del 50</w:t>
      </w:r>
      <w:r w:rsidR="00AA04CF">
        <w:t> </w:t>
      </w:r>
      <w:r w:rsidR="00435560">
        <w:t>%. El inversor materializará pues su ganancia. Imaginemos ahora que esa misma acción cotice a 45</w:t>
      </w:r>
      <w:r w:rsidR="00AA04CF">
        <w:t> </w:t>
      </w:r>
      <w:r w:rsidR="00435560">
        <w:t>€ –con una minusvalía latente de cinco– y que exist</w:t>
      </w:r>
      <w:r w:rsidR="001A46DA">
        <w:t>e</w:t>
      </w:r>
      <w:r w:rsidR="00E739E9">
        <w:t xml:space="preserve"> </w:t>
      </w:r>
      <w:r w:rsidR="00435560">
        <w:t>la misma probabilidad de que suba a 50</w:t>
      </w:r>
      <w:r w:rsidR="00AA04CF">
        <w:t> €</w:t>
      </w:r>
      <w:r w:rsidR="00435560">
        <w:t xml:space="preserve"> o de que baje a 40</w:t>
      </w:r>
      <w:r w:rsidR="00AA04CF">
        <w:t> €</w:t>
      </w:r>
      <w:r w:rsidR="00435560">
        <w:t>. Si vende, el inversor materializará una pérdida de 5</w:t>
      </w:r>
      <w:r w:rsidR="00AA04CF">
        <w:t> </w:t>
      </w:r>
      <w:r w:rsidR="00435560">
        <w:t>€. Si no lo hace, su potencial minusvalía será de 10</w:t>
      </w:r>
      <w:r w:rsidR="00AA04CF">
        <w:t> €</w:t>
      </w:r>
      <w:r w:rsidR="00435560">
        <w:t xml:space="preserve"> con una probabilidad del 50</w:t>
      </w:r>
      <w:r w:rsidR="00AA04CF">
        <w:t> </w:t>
      </w:r>
      <w:r w:rsidR="00E739E9">
        <w:t>%. Enfrentando a esa desagradable tesitura, el dolor marginal decreciente de las pérdidas hará que prefiera conservar el valor.</w:t>
      </w:r>
    </w:p>
    <w:p w14:paraId="32817F79" w14:textId="08043C24" w:rsidR="00E739E9" w:rsidRDefault="00385506" w:rsidP="00385506">
      <w:pPr>
        <w:pStyle w:val="Cajadeanotaciones"/>
        <w:spacing w:after="40"/>
      </w:pPr>
      <w:r>
        <w:t xml:space="preserve">     </w:t>
      </w:r>
      <w:r>
        <w:rPr>
          <w:i/>
          <w:iCs/>
        </w:rPr>
        <w:t xml:space="preserve">d. </w:t>
      </w:r>
      <w:proofErr w:type="spellStart"/>
      <w:r w:rsidR="00E739E9" w:rsidRPr="00385506">
        <w:rPr>
          <w:i/>
          <w:iCs/>
          <w:u w:val="single"/>
        </w:rPr>
        <w:t>Dividend</w:t>
      </w:r>
      <w:proofErr w:type="spellEnd"/>
      <w:r w:rsidR="00E739E9" w:rsidRPr="00385506">
        <w:rPr>
          <w:i/>
          <w:iCs/>
          <w:u w:val="single"/>
        </w:rPr>
        <w:t xml:space="preserve"> </w:t>
      </w:r>
      <w:proofErr w:type="spellStart"/>
      <w:r w:rsidR="00E739E9" w:rsidRPr="00385506">
        <w:rPr>
          <w:i/>
          <w:iCs/>
          <w:u w:val="single"/>
        </w:rPr>
        <w:t>puzzle</w:t>
      </w:r>
      <w:proofErr w:type="spellEnd"/>
      <w:r w:rsidR="00E739E9">
        <w:t xml:space="preserve">: ¿Por qué en Estados Unidos muchas empresas han seguido pagando dividendos, a pesar de que –por lo menos hasta ahora– tributaban más que las plusvalías? La </w:t>
      </w:r>
      <w:r w:rsidR="004851E9" w:rsidRPr="003F6B27">
        <w:rPr>
          <w:i/>
          <w:iCs/>
        </w:rPr>
        <w:t>Prospect Theory</w:t>
      </w:r>
      <w:r w:rsidR="00E739E9">
        <w:t xml:space="preserve"> supone que las empresas razonan como Maquiavelo: </w:t>
      </w:r>
      <w:r w:rsidR="00E739E9" w:rsidRPr="003F6B27">
        <w:rPr>
          <w:i/>
          <w:iCs/>
        </w:rPr>
        <w:t>por la misma razón que los actos de severidad deben hacerse de una vez para que dejando menos tiempo para notarlos ofenderán menos, los beneficios deben otorgarse poco a poco, a fin de que puedan saborearse mejor</w:t>
      </w:r>
      <w:r w:rsidR="00E739E9">
        <w:t>. De forma parecida, si una empresa consigue unos beneficios de 10</w:t>
      </w:r>
      <w:r w:rsidR="00AA04CF">
        <w:t> €</w:t>
      </w:r>
      <w:r w:rsidR="00E739E9">
        <w:t xml:space="preserve"> por acción, podrá beneficiar al accionista si, en vez de transmitírselos en bloque, los fracciona (por ejemplo, en un dividendo de </w:t>
      </w:r>
      <w:r w:rsidR="00224C0C">
        <w:t>2 €</w:t>
      </w:r>
      <w:r w:rsidR="00E739E9">
        <w:t xml:space="preserve"> y una plusvalía latente de </w:t>
      </w:r>
      <w:r w:rsidR="00224C0C">
        <w:t>8 €</w:t>
      </w:r>
      <w:r w:rsidR="00E739E9">
        <w:t>). Esa segregación hará que el accionista se beneficie de dos ganancias separadas de dos y de ocho, que disfrutará más que una sola de 10</w:t>
      </w:r>
      <w:r w:rsidR="00AA04CF">
        <w:t> €</w:t>
      </w:r>
      <w:r w:rsidR="00E739E9">
        <w:t>. Por un motivo parecido, a una empresa con pérdidas puede interesarle repartir un pequeño dividendo, porque dado el valor marginal decreciente que atribuye a aquéllas, el accionista preferirá un dividendo de dos y unas pérdidas brutas de 12</w:t>
      </w:r>
      <w:r w:rsidR="00AA04CF">
        <w:t> €</w:t>
      </w:r>
      <w:r w:rsidR="00E739E9">
        <w:t xml:space="preserve"> a unas pérdidas netas de 10</w:t>
      </w:r>
      <w:r w:rsidR="00AA04CF">
        <w:t> €</w:t>
      </w:r>
      <w:r w:rsidR="00E739E9">
        <w:t>. En suma, las reglas psicológicas de combinación y segregación de sucesos harán que reaccionemos de forma distinta ante lo que, desde el punto de vista financiero, es idéntico.</w:t>
      </w:r>
    </w:p>
    <w:p w14:paraId="0A315F7C" w14:textId="3FBBB0F9" w:rsidR="00E739E9" w:rsidRDefault="00E739E9" w:rsidP="001E2905">
      <w:pPr>
        <w:pStyle w:val="Ttulo6"/>
      </w:pPr>
      <w:bookmarkStart w:id="63" w:name="_Toc172232562"/>
      <w:bookmarkEnd w:id="62"/>
      <w:r>
        <w:t>Conclusión</w:t>
      </w:r>
      <w:bookmarkEnd w:id="63"/>
    </w:p>
    <w:p w14:paraId="6D6CC62E" w14:textId="77777777" w:rsidR="00461DE0" w:rsidRDefault="00E739E9" w:rsidP="00461DE0">
      <w:pPr>
        <w:pStyle w:val="Nivel1SM"/>
        <w:keepNext/>
        <w:spacing w:before="0" w:after="0"/>
      </w:pPr>
      <w:r w:rsidRPr="00E739E9">
        <w:t xml:space="preserve">A pesar de que tienen tan solo </w:t>
      </w:r>
      <w:r w:rsidR="00175BC4">
        <w:t>cuatro</w:t>
      </w:r>
      <w:r w:rsidRPr="00E739E9">
        <w:t xml:space="preserve"> décadas de vida la </w:t>
      </w:r>
      <w:r w:rsidR="004851E9">
        <w:rPr>
          <w:i/>
          <w:iCs/>
        </w:rPr>
        <w:t>Prospect Theory</w:t>
      </w:r>
      <w:r w:rsidRPr="00E739E9">
        <w:t xml:space="preserve"> </w:t>
      </w:r>
      <w:r w:rsidR="00175BC4">
        <w:t xml:space="preserve">(1979) </w:t>
      </w:r>
      <w:r w:rsidRPr="00E739E9">
        <w:t xml:space="preserve">y la </w:t>
      </w:r>
      <w:r w:rsidRPr="00E739E9">
        <w:rPr>
          <w:i/>
          <w:iCs/>
        </w:rPr>
        <w:t xml:space="preserve">Psicología de las </w:t>
      </w:r>
      <w:r>
        <w:rPr>
          <w:i/>
          <w:iCs/>
        </w:rPr>
        <w:t>F</w:t>
      </w:r>
      <w:r w:rsidRPr="00E739E9">
        <w:rPr>
          <w:i/>
          <w:iCs/>
        </w:rPr>
        <w:t>inanzas</w:t>
      </w:r>
      <w:r w:rsidRPr="00E739E9">
        <w:t xml:space="preserve"> </w:t>
      </w:r>
      <w:r w:rsidRPr="00461DE0">
        <w:rPr>
          <w:b/>
          <w:bCs/>
        </w:rPr>
        <w:t>se han aplicado ya a muchos otros campos</w:t>
      </w:r>
      <w:r w:rsidR="00F91FA5">
        <w:t>.</w:t>
      </w:r>
    </w:p>
    <w:p w14:paraId="1F578A6A" w14:textId="77777777" w:rsidR="00461DE0" w:rsidRDefault="00F91FA5" w:rsidP="00461DE0">
      <w:pPr>
        <w:pStyle w:val="Nivel2SM"/>
      </w:pPr>
      <w:r>
        <w:t>D</w:t>
      </w:r>
      <w:r w:rsidR="00E739E9" w:rsidRPr="00E739E9">
        <w:t>estaca su creciente aplicación en el mundo jurídico sobre todo para explicar sesgos típicos en las decisiones de los jurados</w:t>
      </w:r>
      <w:r w:rsidR="00E739E9">
        <w:t>.</w:t>
      </w:r>
    </w:p>
    <w:p w14:paraId="460DCB7E" w14:textId="77777777" w:rsidR="00461DE0" w:rsidRPr="00461DE0" w:rsidRDefault="00E739E9" w:rsidP="00461DE0">
      <w:pPr>
        <w:pStyle w:val="Nivel1SM"/>
        <w:keepNext/>
        <w:spacing w:after="0"/>
        <w:rPr>
          <w:spacing w:val="-1"/>
        </w:rPr>
      </w:pPr>
      <w:r w:rsidRPr="00461DE0">
        <w:rPr>
          <w:spacing w:val="-1"/>
        </w:rPr>
        <w:t>Representan un enfoque prometedor</w:t>
      </w:r>
      <w:r w:rsidR="00F91FA5" w:rsidRPr="00461DE0">
        <w:rPr>
          <w:spacing w:val="-1"/>
        </w:rPr>
        <w:t>,</w:t>
      </w:r>
      <w:r w:rsidRPr="00461DE0">
        <w:rPr>
          <w:spacing w:val="-1"/>
        </w:rPr>
        <w:t xml:space="preserve"> </w:t>
      </w:r>
      <w:r w:rsidRPr="00461DE0">
        <w:rPr>
          <w:b/>
          <w:bCs/>
          <w:spacing w:val="-1"/>
        </w:rPr>
        <w:t>complementario</w:t>
      </w:r>
      <w:r w:rsidRPr="00461DE0">
        <w:rPr>
          <w:spacing w:val="-1"/>
        </w:rPr>
        <w:t xml:space="preserve"> del de aquellas concepciones que suponen la perfecta racionalidad de las personas hacen comprensible lo que hasta ahora tan solo parecía </w:t>
      </w:r>
      <w:r w:rsidRPr="00461DE0">
        <w:rPr>
          <w:i/>
          <w:iCs/>
          <w:spacing w:val="-1"/>
        </w:rPr>
        <w:t>anómalo</w:t>
      </w:r>
      <w:r w:rsidR="00F91FA5" w:rsidRPr="00461DE0">
        <w:rPr>
          <w:spacing w:val="-1"/>
        </w:rPr>
        <w:t>.</w:t>
      </w:r>
    </w:p>
    <w:p w14:paraId="293135BE" w14:textId="434841B6" w:rsidR="00CC2DF6" w:rsidRPr="00CC2DF6" w:rsidRDefault="00F91FA5" w:rsidP="00461DE0">
      <w:pPr>
        <w:pStyle w:val="Nivel2SM"/>
      </w:pPr>
      <w:r>
        <w:t>R</w:t>
      </w:r>
      <w:r w:rsidR="00E739E9" w:rsidRPr="00E739E9">
        <w:t>epresentan</w:t>
      </w:r>
      <w:r w:rsidR="009D0463">
        <w:t>,</w:t>
      </w:r>
      <w:r w:rsidR="00E739E9" w:rsidRPr="00E739E9">
        <w:t xml:space="preserve"> en fin</w:t>
      </w:r>
      <w:r w:rsidR="009D0463">
        <w:t>,</w:t>
      </w:r>
      <w:r w:rsidR="00E739E9" w:rsidRPr="00E739E9">
        <w:t xml:space="preserve"> para el mundo de la economía y las finanzas</w:t>
      </w:r>
      <w:r w:rsidR="009D0463">
        <w:t>,</w:t>
      </w:r>
      <w:r w:rsidR="00E739E9" w:rsidRPr="00E739E9">
        <w:t xml:space="preserve"> algo parecido a lo que </w:t>
      </w:r>
      <w:r w:rsidR="00F42123" w:rsidRPr="00F42123">
        <w:rPr>
          <w:i/>
          <w:iCs/>
        </w:rPr>
        <w:t>“E</w:t>
      </w:r>
      <w:r w:rsidR="00E739E9" w:rsidRPr="00F42123">
        <w:rPr>
          <w:i/>
          <w:iCs/>
        </w:rPr>
        <w:t xml:space="preserve">l </w:t>
      </w:r>
      <w:r w:rsidR="00F42123">
        <w:rPr>
          <w:i/>
          <w:iCs/>
        </w:rPr>
        <w:t>p</w:t>
      </w:r>
      <w:r w:rsidR="00E739E9" w:rsidRPr="00F42123">
        <w:rPr>
          <w:i/>
          <w:iCs/>
        </w:rPr>
        <w:t>ríncipe</w:t>
      </w:r>
      <w:r w:rsidR="00F42123">
        <w:rPr>
          <w:i/>
          <w:iCs/>
        </w:rPr>
        <w:t>”</w:t>
      </w:r>
      <w:r w:rsidR="00E739E9" w:rsidRPr="00E739E9">
        <w:t xml:space="preserve"> de </w:t>
      </w:r>
      <w:r w:rsidR="00E739E9" w:rsidRPr="00E739E9">
        <w:rPr>
          <w:smallCaps/>
        </w:rPr>
        <w:t>Maquiavelo</w:t>
      </w:r>
      <w:r w:rsidR="00E739E9" w:rsidRPr="00E739E9">
        <w:t xml:space="preserve"> o</w:t>
      </w:r>
      <w:r w:rsidR="00E739E9">
        <w:t>,</w:t>
      </w:r>
      <w:r w:rsidR="00E739E9" w:rsidRPr="00E739E9">
        <w:t xml:space="preserve"> más recientemente</w:t>
      </w:r>
      <w:r w:rsidR="00E739E9">
        <w:t>,</w:t>
      </w:r>
      <w:r w:rsidR="00E739E9" w:rsidRPr="00E739E9">
        <w:t xml:space="preserve"> </w:t>
      </w:r>
      <w:r w:rsidR="00F42123" w:rsidRPr="00F42123">
        <w:rPr>
          <w:i/>
          <w:iCs/>
        </w:rPr>
        <w:t>“</w:t>
      </w:r>
      <w:r w:rsidR="00E739E9">
        <w:rPr>
          <w:i/>
          <w:iCs/>
        </w:rPr>
        <w:t>U</w:t>
      </w:r>
      <w:r w:rsidR="00E739E9" w:rsidRPr="00E739E9">
        <w:rPr>
          <w:i/>
          <w:iCs/>
        </w:rPr>
        <w:t xml:space="preserve">na </w:t>
      </w:r>
      <w:r w:rsidR="00F42123">
        <w:rPr>
          <w:i/>
          <w:iCs/>
        </w:rPr>
        <w:t>t</w:t>
      </w:r>
      <w:r w:rsidR="00E739E9" w:rsidRPr="00E739E9">
        <w:rPr>
          <w:i/>
          <w:iCs/>
        </w:rPr>
        <w:t xml:space="preserve">eoría </w:t>
      </w:r>
      <w:r w:rsidR="00F42123">
        <w:rPr>
          <w:i/>
          <w:iCs/>
        </w:rPr>
        <w:t>e</w:t>
      </w:r>
      <w:r w:rsidR="00E739E9" w:rsidRPr="00E739E9">
        <w:rPr>
          <w:i/>
          <w:iCs/>
        </w:rPr>
        <w:t xml:space="preserve">conómica de la </w:t>
      </w:r>
      <w:r w:rsidR="00F42123">
        <w:rPr>
          <w:i/>
          <w:iCs/>
        </w:rPr>
        <w:t>d</w:t>
      </w:r>
      <w:r w:rsidR="00E739E9" w:rsidRPr="00E739E9">
        <w:rPr>
          <w:i/>
          <w:iCs/>
        </w:rPr>
        <w:t>emocracia</w:t>
      </w:r>
      <w:r w:rsidR="00F42123">
        <w:rPr>
          <w:i/>
          <w:iCs/>
        </w:rPr>
        <w:t>”</w:t>
      </w:r>
      <w:r w:rsidR="00E739E9" w:rsidRPr="00E739E9">
        <w:t xml:space="preserve"> de </w:t>
      </w:r>
      <w:r w:rsidR="00E739E9" w:rsidRPr="00E739E9">
        <w:rPr>
          <w:smallCaps/>
        </w:rPr>
        <w:t>Anthony Downs</w:t>
      </w:r>
      <w:r w:rsidR="00E739E9" w:rsidRPr="00E739E9">
        <w:t xml:space="preserve"> representaron para el de la política</w:t>
      </w:r>
      <w:r w:rsidR="00E739E9">
        <w:t>.</w:t>
      </w:r>
    </w:p>
    <w:p w14:paraId="1C08C21F" w14:textId="16D496E7" w:rsidR="00963D1F" w:rsidRPr="00963D1F" w:rsidRDefault="00000000" w:rsidP="00A817FE">
      <w:pPr>
        <w:pStyle w:val="Notaalopositor"/>
      </w:pPr>
      <w:hyperlink r:id="rId39" w:history="1">
        <w:r w:rsidR="00963D1F" w:rsidRPr="00963D1F">
          <w:rPr>
            <w:rStyle w:val="Hipervnculo"/>
          </w:rPr>
          <w:t>https://www.nobelprize.org/prizes/economic-sciences/2002/kahneman/lecture/</w:t>
        </w:r>
      </w:hyperlink>
    </w:p>
    <w:p w14:paraId="5F0F3238" w14:textId="5742D0D8" w:rsidR="004E52B0" w:rsidRPr="002B110D" w:rsidRDefault="00963D1F" w:rsidP="00A817FE">
      <w:pPr>
        <w:pStyle w:val="Notaalopositor"/>
        <w:rPr>
          <w:lang w:val="en-US"/>
        </w:rPr>
      </w:pPr>
      <w:r w:rsidRPr="002B110D">
        <w:rPr>
          <w:lang w:val="en-US"/>
        </w:rPr>
        <w:t>Bounde</w:t>
      </w:r>
      <w:r w:rsidR="00A519BF" w:rsidRPr="002B110D">
        <w:rPr>
          <w:lang w:val="en-US"/>
        </w:rPr>
        <w:t>d</w:t>
      </w:r>
      <w:r w:rsidRPr="002B110D">
        <w:rPr>
          <w:lang w:val="en-US"/>
        </w:rPr>
        <w:t xml:space="preserve"> rationality – Tiene </w:t>
      </w:r>
      <w:proofErr w:type="spellStart"/>
      <w:r w:rsidRPr="002B110D">
        <w:rPr>
          <w:lang w:val="en-US"/>
        </w:rPr>
        <w:t>buena</w:t>
      </w:r>
      <w:proofErr w:type="spellEnd"/>
      <w:r w:rsidRPr="002B110D">
        <w:rPr>
          <w:lang w:val="en-US"/>
        </w:rPr>
        <w:t xml:space="preserve"> pinta</w:t>
      </w:r>
    </w:p>
    <w:p w14:paraId="3952D57F" w14:textId="4F529550" w:rsidR="00167CB5" w:rsidRPr="002B110D" w:rsidRDefault="00000000" w:rsidP="00A817FE">
      <w:pPr>
        <w:pStyle w:val="Notaalopositor"/>
        <w:rPr>
          <w:lang w:val="en-US"/>
        </w:rPr>
      </w:pPr>
      <w:hyperlink r:id="rId40" w:history="1">
        <w:r w:rsidR="00167CB5" w:rsidRPr="002B110D">
          <w:rPr>
            <w:rStyle w:val="Hipervnculo"/>
            <w:lang w:val="en-US"/>
          </w:rPr>
          <w:t>https://www.nobelprize.org/prizes/economic-sciences/2017/thaler/lecture/</w:t>
        </w:r>
      </w:hyperlink>
      <w:r w:rsidR="00167CB5" w:rsidRPr="002B110D">
        <w:rPr>
          <w:lang w:val="en-US"/>
        </w:rPr>
        <w:t xml:space="preserve"> </w:t>
      </w:r>
    </w:p>
    <w:p w14:paraId="68B1A8D8" w14:textId="0A545DAA" w:rsidR="00167CB5" w:rsidRPr="00167CB5" w:rsidRDefault="00167CB5" w:rsidP="00786941">
      <w:pPr>
        <w:pStyle w:val="Notaalopositor"/>
        <w:keepNext w:val="0"/>
      </w:pPr>
      <w:r w:rsidRPr="00167CB5">
        <w:t xml:space="preserve">Leer los </w:t>
      </w:r>
      <w:proofErr w:type="spellStart"/>
      <w:r w:rsidRPr="00167CB5">
        <w:t>pdfs</w:t>
      </w:r>
      <w:proofErr w:type="spellEnd"/>
      <w:r w:rsidRPr="00167CB5">
        <w:t xml:space="preserve"> de a</w:t>
      </w:r>
      <w:r>
        <w:t>mbos.</w:t>
      </w:r>
    </w:p>
    <w:p w14:paraId="79A2CA96" w14:textId="77777777" w:rsidR="00C756D3" w:rsidRDefault="000B167A" w:rsidP="00DA723A">
      <w:pPr>
        <w:pStyle w:val="Ttulo1"/>
      </w:pPr>
      <w:bookmarkStart w:id="64" w:name="_Toc55381922"/>
      <w:bookmarkStart w:id="65" w:name="_Toc55382057"/>
      <w:bookmarkStart w:id="66" w:name="_Toc55382092"/>
      <w:bookmarkStart w:id="67" w:name="_Toc55381923"/>
      <w:bookmarkStart w:id="68" w:name="_Toc55382058"/>
      <w:bookmarkStart w:id="69" w:name="_Toc55382093"/>
      <w:bookmarkStart w:id="70" w:name="_Toc55382521"/>
      <w:bookmarkStart w:id="71" w:name="_Toc55381924"/>
      <w:bookmarkStart w:id="72" w:name="_Toc55382059"/>
      <w:bookmarkStart w:id="73" w:name="_Toc55382094"/>
      <w:bookmarkStart w:id="74" w:name="_Toc55382522"/>
      <w:bookmarkStart w:id="75" w:name="_Toc172232563"/>
      <w:bookmarkEnd w:id="64"/>
      <w:bookmarkEnd w:id="65"/>
      <w:bookmarkEnd w:id="66"/>
      <w:bookmarkEnd w:id="67"/>
      <w:bookmarkEnd w:id="68"/>
      <w:bookmarkEnd w:id="69"/>
      <w:bookmarkEnd w:id="70"/>
      <w:bookmarkEnd w:id="71"/>
      <w:bookmarkEnd w:id="72"/>
      <w:bookmarkEnd w:id="73"/>
      <w:bookmarkEnd w:id="74"/>
      <w:r>
        <w:t>ELECCIÓN DEL CONSUMIDOR EN SITUACIONES DE INCERTIDUMBRE</w:t>
      </w:r>
      <w:bookmarkEnd w:id="75"/>
    </w:p>
    <w:p w14:paraId="593B7D75" w14:textId="77777777" w:rsidR="00786941" w:rsidRDefault="00853135" w:rsidP="00786941">
      <w:pPr>
        <w:pStyle w:val="Nivel1SM"/>
        <w:keepNext/>
        <w:spacing w:before="0" w:after="0"/>
      </w:pPr>
      <w:r>
        <w:t>En la realidad, raramente los agentes se enfrentan a situaciones de riesgo como las descritas, es decir, reducibles a distribuciones de probabilidad objetivas perfectamente definidas.</w:t>
      </w:r>
    </w:p>
    <w:p w14:paraId="2C077C6B" w14:textId="77777777" w:rsidR="00786941" w:rsidRDefault="00853135" w:rsidP="00786941">
      <w:pPr>
        <w:pStyle w:val="Nivel2SM"/>
        <w:keepNext/>
        <w:spacing w:after="0"/>
      </w:pPr>
      <w:r>
        <w:t>En general, los agentes se enfrentan a situaciones cuya aleatoriedad no puede expresarse de manera cuantitativa y cuando el término “probabilidad” aparece, se refiere generalmente a imprecisas estimaciones subjetivas.</w:t>
      </w:r>
    </w:p>
    <w:p w14:paraId="032F2D08" w14:textId="6DA9F421" w:rsidR="00853135" w:rsidRDefault="00853135" w:rsidP="00D07FE4">
      <w:pPr>
        <w:pStyle w:val="Nivel3SM"/>
        <w:keepLines/>
      </w:pPr>
      <w:r>
        <w:t xml:space="preserve">Continuando con la delimitación knightiana, situaciones de </w:t>
      </w:r>
      <w:r>
        <w:rPr>
          <w:b/>
          <w:bCs/>
        </w:rPr>
        <w:t>incertidumbre</w:t>
      </w:r>
      <w:r>
        <w:t xml:space="preserve"> serán todas aquellas en las que la aleatoriedad a la que se enfrenta el agente económico no se presenta en forma de probabilidades objetivas (ni especificadas exógenamente ni calculables científicamente).</w:t>
      </w:r>
    </w:p>
    <w:p w14:paraId="437E4F4D" w14:textId="77777777" w:rsidR="00786941" w:rsidRDefault="004D7EEE" w:rsidP="00786941">
      <w:pPr>
        <w:pStyle w:val="Nivel1SM"/>
        <w:keepNext/>
        <w:spacing w:after="0"/>
      </w:pPr>
      <w:r>
        <w:t xml:space="preserve">Un primer intento de formalizar la incertidumbre en el sentido de </w:t>
      </w:r>
      <w:r>
        <w:rPr>
          <w:smallCaps/>
        </w:rPr>
        <w:t>Knight</w:t>
      </w:r>
      <w:r>
        <w:t xml:space="preserve"> es suponer que el agente se comporta como si estableciera probabilidades subjetivas o creencias, denominado </w:t>
      </w:r>
      <w:r w:rsidRPr="00786941">
        <w:rPr>
          <w:b/>
          <w:bCs/>
        </w:rPr>
        <w:t>enfoque de la probabilidad subjetiva</w:t>
      </w:r>
      <w:r>
        <w:t>, por lo que en esencia se puede utilizar el mismo aparato formal de la teoría de la utilidad esperada.</w:t>
      </w:r>
    </w:p>
    <w:p w14:paraId="23C5AD77" w14:textId="77777777" w:rsidR="00786941" w:rsidRDefault="004D7EEE" w:rsidP="00786941">
      <w:pPr>
        <w:pStyle w:val="Nivel2SM"/>
      </w:pPr>
      <w:r>
        <w:t>La ventaja evidente es lo conveniente del mismo e incluso el carácter unificador de riesgo e incertidumbre de este enfoque</w:t>
      </w:r>
      <w:r w:rsidR="00786941">
        <w:t>.</w:t>
      </w:r>
    </w:p>
    <w:p w14:paraId="195ABB9C" w14:textId="67A3F72F" w:rsidR="004D7EEE" w:rsidRPr="004D7EEE" w:rsidRDefault="00786941" w:rsidP="00786941">
      <w:pPr>
        <w:pStyle w:val="Nivel2SM"/>
      </w:pPr>
      <w:r>
        <w:t>Sin embargo,</w:t>
      </w:r>
      <w:r w:rsidR="004D7EEE">
        <w:t xml:space="preserve"> plantea el inconveniente de que hereda los mismos defectos y críticas que el enfoque de </w:t>
      </w:r>
      <w:r w:rsidR="00084BF4">
        <w:t>von Neumann</w:t>
      </w:r>
      <w:r w:rsidR="004D7EEE">
        <w:t>-Morgenstern, así como otros defectos específicos.</w:t>
      </w:r>
    </w:p>
    <w:p w14:paraId="02AA6A50" w14:textId="7C2A4892" w:rsidR="000B167A" w:rsidRDefault="004E52B0" w:rsidP="008233F9">
      <w:pPr>
        <w:pStyle w:val="Ttulo2"/>
      </w:pPr>
      <w:bookmarkStart w:id="76" w:name="_Toc172232564"/>
      <w:r>
        <w:t>T</w:t>
      </w:r>
      <w:r w:rsidR="000B167A">
        <w:t>eoría de la probabilidad subjetiva</w:t>
      </w:r>
      <w:bookmarkEnd w:id="76"/>
    </w:p>
    <w:p w14:paraId="4B1F3A33" w14:textId="1375BB6F" w:rsidR="00786941" w:rsidRDefault="00A45EEB" w:rsidP="00786941">
      <w:pPr>
        <w:pStyle w:val="Nivel1SM"/>
        <w:keepNext/>
        <w:spacing w:before="0" w:after="0"/>
      </w:pPr>
      <w:r w:rsidRPr="00C5710C">
        <w:rPr>
          <w:spacing w:val="3"/>
        </w:rPr>
        <w:t xml:space="preserve">Apenas unos años después de que </w:t>
      </w:r>
      <w:r w:rsidR="00084BF4">
        <w:rPr>
          <w:smallCaps/>
          <w:spacing w:val="3"/>
        </w:rPr>
        <w:t>von Neumann</w:t>
      </w:r>
      <w:r w:rsidRPr="00C5710C">
        <w:rPr>
          <w:smallCaps/>
          <w:spacing w:val="3"/>
        </w:rPr>
        <w:t xml:space="preserve"> </w:t>
      </w:r>
      <w:r w:rsidRPr="00C5710C">
        <w:rPr>
          <w:spacing w:val="3"/>
        </w:rPr>
        <w:t>y</w:t>
      </w:r>
      <w:r w:rsidRPr="00C5710C">
        <w:rPr>
          <w:smallCaps/>
          <w:spacing w:val="3"/>
        </w:rPr>
        <w:t xml:space="preserve"> Morgenstern</w:t>
      </w:r>
      <w:r w:rsidRPr="00C5710C">
        <w:rPr>
          <w:spacing w:val="3"/>
        </w:rPr>
        <w:t xml:space="preserve"> publicaran su modelo, </w:t>
      </w:r>
      <w:r w:rsidRPr="00C5710C">
        <w:rPr>
          <w:smallCaps/>
          <w:spacing w:val="3"/>
        </w:rPr>
        <w:t>Savage</w:t>
      </w:r>
      <w:r w:rsidRPr="00C5710C">
        <w:rPr>
          <w:spacing w:val="3"/>
        </w:rPr>
        <w:t xml:space="preserve"> (1954) aportó a la teoría de la utilidad esperada el análisis con </w:t>
      </w:r>
      <w:r w:rsidRPr="00C5710C">
        <w:rPr>
          <w:i/>
          <w:iCs/>
          <w:spacing w:val="3"/>
          <w:u w:val="single"/>
        </w:rPr>
        <w:t>probabilidades subjetivas</w:t>
      </w:r>
      <w:r w:rsidRPr="00C5710C">
        <w:rPr>
          <w:spacing w:val="3"/>
        </w:rPr>
        <w:t xml:space="preserve">, que generalizaba el modelo de </w:t>
      </w:r>
      <w:r w:rsidR="00084BF4">
        <w:rPr>
          <w:spacing w:val="3"/>
        </w:rPr>
        <w:t>von Neumann</w:t>
      </w:r>
      <w:r w:rsidRPr="00C5710C">
        <w:rPr>
          <w:spacing w:val="3"/>
        </w:rPr>
        <w:t>-Morgenstern para contextos en los que los agentes</w:t>
      </w:r>
      <w:r w:rsidR="00C5710C" w:rsidRPr="00C5710C">
        <w:rPr>
          <w:spacing w:val="3"/>
        </w:rPr>
        <w:t xml:space="preserve"> </w:t>
      </w:r>
      <w:r w:rsidRPr="00C5710C">
        <w:rPr>
          <w:i/>
          <w:iCs/>
          <w:spacing w:val="3"/>
        </w:rPr>
        <w:t>no conocen las distribuciones objetivas</w:t>
      </w:r>
      <w:r w:rsidRPr="00C5710C">
        <w:rPr>
          <w:spacing w:val="3"/>
        </w:rPr>
        <w:t xml:space="preserve"> de probabilidad de los diferentes resultados posibles.</w:t>
      </w:r>
    </w:p>
    <w:p w14:paraId="7D2F0E55" w14:textId="75B56637" w:rsidR="00A45EEB" w:rsidRDefault="00A45EEB" w:rsidP="00786941">
      <w:pPr>
        <w:pStyle w:val="Nivel2SM"/>
      </w:pPr>
      <w:r>
        <w:t xml:space="preserve">El modelo de </w:t>
      </w:r>
      <w:r w:rsidRPr="00A62F89">
        <w:rPr>
          <w:smallCaps/>
        </w:rPr>
        <w:t>Savage</w:t>
      </w:r>
      <w:r>
        <w:t xml:space="preserve"> establece las condiciones que debe cumplir la relación de preferencia entre </w:t>
      </w:r>
      <w:r w:rsidRPr="00697DCC">
        <w:t>act</w:t>
      </w:r>
      <w:r w:rsidR="00697DCC" w:rsidRPr="00697DCC">
        <w:t>o</w:t>
      </w:r>
      <w:r w:rsidRPr="00697DCC">
        <w:t>s</w:t>
      </w:r>
      <w:r>
        <w:t xml:space="preserve"> (funciones que relacionan el conjunto de estados de la naturaleza con el de </w:t>
      </w:r>
      <w:r w:rsidR="00697DCC">
        <w:t>sus</w:t>
      </w:r>
      <w:r>
        <w:t xml:space="preserve"> posibles</w:t>
      </w:r>
      <w:r w:rsidR="00697DCC">
        <w:t xml:space="preserve"> consecuencias</w:t>
      </w:r>
      <w:r>
        <w:t xml:space="preserve">) para que el agente se comporte como si estuviese estimando implícitamente una probabilidad para cada estado de la naturaleza. Es decir, para que existan probabilidades </w:t>
      </w:r>
      <w:r w:rsidRPr="00A611DF">
        <w:rPr>
          <w:i/>
          <w:iCs/>
        </w:rPr>
        <w:t>subjetivas</w:t>
      </w:r>
      <w:r w:rsidR="00037BDF" w:rsidRPr="00C5710C">
        <w:rPr>
          <w:rStyle w:val="Refdenotaalpie"/>
        </w:rPr>
        <w:footnoteReference w:id="46"/>
      </w:r>
      <w:r>
        <w:t>.</w:t>
      </w:r>
    </w:p>
    <w:p w14:paraId="52AD7414" w14:textId="7E5D4F30" w:rsidR="00A45EEB" w:rsidRDefault="00A45EEB" w:rsidP="00786941">
      <w:pPr>
        <w:pStyle w:val="Nivel2SM"/>
      </w:pPr>
      <w:r>
        <w:t xml:space="preserve">Posteriormente se han desarrollado enfoques similares como el de </w:t>
      </w:r>
      <w:r>
        <w:rPr>
          <w:smallCaps/>
        </w:rPr>
        <w:t>Anscombe</w:t>
      </w:r>
      <w:r>
        <w:t xml:space="preserve"> y </w:t>
      </w:r>
      <w:r>
        <w:rPr>
          <w:smallCaps/>
        </w:rPr>
        <w:t>Aumann</w:t>
      </w:r>
      <w:r>
        <w:t xml:space="preserve"> (1963) y el de </w:t>
      </w:r>
      <w:r>
        <w:rPr>
          <w:smallCaps/>
        </w:rPr>
        <w:t>Wakker</w:t>
      </w:r>
      <w:r>
        <w:t xml:space="preserve"> (1989)</w:t>
      </w:r>
      <w:r>
        <w:rPr>
          <w:rStyle w:val="Refdenotaalpie"/>
        </w:rPr>
        <w:footnoteReference w:id="47"/>
      </w:r>
      <w:r>
        <w:t>.</w:t>
      </w:r>
    </w:p>
    <w:p w14:paraId="09429ECC" w14:textId="4B8C93B8" w:rsidR="000B167A" w:rsidRDefault="000B167A" w:rsidP="000B167A">
      <w:pPr>
        <w:pStyle w:val="Ttulo3"/>
      </w:pPr>
      <w:bookmarkStart w:id="77" w:name="_Toc172232565"/>
      <w:r>
        <w:lastRenderedPageBreak/>
        <w:t>Desarrollo del Teorema de la Utilidad Esperada Subjetiva</w:t>
      </w:r>
      <w:bookmarkEnd w:id="77"/>
    </w:p>
    <w:p w14:paraId="6B0BE36A" w14:textId="11E92B6A" w:rsidR="00F26CA4" w:rsidRDefault="00F26CA4" w:rsidP="00FE3103">
      <w:pPr>
        <w:pStyle w:val="Nivel1SM"/>
        <w:keepNext/>
        <w:spacing w:before="0" w:after="0" w:line="254" w:lineRule="auto"/>
      </w:pPr>
      <w:r>
        <w:t>En este sentido, se podría plantear una axiomática análoga a la utilizada en la sección anterior para la TUE que garantizaría por el Teorema de la Utilidad Esperada Subjetiva que se podría obtener una función de utilidad esperada que permitiera preservar las preferencias subyacentes.</w:t>
      </w:r>
    </w:p>
    <w:p w14:paraId="59619E27" w14:textId="77777777" w:rsidR="00786941" w:rsidRDefault="00F26CA4" w:rsidP="00FE3103">
      <w:pPr>
        <w:pStyle w:val="Nivel2SM"/>
        <w:keepNext/>
        <w:spacing w:after="0" w:line="254" w:lineRule="auto"/>
      </w:pPr>
      <w:r>
        <w:t xml:space="preserve">Se suele incluir un axioma de </w:t>
      </w:r>
      <w:r>
        <w:rPr>
          <w:i/>
          <w:iCs/>
        </w:rPr>
        <w:t>independencia extendida</w:t>
      </w:r>
      <w:r>
        <w:t xml:space="preserve"> que da cabida a que las preferencias sean estado-dependientes</w:t>
      </w:r>
      <w:r w:rsidR="00BC6453">
        <w:t xml:space="preserve"> (i.e.</w:t>
      </w:r>
      <w:r>
        <w:t xml:space="preserve"> la función de utilidad sobre la que se valoran los distintos resultados </w:t>
      </w:r>
      <w:r w:rsidR="00BC6453">
        <w:t xml:space="preserve">puede </w:t>
      </w:r>
      <w:r>
        <w:t>cambia</w:t>
      </w:r>
      <w:r w:rsidR="00BC6453">
        <w:t>r</w:t>
      </w:r>
      <w:r>
        <w:t xml:space="preserve"> con los resultados</w:t>
      </w:r>
      <w:r w:rsidR="00BC6453">
        <w:t>)</w:t>
      </w:r>
      <w:r>
        <w:t>.</w:t>
      </w:r>
    </w:p>
    <w:p w14:paraId="36CF0D5E" w14:textId="62D17E37" w:rsidR="00F26CA4" w:rsidRDefault="00BC6453" w:rsidP="00FE3103">
      <w:pPr>
        <w:pStyle w:val="Nivel3SM"/>
        <w:spacing w:line="254" w:lineRule="auto"/>
      </w:pPr>
      <w:r>
        <w:t>Sin embargo, se restringe que las preferencias sean estado uniformes, de tal manera que s</w:t>
      </w:r>
      <w:r w:rsidR="008828B8">
        <w:t>i</w:t>
      </w:r>
      <w:r>
        <w:t xml:space="preserve"> preferimos el resultado</w:t>
      </w:r>
      <w:r w:rsidR="00DF37C2">
        <w:t> </w:t>
      </w:r>
      <w:r>
        <w:rPr>
          <w:i/>
          <w:iCs/>
        </w:rPr>
        <w:t>x</w:t>
      </w:r>
      <w:r>
        <w:t xml:space="preserve"> al resultado</w:t>
      </w:r>
      <w:r w:rsidR="00DF37C2">
        <w:t> </w:t>
      </w:r>
      <w:r>
        <w:rPr>
          <w:i/>
          <w:iCs/>
        </w:rPr>
        <w:t>y</w:t>
      </w:r>
      <w:r>
        <w:t xml:space="preserve"> dado un estado de la naturaleza, preferiremos el resultado</w:t>
      </w:r>
      <w:r w:rsidR="00DF37C2">
        <w:t> </w:t>
      </w:r>
      <w:r>
        <w:rPr>
          <w:i/>
          <w:iCs/>
        </w:rPr>
        <w:t>x</w:t>
      </w:r>
      <w:r>
        <w:t xml:space="preserve"> al resultado</w:t>
      </w:r>
      <w:r w:rsidR="00DF37C2">
        <w:t> </w:t>
      </w:r>
      <w:r>
        <w:rPr>
          <w:i/>
          <w:iCs/>
        </w:rPr>
        <w:t>y</w:t>
      </w:r>
      <w:r>
        <w:t xml:space="preserve"> en todos los estados de la naturaleza.</w:t>
      </w:r>
    </w:p>
    <w:p w14:paraId="19663901" w14:textId="19E3E2D8" w:rsidR="002042F3" w:rsidRDefault="002042F3" w:rsidP="00786941">
      <w:pPr>
        <w:pStyle w:val="Nivel1SM"/>
        <w:keepNext/>
        <w:spacing w:after="0"/>
      </w:pPr>
      <w:r>
        <w:t xml:space="preserve">De este modo, el </w:t>
      </w:r>
      <w:r>
        <w:rPr>
          <w:b/>
          <w:bCs/>
        </w:rPr>
        <w:t>Teorema de la Utilidad Esperada Subjetiva</w:t>
      </w:r>
      <w:r>
        <w:t xml:space="preserve"> establece que</w:t>
      </w:r>
      <w:r w:rsidR="00786941">
        <w:t>,</w:t>
      </w:r>
      <w:r>
        <w:t xml:space="preserve"> si la relación de preferencia </w:t>
      </w:r>
      <m:oMath>
        <m:r>
          <w:rPr>
            <w:rFonts w:ascii="Cambria Math" w:hAnsi="Cambria Math"/>
          </w:rPr>
          <m:t>≽</m:t>
        </m:r>
      </m:oMath>
      <w:r>
        <w:t xml:space="preserve"> sobre </w:t>
      </w:r>
      <m:oMath>
        <m:r>
          <m:rPr>
            <m:scr m:val="script"/>
          </m:rPr>
          <w:rPr>
            <w:rFonts w:ascii="Cambria Math" w:hAnsi="Cambria Math"/>
          </w:rPr>
          <m:t>L</m:t>
        </m:r>
      </m:oMath>
      <w:r>
        <w:t xml:space="preserve"> satisface los axiomas de </w:t>
      </w:r>
      <w:r>
        <w:rPr>
          <w:i/>
          <w:iCs/>
        </w:rPr>
        <w:t>completitud</w:t>
      </w:r>
      <w:r>
        <w:t xml:space="preserve">, </w:t>
      </w:r>
      <w:r>
        <w:rPr>
          <w:i/>
          <w:iCs/>
        </w:rPr>
        <w:t>reflexividad</w:t>
      </w:r>
      <w:r>
        <w:t xml:space="preserve">, </w:t>
      </w:r>
      <w:r>
        <w:rPr>
          <w:i/>
          <w:iCs/>
        </w:rPr>
        <w:t>transitividad</w:t>
      </w:r>
      <w:r>
        <w:t xml:space="preserve">, </w:t>
      </w:r>
      <w:r>
        <w:rPr>
          <w:i/>
          <w:iCs/>
        </w:rPr>
        <w:t>continuidad</w:t>
      </w:r>
      <w:r>
        <w:t xml:space="preserve"> e </w:t>
      </w:r>
      <w:r>
        <w:rPr>
          <w:i/>
          <w:iCs/>
        </w:rPr>
        <w:t>independencia ampliada</w:t>
      </w:r>
      <w:r>
        <w:t xml:space="preserve">, y suponiendo que las preferencias por el estado derivadas son </w:t>
      </w:r>
      <w:r>
        <w:rPr>
          <w:i/>
          <w:iCs/>
        </w:rPr>
        <w:t>estado-uniformes</w:t>
      </w:r>
      <w:r>
        <w:t xml:space="preserve">, entonces existen unas probabilidades </w:t>
      </w:r>
      <m:oMath>
        <m:d>
          <m:dPr>
            <m:ctrlPr>
              <w:rPr>
                <w:rFonts w:ascii="Cambria Math" w:hAnsi="Cambria Math"/>
                <w:i/>
              </w:rPr>
            </m:ctrlPr>
          </m:dPr>
          <m:e>
            <m:sSub>
              <m:sSubPr>
                <m:ctrlPr>
                  <w:rPr>
                    <w:rFonts w:ascii="Cambria Math" w:hAnsi="Cambria Math"/>
                    <w:i/>
                  </w:rPr>
                </m:ctrlPr>
              </m:sSubPr>
              <m:e>
                <m:r>
                  <m:rPr>
                    <m:nor/>
                  </m:rPr>
                  <w:rPr>
                    <w:i/>
                  </w:rPr>
                  <m:t>π</m:t>
                </m:r>
              </m:e>
              <m:sub>
                <m:r>
                  <m:rPr>
                    <m:nor/>
                  </m:rPr>
                  <w:rPr>
                    <w:i/>
                  </w:rPr>
                  <m:t>1</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π</m:t>
                </m:r>
              </m:e>
              <m:sub>
                <m:r>
                  <m:rPr>
                    <m:nor/>
                  </m:rPr>
                  <w:rPr>
                    <w:i/>
                  </w:rPr>
                  <m:t>S</m:t>
                </m:r>
              </m:sub>
            </m:sSub>
          </m:e>
        </m:d>
        <m:r>
          <w:rPr>
            <w:rFonts w:ascii="Cambria Math" w:hAnsi="Cambria Math"/>
          </w:rPr>
          <m:t>&gt;</m:t>
        </m:r>
        <m:r>
          <m:rPr>
            <m:nor/>
          </m:rPr>
          <w:rPr>
            <w:i/>
          </w:rPr>
          <m:t>0</m:t>
        </m:r>
      </m:oMath>
      <w:r>
        <w:t xml:space="preserve"> y una función de utilidad</w:t>
      </w:r>
      <m:oMath>
        <m:r>
          <w:rPr>
            <w:rFonts w:ascii="Cambria Math" w:hAnsi="Cambria Math"/>
          </w:rPr>
          <m:t xml:space="preserve"> </m:t>
        </m:r>
        <m:r>
          <m:rPr>
            <m:nor/>
          </m:rPr>
          <w:rPr>
            <w:i/>
          </w:rPr>
          <m:t>u</m:t>
        </m:r>
        <m:d>
          <m:dPr>
            <m:ctrlPr>
              <w:rPr>
                <w:rFonts w:ascii="Cambria Math" w:hAnsi="Cambria Math"/>
                <w:i/>
              </w:rPr>
            </m:ctrlPr>
          </m:dPr>
          <m:e>
            <m:r>
              <w:rPr>
                <w:rFonts w:ascii="Cambria Math" w:hAnsi="Cambria Math"/>
              </w:rPr>
              <m:t>∙</m:t>
            </m:r>
          </m:e>
        </m:d>
      </m:oMath>
      <w:r>
        <w:t xml:space="preserve"> sobre cantidades monetarias</w:t>
      </w:r>
      <w:r w:rsidR="00DF37C2">
        <w:t>,</w:t>
      </w:r>
      <w:r>
        <w:t xml:space="preserve"> tales que, para todo </w:t>
      </w:r>
      <m:oMath>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x</m:t>
                </m:r>
              </m:e>
              <m:sub>
                <m:r>
                  <m:rPr>
                    <m:nor/>
                  </m:rPr>
                  <w:rPr>
                    <w:i/>
                  </w:rPr>
                  <m:t>S</m:t>
                </m:r>
              </m:sub>
            </m:sSub>
          </m:e>
        </m:d>
      </m:oMath>
      <w:r>
        <w:t xml:space="preserve"> y </w:t>
      </w:r>
      <m:oMath>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x'</m:t>
                </m:r>
              </m:e>
              <m:sub>
                <m:r>
                  <m:rPr>
                    <m:nor/>
                  </m:rPr>
                  <w:rPr>
                    <w:i/>
                  </w:rPr>
                  <m:t>S</m:t>
                </m:r>
              </m:sub>
            </m:sSub>
          </m:e>
        </m:d>
      </m:oMath>
      <w:r>
        <w:t xml:space="preserve"> se tiene:</w:t>
      </w:r>
    </w:p>
    <w:p w14:paraId="274E2F3C" w14:textId="14A60504" w:rsidR="002042F3" w:rsidRPr="002B110D" w:rsidRDefault="00000000" w:rsidP="00786941">
      <w:pPr>
        <w:keepNext/>
        <w:spacing w:after="0"/>
        <w:rPr>
          <w:rFonts w:eastAsiaTheme="minorEastAsia"/>
          <w:lang w:val="en-US"/>
        </w:rPr>
      </w:pPr>
      <m:oMathPara>
        <m:oMath>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r>
                <w:rPr>
                  <w:rFonts w:ascii="Cambria Math" w:hAnsi="Cambria Math"/>
                  <w:lang w:val="en-US"/>
                </w:rPr>
                <m:t>…</m:t>
              </m:r>
              <m:r>
                <m:rPr>
                  <m:nor/>
                </m:rPr>
                <w:rPr>
                  <w:i/>
                  <w:lang w:val="en-US"/>
                </w:rPr>
                <m:t>,</m:t>
              </m:r>
              <m:sSub>
                <m:sSubPr>
                  <m:ctrlPr>
                    <w:rPr>
                      <w:rFonts w:ascii="Cambria Math" w:hAnsi="Cambria Math"/>
                      <w:i/>
                    </w:rPr>
                  </m:ctrlPr>
                </m:sSubPr>
                <m:e>
                  <m:r>
                    <m:rPr>
                      <m:nor/>
                    </m:rPr>
                    <w:rPr>
                      <w:i/>
                      <w:lang w:val="en-US"/>
                    </w:rPr>
                    <m:t>x</m:t>
                  </m:r>
                </m:e>
                <m:sub>
                  <m:r>
                    <m:rPr>
                      <m:nor/>
                    </m:rPr>
                    <w:rPr>
                      <w:i/>
                      <w:lang w:val="en-US"/>
                    </w:rPr>
                    <m:t>S</m:t>
                  </m:r>
                </m:sub>
              </m:sSub>
            </m:e>
          </m:d>
          <m:r>
            <w:rPr>
              <w:rFonts w:ascii="Cambria Math" w:hAnsi="Cambria Math"/>
              <w:lang w:val="en-US"/>
            </w:rPr>
            <m:t>≽</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r>
                <w:rPr>
                  <w:rFonts w:ascii="Cambria Math" w:hAnsi="Cambria Math"/>
                  <w:lang w:val="en-US"/>
                </w:rPr>
                <m:t>…</m:t>
              </m:r>
              <m:r>
                <m:rPr>
                  <m:nor/>
                </m:rPr>
                <w:rPr>
                  <w:i/>
                  <w:lang w:val="en-US"/>
                </w:rPr>
                <m:t>,</m:t>
              </m:r>
              <m:sSub>
                <m:sSubPr>
                  <m:ctrlPr>
                    <w:rPr>
                      <w:rFonts w:ascii="Cambria Math" w:hAnsi="Cambria Math"/>
                      <w:i/>
                    </w:rPr>
                  </m:ctrlPr>
                </m:sSubPr>
                <m:e>
                  <m:r>
                    <m:rPr>
                      <m:nor/>
                    </m:rPr>
                    <w:rPr>
                      <w:i/>
                      <w:lang w:val="en-US"/>
                    </w:rPr>
                    <m:t>x'</m:t>
                  </m:r>
                </m:e>
                <m:sub>
                  <m:r>
                    <m:rPr>
                      <m:nor/>
                    </m:rPr>
                    <w:rPr>
                      <w:i/>
                      <w:lang w:val="en-US"/>
                    </w:rPr>
                    <m:t>S</m:t>
                  </m:r>
                </m:sub>
              </m:sSub>
            </m:e>
          </m:d>
          <m:r>
            <m:rPr>
              <m:nor/>
            </m:rPr>
            <w:rPr>
              <w:lang w:val="en-US"/>
            </w:rPr>
            <m:t xml:space="preserve"> </m:t>
          </m:r>
          <w:proofErr w:type="spellStart"/>
          <m:r>
            <m:rPr>
              <m:nor/>
            </m:rPr>
            <w:rPr>
              <w:lang w:val="en-US"/>
            </w:rPr>
            <m:t>si</m:t>
          </m:r>
          <w:proofErr w:type="spellEnd"/>
          <m:r>
            <m:rPr>
              <m:nor/>
            </m:rPr>
            <w:rPr>
              <w:lang w:val="en-US"/>
            </w:rPr>
            <m:t xml:space="preserve">, y </m:t>
          </m:r>
          <w:proofErr w:type="spellStart"/>
          <m:r>
            <m:rPr>
              <m:nor/>
            </m:rPr>
            <w:rPr>
              <w:lang w:val="en-US"/>
            </w:rPr>
            <m:t>sólo</m:t>
          </m:r>
          <w:proofErr w:type="spellEnd"/>
          <m:r>
            <m:rPr>
              <m:nor/>
            </m:rPr>
            <w:rPr>
              <w:lang w:val="en-US"/>
            </w:rPr>
            <m:t xml:space="preserve"> </m:t>
          </m:r>
          <w:proofErr w:type="spellStart"/>
          <m:r>
            <m:rPr>
              <m:nor/>
            </m:rPr>
            <w:rPr>
              <w:lang w:val="en-US"/>
            </w:rPr>
            <m:t>si</m:t>
          </m:r>
          <w:proofErr w:type="spellEnd"/>
          <m:r>
            <m:rPr>
              <m:nor/>
            </m:rPr>
            <w:rPr>
              <w:lang w:val="en-US"/>
            </w:rPr>
            <m:t>,</m:t>
          </m:r>
          <m:r>
            <w:rPr>
              <w:rFonts w:ascii="Cambria Math" w:hAnsi="Cambria Math"/>
              <w:lang w:val="en-US"/>
            </w:rPr>
            <m:t xml:space="preserve"> </m:t>
          </m:r>
          <m:nary>
            <m:naryPr>
              <m:chr m:val="∑"/>
              <m:limLoc m:val="undOvr"/>
              <m:supHide m:val="1"/>
              <m:ctrlPr>
                <w:rPr>
                  <w:rFonts w:ascii="Cambria Math" w:hAnsi="Cambria Math"/>
                  <w:i/>
                </w:rPr>
              </m:ctrlPr>
            </m:naryPr>
            <m:sub>
              <m:r>
                <m:rPr>
                  <m:nor/>
                </m:rPr>
                <w:rPr>
                  <w:i/>
                  <w:lang w:val="en-US"/>
                </w:rPr>
                <m:t>S</m:t>
              </m:r>
            </m:sub>
            <m:sup/>
            <m:e>
              <m:sSub>
                <m:sSubPr>
                  <m:ctrlPr>
                    <w:rPr>
                      <w:rFonts w:ascii="Cambria Math" w:hAnsi="Cambria Math"/>
                      <w:i/>
                    </w:rPr>
                  </m:ctrlPr>
                </m:sSubPr>
                <m:e>
                  <m:r>
                    <m:rPr>
                      <m:nor/>
                    </m:rPr>
                    <w:rPr>
                      <w:i/>
                    </w:rPr>
                    <m:t>π</m:t>
                  </m:r>
                </m:e>
                <m:sub>
                  <m:r>
                    <m:rPr>
                      <m:nor/>
                    </m:rPr>
                    <w:rPr>
                      <w:i/>
                      <w:lang w:val="en-US"/>
                    </w:rPr>
                    <m:t>s</m:t>
                  </m:r>
                </m:sub>
              </m:sSub>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s</m:t>
                      </m:r>
                    </m:sub>
                  </m:sSub>
                </m:e>
              </m:d>
            </m:e>
          </m:nary>
          <m:r>
            <w:rPr>
              <w:rFonts w:ascii="Cambria Math" w:hAnsi="Cambria Math"/>
              <w:lang w:val="en-US"/>
            </w:rPr>
            <m:t>≥</m:t>
          </m:r>
          <m:nary>
            <m:naryPr>
              <m:chr m:val="∑"/>
              <m:limLoc m:val="undOvr"/>
              <m:supHide m:val="1"/>
              <m:ctrlPr>
                <w:rPr>
                  <w:rFonts w:ascii="Cambria Math" w:hAnsi="Cambria Math"/>
                  <w:i/>
                </w:rPr>
              </m:ctrlPr>
            </m:naryPr>
            <m:sub>
              <m:r>
                <m:rPr>
                  <m:nor/>
                </m:rPr>
                <w:rPr>
                  <w:i/>
                  <w:lang w:val="en-US"/>
                </w:rPr>
                <m:t>S</m:t>
              </m:r>
            </m:sub>
            <m:sup/>
            <m:e>
              <m:sSub>
                <m:sSubPr>
                  <m:ctrlPr>
                    <w:rPr>
                      <w:rFonts w:ascii="Cambria Math" w:hAnsi="Cambria Math"/>
                      <w:i/>
                    </w:rPr>
                  </m:ctrlPr>
                </m:sSubPr>
                <m:e>
                  <m:r>
                    <m:rPr>
                      <m:nor/>
                    </m:rPr>
                    <w:rPr>
                      <w:i/>
                    </w:rPr>
                    <m:t>π</m:t>
                  </m:r>
                </m:e>
                <m:sub>
                  <m:r>
                    <m:rPr>
                      <m:nor/>
                    </m:rPr>
                    <w:rPr>
                      <w:i/>
                      <w:lang w:val="en-US"/>
                    </w:rPr>
                    <m:t>s</m:t>
                  </m:r>
                </m:sub>
              </m:sSub>
              <m:r>
                <w:rPr>
                  <w:rFonts w:ascii="Cambria Math" w:hAnsi="Cambria Math"/>
                  <w:lang w:val="en-US"/>
                </w:rPr>
                <m:t>∙</m:t>
              </m:r>
              <m:r>
                <m:rPr>
                  <m:nor/>
                </m:rPr>
                <w:rPr>
                  <w:i/>
                  <w:lang w:val="en-US"/>
                </w:rPr>
                <m:t>u</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s</m:t>
                      </m:r>
                    </m:sub>
                  </m:sSub>
                </m:e>
              </m:d>
            </m:e>
          </m:nary>
        </m:oMath>
      </m:oMathPara>
    </w:p>
    <w:p w14:paraId="401B16E3" w14:textId="551DE785" w:rsidR="003108AF" w:rsidRDefault="003108AF" w:rsidP="00786941">
      <w:pPr>
        <w:pStyle w:val="Nivel2SM"/>
      </w:pPr>
      <w:r>
        <w:t>Y además, las probabilidades subjetivas</w:t>
      </w:r>
      <w:r w:rsidR="00065B7D">
        <w:t xml:space="preserve">, </w:t>
      </w:r>
      <m:oMath>
        <m:sSub>
          <m:sSubPr>
            <m:ctrlPr>
              <w:rPr>
                <w:rFonts w:ascii="Cambria Math" w:hAnsi="Cambria Math"/>
                <w:i/>
              </w:rPr>
            </m:ctrlPr>
          </m:sSubPr>
          <m:e>
            <m:r>
              <m:rPr>
                <m:nor/>
              </m:rPr>
              <w:rPr>
                <w:i/>
              </w:rPr>
              <m:t>π</m:t>
            </m:r>
          </m:e>
          <m:sub>
            <m:r>
              <m:rPr>
                <m:nor/>
              </m:rPr>
              <w:rPr>
                <w:i/>
              </w:rPr>
              <m:t>s</m:t>
            </m:r>
          </m:sub>
        </m:sSub>
      </m:oMath>
      <w:r w:rsidR="00065B7D">
        <w:t>,</w:t>
      </w:r>
      <w:r>
        <w:t xml:space="preserve"> quedan determinadas de manera única y la utilidad de Bernoulli es única más allá del origen y de la escala.</w:t>
      </w:r>
    </w:p>
    <w:p w14:paraId="333AC8FA" w14:textId="77777777" w:rsidR="00786941" w:rsidRDefault="00962ECD" w:rsidP="00786941">
      <w:pPr>
        <w:pStyle w:val="Nivel1SM"/>
        <w:keepNext/>
        <w:spacing w:after="0"/>
      </w:pPr>
      <w:r>
        <w:t>En consecuencia, la teoría de la probabilidad subjetiva puede verse como un caso más general de la teoría de la utilidad esperada, contemplando las situaciones de riesgo como un caso particular de las situaciones bajo incertidumbre.</w:t>
      </w:r>
    </w:p>
    <w:p w14:paraId="30AB4D90" w14:textId="77777777" w:rsidR="00786941" w:rsidRDefault="00962ECD" w:rsidP="00786941">
      <w:pPr>
        <w:pStyle w:val="Nivel2SM"/>
      </w:pPr>
      <w:r>
        <w:t>La gran ventaja del enfoque de la probabilidad subjetiva es la unificación de los problemas de riesgo y de incertidumbre bajo un mismo aparato formal, lo que implica un elevado grado de coherencia entre ambos.</w:t>
      </w:r>
    </w:p>
    <w:p w14:paraId="665C6F28" w14:textId="3A99930E" w:rsidR="00962ECD" w:rsidRPr="003108AF" w:rsidRDefault="00962ECD" w:rsidP="00786941">
      <w:pPr>
        <w:pStyle w:val="Nivel2SM"/>
      </w:pPr>
      <w:r>
        <w:t>Desgraciadamente, esto también provoca que la teoría de la utilidad subjetiva presente las mismas vulnerabilidades que la utilidad esperada.</w:t>
      </w:r>
    </w:p>
    <w:p w14:paraId="0556580C" w14:textId="56756468" w:rsidR="000B167A" w:rsidRDefault="000B167A" w:rsidP="000B167A">
      <w:pPr>
        <w:pStyle w:val="Ttulo3"/>
      </w:pPr>
      <w:bookmarkStart w:id="78" w:name="_Toc172232566"/>
      <w:r>
        <w:t>Limitaciones y críticas a la teoría de la probabilidad subjetiva</w:t>
      </w:r>
      <w:bookmarkEnd w:id="78"/>
    </w:p>
    <w:p w14:paraId="684A125F" w14:textId="766D47F4" w:rsidR="00E61735" w:rsidRDefault="00632C16" w:rsidP="00632A89">
      <w:pPr>
        <w:pStyle w:val="Nivel1SM"/>
        <w:keepNext/>
        <w:spacing w:before="0" w:after="0"/>
      </w:pPr>
      <w:r>
        <w:t>Aparte de verse sometido a críticas análogas a las de la elección bajo riesgo, existen una serie de ejemplos que explican desviaciones del modelo de la utilidad esperada subjetiva</w:t>
      </w:r>
      <w:r w:rsidR="00E61735">
        <w:t xml:space="preserve">. </w:t>
      </w:r>
      <w:r>
        <w:t xml:space="preserve">El ejemplo más conocido y relevante de estas desviaciones empíricas respecto del modelo teórico es la denominada </w:t>
      </w:r>
      <w:r>
        <w:rPr>
          <w:i/>
          <w:iCs/>
          <w:u w:val="single"/>
        </w:rPr>
        <w:t xml:space="preserve">paradoja de </w:t>
      </w:r>
      <w:r>
        <w:rPr>
          <w:i/>
          <w:iCs/>
          <w:smallCaps/>
          <w:u w:val="single"/>
        </w:rPr>
        <w:t>Ellsberg</w:t>
      </w:r>
      <w:r w:rsidRPr="00632C16">
        <w:t xml:space="preserve"> (1961)</w:t>
      </w:r>
      <w:r>
        <w:t>.</w:t>
      </w:r>
    </w:p>
    <w:p w14:paraId="0CF88862" w14:textId="7682F03C" w:rsidR="00E61735" w:rsidRDefault="00632C16" w:rsidP="00E61735">
      <w:pPr>
        <w:pStyle w:val="Nivel2"/>
        <w:ind w:left="765"/>
      </w:pPr>
      <w:r>
        <w:t>La paradoja se puede ejemplificar mediante un experimento en que se da a elegir entre dos pares de apuestas relativas a sacar un par de bolas de sendas urnas con bolas de diferentes col</w:t>
      </w:r>
      <w:r w:rsidR="004F66EC">
        <w:t>o</w:t>
      </w:r>
      <w:r>
        <w:t>r</w:t>
      </w:r>
      <w:r w:rsidR="004F66EC">
        <w:t>e</w:t>
      </w:r>
      <w:r>
        <w:t>s. En una urna en proporciones conocidas y en la otra urna desconocidas. Por lo tanto, combinamos apuestas bajo riesgo y apuestas bajo incertidumbre.</w:t>
      </w:r>
    </w:p>
    <w:p w14:paraId="5425C371" w14:textId="18472203" w:rsidR="00C10D3E" w:rsidRDefault="00632C16" w:rsidP="00E61735">
      <w:pPr>
        <w:pStyle w:val="Nivel2"/>
        <w:ind w:left="765"/>
      </w:pPr>
      <w:r>
        <w:t>El experimento demostró que las elecciones violaban mayoritariamente la teoría de la probabilidad subjetiva, pues las probabilidades subjetivas que de las elecciones en incertidumbre</w:t>
      </w:r>
      <w:r w:rsidR="00A3084A">
        <w:t xml:space="preserve"> se inferían no eran coherentes con la utilidad esperada.</w:t>
      </w:r>
      <w:r w:rsidR="00E61735">
        <w:t xml:space="preserve"> </w:t>
      </w:r>
      <w:r w:rsidR="00A3084A">
        <w:t xml:space="preserve">Se observaba una tendencia a preferir apuestas bajo riesgo frente a apuestas bajo incertidumbre, </w:t>
      </w:r>
      <w:r w:rsidR="00ED4DC4">
        <w:t xml:space="preserve">incluso </w:t>
      </w:r>
      <w:r w:rsidR="00A3084A">
        <w:t xml:space="preserve">aunque estas </w:t>
      </w:r>
      <w:r w:rsidR="00ED4DC4">
        <w:t xml:space="preserve">últimas </w:t>
      </w:r>
      <w:r w:rsidR="00A3084A">
        <w:t>fuesen aparentemente más ventajosas según la teoría de la probabilidad subjetiva</w:t>
      </w:r>
      <w:r w:rsidR="00ED4DC4">
        <w:t>.</w:t>
      </w:r>
      <w:r w:rsidR="00A3084A">
        <w:t xml:space="preserve"> </w:t>
      </w:r>
      <w:r w:rsidR="00ED4DC4">
        <w:t>Esto sugiere que los individuos interpretan</w:t>
      </w:r>
      <w:r w:rsidR="00A3084A">
        <w:t xml:space="preserve"> la incertidumbre </w:t>
      </w:r>
      <w:r w:rsidR="00DA197A">
        <w:t xml:space="preserve">como </w:t>
      </w:r>
      <w:r w:rsidR="00A3084A">
        <w:t xml:space="preserve">un mal </w:t>
      </w:r>
      <w:r w:rsidR="00DA197A">
        <w:t>en</w:t>
      </w:r>
      <w:r w:rsidR="00A3084A">
        <w:t xml:space="preserve"> sí mismo. Es lo que se ha denominado </w:t>
      </w:r>
      <w:r w:rsidR="00A3084A">
        <w:rPr>
          <w:i/>
          <w:iCs/>
        </w:rPr>
        <w:t>aversión a la ambigüedad</w:t>
      </w:r>
      <w:r w:rsidR="00A3084A" w:rsidRPr="00A3084A">
        <w:t>.</w:t>
      </w:r>
    </w:p>
    <w:p w14:paraId="7BF09C70" w14:textId="21080ADA" w:rsidR="00786941" w:rsidRDefault="00786941" w:rsidP="00786941">
      <w:pPr>
        <w:pStyle w:val="Ttuloimagen"/>
      </w:pPr>
      <w:r>
        <w:lastRenderedPageBreak/>
        <w:t>Imagen</w:t>
      </w:r>
      <w:r w:rsidR="002C7D7A">
        <w:t> </w:t>
      </w:r>
      <w:r>
        <w:fldChar w:fldCharType="begin"/>
      </w:r>
      <w:r>
        <w:instrText xml:space="preserve"> SEQ Ilustración \* ARABIC </w:instrText>
      </w:r>
      <w:r>
        <w:fldChar w:fldCharType="separate"/>
      </w:r>
      <w:r w:rsidR="002E338F">
        <w:t>11</w:t>
      </w:r>
      <w:r>
        <w:fldChar w:fldCharType="end"/>
      </w:r>
      <w:r w:rsidRPr="00786941">
        <w:rPr>
          <w:smallCaps w:val="0"/>
        </w:rPr>
        <w:t xml:space="preserve">.– </w:t>
      </w:r>
      <w:r w:rsidRPr="00786941">
        <w:rPr>
          <w:i/>
          <w:iCs/>
          <w:smallCaps w:val="0"/>
        </w:rPr>
        <w:t xml:space="preserve">Paradoja de </w:t>
      </w:r>
      <w:r w:rsidRPr="00786941">
        <w:rPr>
          <w:i/>
          <w:iCs/>
        </w:rPr>
        <w:t>Ellsberg</w:t>
      </w:r>
    </w:p>
    <w:p w14:paraId="62ED5644" w14:textId="1C17139B" w:rsidR="00786941" w:rsidRDefault="00786941" w:rsidP="00786941">
      <w:pPr>
        <w:pStyle w:val="Imagen"/>
      </w:pPr>
      <w:r>
        <w:drawing>
          <wp:inline distT="0" distB="0" distL="0" distR="0" wp14:anchorId="77D4A833" wp14:editId="37CC7408">
            <wp:extent cx="1620000" cy="1056109"/>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20000" cy="1056109"/>
                    </a:xfrm>
                    <a:prstGeom prst="rect">
                      <a:avLst/>
                    </a:prstGeom>
                    <a:noFill/>
                  </pic:spPr>
                </pic:pic>
              </a:graphicData>
            </a:graphic>
          </wp:inline>
        </w:drawing>
      </w:r>
    </w:p>
    <w:p w14:paraId="6DF5211B" w14:textId="2FCB07D7" w:rsidR="00786941" w:rsidRPr="00632A89" w:rsidRDefault="00786941" w:rsidP="00786941">
      <w:pPr>
        <w:pStyle w:val="PiedeImagen"/>
        <w:rPr>
          <w:i w:val="0"/>
          <w:iCs/>
          <w:lang w:val="en-US"/>
        </w:rPr>
      </w:pPr>
      <w:r w:rsidRPr="000375C5">
        <w:rPr>
          <w:lang w:val="fr-FR"/>
        </w:rPr>
        <w:t>Fuente</w:t>
      </w:r>
      <w:r w:rsidRPr="000375C5">
        <w:rPr>
          <w:i w:val="0"/>
          <w:iCs/>
          <w:lang w:val="fr-FR"/>
        </w:rPr>
        <w:t xml:space="preserve">: </w:t>
      </w:r>
      <w:r w:rsidR="000375C5" w:rsidRPr="000375C5">
        <w:rPr>
          <w:i w:val="0"/>
          <w:iCs/>
          <w:lang w:val="fr-FR"/>
        </w:rPr>
        <w:t xml:space="preserve">Neuroprofiler (2022). </w:t>
      </w:r>
      <w:r w:rsidR="000375C5" w:rsidRPr="00632A89">
        <w:rPr>
          <w:lang w:val="en-US"/>
        </w:rPr>
        <w:t>Cognitive Biase: the Ellsberg paradox</w:t>
      </w:r>
      <w:r w:rsidR="000375C5" w:rsidRPr="00632A89">
        <w:rPr>
          <w:i w:val="0"/>
          <w:iCs/>
          <w:lang w:val="en-US"/>
        </w:rPr>
        <w:t xml:space="preserve">. </w:t>
      </w:r>
      <w:hyperlink r:id="rId42" w:history="1">
        <w:r w:rsidR="000375C5" w:rsidRPr="00632A89">
          <w:rPr>
            <w:rStyle w:val="Hipervnculo"/>
            <w:i w:val="0"/>
            <w:iCs/>
            <w:lang w:val="en-US"/>
          </w:rPr>
          <w:t>https://neuroprofiler.com/en/cognitive-bias-the-ellsberg-paradox/</w:t>
        </w:r>
      </w:hyperlink>
    </w:p>
    <w:p w14:paraId="6458BF02" w14:textId="3547BEC9" w:rsidR="00DA723A" w:rsidRDefault="000B167A" w:rsidP="000B167A">
      <w:pPr>
        <w:pStyle w:val="Ttulo2"/>
      </w:pPr>
      <w:bookmarkStart w:id="79" w:name="_Toc172232567"/>
      <w:r>
        <w:t>Enfoques alternativos</w:t>
      </w:r>
      <w:bookmarkEnd w:id="79"/>
    </w:p>
    <w:p w14:paraId="1C6F02C2" w14:textId="07E3ECD9" w:rsidR="00D777BF" w:rsidRPr="00D777BF" w:rsidRDefault="00D777BF" w:rsidP="003C6B7F">
      <w:pPr>
        <w:pStyle w:val="Nivel1SM"/>
        <w:keepNext/>
        <w:spacing w:before="0" w:after="0"/>
      </w:pPr>
      <w:r>
        <w:t xml:space="preserve">En respuesta a estas deficiencias de la teoría de la probabilidad subjetiva han surgido algunos </w:t>
      </w:r>
      <w:r w:rsidRPr="00305CD9">
        <w:rPr>
          <w:b/>
          <w:bCs/>
        </w:rPr>
        <w:t>enfoques alternativos</w:t>
      </w:r>
      <w:r>
        <w:t>:</w:t>
      </w:r>
    </w:p>
    <w:p w14:paraId="3BA4A8BD" w14:textId="00500043" w:rsidR="00606E13" w:rsidRDefault="00A3084A" w:rsidP="003C6B7F">
      <w:pPr>
        <w:pStyle w:val="Nivel2SM"/>
      </w:pPr>
      <w:r>
        <w:t>Una manera de so</w:t>
      </w:r>
      <w:r w:rsidR="004A21D3">
        <w:t>l</w:t>
      </w:r>
      <w:r>
        <w:t xml:space="preserve">ventar las deficiencias de la teoría de la probabilidad subjetiva es mediante un modelo de </w:t>
      </w:r>
      <w:r w:rsidRPr="00B13D38">
        <w:rPr>
          <w:i/>
          <w:iCs/>
          <w:u w:val="single"/>
        </w:rPr>
        <w:t>sofisticación probabilística</w:t>
      </w:r>
      <w:r>
        <w:t xml:space="preserve"> como el modelo de </w:t>
      </w:r>
      <w:r>
        <w:rPr>
          <w:smallCaps/>
        </w:rPr>
        <w:t>Scmeidler</w:t>
      </w:r>
      <w:r w:rsidR="003D4D94" w:rsidRPr="003D4D94">
        <w:t xml:space="preserve"> </w:t>
      </w:r>
      <w:r w:rsidR="003D4D94">
        <w:t>(1989) de utilidad dependiente del orden (</w:t>
      </w:r>
      <w:proofErr w:type="spellStart"/>
      <w:r w:rsidR="003D4D94">
        <w:rPr>
          <w:i/>
          <w:iCs/>
        </w:rPr>
        <w:t>rank-dependent</w:t>
      </w:r>
      <w:proofErr w:type="spellEnd"/>
      <w:r w:rsidR="003D4D94">
        <w:rPr>
          <w:i/>
          <w:iCs/>
        </w:rPr>
        <w:t xml:space="preserve"> </w:t>
      </w:r>
      <w:proofErr w:type="spellStart"/>
      <w:r w:rsidR="003D4D94">
        <w:rPr>
          <w:i/>
          <w:iCs/>
        </w:rPr>
        <w:t>utility</w:t>
      </w:r>
      <w:proofErr w:type="spellEnd"/>
      <w:r w:rsidR="003D4D94">
        <w:t>)</w:t>
      </w:r>
      <w:r>
        <w:t xml:space="preserve">. Se trata de un planteamiento muy similar a la </w:t>
      </w:r>
      <w:r w:rsidR="004851E9" w:rsidRPr="004851E9">
        <w:rPr>
          <w:i/>
          <w:iCs/>
        </w:rPr>
        <w:t>Prospect Theory</w:t>
      </w:r>
      <w:r>
        <w:t xml:space="preserve">: los agentes ponderan posibilidades para acomodar fenómenos como la sobreponderación de resultados malos que pueden </w:t>
      </w:r>
      <w:r w:rsidR="004A21D3">
        <w:t>ocurrir</w:t>
      </w:r>
      <w:r>
        <w:t xml:space="preserve"> en un ambiente de incertidumbre.</w:t>
      </w:r>
      <w:r w:rsidR="00211BEC">
        <w:t xml:space="preserve"> En cualquier caso, la sofisticación probabilística permite acomodar los fenómenos derivados de la paradoja de Allais (desviación de la linealidad en las probabilidades), pero no las desviaciones de la probabilidad subjetiva puestas de manifiesto por la paradoja de Ells</w:t>
      </w:r>
      <w:r w:rsidR="002165FF">
        <w:t>b</w:t>
      </w:r>
      <w:r w:rsidR="00211BEC">
        <w:t>er</w:t>
      </w:r>
      <w:r w:rsidR="002165FF">
        <w:t>g</w:t>
      </w:r>
      <w:r w:rsidR="002165FF">
        <w:rPr>
          <w:rStyle w:val="Refdenotaalpie"/>
        </w:rPr>
        <w:footnoteReference w:id="48"/>
      </w:r>
      <w:r w:rsidR="002165FF">
        <w:t>.</w:t>
      </w:r>
    </w:p>
    <w:p w14:paraId="2CFF0742" w14:textId="01EAC931" w:rsidR="00A3084A" w:rsidRDefault="00A3084A" w:rsidP="003C6B7F">
      <w:pPr>
        <w:pStyle w:val="Nivel2SM"/>
        <w:keepNext/>
        <w:spacing w:after="0"/>
      </w:pPr>
      <w:r>
        <w:t xml:space="preserve">Otra familia de modelos son los </w:t>
      </w:r>
      <w:r>
        <w:rPr>
          <w:i/>
          <w:iCs/>
          <w:u w:val="single"/>
        </w:rPr>
        <w:t>modelos de múltiples previos</w:t>
      </w:r>
      <w:r>
        <w:t xml:space="preserve">, los que suponen que ante la falta de información los agentes tienen sus propias creencias y actúan bajo distintos criterios subjetivos </w:t>
      </w:r>
      <w:r w:rsidR="00440FA4">
        <w:rPr>
          <w:i/>
          <w:iCs/>
        </w:rPr>
        <w:t>ad hoc</w:t>
      </w:r>
      <w:r w:rsidR="00440FA4" w:rsidRPr="00440FA4">
        <w:t xml:space="preserve"> </w:t>
      </w:r>
      <w:r w:rsidR="001E6903">
        <w:t>(</w:t>
      </w:r>
      <w:r w:rsidR="001E6903">
        <w:rPr>
          <w:i/>
          <w:iCs/>
        </w:rPr>
        <w:t xml:space="preserve">rules </w:t>
      </w:r>
      <w:proofErr w:type="spellStart"/>
      <w:r w:rsidR="001E6903">
        <w:rPr>
          <w:i/>
          <w:iCs/>
        </w:rPr>
        <w:t>of</w:t>
      </w:r>
      <w:proofErr w:type="spellEnd"/>
      <w:r w:rsidR="001E6903">
        <w:rPr>
          <w:i/>
          <w:iCs/>
        </w:rPr>
        <w:t xml:space="preserve"> </w:t>
      </w:r>
      <w:proofErr w:type="spellStart"/>
      <w:r w:rsidR="001E6903">
        <w:rPr>
          <w:i/>
          <w:iCs/>
        </w:rPr>
        <w:t>thumb</w:t>
      </w:r>
      <w:proofErr w:type="spellEnd"/>
      <w:r w:rsidR="001E6903">
        <w:t xml:space="preserve">) </w:t>
      </w:r>
      <w:r>
        <w:t>ante distintas alternativas que proporcionan distintos posibles resultados</w:t>
      </w:r>
      <w:r w:rsidR="004A21D3">
        <w:t>:</w:t>
      </w:r>
    </w:p>
    <w:p w14:paraId="3FB061FA" w14:textId="19D5E8E6" w:rsidR="00A3084A" w:rsidRDefault="00A3084A" w:rsidP="003C6B7F">
      <w:pPr>
        <w:pStyle w:val="Nivel3SM"/>
      </w:pPr>
      <w:r>
        <w:t>Uno de ellos, es el criterio de Wald, que se trata de un enfoque conservador donde el agente busca elegir la alternativa que le proporcione el menos malo de</w:t>
      </w:r>
      <w:r w:rsidR="004A21D3">
        <w:t xml:space="preserve"> </w:t>
      </w:r>
      <w:r>
        <w:t>los resultados (</w:t>
      </w:r>
      <w:proofErr w:type="spellStart"/>
      <w:r w:rsidRPr="000759FC">
        <w:rPr>
          <w:i/>
          <w:iCs/>
        </w:rPr>
        <w:t>maximin</w:t>
      </w:r>
      <w:proofErr w:type="spellEnd"/>
      <w:r>
        <w:t>)</w:t>
      </w:r>
      <w:r w:rsidR="001E6903">
        <w:rPr>
          <w:rStyle w:val="Refdenotaalpie"/>
        </w:rPr>
        <w:footnoteReference w:id="49"/>
      </w:r>
      <w:r w:rsidR="004A21D3">
        <w:t>.</w:t>
      </w:r>
    </w:p>
    <w:p w14:paraId="6F792456" w14:textId="17BF4D14" w:rsidR="004A21D3" w:rsidRDefault="004A21D3" w:rsidP="003C6B7F">
      <w:pPr>
        <w:pStyle w:val="Nivel3SM"/>
      </w:pPr>
      <w:r>
        <w:t xml:space="preserve">Un segundo criterio es el </w:t>
      </w:r>
      <w:proofErr w:type="spellStart"/>
      <w:r w:rsidRPr="000759FC">
        <w:rPr>
          <w:i/>
          <w:iCs/>
        </w:rPr>
        <w:t>maximax</w:t>
      </w:r>
      <w:proofErr w:type="spellEnd"/>
      <w:r>
        <w:t xml:space="preserve"> o criterio optimista, donde el agente elige la alternativa que le proporcione el mejor de los resultados.</w:t>
      </w:r>
    </w:p>
    <w:p w14:paraId="20FCA6A6" w14:textId="321BF845" w:rsidR="004A21D3" w:rsidRDefault="004A21D3" w:rsidP="003C6B7F">
      <w:pPr>
        <w:pStyle w:val="Nivel3SM"/>
      </w:pPr>
      <w:r>
        <w:t xml:space="preserve">En tercer lugar por el </w:t>
      </w:r>
      <w:r w:rsidRPr="000759FC">
        <w:rPr>
          <w:i/>
          <w:iCs/>
        </w:rPr>
        <w:t>criterio de Laplace</w:t>
      </w:r>
      <w:r>
        <w:t xml:space="preserve"> el agente asigna probabilidades iguales a los resultados de cada alternativa y elige aquella de mayor valor esperado.</w:t>
      </w:r>
    </w:p>
    <w:p w14:paraId="69510362" w14:textId="51DB8C57" w:rsidR="00F96758" w:rsidRDefault="00F96758" w:rsidP="00F96758">
      <w:pPr>
        <w:pStyle w:val="Nivel3SM"/>
        <w:keepNext/>
      </w:pPr>
      <w:r w:rsidRPr="00F96758">
        <w:rPr>
          <w:i/>
          <w:iCs/>
        </w:rPr>
        <w:t>Criterio de Hurwicz</w:t>
      </w:r>
      <w:r>
        <w:t>:</w:t>
      </w:r>
    </w:p>
    <w:p w14:paraId="63FBB39F" w14:textId="77777777" w:rsidR="00F96758" w:rsidRDefault="00F96758" w:rsidP="00F96758">
      <w:pPr>
        <w:pStyle w:val="Nivel4"/>
        <w:keepNext/>
        <w:ind w:left="1474"/>
      </w:pPr>
      <w:r w:rsidRPr="00F96758">
        <w:rPr>
          <w:rStyle w:val="Nivel4Car"/>
        </w:rPr>
        <w:t>Se hace la</w:t>
      </w:r>
      <w:r>
        <w:t xml:space="preserve"> media ponderada del mejor y el peor resultado de cada decisión, y se escoge la media más elevada.</w:t>
      </w:r>
    </w:p>
    <w:p w14:paraId="4A26BF9D" w14:textId="36BB8482" w:rsidR="00F96758" w:rsidRDefault="00F96758" w:rsidP="00F96758">
      <w:pPr>
        <w:pStyle w:val="Nivel5"/>
        <w:ind w:left="1871"/>
      </w:pPr>
      <w:r>
        <w:t xml:space="preserve">Es decir se otorga una ponderación </w:t>
      </w:r>
      <m:oMath>
        <m:r>
          <m:rPr>
            <m:nor/>
          </m:rPr>
          <w:rPr>
            <w:i/>
          </w:rPr>
          <m:t>α</m:t>
        </m:r>
      </m:oMath>
      <w:r w:rsidRPr="00F96758">
        <w:t xml:space="preserve"> </w:t>
      </w:r>
      <w:r>
        <w:t xml:space="preserve">al mejor resultado y una ponderación </w:t>
      </w:r>
      <m:oMath>
        <m:r>
          <m:rPr>
            <m:nor/>
          </m:rPr>
          <w:rPr>
            <w:i/>
          </w:rPr>
          <m:t>1</m:t>
        </m:r>
        <m:r>
          <w:rPr>
            <w:rFonts w:ascii="Cambria Math" w:hAnsi="Cambria Math"/>
          </w:rPr>
          <m:t>-</m:t>
        </m:r>
        <m:r>
          <m:rPr>
            <m:nor/>
          </m:rPr>
          <w:rPr>
            <w:i/>
          </w:rPr>
          <m:t>α</m:t>
        </m:r>
      </m:oMath>
      <w:r>
        <w:t xml:space="preserve"> al peor resultado.</w:t>
      </w:r>
    </w:p>
    <w:p w14:paraId="65FB5FA3" w14:textId="77777777" w:rsidR="002955A0" w:rsidRDefault="00F96758" w:rsidP="00765240">
      <w:pPr>
        <w:pStyle w:val="Nivel5"/>
        <w:keepNext/>
        <w:ind w:left="1871"/>
      </w:pPr>
      <w:r>
        <w:t>Por ejemplo</w:t>
      </w:r>
      <w:r w:rsidR="002955A0">
        <w:t>,</w:t>
      </w:r>
      <w:r>
        <w:t xml:space="preserve"> </w:t>
      </w:r>
      <w:r w:rsidR="002955A0">
        <w:t>en la tabla de abajo:</w:t>
      </w:r>
    </w:p>
    <w:p w14:paraId="4B91D69B" w14:textId="66D73B65" w:rsidR="00F96758" w:rsidRPr="002955A0" w:rsidRDefault="002955A0" w:rsidP="006C3135">
      <w:pPr>
        <w:pStyle w:val="Nivel6"/>
        <w:ind w:left="2212"/>
      </w:pPr>
      <w:r>
        <w:t>P</w:t>
      </w:r>
      <w:r w:rsidR="00F96758">
        <w:t xml:space="preserve">ara la </w:t>
      </w:r>
      <w:r>
        <w:t>decisión</w:t>
      </w:r>
      <w:r w:rsidR="006C3135">
        <w:t> </w:t>
      </w:r>
      <w:r>
        <w:t>A</w:t>
      </w:r>
      <w:r w:rsidR="00F96758">
        <w:t>:</w:t>
      </w:r>
      <m:oMath>
        <m:r>
          <w:rPr>
            <w:rFonts w:ascii="Cambria Math" w:hAnsi="Cambria Math"/>
          </w:rPr>
          <m:t xml:space="preserve"> </m:t>
        </m:r>
        <m:r>
          <m:rPr>
            <m:nor/>
          </m:rPr>
          <w:rPr>
            <w:i/>
            <w:iCs/>
          </w:rPr>
          <w:sym w:font="Symbol" w:char="F061"/>
        </m:r>
        <m:r>
          <w:rPr>
            <w:rFonts w:ascii="Cambria Math" w:hAnsi="Cambria Math"/>
          </w:rPr>
          <m:t>∙</m:t>
        </m:r>
        <m:r>
          <m:rPr>
            <m:nor/>
          </m:rPr>
          <w:rPr>
            <w:i/>
            <w:iCs/>
          </w:rPr>
          <m:t>3</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w:sym w:font="Symbol" w:char="F061"/>
            </m:r>
          </m:e>
        </m:d>
        <m:r>
          <w:rPr>
            <w:rFonts w:ascii="Cambria Math" w:hAnsi="Cambria Math"/>
          </w:rPr>
          <m:t>∙</m:t>
        </m:r>
        <m:r>
          <m:rPr>
            <m:nor/>
          </m:rPr>
          <w:rPr>
            <w:i/>
            <w:iCs/>
          </w:rPr>
          <m:t>1</m:t>
        </m:r>
      </m:oMath>
    </w:p>
    <w:p w14:paraId="29458E5B" w14:textId="4ABAFE7A" w:rsidR="002955A0" w:rsidRPr="002955A0" w:rsidRDefault="002955A0" w:rsidP="006C3135">
      <w:pPr>
        <w:pStyle w:val="Nivel6"/>
        <w:ind w:left="2212"/>
      </w:pPr>
      <w:r>
        <w:rPr>
          <w:rFonts w:eastAsiaTheme="minorEastAsia"/>
          <w:iCs/>
        </w:rPr>
        <w:t>Para la decisión</w:t>
      </w:r>
      <w:r w:rsidR="006C3135">
        <w:rPr>
          <w:rFonts w:eastAsiaTheme="minorEastAsia"/>
          <w:iCs/>
        </w:rPr>
        <w:t> </w:t>
      </w:r>
      <w:r>
        <w:rPr>
          <w:rFonts w:eastAsiaTheme="minorEastAsia"/>
          <w:iCs/>
        </w:rPr>
        <w:t xml:space="preserve">B: </w:t>
      </w:r>
      <m:oMath>
        <m:r>
          <w:rPr>
            <w:rFonts w:ascii="Cambria Math" w:hAnsi="Cambria Math"/>
          </w:rPr>
          <m:t xml:space="preserve"> </m:t>
        </m:r>
        <m:r>
          <m:rPr>
            <m:nor/>
          </m:rPr>
          <w:rPr>
            <w:i/>
            <w:iCs/>
          </w:rPr>
          <w:sym w:font="Symbol" w:char="F061"/>
        </m:r>
        <m:r>
          <w:rPr>
            <w:rFonts w:ascii="Cambria Math" w:hAnsi="Cambria Math"/>
          </w:rPr>
          <m:t>∙</m:t>
        </m:r>
        <m:r>
          <m:rPr>
            <m:nor/>
          </m:rPr>
          <w:rPr>
            <w:i/>
            <w:iCs/>
          </w:rPr>
          <m:t>6</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w:sym w:font="Symbol" w:char="F061"/>
            </m:r>
          </m:e>
        </m:d>
        <m:r>
          <w:rPr>
            <w:rFonts w:ascii="Cambria Math" w:hAnsi="Cambria Math"/>
          </w:rPr>
          <m:t>∙</m:t>
        </m:r>
        <m:r>
          <m:rPr>
            <m:nor/>
          </m:rPr>
          <w:rPr>
            <w:i/>
            <w:iCs/>
          </w:rPr>
          <m:t>4</m:t>
        </m:r>
      </m:oMath>
    </w:p>
    <w:p w14:paraId="4E62B483" w14:textId="51809629" w:rsidR="002955A0" w:rsidRPr="00765240" w:rsidRDefault="002955A0" w:rsidP="006C3135">
      <w:pPr>
        <w:pStyle w:val="Nivel6"/>
        <w:keepNext/>
        <w:ind w:left="2212"/>
      </w:pPr>
      <w:r>
        <w:rPr>
          <w:rFonts w:eastAsiaTheme="minorEastAsia"/>
          <w:iCs/>
        </w:rPr>
        <w:t>Para la decisión</w:t>
      </w:r>
      <w:r w:rsidR="006C3135">
        <w:rPr>
          <w:rFonts w:eastAsiaTheme="minorEastAsia"/>
          <w:iCs/>
        </w:rPr>
        <w:t> </w:t>
      </w:r>
      <w:r>
        <w:rPr>
          <w:rFonts w:eastAsiaTheme="minorEastAsia"/>
          <w:iCs/>
        </w:rPr>
        <w:t>C:</w:t>
      </w:r>
      <m:oMath>
        <m:r>
          <w:rPr>
            <w:rFonts w:ascii="Cambria Math" w:eastAsiaTheme="minorEastAsia" w:hAnsi="Cambria Math"/>
          </w:rPr>
          <m:t xml:space="preserve"> </m:t>
        </m:r>
        <m:r>
          <m:rPr>
            <m:nor/>
          </m:rPr>
          <w:rPr>
            <w:i/>
            <w:iCs/>
          </w:rPr>
          <w:sym w:font="Symbol" w:char="F061"/>
        </m:r>
        <m:r>
          <w:rPr>
            <w:rFonts w:ascii="Cambria Math" w:hAnsi="Cambria Math"/>
          </w:rPr>
          <m:t>∙</m:t>
        </m:r>
        <m:r>
          <m:rPr>
            <m:nor/>
          </m:rPr>
          <w:rPr>
            <w:i/>
            <w:iCs/>
          </w:rPr>
          <m:t>9</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w:sym w:font="Symbol" w:char="F061"/>
            </m:r>
          </m:e>
        </m:d>
        <m:r>
          <w:rPr>
            <w:rFonts w:ascii="Cambria Math" w:hAnsi="Cambria Math"/>
          </w:rPr>
          <m:t>∙</m:t>
        </m:r>
        <m:r>
          <m:rPr>
            <m:nor/>
          </m:rPr>
          <w:rPr>
            <w:i/>
            <w:iCs/>
          </w:rPr>
          <m:t>7</m:t>
        </m:r>
      </m:oMath>
    </w:p>
    <w:p w14:paraId="03094874" w14:textId="2B36A7A0" w:rsidR="00765240" w:rsidRDefault="00765240" w:rsidP="006C3135">
      <w:pPr>
        <w:pStyle w:val="Nivel7"/>
        <w:ind w:left="2438"/>
      </w:pPr>
      <w:r>
        <w:t xml:space="preserve">En este caso, sea cual sea el valor de </w:t>
      </w:r>
      <m:oMath>
        <m:r>
          <m:rPr>
            <m:nor/>
          </m:rPr>
          <w:rPr>
            <w:i/>
            <w:iCs/>
          </w:rPr>
          <w:sym w:font="Symbol" w:char="F061"/>
        </m:r>
      </m:oMath>
      <w:r>
        <w:rPr>
          <w:rFonts w:eastAsiaTheme="minorEastAsia"/>
          <w:iCs/>
        </w:rPr>
        <w:t xml:space="preserve">, la decisión elegida será </w:t>
      </w:r>
      <w:r>
        <w:rPr>
          <w:rFonts w:eastAsiaTheme="minorEastAsia"/>
          <w:i/>
        </w:rPr>
        <w:t>C</w:t>
      </w:r>
      <w:r>
        <w:rPr>
          <w:rFonts w:eastAsiaTheme="minorEastAsia"/>
          <w:iCs/>
        </w:rPr>
        <w:t>.</w:t>
      </w:r>
    </w:p>
    <w:p w14:paraId="34E2D9B7" w14:textId="6192686D" w:rsidR="00F96758" w:rsidRDefault="00F96758" w:rsidP="00F96758">
      <w:pPr>
        <w:pStyle w:val="Nivel3SM"/>
        <w:keepNext/>
      </w:pPr>
      <w:r w:rsidRPr="00F96758">
        <w:rPr>
          <w:i/>
          <w:iCs/>
        </w:rPr>
        <w:t>Criterio de Savage</w:t>
      </w:r>
      <w:r>
        <w:t>:</w:t>
      </w:r>
    </w:p>
    <w:p w14:paraId="76854CFE" w14:textId="77777777" w:rsidR="000771C0" w:rsidRDefault="00F96758" w:rsidP="000771C0">
      <w:pPr>
        <w:pStyle w:val="Nivel4"/>
        <w:keepNext/>
        <w:ind w:left="1474"/>
      </w:pPr>
      <w:r>
        <w:t>Primero calcula el coste de oportunidad de cada decisión en cada estado</w:t>
      </w:r>
      <w:r w:rsidR="000771C0">
        <w:t>:</w:t>
      </w:r>
    </w:p>
    <w:p w14:paraId="173D3C5C" w14:textId="5E1771B8" w:rsidR="000771C0" w:rsidRPr="000771C0" w:rsidRDefault="000771C0" w:rsidP="000771C0">
      <w:pPr>
        <w:pStyle w:val="Nivel4"/>
        <w:numPr>
          <w:ilvl w:val="0"/>
          <w:numId w:val="0"/>
        </w:numPr>
        <w:ind w:left="1474"/>
        <w:rPr>
          <w:i/>
          <w:iCs/>
        </w:rPr>
      </w:pPr>
      <m:oMathPara>
        <m:oMath>
          <m:r>
            <m:rPr>
              <m:nor/>
            </m:rPr>
            <w:rPr>
              <w:i/>
              <w:iCs/>
            </w:rPr>
            <m:t>Coste de oportunidad</m:t>
          </m:r>
          <m:r>
            <w:rPr>
              <w:rFonts w:ascii="Cambria Math" w:hAnsi="Cambria Math"/>
            </w:rPr>
            <m:t>=</m:t>
          </m:r>
          <m:r>
            <m:rPr>
              <m:nor/>
            </m:rPr>
            <w:rPr>
              <w:i/>
              <w:iCs/>
            </w:rPr>
            <m:t xml:space="preserve">Mejor resultado en estado </m:t>
          </m:r>
          <m:sSub>
            <m:sSubPr>
              <m:ctrlPr>
                <w:rPr>
                  <w:rFonts w:ascii="Cambria Math" w:hAnsi="Cambria Math"/>
                  <w:i/>
                  <w:iCs/>
                </w:rPr>
              </m:ctrlPr>
            </m:sSubPr>
            <m:e>
              <m:r>
                <m:rPr>
                  <m:nor/>
                </m:rPr>
                <w:rPr>
                  <w:i/>
                  <w:iCs/>
                </w:rPr>
                <m:t>E</m:t>
              </m:r>
            </m:e>
            <m:sub>
              <m:r>
                <m:rPr>
                  <m:nor/>
                </m:rPr>
                <w:rPr>
                  <w:i/>
                  <w:iCs/>
                </w:rPr>
                <m:t>i</m:t>
              </m:r>
            </m:sub>
          </m:sSub>
          <m:r>
            <w:rPr>
              <w:rFonts w:ascii="Cambria Math" w:hAnsi="Cambria Math"/>
            </w:rPr>
            <m:t>-</m:t>
          </m:r>
          <m:r>
            <m:rPr>
              <m:nor/>
            </m:rPr>
            <w:rPr>
              <w:i/>
              <w:iCs/>
            </w:rPr>
            <m:t xml:space="preserve">Resultado con acción </m:t>
          </m:r>
          <m:sSub>
            <m:sSubPr>
              <m:ctrlPr>
                <w:rPr>
                  <w:rFonts w:ascii="Cambria Math" w:hAnsi="Cambria Math"/>
                  <w:i/>
                  <w:iCs/>
                </w:rPr>
              </m:ctrlPr>
            </m:sSubPr>
            <m:e>
              <m:r>
                <m:rPr>
                  <m:nor/>
                </m:rPr>
                <w:rPr>
                  <w:i/>
                  <w:iCs/>
                </w:rPr>
                <m:t>X</m:t>
              </m:r>
            </m:e>
            <m:sub>
              <m:r>
                <m:rPr>
                  <m:nor/>
                </m:rPr>
                <w:rPr>
                  <w:i/>
                  <w:iCs/>
                </w:rPr>
                <m:t>i</m:t>
              </m:r>
            </m:sub>
          </m:sSub>
        </m:oMath>
      </m:oMathPara>
    </w:p>
    <w:p w14:paraId="7DC72069" w14:textId="61A67898" w:rsidR="00F96758" w:rsidRDefault="00F96758" w:rsidP="00F96758">
      <w:pPr>
        <w:pStyle w:val="Nivel4"/>
        <w:ind w:left="1474"/>
      </w:pPr>
      <w:r>
        <w:t xml:space="preserve">Después </w:t>
      </w:r>
      <w:r w:rsidR="0037593F">
        <w:t xml:space="preserve">se </w:t>
      </w:r>
      <w:r>
        <w:t>suma</w:t>
      </w:r>
      <w:r w:rsidR="0037593F">
        <w:t>n</w:t>
      </w:r>
      <w:r>
        <w:t xml:space="preserve"> los costes de oportunidad de </w:t>
      </w:r>
      <w:r w:rsidR="00965DDC">
        <w:t>cada</w:t>
      </w:r>
      <w:r>
        <w:t xml:space="preserve"> decisión para </w:t>
      </w:r>
      <w:r w:rsidR="000771C0">
        <w:t xml:space="preserve">todos </w:t>
      </w:r>
      <w:r w:rsidR="00B1409B">
        <w:t xml:space="preserve">los </w:t>
      </w:r>
      <w:r>
        <w:t xml:space="preserve">estados, y </w:t>
      </w:r>
      <w:r w:rsidR="00B1409B">
        <w:t xml:space="preserve">se </w:t>
      </w:r>
      <w:r>
        <w:t>escoge aquella decisión en la que el coste de oportunidad total es menor.</w:t>
      </w:r>
    </w:p>
    <w:p w14:paraId="5D36AAF8" w14:textId="0D8FD2B0" w:rsidR="00F96758" w:rsidRDefault="00F96758" w:rsidP="00F96758">
      <w:pPr>
        <w:pStyle w:val="Nivel4"/>
        <w:keepNext/>
        <w:ind w:left="1474"/>
      </w:pPr>
      <w:r>
        <w:lastRenderedPageBreak/>
        <w:t>Para nuestro caso:</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2268"/>
        <w:gridCol w:w="2268"/>
        <w:gridCol w:w="2268"/>
        <w:gridCol w:w="2268"/>
      </w:tblGrid>
      <w:tr w:rsidR="00F96758" w:rsidRPr="00274FF8" w14:paraId="63A8AD8E" w14:textId="77777777" w:rsidTr="002955A0">
        <w:trPr>
          <w:jc w:val="center"/>
        </w:trPr>
        <w:tc>
          <w:tcPr>
            <w:tcW w:w="1701" w:type="dxa"/>
            <w:tcBorders>
              <w:top w:val="nil"/>
              <w:left w:val="nil"/>
            </w:tcBorders>
            <w:vAlign w:val="center"/>
          </w:tcPr>
          <w:p w14:paraId="1549E1BC" w14:textId="1DE639D8" w:rsidR="00F96758" w:rsidRPr="00274FF8" w:rsidRDefault="00F96758" w:rsidP="00F96758">
            <w:pPr>
              <w:spacing w:after="0"/>
              <w:jc w:val="center"/>
              <w:rPr>
                <w:sz w:val="18"/>
                <w:szCs w:val="18"/>
              </w:rPr>
            </w:pPr>
          </w:p>
        </w:tc>
        <w:tc>
          <w:tcPr>
            <w:tcW w:w="2268" w:type="dxa"/>
            <w:vAlign w:val="center"/>
          </w:tcPr>
          <w:p w14:paraId="4E65A384" w14:textId="25150E4E" w:rsidR="00F96758" w:rsidRPr="002955A0" w:rsidRDefault="002955A0" w:rsidP="00F96758">
            <w:pPr>
              <w:spacing w:after="0"/>
              <w:jc w:val="center"/>
              <w:rPr>
                <w:spacing w:val="-2"/>
                <w:sz w:val="18"/>
                <w:szCs w:val="18"/>
              </w:rPr>
            </w:pPr>
            <w:r w:rsidRPr="002955A0">
              <w:rPr>
                <w:spacing w:val="-2"/>
                <w:sz w:val="18"/>
                <w:szCs w:val="18"/>
              </w:rPr>
              <w:t xml:space="preserve">Estado 1 </w:t>
            </w:r>
            <w:r w:rsidR="00F96758" w:rsidRPr="002955A0">
              <w:rPr>
                <w:spacing w:val="-2"/>
                <w:sz w:val="14"/>
                <w:szCs w:val="14"/>
              </w:rPr>
              <w:t>(mejor decisión C (7))</w:t>
            </w:r>
          </w:p>
        </w:tc>
        <w:tc>
          <w:tcPr>
            <w:tcW w:w="2268" w:type="dxa"/>
            <w:vAlign w:val="center"/>
          </w:tcPr>
          <w:p w14:paraId="2C3EDDF7" w14:textId="0C9E5499" w:rsidR="00F96758" w:rsidRPr="00274FF8" w:rsidRDefault="002955A0" w:rsidP="00F96758">
            <w:pPr>
              <w:spacing w:after="0"/>
              <w:jc w:val="center"/>
              <w:rPr>
                <w:sz w:val="18"/>
                <w:szCs w:val="18"/>
              </w:rPr>
            </w:pPr>
            <w:r w:rsidRPr="002955A0">
              <w:rPr>
                <w:spacing w:val="-2"/>
                <w:sz w:val="18"/>
                <w:szCs w:val="18"/>
              </w:rPr>
              <w:t>Estado </w:t>
            </w:r>
            <w:r>
              <w:rPr>
                <w:spacing w:val="-2"/>
                <w:sz w:val="18"/>
                <w:szCs w:val="18"/>
              </w:rPr>
              <w:t>2</w:t>
            </w:r>
            <w:r w:rsidRPr="002955A0">
              <w:rPr>
                <w:spacing w:val="-2"/>
                <w:sz w:val="18"/>
                <w:szCs w:val="18"/>
              </w:rPr>
              <w:t xml:space="preserve"> </w:t>
            </w:r>
            <w:r w:rsidRPr="002955A0">
              <w:rPr>
                <w:spacing w:val="-2"/>
                <w:sz w:val="14"/>
                <w:szCs w:val="14"/>
              </w:rPr>
              <w:t>(mejor decisión C (</w:t>
            </w:r>
            <w:r>
              <w:rPr>
                <w:spacing w:val="-2"/>
                <w:sz w:val="14"/>
                <w:szCs w:val="14"/>
              </w:rPr>
              <w:t>8</w:t>
            </w:r>
            <w:r w:rsidRPr="002955A0">
              <w:rPr>
                <w:spacing w:val="-2"/>
                <w:sz w:val="14"/>
                <w:szCs w:val="14"/>
              </w:rPr>
              <w:t>))</w:t>
            </w:r>
          </w:p>
        </w:tc>
        <w:tc>
          <w:tcPr>
            <w:tcW w:w="2268" w:type="dxa"/>
            <w:vAlign w:val="center"/>
          </w:tcPr>
          <w:p w14:paraId="02D60C80" w14:textId="58F103D7" w:rsidR="00F96758" w:rsidRPr="00274FF8" w:rsidRDefault="002955A0" w:rsidP="00F96758">
            <w:pPr>
              <w:spacing w:after="0"/>
              <w:jc w:val="center"/>
              <w:rPr>
                <w:sz w:val="18"/>
                <w:szCs w:val="18"/>
              </w:rPr>
            </w:pPr>
            <w:r w:rsidRPr="002955A0">
              <w:rPr>
                <w:spacing w:val="-2"/>
                <w:sz w:val="18"/>
                <w:szCs w:val="18"/>
              </w:rPr>
              <w:t>Estado </w:t>
            </w:r>
            <w:r>
              <w:rPr>
                <w:spacing w:val="-2"/>
                <w:sz w:val="18"/>
                <w:szCs w:val="18"/>
              </w:rPr>
              <w:t>3</w:t>
            </w:r>
            <w:r w:rsidRPr="002955A0">
              <w:rPr>
                <w:spacing w:val="-2"/>
                <w:sz w:val="18"/>
                <w:szCs w:val="18"/>
              </w:rPr>
              <w:t xml:space="preserve"> </w:t>
            </w:r>
            <w:r w:rsidRPr="002955A0">
              <w:rPr>
                <w:spacing w:val="-2"/>
                <w:sz w:val="14"/>
                <w:szCs w:val="14"/>
              </w:rPr>
              <w:t>(mejor decisión C (</w:t>
            </w:r>
            <w:r>
              <w:rPr>
                <w:spacing w:val="-2"/>
                <w:sz w:val="14"/>
                <w:szCs w:val="14"/>
              </w:rPr>
              <w:t>9</w:t>
            </w:r>
            <w:r w:rsidRPr="002955A0">
              <w:rPr>
                <w:spacing w:val="-2"/>
                <w:sz w:val="14"/>
                <w:szCs w:val="14"/>
              </w:rPr>
              <w:t>))</w:t>
            </w:r>
          </w:p>
        </w:tc>
        <w:tc>
          <w:tcPr>
            <w:tcW w:w="2268" w:type="dxa"/>
            <w:vAlign w:val="center"/>
          </w:tcPr>
          <w:p w14:paraId="68AA2DB7" w14:textId="77777777" w:rsidR="00F96758" w:rsidRPr="00274FF8" w:rsidRDefault="00F96758" w:rsidP="00F96758">
            <w:pPr>
              <w:spacing w:after="0"/>
              <w:jc w:val="center"/>
              <w:rPr>
                <w:sz w:val="18"/>
                <w:szCs w:val="18"/>
              </w:rPr>
            </w:pPr>
            <w:r>
              <w:rPr>
                <w:sz w:val="18"/>
                <w:szCs w:val="18"/>
              </w:rPr>
              <w:t>Coste de Oportunidad</w:t>
            </w:r>
          </w:p>
        </w:tc>
      </w:tr>
      <w:tr w:rsidR="00F96758" w:rsidRPr="00274FF8" w14:paraId="326010F4" w14:textId="77777777" w:rsidTr="00F96758">
        <w:trPr>
          <w:jc w:val="center"/>
        </w:trPr>
        <w:tc>
          <w:tcPr>
            <w:tcW w:w="1701" w:type="dxa"/>
            <w:vAlign w:val="center"/>
          </w:tcPr>
          <w:p w14:paraId="59171CE4" w14:textId="197FC096" w:rsidR="00F96758" w:rsidRPr="00274FF8" w:rsidRDefault="002955A0" w:rsidP="00F96758">
            <w:pPr>
              <w:spacing w:after="0"/>
              <w:jc w:val="center"/>
              <w:rPr>
                <w:sz w:val="18"/>
                <w:szCs w:val="18"/>
              </w:rPr>
            </w:pPr>
            <w:r>
              <w:rPr>
                <w:sz w:val="18"/>
                <w:szCs w:val="18"/>
              </w:rPr>
              <w:t>Decisión</w:t>
            </w:r>
            <w:r w:rsidR="006C3135">
              <w:rPr>
                <w:sz w:val="18"/>
                <w:szCs w:val="18"/>
              </w:rPr>
              <w:t> </w:t>
            </w:r>
            <w:r w:rsidR="00F96758" w:rsidRPr="00274FF8">
              <w:rPr>
                <w:sz w:val="18"/>
                <w:szCs w:val="18"/>
              </w:rPr>
              <w:t>A</w:t>
            </w:r>
          </w:p>
        </w:tc>
        <w:tc>
          <w:tcPr>
            <w:tcW w:w="2268" w:type="dxa"/>
            <w:vAlign w:val="center"/>
          </w:tcPr>
          <w:p w14:paraId="66BC3DC7" w14:textId="029FD7A4" w:rsidR="00F96758" w:rsidRPr="00274FF8" w:rsidRDefault="00F96758" w:rsidP="00F96758">
            <w:pPr>
              <w:spacing w:after="0"/>
              <w:jc w:val="center"/>
              <w:rPr>
                <w:sz w:val="18"/>
                <w:szCs w:val="18"/>
              </w:rPr>
            </w:pPr>
            <w:r>
              <w:rPr>
                <w:sz w:val="18"/>
                <w:szCs w:val="18"/>
              </w:rPr>
              <w:t xml:space="preserve">1 </w:t>
            </w:r>
            <w:r w:rsidRPr="00C226E0">
              <w:rPr>
                <w:sz w:val="14"/>
                <w:szCs w:val="14"/>
              </w:rPr>
              <w:t>(7 </w:t>
            </w:r>
            <w:r w:rsidRPr="00C226E0">
              <w:rPr>
                <w:rFonts w:ascii="Times New Roman" w:hAnsi="Times New Roman" w:cs="Times New Roman"/>
                <w:sz w:val="14"/>
                <w:szCs w:val="14"/>
              </w:rPr>
              <w:t>– </w:t>
            </w:r>
            <w:r w:rsidRPr="00C226E0">
              <w:rPr>
                <w:sz w:val="14"/>
                <w:szCs w:val="14"/>
              </w:rPr>
              <w:t>1 = 6)</w:t>
            </w:r>
          </w:p>
        </w:tc>
        <w:tc>
          <w:tcPr>
            <w:tcW w:w="2268" w:type="dxa"/>
            <w:vAlign w:val="center"/>
          </w:tcPr>
          <w:p w14:paraId="5E9AEB29" w14:textId="2B0171D9" w:rsidR="00F96758" w:rsidRPr="00274FF8" w:rsidRDefault="00F96758" w:rsidP="00F96758">
            <w:pPr>
              <w:spacing w:after="0"/>
              <w:jc w:val="center"/>
              <w:rPr>
                <w:sz w:val="18"/>
                <w:szCs w:val="18"/>
              </w:rPr>
            </w:pPr>
            <w:r w:rsidRPr="00274FF8">
              <w:rPr>
                <w:sz w:val="18"/>
                <w:szCs w:val="18"/>
              </w:rPr>
              <w:t>2</w:t>
            </w:r>
            <w:r>
              <w:rPr>
                <w:sz w:val="18"/>
                <w:szCs w:val="18"/>
              </w:rPr>
              <w:t xml:space="preserve"> </w:t>
            </w:r>
            <w:r w:rsidRPr="00C226E0">
              <w:rPr>
                <w:sz w:val="14"/>
                <w:szCs w:val="14"/>
              </w:rPr>
              <w:t>(8 </w:t>
            </w:r>
            <w:r w:rsidRPr="00C226E0">
              <w:rPr>
                <w:rFonts w:ascii="Times New Roman" w:hAnsi="Times New Roman" w:cs="Times New Roman"/>
                <w:sz w:val="14"/>
                <w:szCs w:val="14"/>
              </w:rPr>
              <w:t>– </w:t>
            </w:r>
            <w:r w:rsidRPr="00C226E0">
              <w:rPr>
                <w:sz w:val="14"/>
                <w:szCs w:val="14"/>
              </w:rPr>
              <w:t>2 = 6)</w:t>
            </w:r>
          </w:p>
        </w:tc>
        <w:tc>
          <w:tcPr>
            <w:tcW w:w="2268" w:type="dxa"/>
            <w:vAlign w:val="center"/>
          </w:tcPr>
          <w:p w14:paraId="783C6500" w14:textId="00560F27" w:rsidR="00F96758" w:rsidRPr="00274FF8" w:rsidRDefault="00F96758" w:rsidP="00F96758">
            <w:pPr>
              <w:spacing w:after="0"/>
              <w:jc w:val="center"/>
              <w:rPr>
                <w:sz w:val="18"/>
                <w:szCs w:val="18"/>
              </w:rPr>
            </w:pPr>
            <w:r w:rsidRPr="00274FF8">
              <w:rPr>
                <w:sz w:val="18"/>
                <w:szCs w:val="18"/>
              </w:rPr>
              <w:t>3</w:t>
            </w:r>
            <w:r>
              <w:rPr>
                <w:sz w:val="18"/>
                <w:szCs w:val="18"/>
              </w:rPr>
              <w:t xml:space="preserve"> </w:t>
            </w:r>
            <w:r w:rsidRPr="00C226E0">
              <w:rPr>
                <w:sz w:val="14"/>
                <w:szCs w:val="14"/>
              </w:rPr>
              <w:t>(9 </w:t>
            </w:r>
            <w:r w:rsidRPr="00C226E0">
              <w:rPr>
                <w:rFonts w:ascii="Times New Roman" w:hAnsi="Times New Roman" w:cs="Times New Roman"/>
                <w:sz w:val="14"/>
                <w:szCs w:val="14"/>
              </w:rPr>
              <w:t>− </w:t>
            </w:r>
            <w:r w:rsidRPr="00C226E0">
              <w:rPr>
                <w:sz w:val="14"/>
                <w:szCs w:val="14"/>
              </w:rPr>
              <w:t>3 = 6)</w:t>
            </w:r>
          </w:p>
        </w:tc>
        <w:tc>
          <w:tcPr>
            <w:tcW w:w="2268" w:type="dxa"/>
            <w:vAlign w:val="center"/>
          </w:tcPr>
          <w:p w14:paraId="3FFB9A6D" w14:textId="7FF8A885" w:rsidR="00F96758" w:rsidRPr="00274FF8" w:rsidRDefault="00F96758" w:rsidP="00F96758">
            <w:pPr>
              <w:spacing w:after="0"/>
              <w:jc w:val="center"/>
              <w:rPr>
                <w:sz w:val="18"/>
                <w:szCs w:val="18"/>
              </w:rPr>
            </w:pPr>
            <w:r>
              <w:rPr>
                <w:sz w:val="18"/>
                <w:szCs w:val="18"/>
              </w:rPr>
              <w:t>6 + 6 + 6 = 18</w:t>
            </w:r>
          </w:p>
        </w:tc>
      </w:tr>
      <w:tr w:rsidR="00F96758" w:rsidRPr="00274FF8" w14:paraId="0BBC2A35" w14:textId="77777777" w:rsidTr="00F96758">
        <w:trPr>
          <w:jc w:val="center"/>
        </w:trPr>
        <w:tc>
          <w:tcPr>
            <w:tcW w:w="1701" w:type="dxa"/>
            <w:vAlign w:val="center"/>
          </w:tcPr>
          <w:p w14:paraId="2A7733D0" w14:textId="482D7850" w:rsidR="00F96758" w:rsidRPr="00274FF8" w:rsidRDefault="002955A0" w:rsidP="00F96758">
            <w:pPr>
              <w:spacing w:after="0"/>
              <w:jc w:val="center"/>
              <w:rPr>
                <w:sz w:val="18"/>
                <w:szCs w:val="18"/>
              </w:rPr>
            </w:pPr>
            <w:r>
              <w:rPr>
                <w:sz w:val="18"/>
                <w:szCs w:val="18"/>
              </w:rPr>
              <w:t>Decisión</w:t>
            </w:r>
            <w:r w:rsidR="006C3135">
              <w:rPr>
                <w:sz w:val="18"/>
                <w:szCs w:val="18"/>
              </w:rPr>
              <w:t> </w:t>
            </w:r>
            <w:r w:rsidR="00F96758" w:rsidRPr="00274FF8">
              <w:rPr>
                <w:sz w:val="18"/>
                <w:szCs w:val="18"/>
              </w:rPr>
              <w:t>B</w:t>
            </w:r>
          </w:p>
        </w:tc>
        <w:tc>
          <w:tcPr>
            <w:tcW w:w="2268" w:type="dxa"/>
            <w:vAlign w:val="center"/>
          </w:tcPr>
          <w:p w14:paraId="3A0B7DDE" w14:textId="1BF567CA" w:rsidR="00F96758" w:rsidRPr="00274FF8" w:rsidRDefault="00F96758" w:rsidP="00F96758">
            <w:pPr>
              <w:spacing w:after="0"/>
              <w:jc w:val="center"/>
              <w:rPr>
                <w:sz w:val="18"/>
                <w:szCs w:val="18"/>
              </w:rPr>
            </w:pPr>
            <w:r>
              <w:rPr>
                <w:sz w:val="18"/>
                <w:szCs w:val="18"/>
              </w:rPr>
              <w:t xml:space="preserve">4 </w:t>
            </w:r>
            <w:r w:rsidRPr="00C226E0">
              <w:rPr>
                <w:sz w:val="14"/>
                <w:szCs w:val="14"/>
              </w:rPr>
              <w:t>(7 </w:t>
            </w:r>
            <w:r w:rsidRPr="00C226E0">
              <w:rPr>
                <w:rFonts w:ascii="Times New Roman" w:hAnsi="Times New Roman" w:cs="Times New Roman"/>
                <w:sz w:val="14"/>
                <w:szCs w:val="14"/>
              </w:rPr>
              <w:t>− </w:t>
            </w:r>
            <w:r w:rsidRPr="00C226E0">
              <w:rPr>
                <w:sz w:val="14"/>
                <w:szCs w:val="14"/>
              </w:rPr>
              <w:t>4 = 3)</w:t>
            </w:r>
          </w:p>
        </w:tc>
        <w:tc>
          <w:tcPr>
            <w:tcW w:w="2268" w:type="dxa"/>
            <w:vAlign w:val="center"/>
          </w:tcPr>
          <w:p w14:paraId="65E8762D" w14:textId="77E9DA1F" w:rsidR="00F96758" w:rsidRPr="00274FF8" w:rsidRDefault="00F96758" w:rsidP="00F96758">
            <w:pPr>
              <w:spacing w:after="0"/>
              <w:jc w:val="center"/>
              <w:rPr>
                <w:sz w:val="18"/>
                <w:szCs w:val="18"/>
              </w:rPr>
            </w:pPr>
            <w:r>
              <w:rPr>
                <w:sz w:val="18"/>
                <w:szCs w:val="18"/>
              </w:rPr>
              <w:t xml:space="preserve">5 </w:t>
            </w:r>
            <w:r w:rsidRPr="00C226E0">
              <w:rPr>
                <w:sz w:val="14"/>
                <w:szCs w:val="14"/>
              </w:rPr>
              <w:t>(8 </w:t>
            </w:r>
            <w:r w:rsidRPr="00C226E0">
              <w:rPr>
                <w:rFonts w:ascii="Times New Roman" w:hAnsi="Times New Roman" w:cs="Times New Roman"/>
                <w:sz w:val="14"/>
                <w:szCs w:val="14"/>
              </w:rPr>
              <w:t>− </w:t>
            </w:r>
            <w:r w:rsidRPr="00C226E0">
              <w:rPr>
                <w:sz w:val="14"/>
                <w:szCs w:val="14"/>
              </w:rPr>
              <w:t>5 = 3)</w:t>
            </w:r>
          </w:p>
        </w:tc>
        <w:tc>
          <w:tcPr>
            <w:tcW w:w="2268" w:type="dxa"/>
            <w:vAlign w:val="center"/>
          </w:tcPr>
          <w:p w14:paraId="220A95F5" w14:textId="47A4C483" w:rsidR="00F96758" w:rsidRPr="00274FF8" w:rsidRDefault="00F96758" w:rsidP="00F96758">
            <w:pPr>
              <w:spacing w:after="0"/>
              <w:jc w:val="center"/>
              <w:rPr>
                <w:sz w:val="18"/>
                <w:szCs w:val="18"/>
              </w:rPr>
            </w:pPr>
            <w:r>
              <w:rPr>
                <w:sz w:val="18"/>
                <w:szCs w:val="18"/>
              </w:rPr>
              <w:t xml:space="preserve">6 </w:t>
            </w:r>
            <w:r w:rsidRPr="00C226E0">
              <w:rPr>
                <w:sz w:val="14"/>
                <w:szCs w:val="14"/>
              </w:rPr>
              <w:t>(9 </w:t>
            </w:r>
            <w:r w:rsidRPr="00C226E0">
              <w:rPr>
                <w:rFonts w:ascii="Times New Roman" w:hAnsi="Times New Roman" w:cs="Times New Roman"/>
                <w:sz w:val="14"/>
                <w:szCs w:val="14"/>
              </w:rPr>
              <w:t>– </w:t>
            </w:r>
            <w:r w:rsidRPr="00C226E0">
              <w:rPr>
                <w:sz w:val="14"/>
                <w:szCs w:val="14"/>
              </w:rPr>
              <w:t>6 = 3)</w:t>
            </w:r>
          </w:p>
        </w:tc>
        <w:tc>
          <w:tcPr>
            <w:tcW w:w="2268" w:type="dxa"/>
            <w:vAlign w:val="center"/>
          </w:tcPr>
          <w:p w14:paraId="0B27AA47" w14:textId="24F5F7B1" w:rsidR="00F96758" w:rsidRDefault="00F96758" w:rsidP="00F96758">
            <w:pPr>
              <w:spacing w:after="0"/>
              <w:jc w:val="center"/>
              <w:rPr>
                <w:sz w:val="18"/>
                <w:szCs w:val="18"/>
              </w:rPr>
            </w:pPr>
            <w:r>
              <w:rPr>
                <w:sz w:val="18"/>
                <w:szCs w:val="18"/>
              </w:rPr>
              <w:t>3 + 3 + 3 = 9</w:t>
            </w:r>
          </w:p>
        </w:tc>
      </w:tr>
      <w:tr w:rsidR="00F96758" w:rsidRPr="00274FF8" w14:paraId="4773E68B" w14:textId="77777777" w:rsidTr="00F96758">
        <w:trPr>
          <w:jc w:val="center"/>
        </w:trPr>
        <w:tc>
          <w:tcPr>
            <w:tcW w:w="1701" w:type="dxa"/>
            <w:vAlign w:val="center"/>
          </w:tcPr>
          <w:p w14:paraId="4CABE083" w14:textId="6A4F8E0D" w:rsidR="00F96758" w:rsidRPr="00274FF8" w:rsidRDefault="002955A0" w:rsidP="00F96758">
            <w:pPr>
              <w:spacing w:after="0"/>
              <w:jc w:val="center"/>
              <w:rPr>
                <w:sz w:val="18"/>
                <w:szCs w:val="18"/>
              </w:rPr>
            </w:pPr>
            <w:r w:rsidRPr="002955A0">
              <w:rPr>
                <w:sz w:val="18"/>
                <w:szCs w:val="18"/>
              </w:rPr>
              <w:t>Decisión</w:t>
            </w:r>
            <w:r w:rsidR="006C3135">
              <w:rPr>
                <w:sz w:val="18"/>
                <w:szCs w:val="18"/>
              </w:rPr>
              <w:t> </w:t>
            </w:r>
            <w:r w:rsidR="00F96758">
              <w:rPr>
                <w:sz w:val="18"/>
                <w:szCs w:val="18"/>
              </w:rPr>
              <w:t>C</w:t>
            </w:r>
          </w:p>
        </w:tc>
        <w:tc>
          <w:tcPr>
            <w:tcW w:w="2268" w:type="dxa"/>
            <w:vAlign w:val="center"/>
          </w:tcPr>
          <w:p w14:paraId="78D0D056" w14:textId="67B3C2F2" w:rsidR="00F96758" w:rsidRPr="00274FF8" w:rsidRDefault="00F96758" w:rsidP="00F96758">
            <w:pPr>
              <w:spacing w:after="0"/>
              <w:jc w:val="center"/>
              <w:rPr>
                <w:sz w:val="18"/>
                <w:szCs w:val="18"/>
              </w:rPr>
            </w:pPr>
            <w:r>
              <w:rPr>
                <w:sz w:val="18"/>
                <w:szCs w:val="18"/>
              </w:rPr>
              <w:t xml:space="preserve">7 </w:t>
            </w:r>
            <w:r w:rsidRPr="00C226E0">
              <w:rPr>
                <w:sz w:val="14"/>
                <w:szCs w:val="14"/>
              </w:rPr>
              <w:t>(7 </w:t>
            </w:r>
            <w:r w:rsidRPr="00C226E0">
              <w:rPr>
                <w:rFonts w:ascii="Times New Roman" w:hAnsi="Times New Roman" w:cs="Times New Roman"/>
                <w:sz w:val="14"/>
                <w:szCs w:val="14"/>
              </w:rPr>
              <w:t>– </w:t>
            </w:r>
            <w:r w:rsidRPr="00C226E0">
              <w:rPr>
                <w:sz w:val="14"/>
                <w:szCs w:val="14"/>
              </w:rPr>
              <w:t>7 = 0)</w:t>
            </w:r>
          </w:p>
        </w:tc>
        <w:tc>
          <w:tcPr>
            <w:tcW w:w="2268" w:type="dxa"/>
            <w:vAlign w:val="center"/>
          </w:tcPr>
          <w:p w14:paraId="7DD56FC5" w14:textId="6D6ED45E" w:rsidR="00F96758" w:rsidRPr="00274FF8" w:rsidRDefault="00F96758" w:rsidP="00F96758">
            <w:pPr>
              <w:spacing w:after="0"/>
              <w:jc w:val="center"/>
              <w:rPr>
                <w:sz w:val="18"/>
                <w:szCs w:val="18"/>
              </w:rPr>
            </w:pPr>
            <w:r>
              <w:rPr>
                <w:sz w:val="18"/>
                <w:szCs w:val="18"/>
              </w:rPr>
              <w:t xml:space="preserve">8 </w:t>
            </w:r>
            <w:r w:rsidRPr="00C226E0">
              <w:rPr>
                <w:sz w:val="14"/>
                <w:szCs w:val="14"/>
              </w:rPr>
              <w:t>(8 </w:t>
            </w:r>
            <w:r w:rsidRPr="00C226E0">
              <w:rPr>
                <w:rFonts w:ascii="Times New Roman" w:hAnsi="Times New Roman" w:cs="Times New Roman"/>
                <w:sz w:val="14"/>
                <w:szCs w:val="14"/>
              </w:rPr>
              <w:t>– </w:t>
            </w:r>
            <w:r w:rsidRPr="00C226E0">
              <w:rPr>
                <w:sz w:val="14"/>
                <w:szCs w:val="14"/>
              </w:rPr>
              <w:t>8 = 0)</w:t>
            </w:r>
          </w:p>
        </w:tc>
        <w:tc>
          <w:tcPr>
            <w:tcW w:w="2268" w:type="dxa"/>
            <w:vAlign w:val="center"/>
          </w:tcPr>
          <w:p w14:paraId="002DD494" w14:textId="65137AE4" w:rsidR="00F96758" w:rsidRPr="00274FF8" w:rsidRDefault="00F96758" w:rsidP="00F96758">
            <w:pPr>
              <w:spacing w:after="0"/>
              <w:jc w:val="center"/>
              <w:rPr>
                <w:sz w:val="18"/>
                <w:szCs w:val="18"/>
              </w:rPr>
            </w:pPr>
            <w:r>
              <w:rPr>
                <w:sz w:val="18"/>
                <w:szCs w:val="18"/>
              </w:rPr>
              <w:t xml:space="preserve">9 </w:t>
            </w:r>
            <w:r w:rsidRPr="00C226E0">
              <w:rPr>
                <w:sz w:val="14"/>
                <w:szCs w:val="14"/>
              </w:rPr>
              <w:t>(9 </w:t>
            </w:r>
            <w:r w:rsidRPr="00C226E0">
              <w:rPr>
                <w:rFonts w:ascii="Times New Roman" w:hAnsi="Times New Roman" w:cs="Times New Roman"/>
                <w:sz w:val="14"/>
                <w:szCs w:val="14"/>
              </w:rPr>
              <w:t>− </w:t>
            </w:r>
            <w:r w:rsidRPr="00C226E0">
              <w:rPr>
                <w:sz w:val="14"/>
                <w:szCs w:val="14"/>
              </w:rPr>
              <w:t>9 = 0)</w:t>
            </w:r>
          </w:p>
        </w:tc>
        <w:tc>
          <w:tcPr>
            <w:tcW w:w="2268" w:type="dxa"/>
            <w:vAlign w:val="center"/>
          </w:tcPr>
          <w:p w14:paraId="7940D68D" w14:textId="7B1775CE" w:rsidR="00F96758" w:rsidRDefault="00F96758" w:rsidP="00F96758">
            <w:pPr>
              <w:spacing w:after="0"/>
              <w:jc w:val="center"/>
              <w:rPr>
                <w:sz w:val="18"/>
                <w:szCs w:val="18"/>
              </w:rPr>
            </w:pPr>
            <w:r>
              <w:rPr>
                <w:sz w:val="18"/>
                <w:szCs w:val="18"/>
              </w:rPr>
              <w:t>0 + 0 + 0 = 0</w:t>
            </w:r>
          </w:p>
        </w:tc>
      </w:tr>
    </w:tbl>
    <w:p w14:paraId="36EA1B8D" w14:textId="77777777" w:rsidR="00342648" w:rsidRDefault="00342648" w:rsidP="00E5034D">
      <w:pPr>
        <w:pStyle w:val="Introduccinyconclusin"/>
      </w:pPr>
      <w:bookmarkStart w:id="80" w:name="_Toc55381925"/>
      <w:bookmarkStart w:id="81" w:name="_Toc55382060"/>
      <w:bookmarkStart w:id="82" w:name="_Toc55382095"/>
      <w:bookmarkStart w:id="83" w:name="_Toc55382523"/>
      <w:r>
        <w:t>CONCLUSIÓN</w:t>
      </w:r>
      <w:bookmarkEnd w:id="80"/>
      <w:bookmarkEnd w:id="81"/>
      <w:bookmarkEnd w:id="82"/>
      <w:bookmarkEnd w:id="83"/>
    </w:p>
    <w:p w14:paraId="4E2FAF3D" w14:textId="77777777" w:rsidR="002E0C48" w:rsidRPr="00AC65FF" w:rsidRDefault="00A42B58" w:rsidP="00093622">
      <w:pPr>
        <w:pStyle w:val="Nivel1"/>
        <w:keepNext/>
        <w:spacing w:before="0" w:after="0"/>
      </w:pPr>
      <w:r w:rsidRPr="00093622">
        <w:rPr>
          <w:b/>
          <w:bCs/>
          <w:i/>
          <w:iCs/>
        </w:rPr>
        <w:t>Recapitulación (</w:t>
      </w:r>
      <w:r w:rsidR="00EB707E" w:rsidRPr="00093622">
        <w:rPr>
          <w:b/>
          <w:bCs/>
          <w:i/>
          <w:iCs/>
        </w:rPr>
        <w:t>Ideas clave</w:t>
      </w:r>
      <w:r w:rsidRPr="00093622">
        <w:rPr>
          <w:b/>
          <w:bCs/>
          <w:i/>
          <w:iCs/>
        </w:rPr>
        <w:t>)</w:t>
      </w:r>
      <w:r w:rsidR="002E0C48" w:rsidRPr="00AC65FF">
        <w:t>:</w:t>
      </w:r>
    </w:p>
    <w:p w14:paraId="166287C9" w14:textId="1A5A5E47" w:rsidR="00EB707E" w:rsidRDefault="00B31421" w:rsidP="00C4210F">
      <w:pPr>
        <w:pStyle w:val="Nivel2"/>
      </w:pPr>
      <w:r>
        <w:t>En la presente exposición hemos analizado la TUE. Se trata de una contribución realizada por una serie de economistas que aplican la teoría de la elección a situaciones de ausencia de información perfecta.</w:t>
      </w:r>
    </w:p>
    <w:p w14:paraId="3146A18A" w14:textId="53F95B19" w:rsidR="00B31421" w:rsidRDefault="00B31421" w:rsidP="00C4210F">
      <w:pPr>
        <w:pStyle w:val="Nivel2"/>
      </w:pPr>
      <w:r>
        <w:t>Hemos abordado la axiomática, los componentes de la función de utilidad esperada, las aplicaciones, las críticas y el enfoque de probabilidades subjetivas.</w:t>
      </w:r>
    </w:p>
    <w:p w14:paraId="61708552" w14:textId="710A6E23" w:rsidR="002E0C48" w:rsidRDefault="00B31421" w:rsidP="00D97EEA">
      <w:pPr>
        <w:pStyle w:val="Nivel2"/>
      </w:pPr>
      <w:r>
        <w:t>Estas contribuciones son de utilidad en varias ramas de la teoría económica.</w:t>
      </w:r>
    </w:p>
    <w:p w14:paraId="34B787A9" w14:textId="77777777" w:rsidR="005E53B9" w:rsidRPr="00AC65FF" w:rsidRDefault="002E0C48" w:rsidP="00A45EEB">
      <w:pPr>
        <w:pStyle w:val="Nivel1"/>
        <w:keepNext/>
        <w:spacing w:after="0"/>
        <w:rPr>
          <w:spacing w:val="-4"/>
        </w:rPr>
      </w:pPr>
      <w:r w:rsidRPr="00AC65FF">
        <w:rPr>
          <w:b/>
          <w:bCs/>
          <w:i/>
          <w:iCs/>
          <w:spacing w:val="-4"/>
        </w:rPr>
        <w:t>Relevancia</w:t>
      </w:r>
      <w:r w:rsidRPr="00AC65FF">
        <w:rPr>
          <w:spacing w:val="-4"/>
        </w:rPr>
        <w:t>:</w:t>
      </w:r>
    </w:p>
    <w:p w14:paraId="7FDC354F" w14:textId="77777777" w:rsidR="00502A72" w:rsidRDefault="00502A72" w:rsidP="00C4210F">
      <w:pPr>
        <w:pStyle w:val="Nivel2"/>
      </w:pPr>
    </w:p>
    <w:p w14:paraId="3DF60C83" w14:textId="77777777" w:rsidR="00342648" w:rsidRPr="00AC65FF" w:rsidRDefault="002E0C48" w:rsidP="00A45EEB">
      <w:pPr>
        <w:pStyle w:val="Nivel1"/>
        <w:keepNext/>
        <w:spacing w:after="0"/>
        <w:rPr>
          <w:spacing w:val="-4"/>
        </w:rPr>
      </w:pPr>
      <w:r w:rsidRPr="00AC65FF">
        <w:rPr>
          <w:b/>
          <w:bCs/>
          <w:i/>
          <w:iCs/>
          <w:spacing w:val="-4"/>
        </w:rPr>
        <w:t>E</w:t>
      </w:r>
      <w:r w:rsidR="00EB707E" w:rsidRPr="00AC65FF">
        <w:rPr>
          <w:b/>
          <w:bCs/>
          <w:i/>
          <w:iCs/>
          <w:spacing w:val="-4"/>
        </w:rPr>
        <w:t>xtensiones y relación con otras partes del temario</w:t>
      </w:r>
      <w:r w:rsidRPr="00AC65FF">
        <w:rPr>
          <w:spacing w:val="-4"/>
        </w:rPr>
        <w:t>:</w:t>
      </w:r>
    </w:p>
    <w:p w14:paraId="234ADE53" w14:textId="61D72AB9" w:rsidR="00F2467B" w:rsidRDefault="00B31421" w:rsidP="00B25286">
      <w:pPr>
        <w:pStyle w:val="Nivel2"/>
        <w:keepNext/>
        <w:spacing w:after="0"/>
      </w:pPr>
      <w:r>
        <w:t>Los desarrollos aquí expuestos tienen aplicaciones en otras ramas de la teoría económica. Por ejemplo:</w:t>
      </w:r>
    </w:p>
    <w:p w14:paraId="072284CA" w14:textId="577F2579" w:rsidR="00B31421" w:rsidRDefault="005603E5" w:rsidP="00B31421">
      <w:pPr>
        <w:pStyle w:val="Nivel3"/>
      </w:pPr>
      <w:r w:rsidRPr="005603E5">
        <w:rPr>
          <w:i/>
          <w:iCs/>
          <w:u w:val="single"/>
        </w:rPr>
        <w:t>T</w:t>
      </w:r>
      <w:r w:rsidR="00B31421" w:rsidRPr="005603E5">
        <w:rPr>
          <w:i/>
          <w:iCs/>
          <w:u w:val="single"/>
        </w:rPr>
        <w:t>eoría del equilibrio general en condiciones de incertidumbre</w:t>
      </w:r>
      <w:r>
        <w:t>:</w:t>
      </w:r>
      <w:r w:rsidR="00B31421">
        <w:t xml:space="preserve"> </w:t>
      </w:r>
      <w:r w:rsidR="00B31421">
        <w:rPr>
          <w:smallCaps/>
        </w:rPr>
        <w:t>Arrow</w:t>
      </w:r>
      <w:r w:rsidR="00B31421">
        <w:t xml:space="preserve"> y </w:t>
      </w:r>
      <w:r w:rsidR="00B31421">
        <w:rPr>
          <w:smallCaps/>
        </w:rPr>
        <w:t>Debreu</w:t>
      </w:r>
      <w:r w:rsidR="00B31421">
        <w:t xml:space="preserve"> (1953,</w:t>
      </w:r>
      <w:r w:rsidR="00D80837">
        <w:t xml:space="preserve"> </w:t>
      </w:r>
      <w:r w:rsidR="00B31421">
        <w:t>1959) incorporan el enfoque de preferencia por el estado y un contexto dinámico</w:t>
      </w:r>
      <w:r w:rsidR="00B31421">
        <w:rPr>
          <w:rStyle w:val="Refdenotaalpie"/>
        </w:rPr>
        <w:footnoteReference w:id="50"/>
      </w:r>
      <w:r w:rsidR="00B31421">
        <w:t>.</w:t>
      </w:r>
    </w:p>
    <w:p w14:paraId="52D4AFFA" w14:textId="61D895A2" w:rsidR="00B31421" w:rsidRDefault="005603E5" w:rsidP="00B31421">
      <w:pPr>
        <w:pStyle w:val="Nivel3"/>
      </w:pPr>
      <w:r w:rsidRPr="005603E5">
        <w:rPr>
          <w:i/>
          <w:iCs/>
          <w:u w:val="single"/>
        </w:rPr>
        <w:t>Economía financiera</w:t>
      </w:r>
      <w:r>
        <w:t xml:space="preserve">: En especial en la teoría de la selección de carteras </w:t>
      </w:r>
      <w:r w:rsidRPr="005603E5">
        <w:rPr>
          <w:color w:val="767171" w:themeColor="background2" w:themeShade="80"/>
          <w:sz w:val="19"/>
          <w:szCs w:val="19"/>
        </w:rPr>
        <w:t>[ver tema 3.B.2</w:t>
      </w:r>
      <w:r w:rsidR="00AE0338">
        <w:rPr>
          <w:color w:val="767171" w:themeColor="background2" w:themeShade="80"/>
          <w:sz w:val="19"/>
          <w:szCs w:val="19"/>
        </w:rPr>
        <w:t>3</w:t>
      </w:r>
      <w:r w:rsidRPr="005603E5">
        <w:rPr>
          <w:color w:val="767171" w:themeColor="background2" w:themeShade="80"/>
          <w:sz w:val="19"/>
          <w:szCs w:val="19"/>
        </w:rPr>
        <w:t>]</w:t>
      </w:r>
      <w:r>
        <w:t>.</w:t>
      </w:r>
      <w:r w:rsidR="00B37110">
        <w:t xml:space="preserve"> </w:t>
      </w:r>
      <w:r>
        <w:t xml:space="preserve">El modelo de </w:t>
      </w:r>
      <w:r w:rsidRPr="00291E93">
        <w:rPr>
          <w:smallCaps/>
        </w:rPr>
        <w:t>Markowitz</w:t>
      </w:r>
      <w:r>
        <w:t xml:space="preserve"> parte de la teoría de la utilidad esperada para estudiar la elección del consumidor entre activos financieros. El mismo sustento teórico es empleado por </w:t>
      </w:r>
      <w:r>
        <w:rPr>
          <w:smallCaps/>
        </w:rPr>
        <w:t>Tobin</w:t>
      </w:r>
      <w:r>
        <w:t xml:space="preserve"> para extraer la función de demanda de dinero (entendiendo el dinero como un activo).</w:t>
      </w:r>
    </w:p>
    <w:p w14:paraId="5157F14E" w14:textId="3DAD983C" w:rsidR="0043073E" w:rsidRPr="0043073E" w:rsidRDefault="0043073E" w:rsidP="0043073E">
      <w:pPr>
        <w:pStyle w:val="Nivel3"/>
        <w:numPr>
          <w:ilvl w:val="0"/>
          <w:numId w:val="0"/>
        </w:numPr>
        <w:ind w:left="1463"/>
      </w:pPr>
      <w:r>
        <w:t xml:space="preserve">Además, las </w:t>
      </w:r>
      <w:r w:rsidR="000B4C49">
        <w:t>críticas</w:t>
      </w:r>
      <w:r>
        <w:t xml:space="preserve"> a la TUE también se han incorporado a las economías financieras dentro del campo del </w:t>
      </w:r>
      <w:r>
        <w:rPr>
          <w:i/>
          <w:iCs/>
        </w:rPr>
        <w:t>behavioral finance</w:t>
      </w:r>
      <w:r>
        <w:t>.</w:t>
      </w:r>
    </w:p>
    <w:p w14:paraId="5410F25C" w14:textId="405A98DF" w:rsidR="005603E5" w:rsidRDefault="005603E5" w:rsidP="005603E5">
      <w:pPr>
        <w:pStyle w:val="Nivel3"/>
      </w:pPr>
      <w:r>
        <w:rPr>
          <w:i/>
          <w:iCs/>
          <w:u w:val="single"/>
        </w:rPr>
        <w:t xml:space="preserve">Teoría de la demanda de consumo de </w:t>
      </w:r>
      <w:r>
        <w:rPr>
          <w:i/>
          <w:iCs/>
          <w:smallCaps/>
          <w:u w:val="single"/>
        </w:rPr>
        <w:t>Hall</w:t>
      </w:r>
      <w:r>
        <w:t xml:space="preserve">: </w:t>
      </w:r>
      <w:r>
        <w:rPr>
          <w:smallCaps/>
        </w:rPr>
        <w:t>Hall</w:t>
      </w:r>
      <w:r>
        <w:t xml:space="preserve"> plantea un modelo de demanda de consumo en un entorno estocástico y muestra que con una función de utilidad cuadrática el consumo en un período sigue un paseo aleatorio </w:t>
      </w:r>
      <w:r w:rsidRPr="005603E5">
        <w:rPr>
          <w:color w:val="767171" w:themeColor="background2" w:themeShade="80"/>
          <w:sz w:val="19"/>
          <w:szCs w:val="19"/>
        </w:rPr>
        <w:t>[ver tema 3.A.3</w:t>
      </w:r>
      <w:r w:rsidR="00AE0338">
        <w:rPr>
          <w:color w:val="767171" w:themeColor="background2" w:themeShade="80"/>
          <w:sz w:val="19"/>
          <w:szCs w:val="19"/>
        </w:rPr>
        <w:t>3</w:t>
      </w:r>
      <w:r w:rsidRPr="005603E5">
        <w:rPr>
          <w:color w:val="767171" w:themeColor="background2" w:themeShade="80"/>
          <w:sz w:val="19"/>
          <w:szCs w:val="19"/>
        </w:rPr>
        <w:t>]</w:t>
      </w:r>
      <w:r>
        <w:t>.</w:t>
      </w:r>
    </w:p>
    <w:p w14:paraId="0A3FDCBD" w14:textId="77777777" w:rsidR="009E71EC" w:rsidRPr="00AC65FF" w:rsidRDefault="009E71EC" w:rsidP="00A45EEB">
      <w:pPr>
        <w:pStyle w:val="Nivel1"/>
        <w:keepNext/>
        <w:spacing w:after="0"/>
        <w:rPr>
          <w:spacing w:val="-4"/>
        </w:rPr>
      </w:pPr>
      <w:r w:rsidRPr="00AC65FF">
        <w:rPr>
          <w:b/>
          <w:bCs/>
          <w:i/>
          <w:iCs/>
          <w:spacing w:val="-4"/>
        </w:rPr>
        <w:t>Opinión</w:t>
      </w:r>
      <w:r w:rsidRPr="00AC65FF">
        <w:rPr>
          <w:spacing w:val="-4"/>
        </w:rPr>
        <w:t>:</w:t>
      </w:r>
    </w:p>
    <w:p w14:paraId="4F03F62E" w14:textId="77777777" w:rsidR="007D4C76" w:rsidRDefault="007D4C76" w:rsidP="007D4C76">
      <w:pPr>
        <w:pStyle w:val="Nivel2"/>
      </w:pPr>
    </w:p>
    <w:p w14:paraId="66083367" w14:textId="77777777" w:rsidR="00F2467B" w:rsidRPr="00AC65FF" w:rsidRDefault="00A42B58" w:rsidP="00A45EEB">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63A8D773" w14:textId="45D76C08" w:rsidR="007D4C76" w:rsidRDefault="004B6C4E" w:rsidP="007D4C76">
      <w:pPr>
        <w:pStyle w:val="Nivel2"/>
      </w:pPr>
      <w:r>
        <w:t>En definitiva, conocer las raíces teóricas de la elección del consumidor bajo riesgo e incertidumbre es fundamental a la hora de comprender desarrollos en otros campos de la teoría económica que son conocedores de que la incertidumbre es un aspecto ineludible a la vida humana.</w:t>
      </w:r>
    </w:p>
    <w:p w14:paraId="5F5E393B" w14:textId="77777777" w:rsidR="008233F9" w:rsidRDefault="008233F9">
      <w:r>
        <w:br w:type="page"/>
      </w:r>
    </w:p>
    <w:p w14:paraId="3CC68033" w14:textId="77777777" w:rsidR="00342648" w:rsidRDefault="00342648" w:rsidP="00342648">
      <w:pPr>
        <w:pStyle w:val="Ttulo4"/>
      </w:pPr>
      <w:r>
        <w:lastRenderedPageBreak/>
        <w:t>Bibliografía</w:t>
      </w:r>
    </w:p>
    <w:p w14:paraId="100BD670" w14:textId="59A2C536" w:rsidR="004B080A" w:rsidRPr="004B080A" w:rsidRDefault="004B080A" w:rsidP="004B080A">
      <w:pPr>
        <w:pStyle w:val="Bibliografa"/>
        <w:ind w:left="0" w:firstLine="0"/>
      </w:pPr>
      <w:r>
        <w:t xml:space="preserve">Rodríguez López, J. L. </w:t>
      </w:r>
      <w:r w:rsidRPr="004B080A">
        <w:t>(2017)</w:t>
      </w:r>
      <w:r w:rsidR="00D77EA1">
        <w:t>.</w:t>
      </w:r>
      <w:r w:rsidRPr="004B080A">
        <w:t xml:space="preserve"> </w:t>
      </w:r>
      <w:r w:rsidRPr="00D54296">
        <w:rPr>
          <w:i/>
          <w:iCs/>
        </w:rPr>
        <w:t>Tema 3.A.7: Teoría de la elección del consumidor en situaciones de riesgo e incertidumbre</w:t>
      </w:r>
      <w:r w:rsidR="00D77EA1">
        <w:rPr>
          <w:i/>
          <w:iCs/>
        </w:rPr>
        <w:t>.</w:t>
      </w:r>
      <w:r>
        <w:t xml:space="preserve"> ICEX-CECO</w:t>
      </w:r>
      <w:r w:rsidR="00D77EA1">
        <w:t>.</w:t>
      </w:r>
    </w:p>
    <w:p w14:paraId="1310ED97" w14:textId="1AD5E450" w:rsidR="004B080A" w:rsidRDefault="00FA5565" w:rsidP="004B080A">
      <w:pPr>
        <w:pStyle w:val="Bibliografa"/>
        <w:ind w:left="0" w:firstLine="0"/>
      </w:pPr>
      <w:r w:rsidRPr="001C111D">
        <w:t xml:space="preserve">Maté García, J. J. &amp; Pérez Domínguez, C. (2007). </w:t>
      </w:r>
      <w:r w:rsidRPr="00D54296">
        <w:rPr>
          <w:i/>
          <w:iCs/>
        </w:rPr>
        <w:t>Microeconomía avanzada: Cuestiones y ejercicios resueltos</w:t>
      </w:r>
      <w:r w:rsidRPr="00FA5565">
        <w:t>. Pearson Prentice Hall.</w:t>
      </w:r>
      <w:r w:rsidR="00A75B61">
        <w:t xml:space="preserve"> Tema 11</w:t>
      </w:r>
      <w:r w:rsidR="004C1239">
        <w:t>.</w:t>
      </w:r>
    </w:p>
    <w:p w14:paraId="4DFF44E9" w14:textId="49351EEB" w:rsidR="00577352" w:rsidRPr="00577352" w:rsidRDefault="00577352" w:rsidP="00577352">
      <w:r>
        <w:t>Tema Juan Luis Cordero Tarifa</w:t>
      </w:r>
    </w:p>
    <w:p w14:paraId="2648CE9A" w14:textId="69F8D2C5" w:rsidR="0079209B" w:rsidRPr="00AE0338" w:rsidRDefault="0079209B" w:rsidP="0079209B">
      <w:pPr>
        <w:rPr>
          <w:lang w:val="en-US"/>
        </w:rPr>
      </w:pPr>
      <w:proofErr w:type="spellStart"/>
      <w:r>
        <w:t>Marhuenda</w:t>
      </w:r>
      <w:proofErr w:type="spellEnd"/>
      <w:r>
        <w:t xml:space="preserve">, F. (2015). </w:t>
      </w:r>
      <w:r w:rsidRPr="00D54296">
        <w:rPr>
          <w:i/>
          <w:iCs/>
        </w:rPr>
        <w:t>Tema 2: Elección bajo incertidumbre</w:t>
      </w:r>
      <w:r>
        <w:t xml:space="preserve">. Microeconomía Avanzada. </w:t>
      </w:r>
      <w:r w:rsidRPr="00AE0338">
        <w:rPr>
          <w:lang w:val="en-US"/>
        </w:rPr>
        <w:t>UC3M</w:t>
      </w:r>
    </w:p>
    <w:p w14:paraId="3FC55314" w14:textId="04096B58" w:rsidR="00F12469" w:rsidRPr="00AE0338" w:rsidRDefault="00F12469" w:rsidP="0079209B">
      <w:pPr>
        <w:rPr>
          <w:lang w:val="en-US"/>
        </w:rPr>
      </w:pPr>
      <w:r w:rsidRPr="00AE0338">
        <w:rPr>
          <w:lang w:val="en-US"/>
        </w:rPr>
        <w:t xml:space="preserve">Learning Path </w:t>
      </w:r>
      <w:proofErr w:type="spellStart"/>
      <w:r w:rsidRPr="00AE0338">
        <w:rPr>
          <w:lang w:val="en-US"/>
        </w:rPr>
        <w:t>completo</w:t>
      </w:r>
      <w:proofErr w:type="spellEnd"/>
      <w:r w:rsidRPr="00AE0338">
        <w:rPr>
          <w:lang w:val="en-US"/>
        </w:rPr>
        <w:t xml:space="preserve">: </w:t>
      </w:r>
      <w:hyperlink r:id="rId43" w:history="1">
        <w:r w:rsidR="00AB3B45" w:rsidRPr="00AE0338">
          <w:rPr>
            <w:rStyle w:val="Hipervnculo"/>
            <w:lang w:val="en-US"/>
          </w:rPr>
          <w:t>https://policonomics.com/es/lp-riesgo-incertidumbre2-riesgo/</w:t>
        </w:r>
      </w:hyperlink>
    </w:p>
    <w:p w14:paraId="724F47ED" w14:textId="3CE98020" w:rsidR="008345AB" w:rsidRDefault="008345AB" w:rsidP="003701A7">
      <w:r>
        <w:t xml:space="preserve">Cardinalidad-Optimalidad de la función de utilidad esperada: </w:t>
      </w:r>
      <w:r w:rsidRPr="008345AB">
        <w:t xml:space="preserve">Cerdá, E., </w:t>
      </w:r>
      <w:proofErr w:type="spellStart"/>
      <w:r w:rsidRPr="008345AB">
        <w:t>Fayerman</w:t>
      </w:r>
      <w:proofErr w:type="spellEnd"/>
      <w:r w:rsidRPr="008345AB">
        <w:t xml:space="preserve"> Aragón, D., Jimeno, J. L. &amp; Pérez, J. (2004). </w:t>
      </w:r>
      <w:r w:rsidRPr="008345AB">
        <w:rPr>
          <w:i/>
          <w:iCs/>
        </w:rPr>
        <w:t>Teoría de juegos</w:t>
      </w:r>
      <w:r w:rsidRPr="008345AB">
        <w:t xml:space="preserve">. </w:t>
      </w:r>
      <w:hyperlink r:id="rId44" w:history="1">
        <w:r w:rsidRPr="00904FCE">
          <w:rPr>
            <w:rStyle w:val="Hipervnculo"/>
          </w:rPr>
          <w:t>http://www.ebooks7-24.com/?il=5820</w:t>
        </w:r>
      </w:hyperlink>
    </w:p>
    <w:p w14:paraId="4D874757" w14:textId="448DA6E7" w:rsidR="003701A7" w:rsidRDefault="00000000" w:rsidP="003701A7">
      <w:pPr>
        <w:rPr>
          <w:rStyle w:val="Hipervnculo"/>
        </w:rPr>
      </w:pPr>
      <w:hyperlink r:id="rId45" w:history="1">
        <w:r w:rsidR="008345AB" w:rsidRPr="00904FCE">
          <w:rPr>
            <w:rStyle w:val="Hipervnculo"/>
          </w:rPr>
          <w:t>http://www.hetwebsite.net/het/essays/uncert/choicecont.htm</w:t>
        </w:r>
      </w:hyperlink>
    </w:p>
    <w:p w14:paraId="450F055A" w14:textId="4A6C9767" w:rsidR="008345AB" w:rsidRDefault="000C5ED8" w:rsidP="003701A7">
      <w:pPr>
        <w:rPr>
          <w:rStyle w:val="Hipervnculo"/>
        </w:rPr>
      </w:pPr>
      <w:r>
        <w:t xml:space="preserve">Ciclos e incertidumbre: </w:t>
      </w:r>
      <w:hyperlink r:id="rId46" w:history="1">
        <w:r w:rsidRPr="00C01A64">
          <w:rPr>
            <w:rStyle w:val="Hipervnculo"/>
          </w:rPr>
          <w:t>https://www.nber.org/system/files/working_papers/w26768/w26768.pdf</w:t>
        </w:r>
      </w:hyperlink>
    </w:p>
    <w:p w14:paraId="228A0E86" w14:textId="6C8EB706" w:rsidR="00577352" w:rsidRPr="00577352" w:rsidRDefault="002B110D" w:rsidP="00DF37C2">
      <w:pPr>
        <w:spacing w:after="0"/>
        <w:rPr>
          <w:sz w:val="18"/>
          <w:szCs w:val="18"/>
        </w:rPr>
      </w:pPr>
      <w:r w:rsidRPr="002B110D">
        <w:rPr>
          <w:i/>
          <w:iCs/>
        </w:rPr>
        <w:t>Borrador del Manual de Macro de Jesús Fern</w:t>
      </w:r>
      <w:r>
        <w:rPr>
          <w:i/>
          <w:iCs/>
        </w:rPr>
        <w:t>á</w:t>
      </w:r>
      <w:r w:rsidRPr="002B110D">
        <w:rPr>
          <w:i/>
          <w:iCs/>
        </w:rPr>
        <w:t>ndez Villaverde</w:t>
      </w:r>
      <w:r w:rsidRPr="002B110D">
        <w:t xml:space="preserve">: </w:t>
      </w:r>
      <w:r w:rsidR="00DF37C2">
        <w:t>E</w:t>
      </w:r>
      <w:r w:rsidRPr="002B110D">
        <w:t>n el apartado 3.1. explica algo muy interesante sobre el comportamiento precautorio y la aversión al riesgo</w:t>
      </w:r>
      <w:r>
        <w:t>:</w:t>
      </w:r>
      <w:r w:rsidR="00D54296">
        <w:t xml:space="preserve"> </w:t>
      </w:r>
      <w:hyperlink r:id="rId47" w:history="1">
        <w:r w:rsidRPr="00D54296">
          <w:rPr>
            <w:rStyle w:val="Hipervnculo"/>
            <w:sz w:val="18"/>
            <w:szCs w:val="18"/>
          </w:rPr>
          <w:t>https://www.sas.upenn.edu/~jesusfv/Uncertainty_Shocks_Business_Cycle.pdf</w:t>
        </w:r>
      </w:hyperlink>
      <w:r w:rsidRPr="00D54296">
        <w:rPr>
          <w:sz w:val="18"/>
          <w:szCs w:val="18"/>
        </w:rPr>
        <w:t xml:space="preserve"> </w:t>
      </w:r>
    </w:p>
    <w:p w14:paraId="3E81A601" w14:textId="77777777" w:rsidR="00A5364C" w:rsidRDefault="00A5364C" w:rsidP="00A5364C">
      <w:pPr>
        <w:pStyle w:val="Ttulo4"/>
      </w:pPr>
      <w:r>
        <w:t>Preguntas de otros exámenes</w:t>
      </w:r>
    </w:p>
    <w:p w14:paraId="79296495" w14:textId="77777777" w:rsidR="00691EF3" w:rsidRDefault="00691EF3" w:rsidP="00060F7F">
      <w:pPr>
        <w:pStyle w:val="Nivel2SM"/>
        <w:spacing w:after="0"/>
        <w:ind w:left="0" w:hanging="142"/>
      </w:pPr>
      <w:r>
        <w:t>¿Qué relación hay entre el coeficiente de aversión relativa al riesgo de Arrow-Pratt y la elasticidad de la utilidad marginal?</w:t>
      </w:r>
    </w:p>
    <w:p w14:paraId="4E219D58" w14:textId="77777777" w:rsidR="002D1AFF" w:rsidRPr="002D1AFF" w:rsidRDefault="00691EF3" w:rsidP="00691EF3">
      <w:pPr>
        <w:pStyle w:val="Nivel3"/>
        <w:ind w:left="567"/>
      </w:pPr>
      <w:r>
        <w:rPr>
          <w:i/>
          <w:iCs/>
        </w:rPr>
        <w:t xml:space="preserve">La elasticidad </w:t>
      </w:r>
      <m:oMath>
        <m:sSub>
          <m:sSubPr>
            <m:ctrlPr>
              <w:rPr>
                <w:rFonts w:ascii="Cambria Math" w:hAnsi="Cambria Math"/>
                <w:i/>
                <w:iCs/>
              </w:rPr>
            </m:ctrlPr>
          </m:sSubPr>
          <m:e>
            <m:r>
              <m:rPr>
                <m:nor/>
              </m:rPr>
              <w:rPr>
                <w:i/>
                <w:iCs/>
              </w:rPr>
              <m:t>ε</m:t>
            </m:r>
          </m:e>
          <m:sub>
            <m:r>
              <m:rPr>
                <m:nor/>
              </m:rPr>
              <w:rPr>
                <w:i/>
                <w:iCs/>
              </w:rPr>
              <m:t>x</m:t>
            </m:r>
            <m:r>
              <m:rPr>
                <m:nor/>
              </m:rPr>
              <w:rPr>
                <w:rFonts w:ascii="Cambria Math"/>
                <w:i/>
                <w:iCs/>
              </w:rPr>
              <m:t>,</m:t>
            </m:r>
            <m:r>
              <m:rPr>
                <m:nor/>
              </m:rPr>
              <w:rPr>
                <w:i/>
                <w:iCs/>
              </w:rPr>
              <m:t>f(x)</m:t>
            </m:r>
          </m:sub>
        </m:sSub>
      </m:oMath>
      <w:r>
        <w:rPr>
          <w:i/>
          <w:iCs/>
        </w:rPr>
        <w:t xml:space="preserve"> de una función f(x) respecto a la variable independiente x es igual a</w:t>
      </w:r>
    </w:p>
    <w:p w14:paraId="298FEB61" w14:textId="77777777" w:rsidR="002D1AFF" w:rsidRPr="00B447BD" w:rsidRDefault="00000000" w:rsidP="002D1AFF">
      <w:pPr>
        <w:pStyle w:val="Nivel3"/>
        <w:numPr>
          <w:ilvl w:val="0"/>
          <w:numId w:val="0"/>
        </w:numPr>
        <w:ind w:left="567"/>
        <w:rPr>
          <w:i/>
          <w:iCs/>
          <w:lang w:val="en-US"/>
        </w:rPr>
      </w:pPr>
      <m:oMathPara>
        <m:oMath>
          <m:sSub>
            <m:sSubPr>
              <m:ctrlPr>
                <w:rPr>
                  <w:rFonts w:ascii="Cambria Math" w:hAnsi="Cambria Math"/>
                  <w:i/>
                  <w:iCs/>
                </w:rPr>
              </m:ctrlPr>
            </m:sSubPr>
            <m:e>
              <m:r>
                <m:rPr>
                  <m:nor/>
                </m:rPr>
                <w:rPr>
                  <w:i/>
                  <w:iCs/>
                </w:rPr>
                <m:t>ε</m:t>
              </m:r>
            </m:e>
            <m:sub>
              <m:r>
                <m:rPr>
                  <m:nor/>
                </m:rPr>
                <w:rPr>
                  <w:i/>
                  <w:iCs/>
                  <w:lang w:val="en-US"/>
                </w:rPr>
                <m:t>x,f(x)</m:t>
              </m:r>
            </m:sub>
          </m:sSub>
          <m:r>
            <w:rPr>
              <w:rFonts w:ascii="Cambria Math" w:hAnsi="Cambria Math"/>
              <w:lang w:val="en-US"/>
            </w:rPr>
            <m:t>=</m:t>
          </m:r>
          <m:f>
            <m:fPr>
              <m:ctrlPr>
                <w:rPr>
                  <w:rFonts w:ascii="Cambria Math" w:hAnsi="Cambria Math"/>
                  <w:i/>
                  <w:iCs/>
                </w:rPr>
              </m:ctrlPr>
            </m:fPr>
            <m:num>
              <m:r>
                <m:rPr>
                  <m:nor/>
                </m:rPr>
                <w:rPr>
                  <w:i/>
                  <w:iCs/>
                  <w:lang w:val="en-US"/>
                </w:rPr>
                <m:t>df(x)</m:t>
              </m:r>
            </m:num>
            <m:den>
              <m:r>
                <m:rPr>
                  <m:nor/>
                </m:rPr>
                <w:rPr>
                  <w:i/>
                  <w:iCs/>
                  <w:lang w:val="en-US"/>
                </w:rPr>
                <m:t>dx</m:t>
              </m:r>
            </m:den>
          </m:f>
          <m:r>
            <w:rPr>
              <w:rFonts w:ascii="Cambria Math" w:hAnsi="Cambria Math"/>
              <w:lang w:val="en-US"/>
            </w:rPr>
            <m:t>∙</m:t>
          </m:r>
          <m:f>
            <m:fPr>
              <m:ctrlPr>
                <w:rPr>
                  <w:rFonts w:ascii="Cambria Math" w:hAnsi="Cambria Math"/>
                  <w:i/>
                  <w:iCs/>
                </w:rPr>
              </m:ctrlPr>
            </m:fPr>
            <m:num>
              <m:r>
                <m:rPr>
                  <m:nor/>
                </m:rPr>
                <w:rPr>
                  <w:i/>
                  <w:iCs/>
                  <w:lang w:val="en-US"/>
                </w:rPr>
                <m:t>x</m:t>
              </m:r>
            </m:num>
            <m:den>
              <m:r>
                <m:rPr>
                  <m:nor/>
                </m:rPr>
                <w:rPr>
                  <w:i/>
                  <w:iCs/>
                  <w:lang w:val="en-US"/>
                </w:rPr>
                <m:t>f(x)</m:t>
              </m:r>
            </m:den>
          </m:f>
          <m:r>
            <w:rPr>
              <w:rFonts w:ascii="Cambria Math" w:hAnsi="Cambria Math"/>
              <w:lang w:val="en-US"/>
            </w:rPr>
            <m:t>=</m:t>
          </m:r>
          <m:f>
            <m:fPr>
              <m:ctrlPr>
                <w:rPr>
                  <w:rFonts w:ascii="Cambria Math" w:hAnsi="Cambria Math"/>
                  <w:i/>
                  <w:iCs/>
                </w:rPr>
              </m:ctrlPr>
            </m:fPr>
            <m:num>
              <m:r>
                <m:rPr>
                  <m:nor/>
                </m:rPr>
                <w:rPr>
                  <w:i/>
                  <w:iCs/>
                  <w:lang w:val="en-US"/>
                </w:rPr>
                <m:t>f'(x)</m:t>
              </m:r>
            </m:num>
            <m:den>
              <m:r>
                <m:rPr>
                  <m:nor/>
                </m:rPr>
                <w:rPr>
                  <w:i/>
                  <w:iCs/>
                  <w:lang w:val="en-US"/>
                </w:rPr>
                <m:t>f(x)</m:t>
              </m:r>
            </m:den>
          </m:f>
          <m:r>
            <w:rPr>
              <w:rFonts w:ascii="Cambria Math" w:hAnsi="Cambria Math"/>
              <w:lang w:val="en-US"/>
            </w:rPr>
            <m:t>∙</m:t>
          </m:r>
          <m:r>
            <m:rPr>
              <m:nor/>
            </m:rPr>
            <w:rPr>
              <w:i/>
              <w:iCs/>
              <w:lang w:val="en-US"/>
            </w:rPr>
            <m:t>x</m:t>
          </m:r>
        </m:oMath>
      </m:oMathPara>
    </w:p>
    <w:p w14:paraId="1ABB97D0" w14:textId="77777777" w:rsidR="002D1AFF" w:rsidRDefault="00691EF3" w:rsidP="002D1AFF">
      <w:pPr>
        <w:pStyle w:val="Nivel3"/>
        <w:numPr>
          <w:ilvl w:val="0"/>
          <w:numId w:val="0"/>
        </w:numPr>
        <w:ind w:left="567"/>
        <w:rPr>
          <w:rFonts w:eastAsiaTheme="minorEastAsia"/>
          <w:i/>
          <w:iCs/>
        </w:rPr>
      </w:pPr>
      <w:r>
        <w:rPr>
          <w:i/>
          <w:iCs/>
        </w:rPr>
        <w:t xml:space="preserve">El coeficiente de aversión relativa al riesgo </w:t>
      </w:r>
      <m:oMath>
        <m:sSub>
          <m:sSubPr>
            <m:ctrlPr>
              <w:rPr>
                <w:rFonts w:ascii="Cambria Math" w:hAnsi="Cambria Math"/>
                <w:i/>
                <w:iCs/>
              </w:rPr>
            </m:ctrlPr>
          </m:sSubPr>
          <m:e>
            <m:r>
              <m:rPr>
                <m:nor/>
              </m:rPr>
              <w:rPr>
                <w:i/>
                <w:iCs/>
              </w:rPr>
              <m:t>r</m:t>
            </m:r>
          </m:e>
          <m:sub>
            <m:r>
              <m:rPr>
                <m:nor/>
              </m:rPr>
              <w:rPr>
                <w:i/>
                <w:iCs/>
              </w:rPr>
              <m:t>R</m:t>
            </m:r>
          </m:sub>
        </m:sSub>
      </m:oMath>
      <w:r>
        <w:rPr>
          <w:rFonts w:eastAsiaTheme="minorEastAsia"/>
          <w:i/>
          <w:iCs/>
        </w:rPr>
        <w:t xml:space="preserve"> </w:t>
      </w:r>
      <w:r>
        <w:rPr>
          <w:i/>
          <w:iCs/>
        </w:rPr>
        <w:t xml:space="preserve">es: </w:t>
      </w:r>
      <m:oMath>
        <m:r>
          <w:rPr>
            <w:rFonts w:ascii="Cambria Math" w:hAnsi="Cambria Math"/>
          </w:rPr>
          <m:t xml:space="preserve"> </m:t>
        </m:r>
        <m:sSub>
          <m:sSubPr>
            <m:ctrlPr>
              <w:rPr>
                <w:rFonts w:ascii="Cambria Math" w:hAnsi="Cambria Math"/>
                <w:i/>
                <w:iCs/>
              </w:rPr>
            </m:ctrlPr>
          </m:sSubPr>
          <m:e>
            <m:r>
              <m:rPr>
                <m:nor/>
              </m:rPr>
              <w:rPr>
                <w:i/>
                <w:iCs/>
              </w:rPr>
              <m:t>r</m:t>
            </m:r>
          </m:e>
          <m:sub>
            <m:r>
              <m:rPr>
                <m:nor/>
              </m:rPr>
              <w:rPr>
                <w:i/>
                <w:iCs/>
              </w:rPr>
              <m:t>R</m:t>
            </m:r>
          </m:sub>
        </m:sSub>
        <m:r>
          <w:rPr>
            <w:rFonts w:ascii="Cambria Math" w:eastAsiaTheme="minorEastAsia" w:hAnsi="Cambria Math"/>
          </w:rPr>
          <m:t>=-</m:t>
        </m:r>
        <m:r>
          <m:rPr>
            <m:nor/>
          </m:rPr>
          <w:rPr>
            <w:rFonts w:eastAsiaTheme="minorEastAsia"/>
            <w:i/>
          </w:rPr>
          <m:t>x</m:t>
        </m:r>
        <m:f>
          <m:fPr>
            <m:ctrlPr>
              <w:rPr>
                <w:rFonts w:ascii="Cambria Math" w:eastAsiaTheme="minorEastAsia" w:hAnsi="Cambria Math"/>
                <w:i/>
              </w:rPr>
            </m:ctrlPr>
          </m:fPr>
          <m:num>
            <m:r>
              <m:rPr>
                <m:nor/>
              </m:rPr>
              <w:rPr>
                <w:rFonts w:eastAsiaTheme="minorEastAsia"/>
                <w:i/>
              </w:rPr>
              <m:t>u''(x)</m:t>
            </m:r>
          </m:num>
          <m:den>
            <m:r>
              <m:rPr>
                <m:nor/>
              </m:rPr>
              <w:rPr>
                <w:rFonts w:eastAsiaTheme="minorEastAsia"/>
                <w:i/>
              </w:rPr>
              <m:t>u'(x)</m:t>
            </m:r>
          </m:den>
        </m:f>
      </m:oMath>
      <w:r>
        <w:rPr>
          <w:rFonts w:eastAsiaTheme="minorEastAsia"/>
          <w:i/>
          <w:iCs/>
        </w:rPr>
        <w:t>.</w:t>
      </w:r>
    </w:p>
    <w:p w14:paraId="4404A722" w14:textId="3C476A08" w:rsidR="00691EF3" w:rsidRDefault="00691EF3" w:rsidP="002D1AFF">
      <w:pPr>
        <w:pStyle w:val="Nivel3"/>
        <w:numPr>
          <w:ilvl w:val="0"/>
          <w:numId w:val="0"/>
        </w:numPr>
        <w:ind w:left="567"/>
      </w:pPr>
      <w:r>
        <w:rPr>
          <w:rFonts w:eastAsiaTheme="minorEastAsia"/>
          <w:i/>
          <w:iCs/>
        </w:rPr>
        <w:t xml:space="preserve">Si sustituimos f(x) por u’(x), tenemos que el coeficiente de aversión relativa al riesgo no es sino la elasticidad de la utilidad marginal respecto a la renta multiplicada por </w:t>
      </w:r>
      <m:oMath>
        <m:r>
          <w:rPr>
            <w:rFonts w:ascii="Cambria Math" w:eastAsiaTheme="minorEastAsia" w:hAnsi="Cambria Math"/>
          </w:rPr>
          <m:t>-</m:t>
        </m:r>
        <m:r>
          <m:rPr>
            <m:nor/>
          </m:rPr>
          <w:rPr>
            <w:rFonts w:eastAsiaTheme="minorEastAsia"/>
            <w:i/>
          </w:rPr>
          <m:t>1</m:t>
        </m:r>
      </m:oMath>
      <w:r>
        <w:rPr>
          <w:rFonts w:eastAsiaTheme="minorEastAsia"/>
          <w:i/>
          <w:iCs/>
        </w:rPr>
        <w:t>.</w:t>
      </w:r>
    </w:p>
    <w:p w14:paraId="0ECA5121" w14:textId="2E123FFE" w:rsidR="00A5364C" w:rsidRDefault="00691EF3" w:rsidP="00691EF3">
      <w:pPr>
        <w:pStyle w:val="Nivel2SM"/>
        <w:ind w:left="0" w:hanging="142"/>
      </w:pPr>
      <w:r>
        <w:rPr>
          <w:smallCaps/>
        </w:rPr>
        <w:t xml:space="preserve">Harry </w:t>
      </w:r>
      <w:r w:rsidRPr="00691EF3">
        <w:rPr>
          <w:smallCaps/>
        </w:rPr>
        <w:t>Markowitz</w:t>
      </w:r>
      <w:r>
        <w:t xml:space="preserve"> se hizo popular por una aplicación de la hipótesis de la utilidad esperada. De hecho, esta aplicación le valió el premio Nobel. ¿Qué aplicación es esa? ¿</w:t>
      </w:r>
      <w:r w:rsidR="002D1AFF">
        <w:t>P</w:t>
      </w:r>
      <w:r>
        <w:t>uede relacionarla con este tema?</w:t>
      </w:r>
    </w:p>
    <w:p w14:paraId="02970D86" w14:textId="77777777" w:rsidR="00A5364C" w:rsidRDefault="00A5364C" w:rsidP="00A5364C">
      <w:pPr>
        <w:pStyle w:val="Ttulo4"/>
      </w:pPr>
      <w:r>
        <w:t>Enlace a preguntas tipo test</w:t>
      </w:r>
    </w:p>
    <w:p w14:paraId="77EE796F" w14:textId="1EB19E2A" w:rsidR="00A5364C" w:rsidRPr="00225B15" w:rsidRDefault="00000000" w:rsidP="00A5364C">
      <w:hyperlink r:id="rId48" w:history="1">
        <w:r w:rsidR="00225B15" w:rsidRPr="005C0E06">
          <w:rPr>
            <w:rStyle w:val="Hipervnculo"/>
          </w:rPr>
          <w:t>https://www.quia.com/quiz/</w:t>
        </w:r>
        <w:r w:rsidR="00BA5C1D" w:rsidRPr="00BA5C1D">
          <w:rPr>
            <w:rStyle w:val="Hipervnculo"/>
          </w:rPr>
          <w:t>6562900</w:t>
        </w:r>
        <w:r w:rsidR="00225B15" w:rsidRPr="005C0E06">
          <w:rPr>
            <w:rStyle w:val="Hipervnculo"/>
          </w:rPr>
          <w:t>.html</w:t>
        </w:r>
      </w:hyperlink>
    </w:p>
    <w:p w14:paraId="12B59A87" w14:textId="77777777" w:rsidR="00342648" w:rsidRDefault="00342648" w:rsidP="00342648">
      <w:pPr>
        <w:pStyle w:val="Ttulo4"/>
      </w:pPr>
      <w:r w:rsidRPr="00342648">
        <w:t>Anexos</w:t>
      </w:r>
    </w:p>
    <w:p w14:paraId="067334CC" w14:textId="05B40C60" w:rsidR="0015013E" w:rsidRDefault="00342648" w:rsidP="00502A72">
      <w:pPr>
        <w:pStyle w:val="Ttulo5"/>
        <w:rPr>
          <w:i w:val="0"/>
          <w:iCs w:val="0"/>
          <w:u w:val="none"/>
        </w:rPr>
      </w:pPr>
      <w:bookmarkStart w:id="84" w:name="_Ref89677503"/>
      <w:r w:rsidRPr="0002549F">
        <w:t>Anexo</w:t>
      </w:r>
      <w:r w:rsidR="00EF1292">
        <w:t> </w:t>
      </w:r>
      <w:r w:rsidRPr="0002549F">
        <w:t>1</w:t>
      </w:r>
      <w:r w:rsidR="00D564BC">
        <w:rPr>
          <w:u w:val="none"/>
        </w:rPr>
        <w:t xml:space="preserve">: </w:t>
      </w:r>
      <w:r w:rsidR="008345AB">
        <w:rPr>
          <w:i w:val="0"/>
          <w:iCs w:val="0"/>
          <w:u w:val="none"/>
        </w:rPr>
        <w:t xml:space="preserve">La función de utilidad de </w:t>
      </w:r>
      <w:r w:rsidR="00084BF4">
        <w:rPr>
          <w:i w:val="0"/>
          <w:iCs w:val="0"/>
          <w:u w:val="none"/>
        </w:rPr>
        <w:t>von Neumann</w:t>
      </w:r>
      <w:r w:rsidR="008345AB">
        <w:rPr>
          <w:i w:val="0"/>
          <w:iCs w:val="0"/>
          <w:u w:val="none"/>
        </w:rPr>
        <w:t>-Morgenstern es una función de utilidad “cardinal que es ordinal” (</w:t>
      </w:r>
      <w:r w:rsidR="008345AB">
        <w:rPr>
          <w:i w:val="0"/>
          <w:iCs w:val="0"/>
          <w:smallCaps/>
          <w:u w:val="none"/>
        </w:rPr>
        <w:t>Baumol</w:t>
      </w:r>
      <w:r w:rsidR="008345AB">
        <w:rPr>
          <w:i w:val="0"/>
          <w:iCs w:val="0"/>
          <w:u w:val="none"/>
        </w:rPr>
        <w:t>, 1958)</w:t>
      </w:r>
      <w:bookmarkEnd w:id="84"/>
    </w:p>
    <w:p w14:paraId="033AC177" w14:textId="634B0A86" w:rsidR="003D0F49" w:rsidRPr="00856154" w:rsidRDefault="00000000" w:rsidP="00856154">
      <w:pPr>
        <w:pStyle w:val="Cajadeanotaciones"/>
        <w:rPr>
          <w:rStyle w:val="Hipervnculo"/>
          <w:sz w:val="19"/>
          <w:szCs w:val="19"/>
        </w:rPr>
      </w:pPr>
      <w:hyperlink r:id="rId49" w:history="1">
        <w:r w:rsidR="003D0F49" w:rsidRPr="00856154">
          <w:rPr>
            <w:rStyle w:val="Hipervnculo"/>
            <w:sz w:val="19"/>
            <w:szCs w:val="19"/>
          </w:rPr>
          <w:t>https://en.wikipedia.org/wiki/Cardinal_utility</w:t>
        </w:r>
      </w:hyperlink>
    </w:p>
    <w:p w14:paraId="0CB2EA73" w14:textId="72CD0189" w:rsidR="00271DD4" w:rsidRPr="00271DD4" w:rsidRDefault="00271DD4" w:rsidP="00856154">
      <w:pPr>
        <w:pStyle w:val="Nivel1SM"/>
        <w:spacing w:before="0"/>
      </w:pPr>
      <w:r w:rsidRPr="00271DD4">
        <w:rPr>
          <w:rStyle w:val="Hipervnculo"/>
          <w:color w:val="auto"/>
          <w:u w:val="none"/>
        </w:rPr>
        <w:t>An</w:t>
      </w:r>
      <w:r>
        <w:rPr>
          <w:rStyle w:val="Hipervnculo"/>
          <w:color w:val="auto"/>
          <w:u w:val="none"/>
        </w:rPr>
        <w:t xml:space="preserve">tes de abordar en profundidad el debate acerca de la ordinalidad o la cardinalidad de la función de utilidad de </w:t>
      </w:r>
      <w:r w:rsidR="00084BF4">
        <w:rPr>
          <w:rStyle w:val="Hipervnculo"/>
          <w:color w:val="auto"/>
          <w:u w:val="none"/>
        </w:rPr>
        <w:t>von Neumann</w:t>
      </w:r>
      <w:r>
        <w:rPr>
          <w:rStyle w:val="Hipervnculo"/>
          <w:color w:val="auto"/>
          <w:u w:val="none"/>
        </w:rPr>
        <w:t>-Morgenstern es importante entender bien que significan estos conceptos. Por lo tanto, vamos a comenzar por una breve explicación de las distintas escalas de ordinalidad y cardinalidad.</w:t>
      </w:r>
    </w:p>
    <w:p w14:paraId="1FD124DC" w14:textId="5373B0C3" w:rsidR="002A4D35" w:rsidRPr="00271DD4" w:rsidRDefault="002A4D35" w:rsidP="002A4D35">
      <w:pPr>
        <w:keepNext/>
        <w:spacing w:after="40"/>
        <w:rPr>
          <w:b/>
          <w:bCs/>
          <w:color w:val="5F2987"/>
          <w:u w:val="single"/>
        </w:rPr>
      </w:pPr>
      <w:r w:rsidRPr="00271DD4">
        <w:rPr>
          <w:b/>
          <w:bCs/>
          <w:color w:val="5F2987"/>
          <w:u w:val="single"/>
        </w:rPr>
        <w:lastRenderedPageBreak/>
        <w:t>Escalas de ordinalidad y cardinalidad</w:t>
      </w:r>
    </w:p>
    <w:p w14:paraId="2C5C1FD4" w14:textId="4D9F4BBC" w:rsidR="008345AB" w:rsidRDefault="00566950" w:rsidP="00856154">
      <w:pPr>
        <w:pStyle w:val="Nivel1SM"/>
        <w:keepNext/>
        <w:spacing w:before="0"/>
      </w:pPr>
      <w:r>
        <w:t>El tipo de escala aplicable para representar una magnitud depende de las características físicas y lógicas de dicha magnitud. La lista siguiente menciona las escalas más importantes, seguidas de algún ejemplo de magnitud al que se apliquen:</w:t>
      </w:r>
    </w:p>
    <w:p w14:paraId="753C951D" w14:textId="77777777" w:rsidR="00566950" w:rsidRPr="00271DD4" w:rsidRDefault="00566950" w:rsidP="00271DD4">
      <w:pPr>
        <w:keepNext/>
        <w:spacing w:after="40"/>
        <w:ind w:left="851"/>
        <w:rPr>
          <w:rFonts w:eastAsiaTheme="majorEastAsia" w:cstheme="majorBidi"/>
          <w:bCs/>
          <w:i/>
          <w:iCs/>
          <w:color w:val="5F2987"/>
          <w:spacing w:val="-4"/>
          <w:sz w:val="20"/>
          <w:szCs w:val="20"/>
          <w:u w:val="dash"/>
        </w:rPr>
      </w:pPr>
      <w:r w:rsidRPr="00271DD4">
        <w:rPr>
          <w:rFonts w:eastAsiaTheme="majorEastAsia" w:cstheme="majorBidi"/>
          <w:bCs/>
          <w:i/>
          <w:iCs/>
          <w:color w:val="5F2987"/>
          <w:spacing w:val="-4"/>
          <w:sz w:val="20"/>
          <w:szCs w:val="20"/>
          <w:u w:val="dash"/>
        </w:rPr>
        <w:t>Escala Ordinal</w:t>
      </w:r>
    </w:p>
    <w:p w14:paraId="30315D91" w14:textId="6B76108B" w:rsidR="00566950" w:rsidRDefault="00566950" w:rsidP="00856154">
      <w:pPr>
        <w:pStyle w:val="Nivel2SM"/>
        <w:keepNext/>
      </w:pPr>
      <w:r>
        <w:t xml:space="preserve">Ejemplo: </w:t>
      </w:r>
      <w:r w:rsidRPr="00566950">
        <w:rPr>
          <w:i/>
          <w:iCs/>
        </w:rPr>
        <w:t>Dureza</w:t>
      </w:r>
      <w:r>
        <w:t xml:space="preserve"> (</w:t>
      </w:r>
      <w:r w:rsidRPr="00566950">
        <w:rPr>
          <w:i/>
          <w:iCs/>
        </w:rPr>
        <w:t>A</w:t>
      </w:r>
      <w:r>
        <w:t xml:space="preserve"> tiene igual o mayor dureza que </w:t>
      </w:r>
      <w:r w:rsidRPr="00566950">
        <w:rPr>
          <w:i/>
          <w:iCs/>
        </w:rPr>
        <w:t>B</w:t>
      </w:r>
      <w:r>
        <w:t xml:space="preserve"> si y sólo si</w:t>
      </w:r>
      <w:bookmarkStart w:id="85" w:name="_Hlk140596447"/>
      <m:oMath>
        <m:r>
          <w:rPr>
            <w:rFonts w:ascii="Cambria Math" w:hAnsi="Cambria Math"/>
          </w:rPr>
          <m:t xml:space="preserve"> </m:t>
        </m:r>
        <m:r>
          <m:rPr>
            <m:nor/>
          </m:rPr>
          <w:rPr>
            <w:i/>
            <w:iCs/>
          </w:rPr>
          <m:t>U</m:t>
        </m:r>
        <m:d>
          <m:dPr>
            <m:ctrlPr>
              <w:rPr>
                <w:rFonts w:ascii="Cambria Math" w:hAnsi="Cambria Math"/>
                <w:i/>
                <w:iCs/>
              </w:rPr>
            </m:ctrlPr>
          </m:dPr>
          <m:e>
            <m:r>
              <m:rPr>
                <m:nor/>
              </m:rPr>
              <w:rPr>
                <w:i/>
                <w:iCs/>
              </w:rPr>
              <m:t>A</m:t>
            </m:r>
          </m:e>
        </m:d>
        <m:r>
          <w:rPr>
            <w:rFonts w:ascii="Cambria Math" w:hAnsi="Cambria Math"/>
          </w:rPr>
          <m:t>≥</m:t>
        </m:r>
        <m:r>
          <m:rPr>
            <m:nor/>
          </m:rPr>
          <w:rPr>
            <w:i/>
            <w:iCs/>
          </w:rPr>
          <m:t>U</m:t>
        </m:r>
        <m:d>
          <m:dPr>
            <m:ctrlPr>
              <w:rPr>
                <w:rFonts w:ascii="Cambria Math" w:hAnsi="Cambria Math"/>
                <w:i/>
                <w:iCs/>
              </w:rPr>
            </m:ctrlPr>
          </m:dPr>
          <m:e>
            <m:r>
              <m:rPr>
                <m:nor/>
              </m:rPr>
              <w:rPr>
                <w:i/>
                <w:iCs/>
              </w:rPr>
              <m:t>B</m:t>
            </m:r>
          </m:e>
        </m:d>
      </m:oMath>
      <w:bookmarkEnd w:id="85"/>
      <w:r>
        <w:t>).</w:t>
      </w:r>
    </w:p>
    <w:p w14:paraId="3737E218" w14:textId="3ED8D3AC" w:rsidR="00566950" w:rsidRDefault="00566950" w:rsidP="00856154">
      <w:pPr>
        <w:pStyle w:val="Nivel2SM"/>
      </w:pPr>
      <w:r>
        <w:t>No tiene sentido decir «</w:t>
      </w:r>
      <w:r w:rsidRPr="00566950">
        <w:rPr>
          <w:i/>
          <w:iCs/>
        </w:rPr>
        <w:t>A</w:t>
      </w:r>
      <w:r>
        <w:t xml:space="preserve"> tiene doble dureza que </w:t>
      </w:r>
      <w:r w:rsidRPr="00566950">
        <w:rPr>
          <w:i/>
          <w:iCs/>
        </w:rPr>
        <w:t>B</w:t>
      </w:r>
      <w:r>
        <w:t>». No se ha encontrado, que sepamos, la manera de medir la dureza de los materiales con una escala más rica o elaborada que la ordinal.</w:t>
      </w:r>
    </w:p>
    <w:p w14:paraId="75E97A33" w14:textId="77777777" w:rsidR="00566950" w:rsidRPr="00271DD4" w:rsidRDefault="00566950" w:rsidP="002A4D35">
      <w:pPr>
        <w:keepNext/>
        <w:spacing w:after="40"/>
        <w:ind w:left="851"/>
        <w:rPr>
          <w:rFonts w:eastAsiaTheme="majorEastAsia" w:cstheme="majorBidi"/>
          <w:bCs/>
          <w:i/>
          <w:iCs/>
          <w:color w:val="5F2987"/>
          <w:spacing w:val="-4"/>
          <w:sz w:val="20"/>
          <w:szCs w:val="20"/>
          <w:u w:val="dash"/>
        </w:rPr>
      </w:pPr>
      <w:r w:rsidRPr="00271DD4">
        <w:rPr>
          <w:rFonts w:eastAsiaTheme="majorEastAsia" w:cstheme="majorBidi"/>
          <w:bCs/>
          <w:i/>
          <w:iCs/>
          <w:color w:val="5F2987"/>
          <w:spacing w:val="-4"/>
          <w:sz w:val="20"/>
          <w:szCs w:val="20"/>
          <w:u w:val="dash"/>
        </w:rPr>
        <w:t>Escala Cardinal-Intervalo</w:t>
      </w:r>
    </w:p>
    <w:p w14:paraId="1901DB4F" w14:textId="7AF0D399" w:rsidR="00566950" w:rsidRDefault="00566950" w:rsidP="00856154">
      <w:pPr>
        <w:pStyle w:val="Nivel2SM"/>
        <w:keepNext/>
      </w:pPr>
      <w:r>
        <w:t xml:space="preserve">Ejemplo: </w:t>
      </w:r>
      <w:r w:rsidRPr="00566950">
        <w:rPr>
          <w:i/>
          <w:iCs/>
        </w:rPr>
        <w:t>Temperatura</w:t>
      </w:r>
      <w:r>
        <w:t xml:space="preserve"> (</w:t>
      </w:r>
      <w:r w:rsidRPr="00566950">
        <w:rPr>
          <w:i/>
          <w:iCs/>
        </w:rPr>
        <w:t>A</w:t>
      </w:r>
      <w:r>
        <w:t xml:space="preserve"> tiene igual o mayor temperatura que </w:t>
      </w:r>
      <w:r w:rsidRPr="00566950">
        <w:rPr>
          <w:i/>
          <w:iCs/>
        </w:rPr>
        <w:t>B</w:t>
      </w:r>
      <w:r>
        <w:t xml:space="preserve"> si y sólo si</w:t>
      </w:r>
      <m:oMath>
        <m:r>
          <w:rPr>
            <w:rFonts w:ascii="Cambria Math" w:hAnsi="Cambria Math"/>
          </w:rPr>
          <m:t xml:space="preserve"> </m:t>
        </m:r>
        <m:r>
          <m:rPr>
            <m:nor/>
          </m:rPr>
          <w:rPr>
            <w:i/>
            <w:iCs/>
          </w:rPr>
          <m:t>U</m:t>
        </m:r>
        <m:d>
          <m:dPr>
            <m:ctrlPr>
              <w:rPr>
                <w:rFonts w:ascii="Cambria Math" w:hAnsi="Cambria Math"/>
                <w:i/>
                <w:iCs/>
              </w:rPr>
            </m:ctrlPr>
          </m:dPr>
          <m:e>
            <m:r>
              <m:rPr>
                <m:nor/>
              </m:rPr>
              <w:rPr>
                <w:i/>
                <w:iCs/>
              </w:rPr>
              <m:t>A</m:t>
            </m:r>
          </m:e>
        </m:d>
        <m:r>
          <w:rPr>
            <w:rFonts w:ascii="Cambria Math" w:hAnsi="Cambria Math"/>
          </w:rPr>
          <m:t>≥</m:t>
        </m:r>
        <m:r>
          <m:rPr>
            <m:nor/>
          </m:rPr>
          <w:rPr>
            <w:i/>
            <w:iCs/>
          </w:rPr>
          <m:t>U</m:t>
        </m:r>
        <m:d>
          <m:dPr>
            <m:ctrlPr>
              <w:rPr>
                <w:rFonts w:ascii="Cambria Math" w:hAnsi="Cambria Math"/>
                <w:i/>
                <w:iCs/>
              </w:rPr>
            </m:ctrlPr>
          </m:dPr>
          <m:e>
            <m:r>
              <m:rPr>
                <m:nor/>
              </m:rPr>
              <w:rPr>
                <w:i/>
                <w:iCs/>
              </w:rPr>
              <m:t>B</m:t>
            </m:r>
          </m:e>
        </m:d>
      </m:oMath>
      <w:r>
        <w:t>).</w:t>
      </w:r>
    </w:p>
    <w:p w14:paraId="7F63D095" w14:textId="35F503F7" w:rsidR="00566950" w:rsidRDefault="00566950" w:rsidP="00856154">
      <w:pPr>
        <w:pStyle w:val="Nivel2SM"/>
      </w:pPr>
      <w:r>
        <w:t>No tiene sentido decir «</w:t>
      </w:r>
      <w:r w:rsidRPr="00566950">
        <w:rPr>
          <w:i/>
          <w:iCs/>
        </w:rPr>
        <w:t>A</w:t>
      </w:r>
      <w:r>
        <w:t xml:space="preserve"> tiene doble temperatura que </w:t>
      </w:r>
      <w:r w:rsidRPr="00566950">
        <w:rPr>
          <w:i/>
          <w:iCs/>
        </w:rPr>
        <w:t>B</w:t>
      </w:r>
      <w:r>
        <w:t xml:space="preserve">», pero sí decir que «la diferencia de temperatura entre </w:t>
      </w:r>
      <w:r w:rsidRPr="00566950">
        <w:rPr>
          <w:i/>
          <w:iCs/>
        </w:rPr>
        <w:t>A</w:t>
      </w:r>
      <w:r>
        <w:t xml:space="preserve"> y </w:t>
      </w:r>
      <w:r w:rsidRPr="00566950">
        <w:rPr>
          <w:i/>
          <w:iCs/>
        </w:rPr>
        <w:t>B</w:t>
      </w:r>
      <w:r>
        <w:t xml:space="preserve"> es doble que entre </w:t>
      </w:r>
      <w:r w:rsidRPr="00566950">
        <w:rPr>
          <w:i/>
          <w:iCs/>
        </w:rPr>
        <w:t>C</w:t>
      </w:r>
      <w:r>
        <w:t xml:space="preserve"> y </w:t>
      </w:r>
      <w:r w:rsidRPr="00566950">
        <w:rPr>
          <w:i/>
          <w:iCs/>
        </w:rPr>
        <w:t>D</w:t>
      </w:r>
      <w:r>
        <w:t>».</w:t>
      </w:r>
    </w:p>
    <w:p w14:paraId="3345E4EF" w14:textId="77777777" w:rsidR="00566950" w:rsidRPr="00271DD4" w:rsidRDefault="00566950" w:rsidP="002A4D35">
      <w:pPr>
        <w:keepNext/>
        <w:spacing w:after="40"/>
        <w:ind w:left="851"/>
        <w:rPr>
          <w:rFonts w:eastAsiaTheme="majorEastAsia" w:cstheme="majorBidi"/>
          <w:bCs/>
          <w:i/>
          <w:iCs/>
          <w:color w:val="5F2987"/>
          <w:spacing w:val="-4"/>
          <w:sz w:val="20"/>
          <w:szCs w:val="20"/>
          <w:u w:val="dash"/>
        </w:rPr>
      </w:pPr>
      <w:r w:rsidRPr="00271DD4">
        <w:rPr>
          <w:rFonts w:eastAsiaTheme="majorEastAsia" w:cstheme="majorBidi"/>
          <w:bCs/>
          <w:i/>
          <w:iCs/>
          <w:color w:val="5F2987"/>
          <w:spacing w:val="-4"/>
          <w:sz w:val="20"/>
          <w:szCs w:val="20"/>
          <w:u w:val="dash"/>
        </w:rPr>
        <w:t>Escala Cardinal-Ratio</w:t>
      </w:r>
    </w:p>
    <w:p w14:paraId="27E8C39C" w14:textId="7ADA232F" w:rsidR="00566950" w:rsidRDefault="00566950" w:rsidP="00856154">
      <w:pPr>
        <w:pStyle w:val="Nivel2SM"/>
        <w:keepNext/>
      </w:pPr>
      <w:r>
        <w:t xml:space="preserve">Ejemplo: </w:t>
      </w:r>
      <w:r w:rsidRPr="00566950">
        <w:rPr>
          <w:i/>
          <w:iCs/>
        </w:rPr>
        <w:t>Peso o saldo</w:t>
      </w:r>
      <w:r w:rsidRPr="007B370B">
        <w:rPr>
          <w:i/>
          <w:iCs/>
        </w:rPr>
        <w:t>, sin especificar la unidad de medida</w:t>
      </w:r>
      <w:r>
        <w:t xml:space="preserve"> (</w:t>
      </w:r>
      <w:r w:rsidRPr="00583E28">
        <w:rPr>
          <w:i/>
          <w:iCs/>
        </w:rPr>
        <w:t>A</w:t>
      </w:r>
      <w:r>
        <w:t xml:space="preserve"> tiene igual o mayor peso o saldo que </w:t>
      </w:r>
      <w:r w:rsidRPr="00583E28">
        <w:rPr>
          <w:i/>
          <w:iCs/>
        </w:rPr>
        <w:t>B</w:t>
      </w:r>
      <w:r>
        <w:t xml:space="preserve"> si y sólo si</w:t>
      </w:r>
      <m:oMath>
        <m:r>
          <w:rPr>
            <w:rFonts w:ascii="Cambria Math" w:hAnsi="Cambria Math"/>
          </w:rPr>
          <m:t xml:space="preserve"> </m:t>
        </m:r>
        <m:r>
          <m:rPr>
            <m:nor/>
          </m:rPr>
          <w:rPr>
            <w:i/>
            <w:iCs/>
          </w:rPr>
          <m:t>U</m:t>
        </m:r>
        <m:d>
          <m:dPr>
            <m:ctrlPr>
              <w:rPr>
                <w:rFonts w:ascii="Cambria Math" w:hAnsi="Cambria Math"/>
                <w:i/>
                <w:iCs/>
              </w:rPr>
            </m:ctrlPr>
          </m:dPr>
          <m:e>
            <m:r>
              <m:rPr>
                <m:nor/>
              </m:rPr>
              <w:rPr>
                <w:i/>
                <w:iCs/>
              </w:rPr>
              <m:t>A</m:t>
            </m:r>
          </m:e>
        </m:d>
        <m:r>
          <w:rPr>
            <w:rFonts w:ascii="Cambria Math" w:hAnsi="Cambria Math"/>
          </w:rPr>
          <m:t>≥</m:t>
        </m:r>
        <m:r>
          <m:rPr>
            <m:nor/>
          </m:rPr>
          <w:rPr>
            <w:i/>
            <w:iCs/>
          </w:rPr>
          <m:t>U</m:t>
        </m:r>
        <m:d>
          <m:dPr>
            <m:ctrlPr>
              <w:rPr>
                <w:rFonts w:ascii="Cambria Math" w:hAnsi="Cambria Math"/>
                <w:i/>
                <w:iCs/>
              </w:rPr>
            </m:ctrlPr>
          </m:dPr>
          <m:e>
            <m:r>
              <m:rPr>
                <m:nor/>
              </m:rPr>
              <w:rPr>
                <w:i/>
                <w:iCs/>
              </w:rPr>
              <m:t>B</m:t>
            </m:r>
          </m:e>
        </m:d>
      </m:oMath>
      <w:r>
        <w:t>).</w:t>
      </w:r>
    </w:p>
    <w:p w14:paraId="00B4F640" w14:textId="524D9095" w:rsidR="00566950" w:rsidRDefault="00566950" w:rsidP="00856154">
      <w:pPr>
        <w:pStyle w:val="Nivel2SM"/>
      </w:pPr>
      <w:r>
        <w:t>No tiene sentido decir «</w:t>
      </w:r>
      <w:r w:rsidR="007B370B">
        <w:rPr>
          <w:i/>
          <w:iCs/>
        </w:rPr>
        <w:t>A</w:t>
      </w:r>
      <w:r>
        <w:t xml:space="preserve"> tiene un peso tres unidades mayor que </w:t>
      </w:r>
      <w:r w:rsidR="007B370B">
        <w:rPr>
          <w:i/>
          <w:iCs/>
        </w:rPr>
        <w:t>B</w:t>
      </w:r>
      <w:r w:rsidR="00F1278E">
        <w:t>»</w:t>
      </w:r>
      <w:r>
        <w:t xml:space="preserve">, pero sí decir que </w:t>
      </w:r>
      <w:r w:rsidR="00F1278E">
        <w:t>«</w:t>
      </w:r>
      <w:r>
        <w:rPr>
          <w:i/>
          <w:iCs/>
        </w:rPr>
        <w:t>A</w:t>
      </w:r>
      <w:r>
        <w:t xml:space="preserve"> tiene un peso doble que </w:t>
      </w:r>
      <w:r>
        <w:rPr>
          <w:i/>
          <w:iCs/>
        </w:rPr>
        <w:t>B</w:t>
      </w:r>
      <w:r>
        <w:t>».</w:t>
      </w:r>
    </w:p>
    <w:p w14:paraId="7460A8B0" w14:textId="77777777" w:rsidR="00566950" w:rsidRPr="00271DD4" w:rsidRDefault="00566950" w:rsidP="002A4D35">
      <w:pPr>
        <w:keepNext/>
        <w:spacing w:after="40"/>
        <w:ind w:left="851"/>
        <w:rPr>
          <w:rFonts w:eastAsiaTheme="majorEastAsia" w:cstheme="majorBidi"/>
          <w:bCs/>
          <w:i/>
          <w:iCs/>
          <w:color w:val="5F2987"/>
          <w:spacing w:val="-4"/>
          <w:sz w:val="20"/>
          <w:szCs w:val="20"/>
          <w:u w:val="dash"/>
        </w:rPr>
      </w:pPr>
      <w:r w:rsidRPr="00271DD4">
        <w:rPr>
          <w:rFonts w:eastAsiaTheme="majorEastAsia" w:cstheme="majorBidi"/>
          <w:bCs/>
          <w:i/>
          <w:iCs/>
          <w:color w:val="5F2987"/>
          <w:spacing w:val="-4"/>
          <w:sz w:val="20"/>
          <w:szCs w:val="20"/>
          <w:u w:val="dash"/>
        </w:rPr>
        <w:t>Escala Cardinal Absoluta</w:t>
      </w:r>
    </w:p>
    <w:p w14:paraId="7A32E38E" w14:textId="4EB2289E" w:rsidR="00690BFE" w:rsidRDefault="007B370B" w:rsidP="00856154">
      <w:pPr>
        <w:pStyle w:val="Nivel2SM"/>
        <w:keepNext/>
      </w:pPr>
      <w:r>
        <w:t xml:space="preserve">Ejemplo: </w:t>
      </w:r>
      <w:r w:rsidR="00566950" w:rsidRPr="007B370B">
        <w:rPr>
          <w:i/>
          <w:iCs/>
        </w:rPr>
        <w:t>Saldo en euros</w:t>
      </w:r>
      <w:r w:rsidR="00566950">
        <w:t xml:space="preserve"> (</w:t>
      </w:r>
      <w:r w:rsidR="00566950" w:rsidRPr="007B370B">
        <w:rPr>
          <w:i/>
          <w:iCs/>
        </w:rPr>
        <w:t>A</w:t>
      </w:r>
      <w:r w:rsidR="00566950">
        <w:t xml:space="preserve"> tiene igual o mayor saldo en euros que </w:t>
      </w:r>
      <w:r w:rsidR="00566950" w:rsidRPr="007B370B">
        <w:rPr>
          <w:i/>
          <w:iCs/>
        </w:rPr>
        <w:t>B</w:t>
      </w:r>
      <w:r w:rsidR="00566950">
        <w:t xml:space="preserve"> si y sólo si</w:t>
      </w:r>
      <m:oMath>
        <m:r>
          <w:rPr>
            <w:rFonts w:ascii="Cambria Math" w:hAnsi="Cambria Math"/>
          </w:rPr>
          <m:t xml:space="preserve"> </m:t>
        </m:r>
        <m:r>
          <m:rPr>
            <m:nor/>
          </m:rPr>
          <w:rPr>
            <w:i/>
            <w:iCs/>
          </w:rPr>
          <m:t>U</m:t>
        </m:r>
        <m:d>
          <m:dPr>
            <m:ctrlPr>
              <w:rPr>
                <w:rFonts w:ascii="Cambria Math" w:hAnsi="Cambria Math"/>
                <w:i/>
                <w:iCs/>
              </w:rPr>
            </m:ctrlPr>
          </m:dPr>
          <m:e>
            <m:r>
              <m:rPr>
                <m:nor/>
              </m:rPr>
              <w:rPr>
                <w:i/>
                <w:iCs/>
              </w:rPr>
              <m:t>A</m:t>
            </m:r>
          </m:e>
        </m:d>
        <m:r>
          <w:rPr>
            <w:rFonts w:ascii="Cambria Math" w:hAnsi="Cambria Math"/>
          </w:rPr>
          <m:t>≥</m:t>
        </m:r>
        <m:r>
          <m:rPr>
            <m:nor/>
          </m:rPr>
          <w:rPr>
            <w:i/>
            <w:iCs/>
          </w:rPr>
          <m:t>U</m:t>
        </m:r>
        <m:d>
          <m:dPr>
            <m:ctrlPr>
              <w:rPr>
                <w:rFonts w:ascii="Cambria Math" w:hAnsi="Cambria Math"/>
                <w:i/>
                <w:iCs/>
              </w:rPr>
            </m:ctrlPr>
          </m:dPr>
          <m:e>
            <m:r>
              <m:rPr>
                <m:nor/>
              </m:rPr>
              <w:rPr>
                <w:i/>
                <w:iCs/>
              </w:rPr>
              <m:t>B</m:t>
            </m:r>
          </m:e>
        </m:d>
      </m:oMath>
      <w:r w:rsidR="00566950">
        <w:t>).</w:t>
      </w:r>
    </w:p>
    <w:p w14:paraId="053E621D" w14:textId="4898691B" w:rsidR="00583E28" w:rsidRDefault="00566950" w:rsidP="00856154">
      <w:pPr>
        <w:pStyle w:val="Nivel2SM"/>
      </w:pPr>
      <w:r>
        <w:t>Tienen sentido todas las sentencias anteriores.</w:t>
      </w:r>
    </w:p>
    <w:tbl>
      <w:tblPr>
        <w:tblStyle w:val="Tablaconcuadrcula"/>
        <w:tblW w:w="1105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701"/>
        <w:gridCol w:w="1701"/>
        <w:gridCol w:w="1701"/>
        <w:gridCol w:w="1701"/>
        <w:gridCol w:w="1701"/>
      </w:tblGrid>
      <w:tr w:rsidR="006C2907" w14:paraId="3CD4F58C" w14:textId="77777777" w:rsidTr="00F1278E">
        <w:tc>
          <w:tcPr>
            <w:tcW w:w="2547" w:type="dxa"/>
            <w:tcBorders>
              <w:bottom w:val="double" w:sz="4" w:space="0" w:color="5F2987"/>
              <w:right w:val="single" w:sz="4" w:space="0" w:color="5F2987"/>
            </w:tcBorders>
          </w:tcPr>
          <w:p w14:paraId="4EAFD164" w14:textId="77777777" w:rsidR="006C2907" w:rsidRDefault="006C2907" w:rsidP="00995254">
            <w:pPr>
              <w:spacing w:after="0"/>
            </w:pPr>
          </w:p>
        </w:tc>
        <w:tc>
          <w:tcPr>
            <w:tcW w:w="1701" w:type="dxa"/>
            <w:tcBorders>
              <w:bottom w:val="double" w:sz="4" w:space="0" w:color="5F2987"/>
              <w:right w:val="single" w:sz="4" w:space="0" w:color="5F2987"/>
            </w:tcBorders>
            <w:vAlign w:val="center"/>
          </w:tcPr>
          <w:p w14:paraId="64867482" w14:textId="04A7D90F" w:rsidR="006C2907" w:rsidRPr="00F1278E" w:rsidRDefault="006C2907" w:rsidP="006C2907">
            <w:pPr>
              <w:spacing w:after="0" w:line="204" w:lineRule="auto"/>
              <w:jc w:val="center"/>
              <w:rPr>
                <w:i/>
                <w:iCs/>
                <w:sz w:val="18"/>
                <w:szCs w:val="18"/>
              </w:rPr>
            </w:pPr>
            <w:r w:rsidRPr="00F1278E">
              <w:rPr>
                <w:i/>
                <w:iCs/>
                <w:sz w:val="18"/>
                <w:szCs w:val="18"/>
              </w:rPr>
              <w:t xml:space="preserve">Permite nombrar </w:t>
            </w:r>
            <w:r w:rsidR="00361121" w:rsidRPr="00F1278E">
              <w:rPr>
                <w:i/>
                <w:iCs/>
                <w:sz w:val="18"/>
                <w:szCs w:val="18"/>
              </w:rPr>
              <w:t xml:space="preserve">y agrupar </w:t>
            </w:r>
            <w:r w:rsidRPr="00F1278E">
              <w:rPr>
                <w:i/>
                <w:iCs/>
                <w:sz w:val="18"/>
                <w:szCs w:val="18"/>
              </w:rPr>
              <w:t>las variables</w:t>
            </w:r>
          </w:p>
        </w:tc>
        <w:tc>
          <w:tcPr>
            <w:tcW w:w="1701" w:type="dxa"/>
            <w:tcBorders>
              <w:left w:val="single" w:sz="4" w:space="0" w:color="5F2987"/>
              <w:bottom w:val="double" w:sz="4" w:space="0" w:color="5F2987"/>
              <w:right w:val="single" w:sz="4" w:space="0" w:color="5F2987"/>
            </w:tcBorders>
            <w:vAlign w:val="center"/>
          </w:tcPr>
          <w:p w14:paraId="4A00BD06" w14:textId="181F77D1" w:rsidR="006C2907" w:rsidRPr="00F1278E" w:rsidRDefault="006C2907" w:rsidP="00995254">
            <w:pPr>
              <w:spacing w:after="0" w:line="204" w:lineRule="auto"/>
              <w:jc w:val="center"/>
              <w:rPr>
                <w:i/>
                <w:iCs/>
                <w:sz w:val="18"/>
                <w:szCs w:val="18"/>
              </w:rPr>
            </w:pPr>
            <w:r w:rsidRPr="00F1278E">
              <w:rPr>
                <w:i/>
                <w:iCs/>
                <w:sz w:val="18"/>
                <w:szCs w:val="18"/>
              </w:rPr>
              <w:t>Permite ordenar</w:t>
            </w:r>
            <w:r w:rsidR="001C1881" w:rsidRPr="00F1278E">
              <w:rPr>
                <w:i/>
                <w:iCs/>
                <w:sz w:val="18"/>
                <w:szCs w:val="18"/>
              </w:rPr>
              <w:t xml:space="preserve"> las variables</w:t>
            </w:r>
          </w:p>
        </w:tc>
        <w:tc>
          <w:tcPr>
            <w:tcW w:w="1701" w:type="dxa"/>
            <w:tcBorders>
              <w:left w:val="single" w:sz="4" w:space="0" w:color="5F2987"/>
              <w:bottom w:val="double" w:sz="4" w:space="0" w:color="5F2987"/>
              <w:right w:val="single" w:sz="4" w:space="0" w:color="5F2987"/>
            </w:tcBorders>
            <w:vAlign w:val="center"/>
          </w:tcPr>
          <w:p w14:paraId="196064E6" w14:textId="2D68C7E5" w:rsidR="006C2907" w:rsidRPr="00F1278E" w:rsidRDefault="006C2907" w:rsidP="00995254">
            <w:pPr>
              <w:spacing w:after="0" w:line="204" w:lineRule="auto"/>
              <w:jc w:val="center"/>
              <w:rPr>
                <w:i/>
                <w:iCs/>
                <w:sz w:val="18"/>
                <w:szCs w:val="18"/>
              </w:rPr>
            </w:pPr>
            <w:r w:rsidRPr="00F1278E">
              <w:rPr>
                <w:i/>
                <w:iCs/>
                <w:sz w:val="18"/>
                <w:szCs w:val="18"/>
              </w:rPr>
              <w:t xml:space="preserve">Permite comparar </w:t>
            </w:r>
            <w:r w:rsidR="00361121" w:rsidRPr="00F1278E">
              <w:rPr>
                <w:i/>
                <w:iCs/>
                <w:sz w:val="18"/>
                <w:szCs w:val="18"/>
              </w:rPr>
              <w:t>con respecto a un estándar</w:t>
            </w:r>
          </w:p>
        </w:tc>
        <w:tc>
          <w:tcPr>
            <w:tcW w:w="1701" w:type="dxa"/>
            <w:tcBorders>
              <w:left w:val="single" w:sz="4" w:space="0" w:color="5F2987"/>
              <w:bottom w:val="double" w:sz="4" w:space="0" w:color="5F2987"/>
              <w:right w:val="single" w:sz="4" w:space="0" w:color="5F2987"/>
            </w:tcBorders>
            <w:vAlign w:val="center"/>
          </w:tcPr>
          <w:p w14:paraId="220B9D9A" w14:textId="08AC644A" w:rsidR="006C2907" w:rsidRPr="00F1278E" w:rsidRDefault="006C2907" w:rsidP="00995254">
            <w:pPr>
              <w:spacing w:after="0" w:line="204" w:lineRule="auto"/>
              <w:jc w:val="center"/>
              <w:rPr>
                <w:i/>
                <w:iCs/>
                <w:sz w:val="18"/>
                <w:szCs w:val="18"/>
              </w:rPr>
            </w:pPr>
            <w:r w:rsidRPr="00F1278E">
              <w:rPr>
                <w:i/>
                <w:iCs/>
                <w:sz w:val="18"/>
                <w:szCs w:val="18"/>
              </w:rPr>
              <w:t>Permite comparar</w:t>
            </w:r>
            <w:r w:rsidR="00361121" w:rsidRPr="00F1278E">
              <w:rPr>
                <w:i/>
                <w:iCs/>
                <w:sz w:val="18"/>
                <w:szCs w:val="18"/>
              </w:rPr>
              <w:t xml:space="preserve"> ratios</w:t>
            </w:r>
          </w:p>
        </w:tc>
        <w:tc>
          <w:tcPr>
            <w:tcW w:w="1701" w:type="dxa"/>
            <w:tcBorders>
              <w:left w:val="single" w:sz="4" w:space="0" w:color="5F2987"/>
              <w:bottom w:val="double" w:sz="4" w:space="0" w:color="5F2987"/>
            </w:tcBorders>
            <w:vAlign w:val="center"/>
          </w:tcPr>
          <w:p w14:paraId="32A9F2D0" w14:textId="060C55EB" w:rsidR="006C2907" w:rsidRPr="00F1278E" w:rsidRDefault="001C1881" w:rsidP="00995254">
            <w:pPr>
              <w:spacing w:after="0" w:line="204" w:lineRule="auto"/>
              <w:jc w:val="center"/>
              <w:rPr>
                <w:i/>
                <w:iCs/>
                <w:sz w:val="18"/>
                <w:szCs w:val="18"/>
              </w:rPr>
            </w:pPr>
            <w:r w:rsidRPr="00F1278E">
              <w:rPr>
                <w:i/>
                <w:iCs/>
                <w:sz w:val="18"/>
                <w:szCs w:val="18"/>
              </w:rPr>
              <w:t xml:space="preserve">Permite </w:t>
            </w:r>
            <w:r w:rsidR="00F1278E" w:rsidRPr="00F1278E">
              <w:rPr>
                <w:i/>
                <w:iCs/>
                <w:sz w:val="18"/>
                <w:szCs w:val="18"/>
              </w:rPr>
              <w:t>cuantificar en unidades de medida las diferencias</w:t>
            </w:r>
          </w:p>
        </w:tc>
      </w:tr>
      <w:tr w:rsidR="0086038E" w14:paraId="7D082DA2" w14:textId="77777777" w:rsidTr="00F1278E">
        <w:tc>
          <w:tcPr>
            <w:tcW w:w="2547" w:type="dxa"/>
            <w:tcBorders>
              <w:top w:val="double" w:sz="4" w:space="0" w:color="5F2987"/>
              <w:right w:val="single" w:sz="4" w:space="0" w:color="5F2987"/>
            </w:tcBorders>
            <w:vAlign w:val="center"/>
          </w:tcPr>
          <w:p w14:paraId="72AD06B7" w14:textId="5EE85A4F" w:rsidR="0086038E" w:rsidRPr="00B24AC2" w:rsidRDefault="0086038E" w:rsidP="0086038E">
            <w:pPr>
              <w:spacing w:after="0"/>
              <w:jc w:val="right"/>
              <w:rPr>
                <w:i/>
                <w:iCs/>
              </w:rPr>
            </w:pPr>
            <w:r>
              <w:rPr>
                <w:i/>
                <w:iCs/>
              </w:rPr>
              <w:t>Escala Nominal</w:t>
            </w:r>
          </w:p>
        </w:tc>
        <w:tc>
          <w:tcPr>
            <w:tcW w:w="1701" w:type="dxa"/>
            <w:tcBorders>
              <w:top w:val="double" w:sz="4" w:space="0" w:color="5F2987"/>
              <w:right w:val="single" w:sz="4" w:space="0" w:color="5F2987"/>
            </w:tcBorders>
            <w:vAlign w:val="center"/>
          </w:tcPr>
          <w:p w14:paraId="03C32342" w14:textId="305A4140" w:rsidR="0086038E" w:rsidRPr="0086038E" w:rsidRDefault="0086038E" w:rsidP="0086038E">
            <w:pPr>
              <w:spacing w:after="0"/>
              <w:jc w:val="center"/>
              <w:rPr>
                <w:rFonts w:ascii="Segoe UI Symbol" w:eastAsia="Times New Roman" w:hAnsi="Segoe UI Symbol"/>
                <w:color w:val="00B050"/>
              </w:rPr>
            </w:pPr>
            <w:r w:rsidRPr="0086038E">
              <w:rPr>
                <w:rFonts w:ascii="Segoe UI Symbol" w:eastAsia="Times New Roman" w:hAnsi="Segoe UI Symbol"/>
                <w:color w:val="00B050"/>
              </w:rPr>
              <w:t>✔</w:t>
            </w:r>
          </w:p>
        </w:tc>
        <w:tc>
          <w:tcPr>
            <w:tcW w:w="1701" w:type="dxa"/>
            <w:tcBorders>
              <w:top w:val="double" w:sz="4" w:space="0" w:color="5F2987"/>
              <w:left w:val="single" w:sz="4" w:space="0" w:color="5F2987"/>
              <w:right w:val="single" w:sz="4" w:space="0" w:color="5F2987"/>
            </w:tcBorders>
            <w:vAlign w:val="center"/>
          </w:tcPr>
          <w:p w14:paraId="72E79D27" w14:textId="153094A4" w:rsidR="0086038E" w:rsidRPr="0086038E" w:rsidRDefault="0086038E" w:rsidP="0086038E">
            <w:pPr>
              <w:spacing w:after="0"/>
              <w:jc w:val="center"/>
              <w:rPr>
                <w:rFonts w:ascii="Segoe UI Symbol" w:eastAsia="Times New Roman" w:hAnsi="Segoe UI Symbol"/>
                <w:color w:val="FF0000"/>
              </w:rPr>
            </w:pPr>
            <w:r w:rsidRPr="0086038E">
              <w:rPr>
                <w:rFonts w:ascii="Segoe UI Symbol" w:eastAsia="Times New Roman" w:hAnsi="Segoe UI Symbol"/>
                <w:color w:val="FF0000"/>
              </w:rPr>
              <w:t>❌</w:t>
            </w:r>
          </w:p>
        </w:tc>
        <w:tc>
          <w:tcPr>
            <w:tcW w:w="1701" w:type="dxa"/>
            <w:tcBorders>
              <w:top w:val="double" w:sz="4" w:space="0" w:color="5F2987"/>
              <w:left w:val="single" w:sz="4" w:space="0" w:color="5F2987"/>
              <w:right w:val="single" w:sz="4" w:space="0" w:color="5F2987"/>
            </w:tcBorders>
            <w:vAlign w:val="center"/>
          </w:tcPr>
          <w:p w14:paraId="3A84D8FB" w14:textId="1B0CCC4B" w:rsidR="0086038E" w:rsidRPr="00B24AC2" w:rsidRDefault="0086038E" w:rsidP="0086038E">
            <w:pPr>
              <w:spacing w:after="0"/>
              <w:jc w:val="center"/>
              <w:rPr>
                <w:rFonts w:ascii="Segoe UI Symbol" w:eastAsia="Times New Roman" w:hAnsi="Segoe UI Symbol"/>
                <w:color w:val="FF0000"/>
              </w:rPr>
            </w:pPr>
            <w:r w:rsidRPr="00B24AC2">
              <w:rPr>
                <w:rFonts w:ascii="Segoe UI Symbol" w:eastAsia="Times New Roman" w:hAnsi="Segoe UI Symbol"/>
                <w:color w:val="FF0000"/>
              </w:rPr>
              <w:t>❌</w:t>
            </w:r>
          </w:p>
        </w:tc>
        <w:tc>
          <w:tcPr>
            <w:tcW w:w="1701" w:type="dxa"/>
            <w:tcBorders>
              <w:top w:val="double" w:sz="4" w:space="0" w:color="5F2987"/>
              <w:left w:val="single" w:sz="4" w:space="0" w:color="5F2987"/>
              <w:right w:val="single" w:sz="4" w:space="0" w:color="5F2987"/>
            </w:tcBorders>
            <w:vAlign w:val="center"/>
          </w:tcPr>
          <w:p w14:paraId="1584D9BF" w14:textId="5EB06D07" w:rsidR="0086038E" w:rsidRPr="00B24AC2" w:rsidRDefault="0086038E" w:rsidP="0086038E">
            <w:pPr>
              <w:spacing w:after="0"/>
              <w:jc w:val="center"/>
              <w:rPr>
                <w:rFonts w:ascii="Segoe UI Symbol" w:eastAsia="Times New Roman" w:hAnsi="Segoe UI Symbol"/>
                <w:color w:val="FF0000"/>
              </w:rPr>
            </w:pPr>
            <w:r w:rsidRPr="00B24AC2">
              <w:rPr>
                <w:rFonts w:ascii="Segoe UI Symbol" w:eastAsia="Times New Roman" w:hAnsi="Segoe UI Symbol"/>
                <w:color w:val="FF0000"/>
              </w:rPr>
              <w:t>❌</w:t>
            </w:r>
          </w:p>
        </w:tc>
        <w:tc>
          <w:tcPr>
            <w:tcW w:w="1701" w:type="dxa"/>
            <w:tcBorders>
              <w:top w:val="double" w:sz="4" w:space="0" w:color="5F2987"/>
              <w:left w:val="single" w:sz="4" w:space="0" w:color="5F2987"/>
            </w:tcBorders>
            <w:vAlign w:val="center"/>
          </w:tcPr>
          <w:p w14:paraId="24A22F95" w14:textId="52B4C33B" w:rsidR="0086038E" w:rsidRPr="00B24AC2" w:rsidRDefault="0086038E" w:rsidP="0086038E">
            <w:pPr>
              <w:spacing w:after="0"/>
              <w:jc w:val="center"/>
              <w:rPr>
                <w:rFonts w:ascii="Segoe UI Symbol" w:eastAsia="Times New Roman" w:hAnsi="Segoe UI Symbol"/>
                <w:color w:val="FF0000"/>
              </w:rPr>
            </w:pPr>
            <w:r w:rsidRPr="00B24AC2">
              <w:rPr>
                <w:rFonts w:ascii="Segoe UI Symbol" w:eastAsia="Times New Roman" w:hAnsi="Segoe UI Symbol"/>
                <w:color w:val="FF0000"/>
              </w:rPr>
              <w:t>❌</w:t>
            </w:r>
          </w:p>
        </w:tc>
      </w:tr>
      <w:tr w:rsidR="006C2907" w14:paraId="004AA5F9" w14:textId="77777777" w:rsidTr="00F1278E">
        <w:tc>
          <w:tcPr>
            <w:tcW w:w="2547" w:type="dxa"/>
            <w:tcBorders>
              <w:right w:val="single" w:sz="4" w:space="0" w:color="5F2987"/>
            </w:tcBorders>
            <w:vAlign w:val="center"/>
          </w:tcPr>
          <w:p w14:paraId="50DCC97C" w14:textId="77777777" w:rsidR="006C2907" w:rsidRPr="00B24AC2" w:rsidRDefault="006C2907" w:rsidP="006C2907">
            <w:pPr>
              <w:spacing w:after="0"/>
              <w:jc w:val="right"/>
              <w:rPr>
                <w:i/>
                <w:iCs/>
              </w:rPr>
            </w:pPr>
            <w:r w:rsidRPr="00B24AC2">
              <w:rPr>
                <w:i/>
                <w:iCs/>
              </w:rPr>
              <w:t>Escala Ordinal</w:t>
            </w:r>
          </w:p>
        </w:tc>
        <w:tc>
          <w:tcPr>
            <w:tcW w:w="1701" w:type="dxa"/>
            <w:tcBorders>
              <w:right w:val="single" w:sz="4" w:space="0" w:color="5F2987"/>
            </w:tcBorders>
            <w:vAlign w:val="center"/>
          </w:tcPr>
          <w:p w14:paraId="716B2B8C" w14:textId="24E594A6" w:rsidR="006C2907" w:rsidRPr="0086038E" w:rsidRDefault="006C2907" w:rsidP="006C2907">
            <w:pPr>
              <w:spacing w:after="0"/>
              <w:jc w:val="center"/>
              <w:rPr>
                <w:rFonts w:ascii="Segoe UI Symbol" w:eastAsia="Times New Roman" w:hAnsi="Segoe UI Symbol"/>
                <w:color w:val="00B050"/>
              </w:rPr>
            </w:pPr>
            <w:r w:rsidRPr="0086038E">
              <w:rPr>
                <w:rFonts w:ascii="Segoe UI Symbol" w:eastAsia="Times New Roman" w:hAnsi="Segoe UI Symbol"/>
                <w:color w:val="00B050"/>
              </w:rPr>
              <w:t>✔</w:t>
            </w:r>
          </w:p>
        </w:tc>
        <w:tc>
          <w:tcPr>
            <w:tcW w:w="1701" w:type="dxa"/>
            <w:tcBorders>
              <w:left w:val="single" w:sz="4" w:space="0" w:color="5F2987"/>
              <w:right w:val="single" w:sz="4" w:space="0" w:color="5F2987"/>
            </w:tcBorders>
            <w:vAlign w:val="center"/>
          </w:tcPr>
          <w:p w14:paraId="412A7AC8" w14:textId="049F96C4" w:rsidR="006C2907" w:rsidRPr="0086038E" w:rsidRDefault="006C2907" w:rsidP="006C2907">
            <w:pPr>
              <w:spacing w:after="0"/>
              <w:jc w:val="center"/>
              <w:rPr>
                <w:color w:val="00B050"/>
              </w:rPr>
            </w:pPr>
            <w:r w:rsidRPr="0086038E">
              <w:rPr>
                <w:rFonts w:ascii="Segoe UI Symbol" w:eastAsia="Times New Roman" w:hAnsi="Segoe UI Symbol"/>
                <w:color w:val="00B050"/>
              </w:rPr>
              <w:t>✔</w:t>
            </w:r>
          </w:p>
        </w:tc>
        <w:tc>
          <w:tcPr>
            <w:tcW w:w="1701" w:type="dxa"/>
            <w:tcBorders>
              <w:left w:val="single" w:sz="4" w:space="0" w:color="5F2987"/>
              <w:right w:val="single" w:sz="4" w:space="0" w:color="5F2987"/>
            </w:tcBorders>
            <w:vAlign w:val="center"/>
          </w:tcPr>
          <w:p w14:paraId="15B5113E" w14:textId="77777777" w:rsidR="006C2907" w:rsidRPr="00B24AC2" w:rsidRDefault="006C2907" w:rsidP="006C2907">
            <w:pPr>
              <w:spacing w:after="0"/>
              <w:jc w:val="center"/>
              <w:rPr>
                <w:color w:val="FF0000"/>
              </w:rPr>
            </w:pPr>
            <w:r w:rsidRPr="00B24AC2">
              <w:rPr>
                <w:rFonts w:ascii="Segoe UI Symbol" w:eastAsia="Times New Roman" w:hAnsi="Segoe UI Symbol"/>
                <w:color w:val="FF0000"/>
              </w:rPr>
              <w:t>❌</w:t>
            </w:r>
          </w:p>
        </w:tc>
        <w:tc>
          <w:tcPr>
            <w:tcW w:w="1701" w:type="dxa"/>
            <w:tcBorders>
              <w:left w:val="single" w:sz="4" w:space="0" w:color="5F2987"/>
              <w:right w:val="single" w:sz="4" w:space="0" w:color="5F2987"/>
            </w:tcBorders>
            <w:vAlign w:val="center"/>
          </w:tcPr>
          <w:p w14:paraId="5E632F0B" w14:textId="77777777" w:rsidR="006C2907" w:rsidRPr="00B24AC2" w:rsidRDefault="006C2907" w:rsidP="006C2907">
            <w:pPr>
              <w:spacing w:after="0"/>
              <w:jc w:val="center"/>
              <w:rPr>
                <w:color w:val="FF0000"/>
              </w:rPr>
            </w:pPr>
            <w:r w:rsidRPr="00B24AC2">
              <w:rPr>
                <w:rFonts w:ascii="Segoe UI Symbol" w:eastAsia="Times New Roman" w:hAnsi="Segoe UI Symbol"/>
                <w:color w:val="FF0000"/>
              </w:rPr>
              <w:t>❌</w:t>
            </w:r>
          </w:p>
        </w:tc>
        <w:tc>
          <w:tcPr>
            <w:tcW w:w="1701" w:type="dxa"/>
            <w:tcBorders>
              <w:left w:val="single" w:sz="4" w:space="0" w:color="5F2987"/>
            </w:tcBorders>
            <w:vAlign w:val="center"/>
          </w:tcPr>
          <w:p w14:paraId="1E10A9B1" w14:textId="77777777" w:rsidR="006C2907" w:rsidRPr="00B24AC2" w:rsidRDefault="006C2907" w:rsidP="006C2907">
            <w:pPr>
              <w:spacing w:after="0"/>
              <w:jc w:val="center"/>
              <w:rPr>
                <w:color w:val="FF0000"/>
              </w:rPr>
            </w:pPr>
            <w:r w:rsidRPr="00B24AC2">
              <w:rPr>
                <w:rFonts w:ascii="Segoe UI Symbol" w:eastAsia="Times New Roman" w:hAnsi="Segoe UI Symbol"/>
                <w:color w:val="FF0000"/>
              </w:rPr>
              <w:t>❌</w:t>
            </w:r>
          </w:p>
        </w:tc>
      </w:tr>
      <w:tr w:rsidR="006C2907" w14:paraId="06856F71" w14:textId="77777777" w:rsidTr="00F1278E">
        <w:tc>
          <w:tcPr>
            <w:tcW w:w="2547" w:type="dxa"/>
            <w:tcBorders>
              <w:right w:val="single" w:sz="4" w:space="0" w:color="5F2987"/>
            </w:tcBorders>
            <w:vAlign w:val="center"/>
          </w:tcPr>
          <w:p w14:paraId="4ACDFD8D" w14:textId="77777777" w:rsidR="006C2907" w:rsidRPr="00B24AC2" w:rsidRDefault="006C2907" w:rsidP="006C2907">
            <w:pPr>
              <w:spacing w:after="0"/>
              <w:jc w:val="right"/>
              <w:rPr>
                <w:i/>
                <w:iCs/>
              </w:rPr>
            </w:pPr>
            <w:r w:rsidRPr="00B24AC2">
              <w:rPr>
                <w:i/>
                <w:iCs/>
              </w:rPr>
              <w:t>Escala Cardinal-Intervalo</w:t>
            </w:r>
          </w:p>
        </w:tc>
        <w:tc>
          <w:tcPr>
            <w:tcW w:w="1701" w:type="dxa"/>
            <w:tcBorders>
              <w:right w:val="single" w:sz="4" w:space="0" w:color="5F2987"/>
            </w:tcBorders>
            <w:vAlign w:val="center"/>
          </w:tcPr>
          <w:p w14:paraId="41B2B363" w14:textId="4244B89B" w:rsidR="006C2907" w:rsidRPr="00B24AC2" w:rsidRDefault="006C2907" w:rsidP="006C2907">
            <w:pPr>
              <w:spacing w:after="0"/>
              <w:jc w:val="center"/>
              <w:rPr>
                <w:rFonts w:ascii="Segoe UI Symbol" w:eastAsia="Times New Roman" w:hAnsi="Segoe UI Symbol"/>
                <w:color w:val="00B050"/>
              </w:rPr>
            </w:pPr>
            <w:r w:rsidRPr="00B24AC2">
              <w:rPr>
                <w:rFonts w:ascii="Segoe UI Symbol" w:eastAsia="Times New Roman" w:hAnsi="Segoe UI Symbol"/>
                <w:color w:val="00B050"/>
              </w:rPr>
              <w:t>✔</w:t>
            </w:r>
          </w:p>
        </w:tc>
        <w:tc>
          <w:tcPr>
            <w:tcW w:w="1701" w:type="dxa"/>
            <w:tcBorders>
              <w:left w:val="single" w:sz="4" w:space="0" w:color="5F2987"/>
              <w:right w:val="single" w:sz="4" w:space="0" w:color="5F2987"/>
            </w:tcBorders>
            <w:vAlign w:val="center"/>
          </w:tcPr>
          <w:p w14:paraId="5B84D7A0" w14:textId="638F0510"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c>
          <w:tcPr>
            <w:tcW w:w="1701" w:type="dxa"/>
            <w:tcBorders>
              <w:left w:val="single" w:sz="4" w:space="0" w:color="5F2987"/>
              <w:right w:val="single" w:sz="4" w:space="0" w:color="5F2987"/>
            </w:tcBorders>
            <w:vAlign w:val="center"/>
          </w:tcPr>
          <w:p w14:paraId="1250EF57" w14:textId="77777777"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c>
          <w:tcPr>
            <w:tcW w:w="1701" w:type="dxa"/>
            <w:tcBorders>
              <w:left w:val="single" w:sz="4" w:space="0" w:color="5F2987"/>
              <w:right w:val="single" w:sz="4" w:space="0" w:color="5F2987"/>
            </w:tcBorders>
            <w:vAlign w:val="center"/>
          </w:tcPr>
          <w:p w14:paraId="45FAAAC1" w14:textId="77777777" w:rsidR="006C2907" w:rsidRPr="00B24AC2" w:rsidRDefault="006C2907" w:rsidP="006C2907">
            <w:pPr>
              <w:spacing w:after="0"/>
              <w:jc w:val="center"/>
              <w:rPr>
                <w:color w:val="FF0000"/>
              </w:rPr>
            </w:pPr>
            <w:r w:rsidRPr="00B24AC2">
              <w:rPr>
                <w:rFonts w:ascii="Segoe UI Symbol" w:eastAsia="Times New Roman" w:hAnsi="Segoe UI Symbol"/>
                <w:color w:val="FF0000"/>
              </w:rPr>
              <w:t>❌</w:t>
            </w:r>
          </w:p>
        </w:tc>
        <w:tc>
          <w:tcPr>
            <w:tcW w:w="1701" w:type="dxa"/>
            <w:tcBorders>
              <w:left w:val="single" w:sz="4" w:space="0" w:color="5F2987"/>
            </w:tcBorders>
            <w:vAlign w:val="center"/>
          </w:tcPr>
          <w:p w14:paraId="3C759943" w14:textId="77777777" w:rsidR="006C2907" w:rsidRPr="00B24AC2" w:rsidRDefault="006C2907" w:rsidP="006C2907">
            <w:pPr>
              <w:spacing w:after="0"/>
              <w:jc w:val="center"/>
              <w:rPr>
                <w:color w:val="FF0000"/>
              </w:rPr>
            </w:pPr>
            <w:r w:rsidRPr="00B24AC2">
              <w:rPr>
                <w:rFonts w:ascii="Segoe UI Symbol" w:eastAsia="Times New Roman" w:hAnsi="Segoe UI Symbol"/>
                <w:color w:val="FF0000"/>
              </w:rPr>
              <w:t>❌</w:t>
            </w:r>
          </w:p>
        </w:tc>
      </w:tr>
      <w:tr w:rsidR="006C2907" w14:paraId="5DADA9A8" w14:textId="77777777" w:rsidTr="00F1278E">
        <w:tc>
          <w:tcPr>
            <w:tcW w:w="2547" w:type="dxa"/>
            <w:tcBorders>
              <w:right w:val="single" w:sz="4" w:space="0" w:color="5F2987"/>
            </w:tcBorders>
            <w:vAlign w:val="center"/>
          </w:tcPr>
          <w:p w14:paraId="4810FC32" w14:textId="77777777" w:rsidR="006C2907" w:rsidRPr="00B24AC2" w:rsidRDefault="006C2907" w:rsidP="006C2907">
            <w:pPr>
              <w:spacing w:after="0"/>
              <w:jc w:val="right"/>
              <w:rPr>
                <w:i/>
                <w:iCs/>
              </w:rPr>
            </w:pPr>
            <w:r w:rsidRPr="00B24AC2">
              <w:rPr>
                <w:i/>
                <w:iCs/>
              </w:rPr>
              <w:t>Escala Cardinal-Ratio</w:t>
            </w:r>
          </w:p>
        </w:tc>
        <w:tc>
          <w:tcPr>
            <w:tcW w:w="1701" w:type="dxa"/>
            <w:tcBorders>
              <w:right w:val="single" w:sz="4" w:space="0" w:color="5F2987"/>
            </w:tcBorders>
            <w:vAlign w:val="center"/>
          </w:tcPr>
          <w:p w14:paraId="22955865" w14:textId="616AF583" w:rsidR="006C2907" w:rsidRPr="00B24AC2" w:rsidRDefault="006C2907" w:rsidP="006C2907">
            <w:pPr>
              <w:spacing w:after="0"/>
              <w:jc w:val="center"/>
              <w:rPr>
                <w:rFonts w:ascii="Segoe UI Symbol" w:eastAsia="Times New Roman" w:hAnsi="Segoe UI Symbol"/>
                <w:color w:val="00B050"/>
              </w:rPr>
            </w:pPr>
            <w:r w:rsidRPr="00B24AC2">
              <w:rPr>
                <w:rFonts w:ascii="Segoe UI Symbol" w:eastAsia="Times New Roman" w:hAnsi="Segoe UI Symbol"/>
                <w:color w:val="00B050"/>
              </w:rPr>
              <w:t>✔</w:t>
            </w:r>
          </w:p>
        </w:tc>
        <w:tc>
          <w:tcPr>
            <w:tcW w:w="1701" w:type="dxa"/>
            <w:tcBorders>
              <w:left w:val="single" w:sz="4" w:space="0" w:color="5F2987"/>
              <w:right w:val="single" w:sz="4" w:space="0" w:color="5F2987"/>
            </w:tcBorders>
            <w:vAlign w:val="center"/>
          </w:tcPr>
          <w:p w14:paraId="4EA7E234" w14:textId="7F98C39D"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c>
          <w:tcPr>
            <w:tcW w:w="1701" w:type="dxa"/>
            <w:tcBorders>
              <w:left w:val="single" w:sz="4" w:space="0" w:color="5F2987"/>
              <w:right w:val="single" w:sz="4" w:space="0" w:color="5F2987"/>
            </w:tcBorders>
            <w:vAlign w:val="center"/>
          </w:tcPr>
          <w:p w14:paraId="199DCF24" w14:textId="77777777"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c>
          <w:tcPr>
            <w:tcW w:w="1701" w:type="dxa"/>
            <w:tcBorders>
              <w:left w:val="single" w:sz="4" w:space="0" w:color="5F2987"/>
              <w:right w:val="single" w:sz="4" w:space="0" w:color="5F2987"/>
            </w:tcBorders>
            <w:vAlign w:val="center"/>
          </w:tcPr>
          <w:p w14:paraId="56206148" w14:textId="77777777"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c>
          <w:tcPr>
            <w:tcW w:w="1701" w:type="dxa"/>
            <w:tcBorders>
              <w:left w:val="single" w:sz="4" w:space="0" w:color="5F2987"/>
            </w:tcBorders>
            <w:vAlign w:val="center"/>
          </w:tcPr>
          <w:p w14:paraId="3340F2C1" w14:textId="77777777" w:rsidR="006C2907" w:rsidRPr="0086038E" w:rsidRDefault="006C2907" w:rsidP="006C2907">
            <w:pPr>
              <w:spacing w:after="0"/>
              <w:jc w:val="center"/>
              <w:rPr>
                <w:color w:val="FF0000"/>
              </w:rPr>
            </w:pPr>
            <w:r w:rsidRPr="0086038E">
              <w:rPr>
                <w:rFonts w:ascii="Segoe UI Symbol" w:eastAsia="Times New Roman" w:hAnsi="Segoe UI Symbol"/>
                <w:color w:val="FF0000"/>
              </w:rPr>
              <w:t>❌</w:t>
            </w:r>
          </w:p>
        </w:tc>
      </w:tr>
      <w:tr w:rsidR="006C2907" w14:paraId="67B46A19" w14:textId="77777777" w:rsidTr="00F1278E">
        <w:trPr>
          <w:trHeight w:val="58"/>
        </w:trPr>
        <w:tc>
          <w:tcPr>
            <w:tcW w:w="2547" w:type="dxa"/>
            <w:tcBorders>
              <w:bottom w:val="double" w:sz="4" w:space="0" w:color="5F2987"/>
              <w:right w:val="single" w:sz="4" w:space="0" w:color="5F2987"/>
            </w:tcBorders>
            <w:vAlign w:val="center"/>
          </w:tcPr>
          <w:p w14:paraId="6A52802C" w14:textId="77777777" w:rsidR="006C2907" w:rsidRPr="00B24AC2" w:rsidRDefault="006C2907" w:rsidP="006C2907">
            <w:pPr>
              <w:spacing w:after="0"/>
              <w:jc w:val="right"/>
              <w:rPr>
                <w:i/>
                <w:iCs/>
              </w:rPr>
            </w:pPr>
            <w:r w:rsidRPr="00B24AC2">
              <w:rPr>
                <w:i/>
                <w:iCs/>
              </w:rPr>
              <w:t>Escala Cardinal Absoluta</w:t>
            </w:r>
          </w:p>
        </w:tc>
        <w:tc>
          <w:tcPr>
            <w:tcW w:w="1701" w:type="dxa"/>
            <w:tcBorders>
              <w:bottom w:val="double" w:sz="4" w:space="0" w:color="5F2987"/>
              <w:right w:val="single" w:sz="4" w:space="0" w:color="5F2987"/>
            </w:tcBorders>
          </w:tcPr>
          <w:p w14:paraId="2AC0302B" w14:textId="09DBB90C" w:rsidR="006C2907" w:rsidRPr="00B24AC2" w:rsidRDefault="006C2907" w:rsidP="006C2907">
            <w:pPr>
              <w:spacing w:after="0"/>
              <w:jc w:val="center"/>
              <w:rPr>
                <w:rFonts w:ascii="Segoe UI Symbol" w:eastAsia="Times New Roman" w:hAnsi="Segoe UI Symbol"/>
                <w:color w:val="00B050"/>
              </w:rPr>
            </w:pPr>
            <w:r w:rsidRPr="00B24AC2">
              <w:rPr>
                <w:rFonts w:ascii="Segoe UI Symbol" w:eastAsia="Times New Roman" w:hAnsi="Segoe UI Symbol"/>
                <w:color w:val="00B050"/>
              </w:rPr>
              <w:t>✔</w:t>
            </w:r>
          </w:p>
        </w:tc>
        <w:tc>
          <w:tcPr>
            <w:tcW w:w="1701" w:type="dxa"/>
            <w:tcBorders>
              <w:left w:val="single" w:sz="4" w:space="0" w:color="5F2987"/>
              <w:bottom w:val="double" w:sz="4" w:space="0" w:color="5F2987"/>
              <w:right w:val="single" w:sz="4" w:space="0" w:color="5F2987"/>
            </w:tcBorders>
            <w:vAlign w:val="center"/>
          </w:tcPr>
          <w:p w14:paraId="7A0C18A2" w14:textId="566CE5FE"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c>
          <w:tcPr>
            <w:tcW w:w="1701" w:type="dxa"/>
            <w:tcBorders>
              <w:left w:val="single" w:sz="4" w:space="0" w:color="5F2987"/>
              <w:bottom w:val="double" w:sz="4" w:space="0" w:color="5F2987"/>
              <w:right w:val="single" w:sz="4" w:space="0" w:color="5F2987"/>
            </w:tcBorders>
            <w:vAlign w:val="center"/>
          </w:tcPr>
          <w:p w14:paraId="3D19FA55" w14:textId="77777777"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c>
          <w:tcPr>
            <w:tcW w:w="1701" w:type="dxa"/>
            <w:tcBorders>
              <w:left w:val="single" w:sz="4" w:space="0" w:color="5F2987"/>
              <w:bottom w:val="double" w:sz="4" w:space="0" w:color="5F2987"/>
              <w:right w:val="single" w:sz="4" w:space="0" w:color="5F2987"/>
            </w:tcBorders>
            <w:vAlign w:val="center"/>
          </w:tcPr>
          <w:p w14:paraId="28A575E8" w14:textId="77777777"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c>
          <w:tcPr>
            <w:tcW w:w="1701" w:type="dxa"/>
            <w:tcBorders>
              <w:left w:val="single" w:sz="4" w:space="0" w:color="5F2987"/>
              <w:bottom w:val="double" w:sz="4" w:space="0" w:color="5F2987"/>
            </w:tcBorders>
            <w:vAlign w:val="center"/>
          </w:tcPr>
          <w:p w14:paraId="6EA915C0" w14:textId="77777777" w:rsidR="006C2907" w:rsidRPr="00B24AC2" w:rsidRDefault="006C2907" w:rsidP="006C2907">
            <w:pPr>
              <w:spacing w:after="0"/>
              <w:jc w:val="center"/>
              <w:rPr>
                <w:color w:val="00B050"/>
              </w:rPr>
            </w:pPr>
            <w:r w:rsidRPr="00B24AC2">
              <w:rPr>
                <w:rFonts w:ascii="Segoe UI Symbol" w:eastAsia="Times New Roman" w:hAnsi="Segoe UI Symbol"/>
                <w:color w:val="00B050"/>
              </w:rPr>
              <w:t>✔</w:t>
            </w:r>
          </w:p>
        </w:tc>
      </w:tr>
      <w:tr w:rsidR="00D548C6" w14:paraId="0F0C45A7" w14:textId="77777777" w:rsidTr="00F1278E">
        <w:trPr>
          <w:trHeight w:val="58"/>
        </w:trPr>
        <w:tc>
          <w:tcPr>
            <w:tcW w:w="11052" w:type="dxa"/>
            <w:gridSpan w:val="6"/>
            <w:tcBorders>
              <w:top w:val="double" w:sz="4" w:space="0" w:color="5F2987"/>
              <w:bottom w:val="double" w:sz="4" w:space="0" w:color="5F2987"/>
            </w:tcBorders>
            <w:vAlign w:val="center"/>
          </w:tcPr>
          <w:p w14:paraId="3C79284F" w14:textId="2D02A11E" w:rsidR="00D548C6" w:rsidRPr="00034AE1" w:rsidRDefault="00000000" w:rsidP="00CB459D">
            <w:pPr>
              <w:spacing w:after="0"/>
              <w:rPr>
                <w:sz w:val="16"/>
                <w:szCs w:val="16"/>
              </w:rPr>
            </w:pPr>
            <w:hyperlink r:id="rId50" w:history="1">
              <w:r w:rsidR="00361121" w:rsidRPr="00904FCE">
                <w:rPr>
                  <w:rStyle w:val="Hipervnculo"/>
                  <w:sz w:val="16"/>
                  <w:szCs w:val="16"/>
                </w:rPr>
                <w:t>https://en.wikipedia.org/wiki/Level_of_measurement</w:t>
              </w:r>
            </w:hyperlink>
          </w:p>
        </w:tc>
      </w:tr>
    </w:tbl>
    <w:p w14:paraId="71ECC0DD" w14:textId="289C1E8E" w:rsidR="004A0C06" w:rsidRDefault="004A0C06" w:rsidP="00312B98">
      <w:pPr>
        <w:pStyle w:val="Nivel1SM"/>
      </w:pPr>
      <w:r>
        <w:t xml:space="preserve">Habiendo visto las distintas escalas de ordinalidad y cardinalidad, ya podemos estudiar cual es el caso de la función de utilidad esperada de </w:t>
      </w:r>
      <w:r w:rsidR="00084BF4">
        <w:t>von Neumann</w:t>
      </w:r>
      <w:r>
        <w:t>-Morgenstern.</w:t>
      </w:r>
    </w:p>
    <w:p w14:paraId="2D5EECDB" w14:textId="0C53E718" w:rsidR="002A4D35" w:rsidRPr="002A4D35" w:rsidRDefault="002A4D35" w:rsidP="00B24AC2">
      <w:pPr>
        <w:keepNext/>
        <w:spacing w:before="120" w:after="40"/>
        <w:rPr>
          <w:b/>
          <w:bCs/>
          <w:u w:val="single"/>
        </w:rPr>
      </w:pPr>
      <w:r w:rsidRPr="00271DD4">
        <w:rPr>
          <w:b/>
          <w:bCs/>
          <w:color w:val="5F2987"/>
          <w:u w:val="single"/>
        </w:rPr>
        <w:t xml:space="preserve">Función de utilidad esperada de </w:t>
      </w:r>
      <w:r w:rsidR="00084BF4">
        <w:rPr>
          <w:b/>
          <w:bCs/>
          <w:color w:val="5F2987"/>
          <w:u w:val="single"/>
        </w:rPr>
        <w:t>von Neumann</w:t>
      </w:r>
      <w:r w:rsidRPr="00271DD4">
        <w:rPr>
          <w:b/>
          <w:bCs/>
          <w:color w:val="5F2987"/>
          <w:u w:val="single"/>
        </w:rPr>
        <w:t>-Morgenstern</w:t>
      </w:r>
      <w:r w:rsidR="00021DBB" w:rsidRPr="00271DD4">
        <w:rPr>
          <w:rStyle w:val="Refdenotaalpie"/>
          <w:color w:val="5F2987"/>
        </w:rPr>
        <w:footnoteReference w:id="51"/>
      </w:r>
    </w:p>
    <w:p w14:paraId="700CF8B6" w14:textId="55541815" w:rsidR="00312B98" w:rsidRDefault="002A4D35" w:rsidP="00312B98">
      <w:pPr>
        <w:pStyle w:val="Nivel1SM"/>
        <w:keepNext/>
        <w:spacing w:before="0" w:after="0"/>
      </w:pPr>
      <w:r>
        <w:t xml:space="preserve">La escala en que se mide la utilidad esperada de </w:t>
      </w:r>
      <w:r w:rsidR="00084BF4">
        <w:t>von Neumann</w:t>
      </w:r>
      <w:r>
        <w:t xml:space="preserve">-Morgenstern es </w:t>
      </w:r>
      <w:r w:rsidRPr="00566950">
        <w:rPr>
          <w:i/>
          <w:iCs/>
          <w:u w:val="single"/>
        </w:rPr>
        <w:t>cardinal</w:t>
      </w:r>
      <w:r w:rsidR="001D0E28">
        <w:rPr>
          <w:i/>
          <w:iCs/>
          <w:u w:val="single"/>
        </w:rPr>
        <w:t>-</w:t>
      </w:r>
      <w:r w:rsidRPr="00566950">
        <w:rPr>
          <w:i/>
          <w:iCs/>
          <w:u w:val="single"/>
        </w:rPr>
        <w:t>intervalo</w:t>
      </w:r>
      <w:r>
        <w:t xml:space="preserve"> (como la de temperatura en grados centígrados).</w:t>
      </w:r>
    </w:p>
    <w:p w14:paraId="28CD7B4C" w14:textId="088BA386" w:rsidR="002A4D35" w:rsidRDefault="002A4D35" w:rsidP="00312B98">
      <w:pPr>
        <w:pStyle w:val="Nivel2SM"/>
      </w:pPr>
      <w:r>
        <w:t xml:space="preserve">Si la transformamos mediante una aplicación afín positiva, la función de utilidad esperada resultante es equivalente a la primera (como la escala Fahrenheit es equivalente a la centígrada, </w:t>
      </w:r>
      <w:r>
        <w:lastRenderedPageBreak/>
        <w:t xml:space="preserve">con correspondencia 0 °C a 32 °F y 100 °C a 212 °F, que se consigue mediante la transformación </w:t>
      </w:r>
      <m:oMath>
        <m:r>
          <m:rPr>
            <m:nor/>
          </m:rPr>
          <w:rPr>
            <w:i/>
            <w:iCs/>
          </w:rPr>
          <m:t>F</m:t>
        </m:r>
        <m:r>
          <m:rPr>
            <m:nor/>
          </m:rPr>
          <m:t>(</m:t>
        </m:r>
        <m:r>
          <m:rPr>
            <m:nor/>
          </m:rPr>
          <w:rPr>
            <w:i/>
            <w:iCs/>
          </w:rPr>
          <m:t>x</m:t>
        </m:r>
        <m:r>
          <m:rPr>
            <m:nor/>
          </m:rPr>
          <m:t>)</m:t>
        </m:r>
        <m:r>
          <w:rPr>
            <w:rFonts w:ascii="Cambria Math" w:hAnsi="Cambria Math"/>
          </w:rPr>
          <m:t>=</m:t>
        </m:r>
        <m:r>
          <m:rPr>
            <m:nor/>
          </m:rPr>
          <w:rPr>
            <w:i/>
            <w:iCs/>
          </w:rPr>
          <m:t>1,8</m:t>
        </m:r>
        <m:r>
          <w:rPr>
            <w:rFonts w:ascii="Cambria Math" w:hAnsi="Cambria Math"/>
          </w:rPr>
          <m:t>∙</m:t>
        </m:r>
        <m:r>
          <m:rPr>
            <m:nor/>
          </m:rPr>
          <w:rPr>
            <w:i/>
            <w:iCs/>
          </w:rPr>
          <m:t>x</m:t>
        </m:r>
        <m:r>
          <w:rPr>
            <w:rFonts w:ascii="Cambria Math" w:hAnsi="Cambria Math"/>
          </w:rPr>
          <m:t>+</m:t>
        </m:r>
        <m:r>
          <m:rPr>
            <m:nor/>
          </m:rPr>
          <w:rPr>
            <w:i/>
            <w:iCs/>
          </w:rPr>
          <m:t>32</m:t>
        </m:r>
      </m:oMath>
      <w:r>
        <w:t>).</w:t>
      </w:r>
    </w:p>
    <w:p w14:paraId="556BEF70" w14:textId="7EC6CA46" w:rsidR="002A4D35" w:rsidRDefault="002A4D35" w:rsidP="00312B98">
      <w:pPr>
        <w:pStyle w:val="Nivel2SM"/>
      </w:pPr>
      <w:r>
        <w:t xml:space="preserve">Tiene sentido decir «la utilidad de </w:t>
      </w:r>
      <w:r w:rsidRPr="00566950">
        <w:rPr>
          <w:i/>
          <w:iCs/>
        </w:rPr>
        <w:t>A</w:t>
      </w:r>
      <w:r>
        <w:t xml:space="preserve"> es mayor que la de </w:t>
      </w:r>
      <w:r w:rsidRPr="00566950">
        <w:rPr>
          <w:i/>
          <w:iCs/>
        </w:rPr>
        <w:t>B</w:t>
      </w:r>
      <w:r>
        <w:t xml:space="preserve">» y también «la diferencia de utilidad entre </w:t>
      </w:r>
      <w:r w:rsidRPr="00566950">
        <w:rPr>
          <w:i/>
          <w:iCs/>
        </w:rPr>
        <w:t>B</w:t>
      </w:r>
      <w:r>
        <w:t xml:space="preserve"> y </w:t>
      </w:r>
      <w:r w:rsidRPr="00566950">
        <w:rPr>
          <w:i/>
          <w:iCs/>
        </w:rPr>
        <w:t>C</w:t>
      </w:r>
      <w:r>
        <w:t xml:space="preserve"> es cinco veces mayor que entre </w:t>
      </w:r>
      <w:r w:rsidRPr="00566950">
        <w:rPr>
          <w:i/>
          <w:iCs/>
        </w:rPr>
        <w:t>A</w:t>
      </w:r>
      <w:r>
        <w:t xml:space="preserve"> y </w:t>
      </w:r>
      <w:r w:rsidRPr="00566950">
        <w:rPr>
          <w:i/>
          <w:iCs/>
        </w:rPr>
        <w:t>C</w:t>
      </w:r>
      <w:r>
        <w:t xml:space="preserve">», pero no lo tiene decir «la utilidad de </w:t>
      </w:r>
      <w:r w:rsidRPr="00566950">
        <w:rPr>
          <w:i/>
          <w:iCs/>
        </w:rPr>
        <w:t>A</w:t>
      </w:r>
      <w:r>
        <w:t xml:space="preserve"> es doble que la de </w:t>
      </w:r>
      <w:r w:rsidRPr="00566950">
        <w:rPr>
          <w:i/>
          <w:iCs/>
        </w:rPr>
        <w:t>B</w:t>
      </w:r>
      <w:r>
        <w:t xml:space="preserve">» o «la utilidad de </w:t>
      </w:r>
      <w:r w:rsidRPr="00566950">
        <w:rPr>
          <w:i/>
          <w:iCs/>
        </w:rPr>
        <w:t>A</w:t>
      </w:r>
      <w:r>
        <w:t xml:space="preserve"> es 5</w:t>
      </w:r>
      <w:r w:rsidR="00312B98">
        <w:t> </w:t>
      </w:r>
      <w:r>
        <w:t xml:space="preserve">unidades mayor que la de </w:t>
      </w:r>
      <w:r w:rsidRPr="00566950">
        <w:rPr>
          <w:i/>
          <w:iCs/>
        </w:rPr>
        <w:t>B</w:t>
      </w:r>
      <w:r>
        <w:t>».</w:t>
      </w:r>
    </w:p>
    <w:p w14:paraId="6F92691D" w14:textId="4EE5CCFA" w:rsidR="00583E28" w:rsidRPr="00583E28" w:rsidRDefault="002A4D35" w:rsidP="00312B98">
      <w:pPr>
        <w:pStyle w:val="Nivel1SM"/>
        <w:rPr>
          <w:rFonts w:eastAsiaTheme="minorEastAsia"/>
          <w:iCs/>
          <w:szCs w:val="14"/>
        </w:rPr>
      </w:pPr>
      <w:r>
        <w:t xml:space="preserve">De este modo, siguiendo a </w:t>
      </w:r>
      <w:r w:rsidRPr="002A4D35">
        <w:rPr>
          <w:smallCaps/>
        </w:rPr>
        <w:t>Machina</w:t>
      </w:r>
      <w:r>
        <w:t xml:space="preserve"> (2018), l</w:t>
      </w:r>
      <w:r w:rsidR="00583E28" w:rsidRPr="00583E28">
        <w:t xml:space="preserve">a </w:t>
      </w:r>
      <w:r w:rsidR="00583E28" w:rsidRPr="00605803">
        <w:rPr>
          <w:u w:val="single"/>
        </w:rPr>
        <w:t xml:space="preserve">función de utilidad de </w:t>
      </w:r>
      <w:r w:rsidR="00084BF4">
        <w:rPr>
          <w:u w:val="single"/>
        </w:rPr>
        <w:t>von Neumann</w:t>
      </w:r>
      <w:r w:rsidR="00583E28" w:rsidRPr="00605803">
        <w:rPr>
          <w:u w:val="single"/>
        </w:rPr>
        <w:t>-Morgenstern</w:t>
      </w:r>
      <w:r w:rsidR="00583E28" w:rsidRPr="00583E28">
        <w:t xml:space="preserve"> </w:t>
      </w:r>
      <w:r w:rsidR="00583E28" w:rsidRPr="00312B98">
        <w:rPr>
          <w:u w:val="single"/>
        </w:rPr>
        <w:t xml:space="preserve">es </w:t>
      </w:r>
      <w:r w:rsidR="00583E28" w:rsidRPr="00312B98">
        <w:rPr>
          <w:i/>
          <w:iCs/>
          <w:u w:val="single"/>
        </w:rPr>
        <w:t>“ordinal”</w:t>
      </w:r>
      <w:r w:rsidR="00583E28" w:rsidRPr="00583E28">
        <w:t xml:space="preserve"> debido a que puede ser sometida a cualquier transformación lineal creciente (TLC) sin que se vea afectada la validez de su representación. Por lo tanto, las funciones de preferencia </w:t>
      </w:r>
      <m:oMath>
        <m:nary>
          <m:naryPr>
            <m:limLoc m:val="undOvr"/>
            <m:subHide m:val="1"/>
            <m:supHide m:val="1"/>
            <m:ctrlPr>
              <w:rPr>
                <w:rFonts w:ascii="Cambria Math" w:hAnsi="Cambria Math"/>
                <w:i/>
                <w:iCs/>
              </w:rPr>
            </m:ctrlPr>
          </m:naryPr>
          <m:sub/>
          <m:sup/>
          <m:e>
            <m:r>
              <m:rPr>
                <m:nor/>
              </m:rPr>
              <w:rPr>
                <w:i/>
                <w:iCs/>
              </w:rPr>
              <m:t>u</m:t>
            </m:r>
            <m:d>
              <m:dPr>
                <m:ctrlPr>
                  <w:rPr>
                    <w:rFonts w:ascii="Cambria Math" w:eastAsiaTheme="minorEastAsia" w:hAnsi="Cambria Math"/>
                    <w:i/>
                    <w:sz w:val="16"/>
                    <w:szCs w:val="14"/>
                  </w:rPr>
                </m:ctrlPr>
              </m:dPr>
              <m:e>
                <m:r>
                  <m:rPr>
                    <m:nor/>
                  </m:rPr>
                  <w:rPr>
                    <w:rFonts w:eastAsiaTheme="minorEastAsia"/>
                    <w:i/>
                    <w:szCs w:val="14"/>
                  </w:rPr>
                  <m:t>x</m:t>
                </m:r>
              </m:e>
            </m:d>
          </m:e>
        </m:nary>
        <w:proofErr w:type="spellStart"/>
        <m:r>
          <m:rPr>
            <m:nor/>
          </m:rPr>
          <w:rPr>
            <w:i/>
            <w:iCs/>
          </w:rPr>
          <m:t>dF</m:t>
        </m:r>
        <w:proofErr w:type="spellEnd"/>
        <m:d>
          <m:dPr>
            <m:ctrlPr>
              <w:rPr>
                <w:rFonts w:ascii="Cambria Math" w:eastAsiaTheme="minorEastAsia" w:hAnsi="Cambria Math"/>
                <w:i/>
                <w:sz w:val="16"/>
                <w:szCs w:val="14"/>
              </w:rPr>
            </m:ctrlPr>
          </m:dPr>
          <m:e>
            <m:r>
              <m:rPr>
                <m:nor/>
              </m:rPr>
              <w:rPr>
                <w:rFonts w:eastAsiaTheme="minorEastAsia"/>
                <w:i/>
                <w:szCs w:val="14"/>
              </w:rPr>
              <m:t>x</m:t>
            </m:r>
          </m:e>
        </m:d>
      </m:oMath>
      <w:r w:rsidR="00583E28" w:rsidRPr="00583E28">
        <w:rPr>
          <w:rFonts w:eastAsiaTheme="minorEastAsia"/>
        </w:rPr>
        <w:t xml:space="preserve"> y</w:t>
      </w:r>
      <m:oMath>
        <m:r>
          <w:rPr>
            <w:rFonts w:ascii="Cambria Math" w:eastAsiaTheme="minorEastAsia" w:hAnsi="Cambria Math"/>
          </w:rPr>
          <m:t xml:space="preserve"> </m:t>
        </m:r>
        <m:r>
          <m:rPr>
            <m:nor/>
          </m:rPr>
          <w:rPr>
            <w:rFonts w:eastAsiaTheme="minorEastAsia"/>
            <w:i/>
          </w:rPr>
          <m:t>24</m:t>
        </m:r>
        <m:r>
          <w:rPr>
            <w:rFonts w:ascii="Cambria Math" w:eastAsiaTheme="minorEastAsia" w:hAnsi="Cambria Math" w:cs="Cambria Math"/>
          </w:rPr>
          <m:t>⋅</m:t>
        </m:r>
        <m:sSup>
          <m:sSupPr>
            <m:ctrlPr>
              <w:rPr>
                <w:rFonts w:ascii="Cambria Math" w:hAnsi="Cambria Math"/>
                <w:i/>
                <w:szCs w:val="14"/>
              </w:rPr>
            </m:ctrlPr>
          </m:sSupPr>
          <m:e>
            <m:d>
              <m:dPr>
                <m:begChr m:val="["/>
                <m:endChr m:val="]"/>
                <m:ctrlPr>
                  <w:rPr>
                    <w:rFonts w:ascii="Cambria Math" w:hAnsi="Cambria Math"/>
                    <w:i/>
                    <w:szCs w:val="14"/>
                  </w:rPr>
                </m:ctrlPr>
              </m:dPr>
              <m:e>
                <m:nary>
                  <m:naryPr>
                    <m:limLoc m:val="undOvr"/>
                    <m:subHide m:val="1"/>
                    <m:supHide m:val="1"/>
                    <m:ctrlPr>
                      <w:rPr>
                        <w:rFonts w:ascii="Cambria Math" w:hAnsi="Cambria Math"/>
                        <w:i/>
                        <w:szCs w:val="14"/>
                      </w:rPr>
                    </m:ctrlPr>
                  </m:naryPr>
                  <m:sub/>
                  <m:sup/>
                  <m:e>
                    <m:r>
                      <m:rPr>
                        <m:nor/>
                      </m:rPr>
                      <w:rPr>
                        <w:i/>
                        <w:szCs w:val="14"/>
                      </w:rPr>
                      <m:t>u</m:t>
                    </m:r>
                    <m:d>
                      <m:dPr>
                        <m:ctrlPr>
                          <w:rPr>
                            <w:rFonts w:ascii="Cambria Math" w:eastAsiaTheme="minorEastAsia" w:hAnsi="Cambria Math"/>
                            <w:i/>
                            <w:sz w:val="16"/>
                            <w:szCs w:val="14"/>
                          </w:rPr>
                        </m:ctrlPr>
                      </m:dPr>
                      <m:e>
                        <m:r>
                          <m:rPr>
                            <m:nor/>
                          </m:rPr>
                          <w:rPr>
                            <w:rFonts w:eastAsiaTheme="minorEastAsia"/>
                            <w:i/>
                            <w:szCs w:val="14"/>
                          </w:rPr>
                          <m:t>x</m:t>
                        </m:r>
                      </m:e>
                    </m:d>
                  </m:e>
                </m:nary>
                <m:r>
                  <m:rPr>
                    <m:nor/>
                  </m:rPr>
                  <w:rPr>
                    <w:i/>
                    <w:szCs w:val="14"/>
                  </w:rPr>
                  <m:t>dF</m:t>
                </m:r>
                <m:d>
                  <m:dPr>
                    <m:ctrlPr>
                      <w:rPr>
                        <w:rFonts w:ascii="Cambria Math" w:eastAsiaTheme="minorEastAsia" w:hAnsi="Cambria Math"/>
                        <w:i/>
                        <w:sz w:val="16"/>
                        <w:szCs w:val="14"/>
                      </w:rPr>
                    </m:ctrlPr>
                  </m:dPr>
                  <m:e>
                    <m:r>
                      <m:rPr>
                        <m:nor/>
                      </m:rPr>
                      <w:rPr>
                        <w:rFonts w:eastAsiaTheme="minorEastAsia"/>
                        <w:i/>
                        <w:szCs w:val="14"/>
                      </w:rPr>
                      <m:t>x</m:t>
                    </m:r>
                  </m:e>
                </m:d>
              </m:e>
            </m:d>
          </m:e>
          <m:sup>
            <m:r>
              <m:rPr>
                <m:nor/>
              </m:rPr>
              <w:rPr>
                <w:i/>
                <w:szCs w:val="14"/>
              </w:rPr>
              <m:t>3</m:t>
            </m:r>
          </m:sup>
        </m:sSup>
      </m:oMath>
      <w:r w:rsidR="00583E28" w:rsidRPr="00583E28">
        <w:rPr>
          <w:rFonts w:eastAsiaTheme="minorEastAsia"/>
          <w:iCs/>
          <w:szCs w:val="14"/>
        </w:rPr>
        <w:t xml:space="preserve"> representan preferencias idénticas.</w:t>
      </w:r>
    </w:p>
    <w:p w14:paraId="5ED77E8F" w14:textId="4430ABBA" w:rsidR="00583E28" w:rsidRPr="00312B98" w:rsidRDefault="00583E28" w:rsidP="00312B98">
      <w:pPr>
        <w:pStyle w:val="Nivel1SM"/>
        <w:rPr>
          <w:spacing w:val="-3"/>
        </w:rPr>
      </w:pPr>
      <w:r w:rsidRPr="00312B98">
        <w:rPr>
          <w:spacing w:val="-3"/>
        </w:rPr>
        <w:t xml:space="preserve">Por otro lado, </w:t>
      </w:r>
      <w:r w:rsidR="00060F7F" w:rsidRPr="00312B98">
        <w:rPr>
          <w:spacing w:val="-3"/>
        </w:rPr>
        <w:t xml:space="preserve">preserva un componente de cardinalidad, en el sentido de que </w:t>
      </w:r>
      <w:r w:rsidRPr="00312B98">
        <w:rPr>
          <w:spacing w:val="-3"/>
        </w:rPr>
        <w:t xml:space="preserve">la </w:t>
      </w:r>
      <w:r w:rsidRPr="00312B98">
        <w:rPr>
          <w:spacing w:val="-3"/>
          <w:u w:val="single"/>
        </w:rPr>
        <w:t xml:space="preserve">función de utilidad de Bernoulli </w:t>
      </w:r>
      <w:r w:rsidRPr="00312B98">
        <w:rPr>
          <w:i/>
          <w:spacing w:val="-3"/>
          <w:u w:val="single"/>
        </w:rPr>
        <w:t>u</w:t>
      </w:r>
      <w:r w:rsidRPr="00312B98">
        <w:rPr>
          <w:spacing w:val="-3"/>
          <w:u w:val="single"/>
        </w:rPr>
        <w:t>(</w:t>
      </w:r>
      <w:r w:rsidRPr="00312B98">
        <w:rPr>
          <w:i/>
          <w:spacing w:val="-3"/>
          <w:u w:val="single"/>
        </w:rPr>
        <w:t>x</w:t>
      </w:r>
      <w:r w:rsidRPr="00312B98">
        <w:rPr>
          <w:spacing w:val="-3"/>
          <w:u w:val="single"/>
        </w:rPr>
        <w:t xml:space="preserve">) es </w:t>
      </w:r>
      <w:r w:rsidRPr="00312B98">
        <w:rPr>
          <w:i/>
          <w:spacing w:val="-3"/>
          <w:u w:val="single"/>
        </w:rPr>
        <w:t>“cardinal”</w:t>
      </w:r>
      <w:r w:rsidRPr="00312B98">
        <w:rPr>
          <w:spacing w:val="-3"/>
        </w:rPr>
        <w:t xml:space="preserve"> debido a que las diferentes funciones de utilidad de Bernoulli </w:t>
      </w:r>
      <m:oMath>
        <m:sSup>
          <m:sSupPr>
            <m:ctrlPr>
              <w:rPr>
                <w:rFonts w:ascii="Cambria Math" w:hAnsi="Cambria Math"/>
                <w:i/>
                <w:spacing w:val="-3"/>
              </w:rPr>
            </m:ctrlPr>
          </m:sSupPr>
          <m:e>
            <m:r>
              <m:rPr>
                <m:nor/>
              </m:rPr>
              <w:rPr>
                <w:i/>
                <w:spacing w:val="-3"/>
              </w:rPr>
              <m:t>u</m:t>
            </m:r>
          </m:e>
          <m:sup>
            <m:r>
              <m:rPr>
                <m:nor/>
              </m:rPr>
              <w:rPr>
                <w:i/>
                <w:spacing w:val="-3"/>
              </w:rPr>
              <m:t>*</m:t>
            </m:r>
          </m:sup>
        </m:sSup>
        <m:r>
          <m:rPr>
            <m:nor/>
          </m:rPr>
          <w:rPr>
            <w:spacing w:val="-3"/>
          </w:rPr>
          <m:t>(</m:t>
        </m:r>
        <m:r>
          <m:rPr>
            <m:nor/>
          </m:rPr>
          <w:rPr>
            <w:i/>
            <w:spacing w:val="-3"/>
          </w:rPr>
          <m:t>x</m:t>
        </m:r>
        <m:r>
          <m:rPr>
            <m:nor/>
          </m:rPr>
          <w:rPr>
            <w:spacing w:val="-3"/>
          </w:rPr>
          <m:t>)</m:t>
        </m:r>
      </m:oMath>
      <w:r w:rsidRPr="00312B98">
        <w:rPr>
          <w:spacing w:val="-3"/>
        </w:rPr>
        <w:t xml:space="preserve"> generarán una función de </w:t>
      </w:r>
      <w:r w:rsidR="00084BF4">
        <w:rPr>
          <w:spacing w:val="-3"/>
        </w:rPr>
        <w:t>von Neumann</w:t>
      </w:r>
      <w:r w:rsidRPr="00312B98">
        <w:rPr>
          <w:spacing w:val="-3"/>
        </w:rPr>
        <w:t xml:space="preserve">-Morgenstern </w:t>
      </w:r>
      <w:r w:rsidR="00177929" w:rsidRPr="00312B98">
        <w:rPr>
          <w:spacing w:val="-3"/>
        </w:rPr>
        <w:t xml:space="preserve">ordinalmente </w:t>
      </w:r>
      <w:r w:rsidRPr="00312B98">
        <w:rPr>
          <w:spacing w:val="-3"/>
        </w:rPr>
        <w:t>equivalente</w:t>
      </w:r>
      <w:r w:rsidR="00177929" w:rsidRPr="00312B98">
        <w:rPr>
          <w:spacing w:val="-3"/>
        </w:rPr>
        <w:t>,</w:t>
      </w:r>
      <w:r w:rsidRPr="00312B98">
        <w:rPr>
          <w:spacing w:val="-3"/>
        </w:rPr>
        <w:t xml:space="preserve"> si y solo si se satisface la relación cardinal </w:t>
      </w:r>
      <m:oMath>
        <m:sSup>
          <m:sSupPr>
            <m:ctrlPr>
              <w:rPr>
                <w:rFonts w:ascii="Cambria Math" w:hAnsi="Cambria Math"/>
                <w:i/>
                <w:spacing w:val="-3"/>
              </w:rPr>
            </m:ctrlPr>
          </m:sSupPr>
          <m:e>
            <m:r>
              <m:rPr>
                <m:nor/>
              </m:rPr>
              <w:rPr>
                <w:i/>
                <w:spacing w:val="-3"/>
              </w:rPr>
              <m:t>u</m:t>
            </m:r>
          </m:e>
          <m:sup>
            <m:r>
              <m:rPr>
                <m:nor/>
              </m:rPr>
              <w:rPr>
                <w:i/>
                <w:spacing w:val="-3"/>
              </w:rPr>
              <m:t>*</m:t>
            </m:r>
          </m:sup>
        </m:sSup>
        <m:d>
          <m:dPr>
            <m:ctrlPr>
              <w:rPr>
                <w:rFonts w:ascii="Cambria Math" w:hAnsi="Cambria Math"/>
                <w:i/>
                <w:spacing w:val="-3"/>
                <w:sz w:val="16"/>
              </w:rPr>
            </m:ctrlPr>
          </m:dPr>
          <m:e>
            <m:r>
              <m:rPr>
                <m:nor/>
              </m:rPr>
              <w:rPr>
                <w:i/>
                <w:spacing w:val="-3"/>
              </w:rPr>
              <m:t>x</m:t>
            </m:r>
          </m:e>
        </m:d>
        <m:r>
          <w:rPr>
            <w:rFonts w:ascii="Cambria Math" w:hAnsi="Cambria Math"/>
            <w:spacing w:val="-3"/>
          </w:rPr>
          <m:t>≡</m:t>
        </m:r>
        <m:r>
          <m:rPr>
            <m:nor/>
          </m:rPr>
          <w:rPr>
            <w:i/>
            <w:spacing w:val="-3"/>
          </w:rPr>
          <m:t>a</m:t>
        </m:r>
        <m:r>
          <w:rPr>
            <w:rFonts w:ascii="Cambria Math" w:hAnsi="Cambria Math" w:cs="Cambria Math"/>
            <w:spacing w:val="-3"/>
          </w:rPr>
          <m:t>⋅</m:t>
        </m:r>
        <m:r>
          <m:rPr>
            <m:nor/>
          </m:rPr>
          <w:rPr>
            <w:i/>
            <w:spacing w:val="-3"/>
          </w:rPr>
          <m:t>u</m:t>
        </m:r>
        <m:d>
          <m:dPr>
            <m:ctrlPr>
              <w:rPr>
                <w:rFonts w:ascii="Cambria Math" w:hAnsi="Cambria Math"/>
                <w:i/>
                <w:spacing w:val="-3"/>
                <w:sz w:val="16"/>
              </w:rPr>
            </m:ctrlPr>
          </m:dPr>
          <m:e>
            <m:r>
              <m:rPr>
                <m:nor/>
              </m:rPr>
              <w:rPr>
                <w:i/>
                <w:spacing w:val="-3"/>
              </w:rPr>
              <m:t>x</m:t>
            </m:r>
          </m:e>
        </m:d>
        <m:r>
          <w:rPr>
            <w:rFonts w:ascii="Cambria Math" w:hAnsi="Cambria Math"/>
            <w:spacing w:val="-3"/>
          </w:rPr>
          <m:t>+</m:t>
        </m:r>
        <m:r>
          <m:rPr>
            <m:nor/>
          </m:rPr>
          <w:rPr>
            <w:i/>
            <w:spacing w:val="-3"/>
          </w:rPr>
          <m:t>b</m:t>
        </m:r>
      </m:oMath>
      <w:r w:rsidRPr="00312B98">
        <w:rPr>
          <w:spacing w:val="-3"/>
        </w:rPr>
        <w:t xml:space="preserve"> para cualquier </w:t>
      </w:r>
      <m:oMath>
        <m:r>
          <m:rPr>
            <m:nor/>
          </m:rPr>
          <w:rPr>
            <w:i/>
            <w:spacing w:val="-3"/>
          </w:rPr>
          <m:t>a</m:t>
        </m:r>
        <m:r>
          <w:rPr>
            <w:rFonts w:ascii="Cambria Math" w:hAnsi="Cambria Math"/>
            <w:spacing w:val="-3"/>
          </w:rPr>
          <m:t>&gt;</m:t>
        </m:r>
        <m:r>
          <m:rPr>
            <m:nor/>
          </m:rPr>
          <w:rPr>
            <w:i/>
            <w:spacing w:val="-3"/>
          </w:rPr>
          <m:t>0</m:t>
        </m:r>
      </m:oMath>
      <w:r w:rsidRPr="00312B98">
        <w:rPr>
          <w:spacing w:val="-3"/>
        </w:rPr>
        <w:t xml:space="preserve"> (en cuyo caso </w:t>
      </w:r>
      <m:oMath>
        <m:sSup>
          <m:sSupPr>
            <m:ctrlPr>
              <w:rPr>
                <w:rFonts w:ascii="Cambria Math" w:hAnsi="Cambria Math"/>
                <w:i/>
                <w:spacing w:val="-3"/>
              </w:rPr>
            </m:ctrlPr>
          </m:sSupPr>
          <m:e>
            <m:r>
              <m:rPr>
                <m:nor/>
              </m:rPr>
              <w:rPr>
                <w:i/>
                <w:spacing w:val="-3"/>
              </w:rPr>
              <m:t>V</m:t>
            </m:r>
          </m:e>
          <m:sup>
            <m:r>
              <m:rPr>
                <m:nor/>
              </m:rPr>
              <w:rPr>
                <w:i/>
                <w:spacing w:val="-3"/>
              </w:rPr>
              <m:t>*</m:t>
            </m:r>
          </m:sup>
        </m:sSup>
        <m:d>
          <m:dPr>
            <m:ctrlPr>
              <w:rPr>
                <w:rFonts w:ascii="Cambria Math" w:hAnsi="Cambria Math"/>
                <w:i/>
                <w:spacing w:val="-3"/>
              </w:rPr>
            </m:ctrlPr>
          </m:dPr>
          <m:e>
            <m:r>
              <m:rPr>
                <m:nor/>
              </m:rPr>
              <w:rPr>
                <w:i/>
                <w:spacing w:val="-3"/>
              </w:rPr>
              <m:t>F</m:t>
            </m:r>
          </m:e>
        </m:d>
        <m:r>
          <w:rPr>
            <w:rFonts w:ascii="Cambria Math" w:hAnsi="Cambria Math"/>
            <w:spacing w:val="-3"/>
          </w:rPr>
          <m:t>≡</m:t>
        </m:r>
        <m:r>
          <m:rPr>
            <m:nor/>
          </m:rPr>
          <w:rPr>
            <w:i/>
            <w:spacing w:val="-3"/>
          </w:rPr>
          <m:t>a</m:t>
        </m:r>
        <m:r>
          <w:rPr>
            <w:rFonts w:ascii="Cambria Math" w:hAnsi="Cambria Math" w:cs="Cambria Math"/>
            <w:spacing w:val="-3"/>
          </w:rPr>
          <m:t>⋅</m:t>
        </m:r>
        <m:r>
          <m:rPr>
            <m:nor/>
          </m:rPr>
          <w:rPr>
            <w:i/>
            <w:spacing w:val="-3"/>
          </w:rPr>
          <m:t>V</m:t>
        </m:r>
        <m:d>
          <m:dPr>
            <m:ctrlPr>
              <w:rPr>
                <w:rFonts w:ascii="Cambria Math" w:hAnsi="Cambria Math"/>
                <w:i/>
                <w:spacing w:val="-3"/>
                <w:sz w:val="16"/>
              </w:rPr>
            </m:ctrlPr>
          </m:dPr>
          <m:e>
            <m:r>
              <m:rPr>
                <m:nor/>
              </m:rPr>
              <w:rPr>
                <w:i/>
                <w:spacing w:val="-3"/>
              </w:rPr>
              <m:t>x</m:t>
            </m:r>
          </m:e>
        </m:d>
        <m:r>
          <w:rPr>
            <w:rFonts w:ascii="Cambria Math" w:hAnsi="Cambria Math"/>
            <w:spacing w:val="-3"/>
          </w:rPr>
          <m:t>+</m:t>
        </m:r>
        <m:r>
          <m:rPr>
            <m:nor/>
          </m:rPr>
          <w:rPr>
            <w:i/>
            <w:spacing w:val="-3"/>
          </w:rPr>
          <m:t>b</m:t>
        </m:r>
      </m:oMath>
      <w:r w:rsidRPr="00312B98">
        <w:rPr>
          <w:spacing w:val="-3"/>
        </w:rPr>
        <w:t>)</w:t>
      </w:r>
      <w:r w:rsidR="007200A2" w:rsidRPr="00312B98">
        <w:rPr>
          <w:rStyle w:val="Refdenotaalpie"/>
          <w:rFonts w:eastAsiaTheme="minorEastAsia"/>
          <w:iCs/>
          <w:spacing w:val="-3"/>
          <w:szCs w:val="14"/>
        </w:rPr>
        <w:footnoteReference w:id="52"/>
      </w:r>
      <w:r w:rsidR="00944CED" w:rsidRPr="00312B98">
        <w:rPr>
          <w:spacing w:val="-3"/>
          <w:vertAlign w:val="superscript"/>
        </w:rPr>
        <w:t>,</w:t>
      </w:r>
      <w:r w:rsidR="00F54550" w:rsidRPr="00312B98">
        <w:rPr>
          <w:rStyle w:val="Refdenotaalpie"/>
          <w:rFonts w:eastAsiaTheme="minorEastAsia"/>
          <w:iCs/>
          <w:spacing w:val="-3"/>
          <w:szCs w:val="14"/>
        </w:rPr>
        <w:footnoteReference w:id="53"/>
      </w:r>
      <w:r w:rsidRPr="00312B98">
        <w:rPr>
          <w:spacing w:val="-3"/>
        </w:rPr>
        <w:t>.</w:t>
      </w:r>
    </w:p>
    <w:p w14:paraId="1E9259F9" w14:textId="1357145C" w:rsidR="00583E28" w:rsidRPr="00021DBB" w:rsidRDefault="00021DBB" w:rsidP="00312B98">
      <w:pPr>
        <w:pStyle w:val="Nivel1SM"/>
      </w:pPr>
      <w:r>
        <w:t xml:space="preserve">Es por esto, que en la teoría de </w:t>
      </w:r>
      <w:r w:rsidR="00084BF4">
        <w:t>von Neumann</w:t>
      </w:r>
      <w:r>
        <w:t xml:space="preserve">-Morgenstern tenemos una “utilidad cardinal que es ordinal” usando la famosa frase de </w:t>
      </w:r>
      <w:r>
        <w:rPr>
          <w:smallCaps/>
        </w:rPr>
        <w:t>Baumol</w:t>
      </w:r>
      <w:r>
        <w:t xml:space="preserve"> (1958)</w:t>
      </w:r>
      <w:r w:rsidR="00621FD6">
        <w:t>.</w:t>
      </w:r>
    </w:p>
    <w:p w14:paraId="09E696D0" w14:textId="3CC4B89A" w:rsidR="00147D16" w:rsidRDefault="00147D16" w:rsidP="0086038E">
      <w:pPr>
        <w:pStyle w:val="Ttulo5"/>
        <w:rPr>
          <w:i w:val="0"/>
          <w:iCs w:val="0"/>
          <w:u w:val="none"/>
        </w:rPr>
      </w:pPr>
      <w:bookmarkStart w:id="86" w:name="_Ref99301171"/>
      <w:r>
        <w:t>Anexo</w:t>
      </w:r>
      <w:r w:rsidR="00EF1292">
        <w:t> </w:t>
      </w:r>
      <w:r>
        <w:t>2</w:t>
      </w:r>
      <w:r>
        <w:rPr>
          <w:i w:val="0"/>
          <w:iCs w:val="0"/>
          <w:u w:val="none"/>
        </w:rPr>
        <w:t>: Paradoja de San Petersburgo</w:t>
      </w:r>
      <w:bookmarkEnd w:id="86"/>
    </w:p>
    <w:p w14:paraId="7A826561" w14:textId="193FFAE9" w:rsidR="00147D16" w:rsidRPr="00555090" w:rsidRDefault="00147D16" w:rsidP="00147D16">
      <w:pPr>
        <w:rPr>
          <w:spacing w:val="-1"/>
        </w:rPr>
      </w:pPr>
      <w:r w:rsidRPr="00555090">
        <w:rPr>
          <w:spacing w:val="-1"/>
        </w:rPr>
        <w:t>Durante el desarrollo de la moderna teoría de la probabilidad (en el siglo</w:t>
      </w:r>
      <w:r w:rsidR="00555090" w:rsidRPr="00555090">
        <w:rPr>
          <w:spacing w:val="-1"/>
        </w:rPr>
        <w:t> </w:t>
      </w:r>
      <w:r w:rsidRPr="00555090">
        <w:rPr>
          <w:smallCaps/>
          <w:spacing w:val="-1"/>
        </w:rPr>
        <w:t>XVII</w:t>
      </w:r>
      <w:r w:rsidRPr="00555090">
        <w:rPr>
          <w:spacing w:val="-1"/>
        </w:rPr>
        <w:t xml:space="preserve">), algunos matemáticos como </w:t>
      </w:r>
      <w:r w:rsidRPr="00555090">
        <w:rPr>
          <w:smallCaps/>
          <w:spacing w:val="-1"/>
        </w:rPr>
        <w:t>Blaise Pascal</w:t>
      </w:r>
      <w:r w:rsidRPr="00555090">
        <w:rPr>
          <w:spacing w:val="-1"/>
        </w:rPr>
        <w:t xml:space="preserve"> o </w:t>
      </w:r>
      <w:r w:rsidRPr="00555090">
        <w:rPr>
          <w:smallCaps/>
          <w:spacing w:val="-1"/>
        </w:rPr>
        <w:t>Pierre</w:t>
      </w:r>
      <w:r w:rsidRPr="00555090">
        <w:rPr>
          <w:spacing w:val="-1"/>
        </w:rPr>
        <w:t xml:space="preserve"> </w:t>
      </w:r>
      <w:r w:rsidRPr="00555090">
        <w:rPr>
          <w:smallCaps/>
          <w:spacing w:val="-1"/>
        </w:rPr>
        <w:t>de</w:t>
      </w:r>
      <w:r w:rsidRPr="00555090">
        <w:rPr>
          <w:spacing w:val="-1"/>
        </w:rPr>
        <w:t xml:space="preserve"> </w:t>
      </w:r>
      <w:r w:rsidRPr="00555090">
        <w:rPr>
          <w:smallCaps/>
          <w:spacing w:val="-1"/>
        </w:rPr>
        <w:t>Fermat</w:t>
      </w:r>
      <w:r w:rsidRPr="00555090">
        <w:rPr>
          <w:spacing w:val="-1"/>
        </w:rPr>
        <w:t xml:space="preserve"> se preocuparon por las condiciones en que un cierto juego de azar resultaba más o menos atractivo, a través del estudio del valor esperado del mismo.</w:t>
      </w:r>
    </w:p>
    <w:p w14:paraId="7778320C" w14:textId="77777777" w:rsidR="00147D16" w:rsidRDefault="00147D16" w:rsidP="00147D16">
      <w:r w:rsidRPr="00F501FE">
        <w:t xml:space="preserve">El </w:t>
      </w:r>
      <w:r>
        <w:t xml:space="preserve">valor esperado de un juego matemático no es más que la esperanza matemática </w:t>
      </w:r>
      <w:proofErr w:type="gramStart"/>
      <w:r>
        <w:t>del mismo</w:t>
      </w:r>
      <w:proofErr w:type="gramEnd"/>
      <w:r>
        <w:t>, esto es, el resultado de sumar los premios que ofrece dicho juego multiplicados por sus probabilidades respectivas. El valor esperado nos indica, por lo tanto, la magnitud del premio que, como promedio, puede esperarse obtener del juego.</w:t>
      </w:r>
    </w:p>
    <w:p w14:paraId="5924E148" w14:textId="77777777" w:rsidR="00147D16" w:rsidRDefault="00147D16" w:rsidP="00147D16">
      <w:r>
        <w:t xml:space="preserve">Fundamentándonos en la idea de </w:t>
      </w:r>
      <w:r>
        <w:rPr>
          <w:i/>
          <w:iCs/>
        </w:rPr>
        <w:t>valor esperado</w:t>
      </w:r>
      <w:r>
        <w:t xml:space="preserve"> podemos acuñar un criterio normativo que nos permita evaluar el atractivo de un cierto juego de azar: se trata del criterio de </w:t>
      </w:r>
      <w:r>
        <w:rPr>
          <w:b/>
          <w:bCs/>
          <w:i/>
          <w:iCs/>
        </w:rPr>
        <w:t>juego justo</w:t>
      </w:r>
      <w:r>
        <w:t xml:space="preserve">. Un juego es justo cuando su valor esperado es igual al precio que ha de pagarse por participar en el mismo. Si el valor esperado fuera mayor (menor) que el precio, entonces se trataría de una apuesta o juego </w:t>
      </w:r>
      <w:r>
        <w:rPr>
          <w:b/>
          <w:bCs/>
          <w:i/>
          <w:iCs/>
        </w:rPr>
        <w:t>favorable</w:t>
      </w:r>
      <w:r>
        <w:t xml:space="preserve"> (</w:t>
      </w:r>
      <w:r>
        <w:rPr>
          <w:b/>
          <w:bCs/>
          <w:i/>
          <w:iCs/>
        </w:rPr>
        <w:t>desfavorable</w:t>
      </w:r>
      <w:r>
        <w:t>).</w:t>
      </w:r>
    </w:p>
    <w:p w14:paraId="76E368C9" w14:textId="192F8AF2" w:rsidR="00147D16" w:rsidRDefault="00147D16" w:rsidP="00325916">
      <w:pPr>
        <w:keepNext/>
        <w:spacing w:after="0"/>
        <w:rPr>
          <w:rFonts w:cs="Times New Roman"/>
        </w:rPr>
      </w:pPr>
      <w:r>
        <w:t>En este estado se encontraban las cosas a comienzos del siglo</w:t>
      </w:r>
      <w:r w:rsidR="00555090">
        <w:t> </w:t>
      </w:r>
      <w:r>
        <w:rPr>
          <w:smallCaps/>
        </w:rPr>
        <w:t>XVIII</w:t>
      </w:r>
      <w:r>
        <w:t xml:space="preserve">. Por aquel entonces el jurista suizo </w:t>
      </w:r>
      <w:r w:rsidRPr="00F501FE">
        <w:rPr>
          <w:rFonts w:cs="Times New Roman"/>
        </w:rPr>
        <w:t>«</w:t>
      </w:r>
      <w:r>
        <w:rPr>
          <w:rFonts w:cs="Times New Roman"/>
        </w:rPr>
        <w:t>aficionado</w:t>
      </w:r>
      <w:r w:rsidRPr="00F501FE">
        <w:rPr>
          <w:rFonts w:cs="Times New Roman"/>
        </w:rPr>
        <w:t>»</w:t>
      </w:r>
      <w:r>
        <w:rPr>
          <w:rFonts w:cs="Times New Roman"/>
        </w:rPr>
        <w:t xml:space="preserve"> a la matemática </w:t>
      </w:r>
      <w:r>
        <w:rPr>
          <w:smallCaps/>
        </w:rPr>
        <w:t>Nicolaus</w:t>
      </w:r>
      <w:r>
        <w:rPr>
          <w:rFonts w:cs="Times New Roman"/>
          <w:smallCaps/>
        </w:rPr>
        <w:t xml:space="preserve"> Bernoulli</w:t>
      </w:r>
      <w:r>
        <w:rPr>
          <w:rFonts w:cs="Times New Roman"/>
        </w:rPr>
        <w:t xml:space="preserve"> remitió (en una de sus cartas) cinco problemas o divertimentos matemáticos al entonces distinguido matemático </w:t>
      </w:r>
      <w:r>
        <w:rPr>
          <w:rFonts w:cs="Times New Roman"/>
          <w:smallCaps/>
        </w:rPr>
        <w:t>Rémond de Montmort</w:t>
      </w:r>
      <w:r>
        <w:rPr>
          <w:rFonts w:cs="Times New Roman"/>
        </w:rPr>
        <w:t>, el cual los publicó en un apéndice de su obra en 1713.</w:t>
      </w:r>
      <w:r w:rsidR="00325916">
        <w:rPr>
          <w:rFonts w:cs="Times New Roman"/>
        </w:rPr>
        <w:t xml:space="preserve"> </w:t>
      </w:r>
      <w:r>
        <w:rPr>
          <w:rFonts w:cs="Times New Roman"/>
        </w:rPr>
        <w:t xml:space="preserve">Entre estos problemas figuraba uno que posteriormente pasaría a la historia con el nombre de la </w:t>
      </w:r>
      <w:r>
        <w:rPr>
          <w:rFonts w:cs="Times New Roman"/>
          <w:b/>
          <w:bCs/>
          <w:i/>
          <w:iCs/>
        </w:rPr>
        <w:t>Paradoja de San Petersburgo</w:t>
      </w:r>
      <w:r>
        <w:rPr>
          <w:rFonts w:cs="Times New Roman"/>
        </w:rPr>
        <w:t>. Decía lo siguiente:</w:t>
      </w:r>
    </w:p>
    <w:p w14:paraId="0D37DADD" w14:textId="5170300F" w:rsidR="00147D16" w:rsidRPr="00F501FE" w:rsidRDefault="00147D16" w:rsidP="00147D16">
      <w:pPr>
        <w:pBdr>
          <w:top w:val="single" w:sz="4" w:space="1" w:color="auto"/>
          <w:left w:val="single" w:sz="4" w:space="4" w:color="auto"/>
          <w:bottom w:val="single" w:sz="4" w:space="1" w:color="auto"/>
          <w:right w:val="single" w:sz="4" w:space="4" w:color="auto"/>
        </w:pBdr>
        <w:rPr>
          <w:i/>
          <w:iCs/>
        </w:rPr>
      </w:pPr>
      <w:r>
        <w:rPr>
          <w:rFonts w:cs="Times New Roman"/>
          <w:i/>
          <w:iCs/>
        </w:rPr>
        <w:t>Alguien nos ofrece participar en un juego consistente en lanzar reiteradamente al aire una moneda no trucada en tanto en cuanto el resultado del lanzamiento sea cara. En el momento en el que salga la primera cruz cesan los lanzamientos y se satisface el premio. El premio consiste en 2</w:t>
      </w:r>
      <w:r w:rsidR="00FE654A">
        <w:rPr>
          <w:rFonts w:cs="Times New Roman"/>
          <w:i/>
          <w:iCs/>
        </w:rPr>
        <w:t> </w:t>
      </w:r>
      <w:r>
        <w:rPr>
          <w:rFonts w:cs="Times New Roman"/>
          <w:i/>
          <w:iCs/>
        </w:rPr>
        <w:t>ducados si sale cruz en la primera tirada, 4</w:t>
      </w:r>
      <w:r w:rsidR="00FE654A">
        <w:rPr>
          <w:rFonts w:cs="Times New Roman"/>
          <w:i/>
          <w:iCs/>
        </w:rPr>
        <w:t> </w:t>
      </w:r>
      <w:r>
        <w:rPr>
          <w:rFonts w:cs="Times New Roman"/>
          <w:i/>
          <w:iCs/>
        </w:rPr>
        <w:t>ducados si sale cruz en la segunda tirada, 8</w:t>
      </w:r>
      <w:r w:rsidR="00FE654A">
        <w:rPr>
          <w:rFonts w:cs="Times New Roman"/>
          <w:i/>
          <w:iCs/>
        </w:rPr>
        <w:t> </w:t>
      </w:r>
      <w:r>
        <w:rPr>
          <w:rFonts w:cs="Times New Roman"/>
          <w:i/>
          <w:iCs/>
        </w:rPr>
        <w:t xml:space="preserve">ducados si sale cruz en la tercera tirada, y así el premio se irá </w:t>
      </w:r>
      <w:r>
        <w:rPr>
          <w:rFonts w:cs="Times New Roman"/>
          <w:i/>
          <w:iCs/>
        </w:rPr>
        <w:lastRenderedPageBreak/>
        <w:t>duplicando a medida que se retrase la primera cruz. ¿Cuál es el valor actuarial de este juego?, y por tanto ¿Cuál sería su precio justo?</w:t>
      </w:r>
    </w:p>
    <w:p w14:paraId="32D3FCDE" w14:textId="77777777" w:rsidR="00147D16" w:rsidRDefault="00147D16" w:rsidP="00325916">
      <w:pPr>
        <w:keepNext/>
        <w:spacing w:after="0"/>
      </w:pPr>
      <w:r>
        <w:t>Atendiendo al criterio de ganancia esperada, estaríamos dispuestos a pagar:</w:t>
      </w:r>
    </w:p>
    <w:p w14:paraId="0998AD6A" w14:textId="4E6FB56F" w:rsidR="00147D16" w:rsidRPr="005D05A9" w:rsidRDefault="00147D16" w:rsidP="00325916">
      <w:pPr>
        <w:keepNext/>
        <w:rPr>
          <w:rFonts w:eastAsiaTheme="minorEastAsia"/>
          <w:i/>
          <w:iCs/>
        </w:rPr>
      </w:pPr>
      <m:oMathPara>
        <m:oMath>
          <m:r>
            <w:rPr>
              <w:rFonts w:ascii="Cambria Math" w:eastAsiaTheme="minorEastAsia" w:hAnsi="Cambria Math"/>
            </w:rPr>
            <m:t xml:space="preserve"> </m:t>
          </m:r>
          <m:r>
            <m:rPr>
              <m:nor/>
            </m:rPr>
            <w:rPr>
              <w:i/>
              <w:iCs/>
            </w:rPr>
            <m:t>Ganancia esperada</m:t>
          </m:r>
          <m:r>
            <w:rPr>
              <w:rFonts w:ascii="Cambria Math" w:eastAsiaTheme="minorEastAsia" w:hAnsi="Cambria Math"/>
            </w:rPr>
            <m:t>=</m:t>
          </m:r>
          <m:r>
            <m:rPr>
              <m:nor/>
            </m:rPr>
            <w:rPr>
              <w:rFonts w:eastAsiaTheme="minorEastAsia"/>
              <w:i/>
              <w:iCs/>
            </w:rPr>
            <m:t>2</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2</m:t>
              </m:r>
            </m:den>
          </m:f>
          <m:r>
            <w:rPr>
              <w:rFonts w:ascii="Cambria Math" w:eastAsiaTheme="minorEastAsia" w:hAnsi="Cambria Math"/>
            </w:rPr>
            <m:t>+</m:t>
          </m:r>
          <m:r>
            <m:rPr>
              <m:nor/>
            </m:rPr>
            <w:rPr>
              <w:rFonts w:eastAsiaTheme="minorEastAsia"/>
              <w:i/>
              <w:iCs/>
            </w:rPr>
            <m:t>4</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4</m:t>
              </m:r>
            </m:den>
          </m:f>
          <m:r>
            <w:rPr>
              <w:rFonts w:ascii="Cambria Math" w:eastAsiaTheme="minorEastAsia" w:hAnsi="Cambria Math"/>
            </w:rPr>
            <m:t>+</m:t>
          </m:r>
          <m:r>
            <m:rPr>
              <m:nor/>
            </m:rPr>
            <w:rPr>
              <w:rFonts w:eastAsiaTheme="minorEastAsia"/>
              <w:i/>
              <w:iCs/>
            </w:rPr>
            <m:t>8</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8</m:t>
              </m:r>
            </m:den>
          </m:f>
          <m:r>
            <m:rPr>
              <m:nor/>
            </m:rPr>
            <w:rPr>
              <w:rFonts w:eastAsiaTheme="minorEastAsia"/>
              <w:i/>
              <w:iCs/>
            </w:rPr>
            <m:t>...</m:t>
          </m:r>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m:t>
              </m:r>
              <m:r>
                <w:rPr>
                  <w:rFonts w:ascii="Cambria Math" w:eastAsiaTheme="minorEastAsia" w:hAnsi="Cambria Math"/>
                </w:rPr>
                <m:t>=</m:t>
              </m:r>
              <m:r>
                <m:rPr>
                  <m:nor/>
                </m:rPr>
                <w:rPr>
                  <w:rFonts w:eastAsiaTheme="minorEastAsia"/>
                  <w:i/>
                  <w:iCs/>
                </w:rPr>
                <m:t>1</m:t>
              </m:r>
            </m:sub>
            <m:sup>
              <m:r>
                <w:rPr>
                  <w:rFonts w:ascii="Cambria Math" w:eastAsiaTheme="minorEastAsia" w:hAnsi="Cambria Math"/>
                </w:rPr>
                <m:t>∞</m:t>
              </m:r>
            </m:sup>
            <m:e>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den>
              </m:f>
            </m:e>
          </m:nary>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m:t>
              </m:r>
              <m:r>
                <w:rPr>
                  <w:rFonts w:ascii="Cambria Math" w:eastAsiaTheme="minorEastAsia" w:hAnsi="Cambria Math"/>
                </w:rPr>
                <m:t>=</m:t>
              </m:r>
              <m:r>
                <m:rPr>
                  <m:nor/>
                </m:rPr>
                <w:rPr>
                  <w:rFonts w:eastAsiaTheme="minorEastAsia"/>
                  <w:i/>
                  <w:iCs/>
                </w:rPr>
                <m:t>1</m:t>
              </m:r>
            </m:sub>
            <m:sup>
              <m:r>
                <w:rPr>
                  <w:rFonts w:ascii="Cambria Math" w:eastAsiaTheme="minorEastAsia" w:hAnsi="Cambria Math"/>
                </w:rPr>
                <m:t>∞</m:t>
              </m:r>
            </m:sup>
            <m:e>
              <m:r>
                <m:rPr>
                  <m:nor/>
                </m:rPr>
                <w:rPr>
                  <w:rFonts w:eastAsiaTheme="minorEastAsia"/>
                  <w:i/>
                  <w:iCs/>
                </w:rPr>
                <m:t>1</m:t>
              </m:r>
            </m:e>
          </m:nary>
          <m:r>
            <w:rPr>
              <w:rFonts w:ascii="Cambria Math" w:eastAsiaTheme="minorEastAsia" w:hAnsi="Cambria Math"/>
            </w:rPr>
            <m:t>→∞</m:t>
          </m:r>
        </m:oMath>
      </m:oMathPara>
    </w:p>
    <w:p w14:paraId="41416A0A" w14:textId="77777777" w:rsidR="00147D16" w:rsidRDefault="00147D16" w:rsidP="00147D16">
      <w:r>
        <w:t>Sin embargo, ningún agente racional estaría dispuesto a ello.</w:t>
      </w:r>
    </w:p>
    <w:p w14:paraId="058DD3C2" w14:textId="1D53A49F" w:rsidR="00147D16" w:rsidRDefault="00147D16" w:rsidP="00147D16">
      <w:pPr>
        <w:keepNext/>
        <w:spacing w:after="0"/>
      </w:pPr>
      <w:r>
        <w:t xml:space="preserve">El juego propuesto por </w:t>
      </w:r>
      <w:r>
        <w:rPr>
          <w:smallCaps/>
        </w:rPr>
        <w:t>Nicolaus Bernoulli</w:t>
      </w:r>
      <w:r>
        <w:t xml:space="preserve"> puso de manifiesto cómo los individuos deberían tener en cuenta algo más que el valor esperado del juego a la hora de aproximar el atractivo </w:t>
      </w:r>
      <w:proofErr w:type="gramStart"/>
      <w:r>
        <w:t>del mismo</w:t>
      </w:r>
      <w:proofErr w:type="gramEnd"/>
      <w:r>
        <w:t xml:space="preserve">. Se propusieron varias soluciones, aunque la que más trascendió fue la propuesta, de forma independiente por el primo de </w:t>
      </w:r>
      <w:r>
        <w:rPr>
          <w:smallCaps/>
        </w:rPr>
        <w:t>Nicolaus</w:t>
      </w:r>
      <w:r>
        <w:t xml:space="preserve">, </w:t>
      </w:r>
      <w:r>
        <w:rPr>
          <w:smallCaps/>
        </w:rPr>
        <w:t>Daniel Bernoulli</w:t>
      </w:r>
      <w:r>
        <w:t xml:space="preserve"> (1738) y, previamente por </w:t>
      </w:r>
      <w:r>
        <w:rPr>
          <w:smallCaps/>
        </w:rPr>
        <w:t>Gabriel Cramer</w:t>
      </w:r>
      <w:r>
        <w:t xml:space="preserve"> (1728), según el cual:</w:t>
      </w:r>
    </w:p>
    <w:p w14:paraId="2D016FF3" w14:textId="77777777" w:rsidR="00147D16" w:rsidRDefault="00147D16" w:rsidP="00147D16">
      <w:pPr>
        <w:pBdr>
          <w:top w:val="single" w:sz="4" w:space="1" w:color="auto"/>
          <w:left w:val="single" w:sz="4" w:space="4" w:color="auto"/>
          <w:bottom w:val="single" w:sz="4" w:space="1" w:color="auto"/>
          <w:right w:val="single" w:sz="4" w:space="4" w:color="auto"/>
        </w:pBdr>
        <w:rPr>
          <w:i/>
          <w:iCs/>
        </w:rPr>
      </w:pPr>
      <w:r>
        <w:rPr>
          <w:i/>
          <w:iCs/>
        </w:rPr>
        <w:t>“</w:t>
      </w:r>
      <w:r>
        <w:t xml:space="preserve">(…) </w:t>
      </w:r>
      <w:r w:rsidRPr="000C7472">
        <w:rPr>
          <w:i/>
          <w:iCs/>
        </w:rPr>
        <w:t>Lo</w:t>
      </w:r>
      <w:r>
        <w:rPr>
          <w:i/>
          <w:iCs/>
        </w:rPr>
        <w:t xml:space="preserve">s </w:t>
      </w:r>
      <w:r w:rsidRPr="000C7472">
        <w:rPr>
          <w:i/>
          <w:iCs/>
        </w:rPr>
        <w:t>matem</w:t>
      </w:r>
      <w:r>
        <w:rPr>
          <w:i/>
          <w:iCs/>
        </w:rPr>
        <w:t xml:space="preserve">áticos en su teoría, valoran el dinero en proporción a la cantidad </w:t>
      </w:r>
      <w:proofErr w:type="gramStart"/>
      <w:r>
        <w:rPr>
          <w:i/>
          <w:iCs/>
        </w:rPr>
        <w:t>del mismo</w:t>
      </w:r>
      <w:proofErr w:type="gramEnd"/>
      <w:r>
        <w:rPr>
          <w:i/>
          <w:iCs/>
        </w:rPr>
        <w:t>; la gente con sentido común, en la práctica lo valora en proporción a la utilidad que puede obtener de él.”</w:t>
      </w:r>
    </w:p>
    <w:p w14:paraId="2B309924" w14:textId="77777777" w:rsidR="00147D16" w:rsidRDefault="00147D16" w:rsidP="00147D16">
      <w:r>
        <w:t xml:space="preserve">La solución propuesta por estos autores radica en incorporar las </w:t>
      </w:r>
      <w:r>
        <w:rPr>
          <w:i/>
          <w:iCs/>
        </w:rPr>
        <w:t>preferencias individuales</w:t>
      </w:r>
      <w:r>
        <w:t xml:space="preserve"> como determinante de la elección personal de cada agente a través de una función de utilidad definida sobre los premios monetarios (Función de Bernoulli).</w:t>
      </w:r>
    </w:p>
    <w:p w14:paraId="026FC815" w14:textId="77777777" w:rsidR="00147D16" w:rsidRDefault="00147D16" w:rsidP="002F17DB">
      <w:pPr>
        <w:keepNext/>
        <w:spacing w:after="0"/>
      </w:pPr>
      <w:r>
        <w:t>Se trata, por tanto, de calcular la media probabilística, no de los premios directamente, sino de la utilidad personal que reportan dichos premios:</w:t>
      </w:r>
    </w:p>
    <w:p w14:paraId="155B847B" w14:textId="62910C60" w:rsidR="00147D16" w:rsidRPr="000C7472" w:rsidRDefault="00147D16" w:rsidP="00325916">
      <w:pPr>
        <w:keepNext/>
        <w:spacing w:after="0"/>
        <w:rPr>
          <w:rFonts w:eastAsiaTheme="minorEastAsia"/>
          <w:iCs/>
        </w:rPr>
      </w:pPr>
      <m:oMathPara>
        <m:oMath>
          <m:r>
            <m:rPr>
              <m:nor/>
            </m:rPr>
            <m:t xml:space="preserve"> </m:t>
          </m:r>
          <m:r>
            <m:rPr>
              <m:nor/>
            </m:rPr>
            <w:rPr>
              <w:i/>
              <w:iCs/>
            </w:rPr>
            <m:t>Utilidad esperada</m:t>
          </m:r>
          <m:r>
            <w:rPr>
              <w:rFonts w:ascii="Cambria Math" w:eastAsiaTheme="minorEastAsia" w:hAnsi="Cambria Math"/>
            </w:rPr>
            <m:t>=</m:t>
          </m:r>
          <m:r>
            <m:rPr>
              <m:nor/>
            </m:rPr>
            <w:rPr>
              <w:rFonts w:eastAsiaTheme="minorEastAsia"/>
              <w:i/>
              <w:iCs/>
            </w:rPr>
            <m:t>E</m:t>
          </m:r>
          <m:d>
            <m:dPr>
              <m:begChr m:val="["/>
              <m:endChr m:val="]"/>
              <m:ctrlPr>
                <w:rPr>
                  <w:rFonts w:ascii="Cambria Math" w:eastAsiaTheme="minorEastAsia" w:hAnsi="Cambria Math"/>
                  <w:i/>
                  <w:iCs/>
                  <w:sz w:val="16"/>
                  <w:szCs w:val="20"/>
                </w:rPr>
              </m:ctrlPr>
            </m:dPr>
            <m:e>
              <m:r>
                <m:rPr>
                  <m:nor/>
                </m:rPr>
                <w:rPr>
                  <w:rFonts w:eastAsiaTheme="minorEastAsia"/>
                  <w:i/>
                  <w:iCs/>
                </w:rPr>
                <m:t>u</m:t>
              </m:r>
              <m:d>
                <m:dPr>
                  <m:ctrlPr>
                    <w:rPr>
                      <w:rFonts w:ascii="Cambria Math" w:eastAsiaTheme="minorEastAsia" w:hAnsi="Cambria Math"/>
                      <w:i/>
                      <w:iCs/>
                      <w:sz w:val="16"/>
                      <w:szCs w:val="20"/>
                    </w:rPr>
                  </m:ctrlPr>
                </m:dPr>
                <m:e>
                  <m:acc>
                    <m:accPr>
                      <m:chr m:val="̃"/>
                      <m:ctrlPr>
                        <w:rPr>
                          <w:rFonts w:ascii="Cambria Math" w:eastAsiaTheme="minorEastAsia" w:hAnsi="Cambria Math"/>
                          <w:i/>
                          <w:iCs/>
                          <w:sz w:val="16"/>
                          <w:szCs w:val="20"/>
                        </w:rPr>
                      </m:ctrlPr>
                    </m:accPr>
                    <m:e>
                      <m:r>
                        <m:rPr>
                          <m:nor/>
                        </m:rPr>
                        <w:rPr>
                          <w:rFonts w:eastAsiaTheme="minorEastAsia"/>
                          <w:i/>
                          <w:iCs/>
                        </w:rPr>
                        <m:t>y</m:t>
                      </m:r>
                    </m:e>
                  </m:acc>
                </m:e>
              </m:d>
            </m:e>
          </m:d>
          <m:r>
            <w:rPr>
              <w:rFonts w:ascii="Cambria Math" w:eastAsiaTheme="minorEastAsia" w:hAnsi="Cambria Math"/>
            </w:rPr>
            <m:t>=</m:t>
          </m:r>
          <m:r>
            <m:rPr>
              <m:nor/>
            </m:rPr>
            <w:rPr>
              <w:rFonts w:eastAsiaTheme="minorEastAsia"/>
              <w:i/>
              <w:iCs/>
            </w:rPr>
            <m:t>u</m:t>
          </m:r>
          <m:d>
            <m:dPr>
              <m:ctrlPr>
                <w:rPr>
                  <w:rFonts w:ascii="Cambria Math" w:eastAsiaTheme="minorEastAsia" w:hAnsi="Cambria Math"/>
                  <w:i/>
                  <w:iCs/>
                  <w:sz w:val="16"/>
                  <w:szCs w:val="20"/>
                </w:rPr>
              </m:ctrlPr>
            </m:dPr>
            <m:e>
              <m:r>
                <m:rPr>
                  <m:nor/>
                </m:rPr>
                <w:rPr>
                  <w:rFonts w:eastAsiaTheme="minorEastAsia"/>
                  <w:i/>
                  <w:iCs/>
                </w:rPr>
                <m:t>2</m:t>
              </m:r>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2</m:t>
              </m:r>
            </m:den>
          </m:f>
          <m:r>
            <w:rPr>
              <w:rFonts w:ascii="Cambria Math" w:eastAsiaTheme="minorEastAsia" w:hAnsi="Cambria Math"/>
            </w:rPr>
            <m:t>+</m:t>
          </m:r>
          <m:r>
            <m:rPr>
              <m:nor/>
            </m:rPr>
            <w:rPr>
              <w:rFonts w:eastAsiaTheme="minorEastAsia"/>
              <w:i/>
              <w:iCs/>
            </w:rPr>
            <m:t>u</m:t>
          </m:r>
          <m:d>
            <m:dPr>
              <m:ctrlPr>
                <w:rPr>
                  <w:rFonts w:ascii="Cambria Math" w:eastAsiaTheme="minorEastAsia" w:hAnsi="Cambria Math"/>
                  <w:i/>
                  <w:iCs/>
                  <w:sz w:val="16"/>
                  <w:szCs w:val="20"/>
                </w:rPr>
              </m:ctrlPr>
            </m:dPr>
            <m:e>
              <m:r>
                <m:rPr>
                  <m:nor/>
                </m:rPr>
                <w:rPr>
                  <w:rFonts w:eastAsiaTheme="minorEastAsia"/>
                  <w:i/>
                  <w:iCs/>
                </w:rPr>
                <m:t>4</m:t>
              </m:r>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4</m:t>
              </m:r>
            </m:den>
          </m:f>
          <m:r>
            <w:rPr>
              <w:rFonts w:ascii="Cambria Math" w:eastAsiaTheme="minorEastAsia" w:hAnsi="Cambria Math"/>
            </w:rPr>
            <m:t>+</m:t>
          </m:r>
          <m:r>
            <m:rPr>
              <m:nor/>
            </m:rPr>
            <w:rPr>
              <w:rFonts w:eastAsiaTheme="minorEastAsia"/>
              <w:i/>
              <w:iCs/>
            </w:rPr>
            <m:t>u</m:t>
          </m:r>
          <m:d>
            <m:dPr>
              <m:ctrlPr>
                <w:rPr>
                  <w:rFonts w:ascii="Cambria Math" w:eastAsiaTheme="minorEastAsia" w:hAnsi="Cambria Math"/>
                  <w:i/>
                  <w:iCs/>
                  <w:sz w:val="16"/>
                  <w:szCs w:val="20"/>
                </w:rPr>
              </m:ctrlPr>
            </m:dPr>
            <m:e>
              <m:r>
                <m:rPr>
                  <m:nor/>
                </m:rPr>
                <w:rPr>
                  <w:rFonts w:eastAsiaTheme="minorEastAsia"/>
                  <w:i/>
                  <w:iCs/>
                </w:rPr>
                <m:t>8</m:t>
              </m:r>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8</m:t>
              </m:r>
            </m:den>
          </m:f>
          <m:r>
            <m:rPr>
              <m:nor/>
            </m:rPr>
            <w:rPr>
              <w:rFonts w:eastAsiaTheme="minorEastAsia"/>
              <w:i/>
              <w:iCs/>
            </w:rPr>
            <m:t>...</m:t>
          </m:r>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m:t>
              </m:r>
              <m:r>
                <w:rPr>
                  <w:rFonts w:ascii="Cambria Math" w:eastAsiaTheme="minorEastAsia" w:hAnsi="Cambria Math"/>
                </w:rPr>
                <m:t>=</m:t>
              </m:r>
              <m:r>
                <m:rPr>
                  <m:nor/>
                </m:rPr>
                <w:rPr>
                  <w:rFonts w:eastAsiaTheme="minorEastAsia"/>
                  <w:i/>
                  <w:iCs/>
                </w:rPr>
                <m:t>1</m:t>
              </m:r>
            </m:sub>
            <m:sup>
              <m:r>
                <w:rPr>
                  <w:rFonts w:ascii="Cambria Math" w:eastAsiaTheme="minorEastAsia" w:hAnsi="Cambria Math"/>
                </w:rPr>
                <m:t>∞</m:t>
              </m:r>
            </m:sup>
            <m:e>
              <m:r>
                <m:rPr>
                  <m:nor/>
                </m:rPr>
                <w:rPr>
                  <w:rFonts w:eastAsiaTheme="minorEastAsia"/>
                  <w:i/>
                  <w:iCs/>
                </w:rPr>
                <m:t>u</m:t>
              </m:r>
              <m:d>
                <m:dPr>
                  <m:ctrlPr>
                    <w:rPr>
                      <w:rFonts w:ascii="Cambria Math" w:eastAsiaTheme="minorEastAsia" w:hAnsi="Cambria Math"/>
                      <w:i/>
                      <w:iCs/>
                      <w:sz w:val="16"/>
                      <w:szCs w:val="20"/>
                    </w:rPr>
                  </m:ctrlPr>
                </m:dPr>
                <m:e>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den>
              </m:f>
            </m:e>
          </m:nary>
        </m:oMath>
      </m:oMathPara>
    </w:p>
    <w:p w14:paraId="72F614A9" w14:textId="0A500DCA" w:rsidR="00147D16" w:rsidRDefault="00147D16" w:rsidP="00147D16">
      <w:pPr>
        <w:rPr>
          <w:rFonts w:eastAsiaTheme="minorEastAsia"/>
          <w:iCs/>
        </w:rPr>
      </w:pPr>
      <w:r>
        <w:t>Imponiendo determinadas condiciones a la función</w:t>
      </w:r>
      <m:oMath>
        <m:r>
          <w:rPr>
            <w:rFonts w:ascii="Cambria Math" w:hAnsi="Cambria Math"/>
          </w:rPr>
          <m:t xml:space="preserve"> </m:t>
        </m:r>
        <m:r>
          <m:rPr>
            <m:nor/>
          </m:rPr>
          <w:rPr>
            <w:rFonts w:eastAsiaTheme="minorEastAsia"/>
            <w:i/>
            <w:iCs/>
          </w:rPr>
          <m:t>u</m:t>
        </m:r>
        <m:d>
          <m:dPr>
            <m:ctrlPr>
              <w:rPr>
                <w:rFonts w:ascii="Cambria Math" w:eastAsiaTheme="minorEastAsia" w:hAnsi="Cambria Math"/>
                <w:i/>
                <w:iCs/>
                <w:sz w:val="16"/>
                <w:szCs w:val="20"/>
              </w:rPr>
            </m:ctrlPr>
          </m:dPr>
          <m:e>
            <m:r>
              <m:rPr>
                <m:nor/>
              </m:rPr>
              <w:rPr>
                <w:rFonts w:eastAsiaTheme="minorEastAsia"/>
                <w:i/>
                <w:iCs/>
              </w:rPr>
              <m:t>x</m:t>
            </m:r>
          </m:e>
        </m:d>
      </m:oMath>
      <w:r>
        <w:rPr>
          <w:rFonts w:eastAsiaTheme="minorEastAsia"/>
          <w:iCs/>
        </w:rPr>
        <w:t xml:space="preserve"> el valor de la utilidad esperada puede ser reducido. </w:t>
      </w:r>
      <w:r>
        <w:rPr>
          <w:rFonts w:eastAsiaTheme="minorEastAsia"/>
          <w:iCs/>
          <w:smallCaps/>
        </w:rPr>
        <w:t>Daniel Bernoulli</w:t>
      </w:r>
      <w:r>
        <w:rPr>
          <w:rFonts w:eastAsiaTheme="minorEastAsia"/>
          <w:iCs/>
        </w:rPr>
        <w:t xml:space="preserve"> propuso la función</w:t>
      </w:r>
      <m:oMath>
        <m:r>
          <w:rPr>
            <w:rFonts w:ascii="Cambria Math" w:eastAsiaTheme="minorEastAsia" w:hAnsi="Cambria Math"/>
          </w:rPr>
          <m:t xml:space="preserve"> </m:t>
        </m:r>
        <m:r>
          <m:rPr>
            <m:nor/>
          </m:rPr>
          <w:rPr>
            <w:rFonts w:eastAsiaTheme="minorEastAsia"/>
            <w:i/>
            <w:iCs/>
          </w:rPr>
          <m:t>u</m:t>
        </m:r>
        <m:d>
          <m:dPr>
            <m:ctrlPr>
              <w:rPr>
                <w:rFonts w:ascii="Cambria Math" w:eastAsiaTheme="minorEastAsia" w:hAnsi="Cambria Math"/>
                <w:i/>
                <w:iCs/>
                <w:sz w:val="16"/>
                <w:szCs w:val="20"/>
              </w:rPr>
            </m:ctrlPr>
          </m:dPr>
          <m:e>
            <m:r>
              <m:rPr>
                <m:nor/>
              </m:rPr>
              <w:rPr>
                <w:rFonts w:eastAsiaTheme="minorEastAsia"/>
                <w:i/>
                <w:iCs/>
              </w:rPr>
              <m:t>x</m:t>
            </m:r>
          </m:e>
        </m:d>
        <m:r>
          <w:rPr>
            <w:rFonts w:ascii="Cambria Math" w:eastAsiaTheme="minorEastAsia" w:hAnsi="Cambria Math"/>
          </w:rPr>
          <m:t>=</m:t>
        </m:r>
        <m:func>
          <m:funcPr>
            <m:ctrlPr>
              <w:rPr>
                <w:rFonts w:ascii="Cambria Math" w:eastAsiaTheme="minorEastAsia" w:hAnsi="Cambria Math"/>
                <w:i/>
                <w:iCs/>
                <w:sz w:val="16"/>
                <w:szCs w:val="20"/>
              </w:rPr>
            </m:ctrlPr>
          </m:funcPr>
          <m:fName>
            <m:r>
              <m:rPr>
                <m:nor/>
              </m:rPr>
              <w:rPr>
                <w:i/>
                <w:iCs/>
              </w:rPr>
              <m:t>ln</m:t>
            </m:r>
          </m:fName>
          <m:e>
            <m:d>
              <m:dPr>
                <m:ctrlPr>
                  <w:rPr>
                    <w:rFonts w:ascii="Cambria Math" w:eastAsiaTheme="minorEastAsia" w:hAnsi="Cambria Math"/>
                    <w:i/>
                    <w:iCs/>
                    <w:sz w:val="16"/>
                    <w:szCs w:val="20"/>
                  </w:rPr>
                </m:ctrlPr>
              </m:dPr>
              <m:e>
                <m:r>
                  <m:rPr>
                    <m:nor/>
                  </m:rPr>
                  <w:rPr>
                    <w:rFonts w:eastAsiaTheme="minorEastAsia"/>
                    <w:i/>
                    <w:iCs/>
                  </w:rPr>
                  <m:t>x</m:t>
                </m:r>
              </m:e>
            </m:d>
          </m:e>
        </m:func>
      </m:oMath>
      <w:r>
        <w:rPr>
          <w:rFonts w:eastAsiaTheme="minorEastAsia"/>
          <w:iCs/>
        </w:rPr>
        <w:t xml:space="preserve"> y </w:t>
      </w:r>
      <w:r>
        <w:rPr>
          <w:rFonts w:eastAsiaTheme="minorEastAsia"/>
          <w:iCs/>
          <w:smallCaps/>
        </w:rPr>
        <w:t>Cramer</w:t>
      </w:r>
      <w:r>
        <w:rPr>
          <w:rFonts w:eastAsiaTheme="minorEastAsia"/>
          <w:iCs/>
        </w:rPr>
        <w:t xml:space="preserve"> la función</w:t>
      </w:r>
      <m:oMath>
        <m:r>
          <w:rPr>
            <w:rFonts w:ascii="Cambria Math" w:eastAsiaTheme="minorEastAsia" w:hAnsi="Cambria Math"/>
          </w:rPr>
          <m:t xml:space="preserve"> </m:t>
        </m:r>
        <m:r>
          <m:rPr>
            <m:nor/>
          </m:rPr>
          <w:rPr>
            <w:rFonts w:eastAsiaTheme="minorEastAsia"/>
            <w:i/>
            <w:iCs/>
          </w:rPr>
          <m:t>u</m:t>
        </m:r>
        <m:d>
          <m:dPr>
            <m:ctrlPr>
              <w:rPr>
                <w:rFonts w:ascii="Cambria Math" w:eastAsiaTheme="minorEastAsia" w:hAnsi="Cambria Math"/>
                <w:i/>
                <w:iCs/>
                <w:sz w:val="16"/>
                <w:szCs w:val="20"/>
              </w:rPr>
            </m:ctrlPr>
          </m:dPr>
          <m:e>
            <m:r>
              <m:rPr>
                <m:nor/>
              </m:rPr>
              <w:rPr>
                <w:rFonts w:eastAsiaTheme="minorEastAsia"/>
                <w:i/>
                <w:iCs/>
              </w:rPr>
              <m:t>x</m:t>
            </m:r>
          </m:e>
        </m:d>
        <m:r>
          <w:rPr>
            <w:rFonts w:ascii="Cambria Math" w:eastAsiaTheme="minorEastAsia" w:hAnsi="Cambria Math"/>
          </w:rPr>
          <m:t>=</m:t>
        </m:r>
        <m:rad>
          <m:radPr>
            <m:degHide m:val="1"/>
            <m:ctrlPr>
              <w:rPr>
                <w:rFonts w:ascii="Cambria Math" w:eastAsiaTheme="minorEastAsia" w:hAnsi="Cambria Math"/>
                <w:i/>
                <w:iCs/>
                <w:sz w:val="16"/>
                <w:szCs w:val="20"/>
              </w:rPr>
            </m:ctrlPr>
          </m:radPr>
          <m:deg/>
          <m:e>
            <m:r>
              <m:rPr>
                <m:nor/>
              </m:rPr>
              <w:rPr>
                <w:rFonts w:eastAsiaTheme="minorEastAsia"/>
                <w:i/>
                <w:iCs/>
              </w:rPr>
              <m:t>x</m:t>
            </m:r>
          </m:e>
        </m:rad>
      </m:oMath>
      <w:r>
        <w:rPr>
          <w:rFonts w:eastAsiaTheme="minorEastAsia"/>
          <w:iCs/>
        </w:rPr>
        <w:t>. Ambos autores percibieron la necesidad de que la utilidad marginal fuera decreciente (aunque, de hecho, no es una condición suficiente si la función no está acotada).</w:t>
      </w:r>
    </w:p>
    <w:p w14:paraId="65838E27" w14:textId="77777777" w:rsidR="00147D16" w:rsidRDefault="00147D16" w:rsidP="00147D16">
      <w:pPr>
        <w:keepNext/>
        <w:spacing w:after="0"/>
        <w:rPr>
          <w:rFonts w:eastAsiaTheme="minorEastAsia"/>
          <w:iCs/>
        </w:rPr>
      </w:pPr>
      <w:r>
        <w:rPr>
          <w:rFonts w:eastAsiaTheme="minorEastAsia"/>
          <w:iCs/>
        </w:rPr>
        <w:t xml:space="preserve">Con la función propuesta por </w:t>
      </w:r>
      <w:r>
        <w:rPr>
          <w:rFonts w:eastAsiaTheme="minorEastAsia"/>
          <w:iCs/>
          <w:smallCaps/>
        </w:rPr>
        <w:t>Daniel Bernoulli</w:t>
      </w:r>
      <w:r>
        <w:rPr>
          <w:rFonts w:eastAsiaTheme="minorEastAsia"/>
          <w:iCs/>
        </w:rPr>
        <w:t>,</w:t>
      </w:r>
      <m:oMath>
        <m:r>
          <w:rPr>
            <w:rFonts w:ascii="Cambria Math" w:eastAsiaTheme="minorEastAsia" w:hAnsi="Cambria Math"/>
          </w:rPr>
          <m:t xml:space="preserve"> </m:t>
        </m:r>
        <m:r>
          <m:rPr>
            <m:nor/>
          </m:rPr>
          <w:rPr>
            <w:rFonts w:eastAsiaTheme="minorEastAsia"/>
            <w:i/>
            <w:iCs/>
          </w:rPr>
          <m:t>u</m:t>
        </m:r>
        <m:d>
          <m:dPr>
            <m:ctrlPr>
              <w:rPr>
                <w:rFonts w:ascii="Cambria Math" w:eastAsiaTheme="minorEastAsia" w:hAnsi="Cambria Math"/>
                <w:i/>
                <w:iCs/>
                <w:sz w:val="16"/>
                <w:szCs w:val="20"/>
              </w:rPr>
            </m:ctrlPr>
          </m:dPr>
          <m:e>
            <m:r>
              <m:rPr>
                <m:nor/>
              </m:rPr>
              <w:rPr>
                <w:rFonts w:eastAsiaTheme="minorEastAsia"/>
                <w:i/>
                <w:iCs/>
              </w:rPr>
              <m:t>x</m:t>
            </m:r>
          </m:e>
        </m:d>
        <m:r>
          <w:rPr>
            <w:rFonts w:ascii="Cambria Math" w:eastAsiaTheme="minorEastAsia" w:hAnsi="Cambria Math"/>
          </w:rPr>
          <m:t>=</m:t>
        </m:r>
        <m:func>
          <m:funcPr>
            <m:ctrlPr>
              <w:rPr>
                <w:rFonts w:ascii="Cambria Math" w:eastAsiaTheme="minorEastAsia" w:hAnsi="Cambria Math"/>
                <w:i/>
                <w:iCs/>
                <w:sz w:val="16"/>
                <w:szCs w:val="20"/>
              </w:rPr>
            </m:ctrlPr>
          </m:funcPr>
          <m:fName>
            <m:r>
              <m:rPr>
                <m:nor/>
              </m:rPr>
              <w:rPr>
                <w:i/>
                <w:iCs/>
              </w:rPr>
              <m:t>ln</m:t>
            </m:r>
          </m:fName>
          <m:e>
            <m:r>
              <m:rPr>
                <m:nor/>
              </m:rPr>
              <w:rPr>
                <w:rFonts w:eastAsiaTheme="minorEastAsia"/>
                <w:i/>
                <w:iCs/>
              </w:rPr>
              <m:t>x</m:t>
            </m:r>
          </m:e>
        </m:func>
      </m:oMath>
      <w:r>
        <w:rPr>
          <w:rFonts w:eastAsiaTheme="minorEastAsia"/>
          <w:iCs/>
        </w:rPr>
        <w:t xml:space="preserve"> la utilidad esperada sería:</w:t>
      </w:r>
    </w:p>
    <w:p w14:paraId="02F16AA1" w14:textId="6EBE9E9D" w:rsidR="00147D16" w:rsidRPr="000C7472" w:rsidRDefault="00147D16" w:rsidP="00147D16">
      <w:pPr>
        <w:rPr>
          <w:rFonts w:eastAsiaTheme="minorEastAsia"/>
          <w:iCs/>
        </w:rPr>
      </w:pPr>
      <m:oMathPara>
        <m:oMath>
          <m:r>
            <m:rPr>
              <m:nor/>
            </m:rPr>
            <w:rPr>
              <w:rFonts w:ascii="Cambria Math"/>
            </w:rPr>
            <m:t xml:space="preserve"> </m:t>
          </m:r>
          <m:r>
            <m:rPr>
              <m:nor/>
            </m:rPr>
            <w:rPr>
              <w:i/>
              <w:iCs/>
            </w:rPr>
            <m:t>Utilidad esperada</m:t>
          </m:r>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m:t>
              </m:r>
              <m:r>
                <w:rPr>
                  <w:rFonts w:ascii="Cambria Math" w:eastAsiaTheme="minorEastAsia" w:hAnsi="Cambria Math"/>
                </w:rPr>
                <m:t>=</m:t>
              </m:r>
              <m:r>
                <m:rPr>
                  <m:nor/>
                </m:rPr>
                <w:rPr>
                  <w:rFonts w:eastAsiaTheme="minorEastAsia"/>
                  <w:i/>
                  <w:iCs/>
                </w:rPr>
                <m:t>1</m:t>
              </m:r>
            </m:sub>
            <m:sup>
              <m:r>
                <w:rPr>
                  <w:rFonts w:ascii="Cambria Math" w:eastAsiaTheme="minorEastAsia" w:hAnsi="Cambria Math"/>
                </w:rPr>
                <m:t>∞</m:t>
              </m:r>
            </m:sup>
            <m:e>
              <m:func>
                <m:funcPr>
                  <m:ctrlPr>
                    <w:rPr>
                      <w:rFonts w:ascii="Cambria Math" w:eastAsiaTheme="minorEastAsia" w:hAnsi="Cambria Math"/>
                      <w:i/>
                      <w:iCs/>
                      <w:sz w:val="16"/>
                      <w:szCs w:val="20"/>
                    </w:rPr>
                  </m:ctrlPr>
                </m:funcPr>
                <m:fName>
                  <m:r>
                    <m:rPr>
                      <m:nor/>
                    </m:rPr>
                    <w:rPr>
                      <w:i/>
                      <w:iCs/>
                    </w:rPr>
                    <m:t>ln</m:t>
                  </m:r>
                </m:fName>
                <m:e>
                  <m:d>
                    <m:dPr>
                      <m:ctrlPr>
                        <w:rPr>
                          <w:rFonts w:ascii="Cambria Math" w:eastAsiaTheme="minorEastAsia" w:hAnsi="Cambria Math"/>
                          <w:i/>
                          <w:iCs/>
                          <w:sz w:val="16"/>
                          <w:szCs w:val="20"/>
                        </w:rPr>
                      </m:ctrlPr>
                    </m:dPr>
                    <m:e>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e>
                  </m:d>
                </m:e>
              </m:func>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den>
              </m:f>
            </m:e>
          </m:nary>
          <m:r>
            <w:rPr>
              <w:rFonts w:ascii="Cambria Math" w:eastAsiaTheme="minorEastAsia" w:hAnsi="Cambria Math"/>
            </w:rPr>
            <m:t>=</m:t>
          </m:r>
          <m:r>
            <m:rPr>
              <m:nor/>
            </m:rPr>
            <w:rPr>
              <w:rFonts w:eastAsiaTheme="minorEastAsia"/>
              <w:i/>
              <w:iCs/>
            </w:rPr>
            <m:t>2</m:t>
          </m:r>
          <m:r>
            <w:rPr>
              <w:rFonts w:ascii="Cambria Math" w:eastAsiaTheme="minorEastAsia" w:hAnsi="Cambria Math"/>
            </w:rPr>
            <m:t>∙</m:t>
          </m:r>
          <m:func>
            <m:funcPr>
              <m:ctrlPr>
                <w:rPr>
                  <w:rFonts w:ascii="Cambria Math" w:eastAsiaTheme="minorEastAsia" w:hAnsi="Cambria Math"/>
                  <w:i/>
                  <w:iCs/>
                  <w:sz w:val="16"/>
                  <w:szCs w:val="20"/>
                </w:rPr>
              </m:ctrlPr>
            </m:funcPr>
            <m:fName>
              <m:r>
                <m:rPr>
                  <m:nor/>
                </m:rPr>
                <w:rPr>
                  <w:i/>
                  <w:iCs/>
                </w:rPr>
                <m:t>ln</m:t>
              </m:r>
            </m:fName>
            <m:e>
              <m:d>
                <m:dPr>
                  <m:ctrlPr>
                    <w:rPr>
                      <w:rFonts w:ascii="Cambria Math" w:eastAsiaTheme="minorEastAsia" w:hAnsi="Cambria Math"/>
                      <w:i/>
                      <w:iCs/>
                      <w:sz w:val="16"/>
                      <w:szCs w:val="20"/>
                    </w:rPr>
                  </m:ctrlPr>
                </m:dPr>
                <m:e>
                  <w:bookmarkStart w:id="87" w:name="_Hlk89676641"/>
                  <m:r>
                    <m:rPr>
                      <m:nor/>
                    </m:rPr>
                    <w:rPr>
                      <w:rFonts w:eastAsiaTheme="minorEastAsia"/>
                      <w:i/>
                      <w:iCs/>
                    </w:rPr>
                    <m:t>2</m:t>
                  </m:r>
                  <w:bookmarkEnd w:id="87"/>
                </m:e>
              </m:d>
            </m:e>
          </m:func>
        </m:oMath>
      </m:oMathPara>
    </w:p>
    <w:p w14:paraId="02944AA7" w14:textId="77777777" w:rsidR="00147D16" w:rsidRDefault="00147D16" w:rsidP="00325916">
      <w:pPr>
        <w:keepNext/>
        <w:spacing w:after="0"/>
        <w:rPr>
          <w:rFonts w:eastAsiaTheme="minorEastAsia"/>
          <w:iCs/>
        </w:rPr>
      </w:pPr>
      <w:r>
        <w:rPr>
          <w:rFonts w:eastAsiaTheme="minorEastAsia"/>
          <w:iCs/>
        </w:rPr>
        <w:t xml:space="preserve">Y por lo tanto, su </w:t>
      </w:r>
      <w:r w:rsidRPr="000C7472">
        <w:rPr>
          <w:rFonts w:eastAsiaTheme="minorEastAsia"/>
          <w:i/>
        </w:rPr>
        <w:t>precio justo</w:t>
      </w:r>
      <w:r>
        <w:rPr>
          <w:rFonts w:eastAsiaTheme="minorEastAsia"/>
          <w:iCs/>
        </w:rPr>
        <w:t xml:space="preserve"> o </w:t>
      </w:r>
      <w:r>
        <w:rPr>
          <w:rFonts w:eastAsiaTheme="minorEastAsia"/>
          <w:i/>
        </w:rPr>
        <w:t>equivalente cierto</w:t>
      </w:r>
      <w:r>
        <w:rPr>
          <w:rFonts w:eastAsiaTheme="minorEastAsia"/>
          <w:iCs/>
        </w:rPr>
        <w:t xml:space="preserve"> (</w:t>
      </w:r>
      <m:oMath>
        <m:r>
          <m:rPr>
            <m:nor/>
          </m:rPr>
          <w:rPr>
            <w:i/>
          </w:rPr>
          <m:t>ξ</m:t>
        </m:r>
      </m:oMath>
      <w:r>
        <w:rPr>
          <w:rFonts w:eastAsiaTheme="minorEastAsia"/>
          <w:iCs/>
        </w:rPr>
        <w:t>) sería:</w:t>
      </w:r>
    </w:p>
    <w:p w14:paraId="5E8571A7" w14:textId="21D53F91" w:rsidR="00147D16" w:rsidRPr="00147D16" w:rsidRDefault="00147D16" w:rsidP="00147D16">
      <w:pPr>
        <w:ind w:left="-142" w:right="-58"/>
      </w:pPr>
      <m:oMathPara>
        <m:oMath>
          <m:r>
            <w:rPr>
              <w:rFonts w:ascii="Cambria Math" w:eastAsiaTheme="minorEastAsia" w:hAnsi="Cambria Math"/>
            </w:rPr>
            <m:t xml:space="preserve"> </m:t>
          </m:r>
          <m:r>
            <m:rPr>
              <m:nor/>
            </m:rPr>
            <w:rPr>
              <w:rFonts w:eastAsiaTheme="minorEastAsia"/>
              <w:i/>
              <w:iCs/>
            </w:rPr>
            <m:t>u</m:t>
          </m:r>
          <m:d>
            <m:dPr>
              <m:ctrlPr>
                <w:rPr>
                  <w:rFonts w:ascii="Cambria Math" w:eastAsiaTheme="minorEastAsia" w:hAnsi="Cambria Math"/>
                  <w:i/>
                  <w:iCs/>
                  <w:sz w:val="16"/>
                  <w:szCs w:val="20"/>
                </w:rPr>
              </m:ctrlPr>
            </m:dPr>
            <m:e>
              <m:r>
                <m:rPr>
                  <m:nor/>
                </m:rPr>
                <w:rPr>
                  <w:i/>
                  <w:iCs/>
                </w:rPr>
                <m:t>ξ</m:t>
              </m:r>
            </m:e>
          </m:d>
          <m:r>
            <w:rPr>
              <w:rFonts w:ascii="Cambria Math" w:hAnsi="Cambria Math"/>
            </w:rPr>
            <m:t>=</m:t>
          </m:r>
          <m:r>
            <m:rPr>
              <m:nor/>
            </m:rPr>
            <w:rPr>
              <w:rFonts w:eastAsiaTheme="minorEastAsia"/>
              <w:i/>
              <w:iCs/>
            </w:rPr>
            <m:t>E</m:t>
          </m:r>
          <m:d>
            <m:dPr>
              <m:begChr m:val="["/>
              <m:endChr m:val="]"/>
              <m:ctrlPr>
                <w:rPr>
                  <w:rFonts w:ascii="Cambria Math" w:eastAsiaTheme="minorEastAsia" w:hAnsi="Cambria Math"/>
                  <w:i/>
                  <w:iCs/>
                  <w:sz w:val="16"/>
                  <w:szCs w:val="20"/>
                </w:rPr>
              </m:ctrlPr>
            </m:dPr>
            <m:e>
              <m:r>
                <m:rPr>
                  <m:nor/>
                </m:rPr>
                <w:rPr>
                  <w:rFonts w:eastAsiaTheme="minorEastAsia"/>
                  <w:i/>
                  <w:iCs/>
                </w:rPr>
                <m:t>u</m:t>
              </m:r>
              <m:d>
                <m:dPr>
                  <m:ctrlPr>
                    <w:rPr>
                      <w:rFonts w:ascii="Cambria Math" w:eastAsiaTheme="minorEastAsia" w:hAnsi="Cambria Math"/>
                      <w:i/>
                      <w:iCs/>
                      <w:sz w:val="16"/>
                      <w:szCs w:val="20"/>
                    </w:rPr>
                  </m:ctrlPr>
                </m:dPr>
                <m:e>
                  <m:acc>
                    <m:accPr>
                      <m:chr m:val="̃"/>
                      <m:ctrlPr>
                        <w:rPr>
                          <w:rFonts w:ascii="Cambria Math" w:eastAsiaTheme="minorEastAsia" w:hAnsi="Cambria Math"/>
                          <w:i/>
                          <w:iCs/>
                          <w:sz w:val="16"/>
                          <w:szCs w:val="20"/>
                        </w:rPr>
                      </m:ctrlPr>
                    </m:accPr>
                    <m:e>
                      <m:r>
                        <m:rPr>
                          <m:nor/>
                        </m:rPr>
                        <w:rPr>
                          <w:rFonts w:eastAsiaTheme="minorEastAsia"/>
                          <w:i/>
                          <w:iCs/>
                        </w:rPr>
                        <m:t>y</m:t>
                      </m:r>
                    </m:e>
                  </m:acc>
                </m:e>
              </m:d>
            </m:e>
          </m:d>
          <m:r>
            <w:rPr>
              <w:rFonts w:ascii="Cambria Math" w:hAnsi="Cambria Math"/>
            </w:rPr>
            <m:t>=</m:t>
          </m:r>
          <m:r>
            <m:rPr>
              <m:nor/>
            </m:rPr>
            <w:rPr>
              <w:rFonts w:eastAsiaTheme="minorEastAsia"/>
              <w:i/>
              <w:iCs/>
            </w:rPr>
            <m:t>2</m:t>
          </m:r>
          <m:r>
            <w:rPr>
              <w:rFonts w:ascii="Cambria Math" w:eastAsiaTheme="minorEastAsia" w:hAnsi="Cambria Math"/>
            </w:rPr>
            <m:t>∙</m:t>
          </m:r>
          <m:func>
            <m:funcPr>
              <m:ctrlPr>
                <w:rPr>
                  <w:rFonts w:ascii="Cambria Math" w:eastAsiaTheme="minorEastAsia" w:hAnsi="Cambria Math"/>
                  <w:i/>
                  <w:iCs/>
                  <w:sz w:val="16"/>
                  <w:szCs w:val="20"/>
                </w:rPr>
              </m:ctrlPr>
            </m:funcPr>
            <m:fName>
              <m:r>
                <m:rPr>
                  <m:nor/>
                </m:rPr>
                <w:rPr>
                  <w:i/>
                  <w:iCs/>
                </w:rPr>
                <m:t>ln</m:t>
              </m:r>
            </m:fName>
            <m:e>
              <m:d>
                <m:dPr>
                  <m:ctrlPr>
                    <w:rPr>
                      <w:rFonts w:ascii="Cambria Math" w:eastAsiaTheme="minorEastAsia" w:hAnsi="Cambria Math"/>
                      <w:i/>
                      <w:iCs/>
                      <w:sz w:val="16"/>
                      <w:szCs w:val="20"/>
                    </w:rPr>
                  </m:ctrlPr>
                </m:dPr>
                <m:e>
                  <m:r>
                    <m:rPr>
                      <m:nor/>
                    </m:rPr>
                    <w:rPr>
                      <w:rFonts w:eastAsiaTheme="minorEastAsia"/>
                      <w:i/>
                      <w:iCs/>
                    </w:rPr>
                    <m:t>2</m:t>
                  </m:r>
                </m:e>
              </m:d>
            </m:e>
          </m:func>
          <m:r>
            <w:rPr>
              <w:rFonts w:ascii="Cambria Math" w:hAnsi="Cambria Math"/>
            </w:rPr>
            <m:t>⟹</m:t>
          </m:r>
          <m:r>
            <m:rPr>
              <m:nor/>
            </m:rPr>
            <w:rPr>
              <w:rFonts w:eastAsiaTheme="minorEastAsia"/>
              <w:i/>
              <w:iCs/>
            </w:rPr>
            <m:t>ln</m:t>
          </m:r>
          <m:d>
            <m:dPr>
              <m:ctrlPr>
                <w:rPr>
                  <w:rFonts w:ascii="Cambria Math" w:eastAsiaTheme="minorEastAsia" w:hAnsi="Cambria Math"/>
                  <w:i/>
                  <w:iCs/>
                  <w:sz w:val="16"/>
                  <w:szCs w:val="20"/>
                </w:rPr>
              </m:ctrlPr>
            </m:dPr>
            <m:e>
              <m:r>
                <m:rPr>
                  <m:nor/>
                </m:rPr>
                <w:rPr>
                  <w:i/>
                  <w:iCs/>
                </w:rPr>
                <m:t>ξ</m:t>
              </m:r>
            </m:e>
          </m:d>
          <m:r>
            <w:rPr>
              <w:rFonts w:ascii="Cambria Math" w:hAnsi="Cambria Math"/>
            </w:rPr>
            <m:t>=</m:t>
          </m:r>
          <m:r>
            <m:rPr>
              <m:nor/>
            </m:rPr>
            <w:rPr>
              <w:rFonts w:eastAsiaTheme="minorEastAsia"/>
              <w:i/>
              <w:iCs/>
            </w:rPr>
            <m:t>2</m:t>
          </m:r>
          <m:r>
            <w:rPr>
              <w:rFonts w:ascii="Cambria Math" w:eastAsiaTheme="minorEastAsia" w:hAnsi="Cambria Math"/>
            </w:rPr>
            <m:t>∙</m:t>
          </m:r>
          <m:func>
            <m:funcPr>
              <m:ctrlPr>
                <w:rPr>
                  <w:rFonts w:ascii="Cambria Math" w:eastAsiaTheme="minorEastAsia" w:hAnsi="Cambria Math"/>
                  <w:i/>
                  <w:iCs/>
                  <w:sz w:val="16"/>
                  <w:szCs w:val="20"/>
                </w:rPr>
              </m:ctrlPr>
            </m:funcPr>
            <m:fName>
              <m:r>
                <m:rPr>
                  <m:nor/>
                </m:rPr>
                <w:rPr>
                  <w:i/>
                  <w:iCs/>
                </w:rPr>
                <m:t>ln</m:t>
              </m:r>
            </m:fName>
            <m:e>
              <m:d>
                <m:dPr>
                  <m:ctrlPr>
                    <w:rPr>
                      <w:rFonts w:ascii="Cambria Math" w:eastAsiaTheme="minorEastAsia" w:hAnsi="Cambria Math"/>
                      <w:i/>
                      <w:iCs/>
                      <w:sz w:val="16"/>
                      <w:szCs w:val="20"/>
                    </w:rPr>
                  </m:ctrlPr>
                </m:dPr>
                <m:e>
                  <m:r>
                    <m:rPr>
                      <m:nor/>
                    </m:rPr>
                    <w:rPr>
                      <w:rFonts w:eastAsiaTheme="minorEastAsia"/>
                      <w:i/>
                      <w:iCs/>
                    </w:rPr>
                    <m:t>2</m:t>
                  </m:r>
                </m:e>
              </m:d>
            </m:e>
          </m:func>
          <m:r>
            <w:rPr>
              <w:rFonts w:ascii="Cambria Math" w:hAnsi="Cambria Math"/>
            </w:rPr>
            <m:t>⟹</m:t>
          </m:r>
          <m:r>
            <m:rPr>
              <m:nor/>
            </m:rPr>
            <w:rPr>
              <w:i/>
              <w:iCs/>
            </w:rPr>
            <m:t>Equivalente cierto</m:t>
          </m:r>
          <m:r>
            <w:rPr>
              <w:rFonts w:ascii="Cambria Math" w:eastAsiaTheme="minorEastAsia" w:hAnsi="Cambria Math"/>
            </w:rPr>
            <m:t>=</m:t>
          </m:r>
          <m:r>
            <m:rPr>
              <m:nor/>
            </m:rPr>
            <w:rPr>
              <w:i/>
            </w:rPr>
            <m:t>ξ</m:t>
          </m:r>
          <m:r>
            <w:rPr>
              <w:rFonts w:ascii="Cambria Math" w:eastAsiaTheme="minorEastAsia" w:hAnsi="Cambria Math"/>
            </w:rPr>
            <m:t>=</m:t>
          </m:r>
          <m:sSup>
            <m:sSupPr>
              <m:ctrlPr>
                <w:rPr>
                  <w:rFonts w:ascii="Cambria Math" w:eastAsiaTheme="minorEastAsia" w:hAnsi="Cambria Math"/>
                  <w:i/>
                </w:rPr>
              </m:ctrlPr>
            </m:sSupPr>
            <m:e>
              <m:r>
                <m:rPr>
                  <m:nor/>
                </m:rPr>
                <w:rPr>
                  <w:rFonts w:eastAsiaTheme="minorEastAsia"/>
                  <w:i/>
                  <w:iCs/>
                </w:rPr>
                <m:t>e</m:t>
              </m:r>
            </m:e>
            <m:sup>
              <m:r>
                <m:rPr>
                  <m:nor/>
                </m:rPr>
                <w:rPr>
                  <w:rFonts w:eastAsiaTheme="minorEastAsia"/>
                  <w:i/>
                  <w:iCs/>
                </w:rPr>
                <m:t>2</m:t>
              </m:r>
              <m:r>
                <w:rPr>
                  <w:rFonts w:ascii="Cambria Math" w:eastAsiaTheme="minorEastAsia" w:hAnsi="Cambria Math"/>
                </w:rPr>
                <m:t>∙</m:t>
              </m:r>
              <m:func>
                <m:funcPr>
                  <m:ctrlPr>
                    <w:rPr>
                      <w:rFonts w:ascii="Cambria Math" w:eastAsiaTheme="minorEastAsia" w:hAnsi="Cambria Math"/>
                      <w:i/>
                      <w:iCs/>
                      <w:sz w:val="16"/>
                      <w:szCs w:val="20"/>
                    </w:rPr>
                  </m:ctrlPr>
                </m:funcPr>
                <m:fName>
                  <m:r>
                    <m:rPr>
                      <m:nor/>
                    </m:rPr>
                    <w:rPr>
                      <w:i/>
                      <w:iCs/>
                    </w:rPr>
                    <m:t>ln</m:t>
                  </m:r>
                </m:fName>
                <m:e>
                  <m:d>
                    <m:dPr>
                      <m:ctrlPr>
                        <w:rPr>
                          <w:rFonts w:ascii="Cambria Math" w:eastAsiaTheme="minorEastAsia" w:hAnsi="Cambria Math"/>
                          <w:i/>
                          <w:iCs/>
                          <w:sz w:val="16"/>
                          <w:szCs w:val="20"/>
                        </w:rPr>
                      </m:ctrlPr>
                    </m:dPr>
                    <m:e>
                      <m:r>
                        <m:rPr>
                          <m:nor/>
                        </m:rPr>
                        <w:rPr>
                          <w:rFonts w:eastAsiaTheme="minorEastAsia"/>
                          <w:i/>
                          <w:iCs/>
                        </w:rPr>
                        <m:t>2</m:t>
                      </m:r>
                    </m:e>
                  </m:d>
                </m:e>
              </m:func>
            </m:sup>
          </m:sSup>
          <m:r>
            <w:rPr>
              <w:rFonts w:ascii="Cambria Math" w:eastAsiaTheme="minorEastAsia" w:hAnsi="Cambria Math"/>
            </w:rPr>
            <m:t>=</m:t>
          </m:r>
          <m:r>
            <m:rPr>
              <m:nor/>
            </m:rPr>
            <w:rPr>
              <w:rFonts w:eastAsiaTheme="minorEastAsia"/>
              <w:i/>
              <w:iCs/>
            </w:rPr>
            <m:t>4</m:t>
          </m:r>
        </m:oMath>
      </m:oMathPara>
    </w:p>
    <w:p w14:paraId="42505F68" w14:textId="35FEF290" w:rsidR="0086038E" w:rsidRDefault="0086038E" w:rsidP="0086038E">
      <w:pPr>
        <w:pStyle w:val="Ttulo5"/>
        <w:rPr>
          <w:i w:val="0"/>
          <w:iCs w:val="0"/>
          <w:u w:val="none"/>
        </w:rPr>
      </w:pPr>
      <w:r>
        <w:t>Anexo</w:t>
      </w:r>
      <w:r w:rsidR="00EF1292">
        <w:t> </w:t>
      </w:r>
      <w:r w:rsidR="00147D16">
        <w:t>3</w:t>
      </w:r>
      <w:r>
        <w:rPr>
          <w:i w:val="0"/>
          <w:iCs w:val="0"/>
          <w:u w:val="none"/>
        </w:rPr>
        <w:t xml:space="preserve">: Aplicación – modelo de </w:t>
      </w:r>
      <w:r>
        <w:rPr>
          <w:i w:val="0"/>
          <w:iCs w:val="0"/>
          <w:smallCaps/>
          <w:u w:val="none"/>
        </w:rPr>
        <w:t>Diamond</w:t>
      </w:r>
      <w:r>
        <w:rPr>
          <w:i w:val="0"/>
          <w:iCs w:val="0"/>
          <w:u w:val="none"/>
        </w:rPr>
        <w:t xml:space="preserve"> y </w:t>
      </w:r>
      <w:r>
        <w:rPr>
          <w:i w:val="0"/>
          <w:iCs w:val="0"/>
          <w:smallCaps/>
          <w:u w:val="none"/>
        </w:rPr>
        <w:t>Dybvig</w:t>
      </w:r>
      <w:r>
        <w:rPr>
          <w:i w:val="0"/>
          <w:iCs w:val="0"/>
          <w:u w:val="none"/>
        </w:rPr>
        <w:t xml:space="preserve"> (198</w:t>
      </w:r>
      <w:r w:rsidR="001E01F0">
        <w:rPr>
          <w:i w:val="0"/>
          <w:iCs w:val="0"/>
          <w:u w:val="none"/>
        </w:rPr>
        <w:t>3</w:t>
      </w:r>
      <w:r>
        <w:rPr>
          <w:i w:val="0"/>
          <w:iCs w:val="0"/>
          <w:u w:val="none"/>
        </w:rPr>
        <w:t>)</w:t>
      </w:r>
    </w:p>
    <w:p w14:paraId="52FB0EEF" w14:textId="77777777" w:rsidR="009713A1" w:rsidRDefault="009713A1" w:rsidP="00EF1292">
      <w:pPr>
        <w:keepNext/>
        <w:keepLines/>
        <w:spacing w:after="60"/>
        <w:rPr>
          <w:b/>
          <w:bCs/>
          <w:color w:val="5F2987"/>
          <w:u w:val="single"/>
        </w:rPr>
      </w:pPr>
      <w:bookmarkStart w:id="88" w:name="_Hlk109579052"/>
      <w:r>
        <w:rPr>
          <w:b/>
          <w:bCs/>
          <w:color w:val="5F2987"/>
          <w:u w:val="single"/>
        </w:rPr>
        <w:t>Idea</w:t>
      </w:r>
    </w:p>
    <w:p w14:paraId="6CA1988B" w14:textId="77777777" w:rsidR="00D07FE4" w:rsidRDefault="00D07FE4" w:rsidP="00D07FE4">
      <w:pPr>
        <w:pStyle w:val="Nivel1SM"/>
        <w:keepNext/>
        <w:spacing w:before="0" w:after="0"/>
      </w:pPr>
      <w:r>
        <w:t xml:space="preserve">Los </w:t>
      </w:r>
      <w:r w:rsidRPr="00A13698">
        <w:rPr>
          <w:i/>
          <w:iCs/>
        </w:rPr>
        <w:t>problemas de coordinación y equilibrios múltiples</w:t>
      </w:r>
      <w:r>
        <w:t xml:space="preserve"> son estudiados por </w:t>
      </w:r>
      <w:r>
        <w:rPr>
          <w:smallCaps/>
        </w:rPr>
        <w:t>Diamond</w:t>
      </w:r>
      <w:r>
        <w:t xml:space="preserve"> y </w:t>
      </w:r>
      <w:r>
        <w:rPr>
          <w:smallCaps/>
        </w:rPr>
        <w:t>Dybvig</w:t>
      </w:r>
      <w:r>
        <w:t xml:space="preserve"> (1983)</w:t>
      </w:r>
      <w:r>
        <w:rPr>
          <w:rStyle w:val="Refdenotaalpie"/>
        </w:rPr>
        <w:footnoteReference w:id="54"/>
      </w:r>
      <w:r>
        <w:t>.</w:t>
      </w:r>
    </w:p>
    <w:p w14:paraId="0E660595" w14:textId="77777777" w:rsidR="00D07FE4" w:rsidRDefault="00D07FE4" w:rsidP="00D07FE4">
      <w:pPr>
        <w:pStyle w:val="Nivel2SM"/>
      </w:pPr>
      <w:r>
        <w:t>En su modelo de crisis bancarias con equilibrios múltiples, el equilibrio malo llevaría a que incluso los depositantes más pacientes retiren el dinero en base a creencias sobre el comportamiento del resto. Sería un comportamiento racional ante la duda de que el banco pueda hacer frente a sus obligaciones, derivada de la retirada masiva de depósitos.</w:t>
      </w:r>
    </w:p>
    <w:p w14:paraId="7AF0ECFB" w14:textId="77777777" w:rsidR="00D07FE4" w:rsidRDefault="00D07FE4" w:rsidP="00D07FE4">
      <w:pPr>
        <w:pStyle w:val="Nivel2SM"/>
      </w:pPr>
      <w:r>
        <w:t xml:space="preserve">Por tanto, un problema de coordinación entre depositantes pacientes y depositantes impacientes en presencia de incertidumbre puede generar una crisis bancaria. Una característica que intensifica la probabilidad de una crisis bancaria por problemas de coordinación es el descalce de plazos (los pasivos bancarios son líquidos a corto plazo y los </w:t>
      </w:r>
      <w:r>
        <w:lastRenderedPageBreak/>
        <w:t>activos ilíquidos a largo plazo). Para hacer frente a pasivos a corto plazo (depósitos a la vista) una entidad puede tener que liquidar activos por debajo del precio de mercado (</w:t>
      </w:r>
      <w:proofErr w:type="spellStart"/>
      <w:r w:rsidRPr="006D0F9A">
        <w:rPr>
          <w:i/>
          <w:iCs/>
        </w:rPr>
        <w:t>fire</w:t>
      </w:r>
      <w:proofErr w:type="spellEnd"/>
      <w:r w:rsidRPr="006D0F9A">
        <w:rPr>
          <w:i/>
          <w:iCs/>
        </w:rPr>
        <w:t xml:space="preserve"> sale</w:t>
      </w:r>
      <w:r>
        <w:t>).</w:t>
      </w:r>
    </w:p>
    <w:p w14:paraId="07C060CF" w14:textId="77777777" w:rsidR="00D07FE4" w:rsidRDefault="00D07FE4" w:rsidP="00D07FE4">
      <w:pPr>
        <w:pStyle w:val="Nivel2SM"/>
      </w:pPr>
      <w:r>
        <w:t>La liquidez y eventualmente la solvencia de un banco estarán amenazadas cuando tiene que liquidar activos por debajo del precio de mercado en condiciones normales.</w:t>
      </w:r>
    </w:p>
    <w:p w14:paraId="0478BD72" w14:textId="687A3C01" w:rsidR="009713A1" w:rsidRDefault="009713A1" w:rsidP="00EF1292">
      <w:pPr>
        <w:pStyle w:val="Nivel1SM"/>
        <w:spacing w:before="0"/>
      </w:pPr>
      <w:r>
        <w:t xml:space="preserve">Los </w:t>
      </w:r>
      <w:r w:rsidRPr="00016389">
        <w:rPr>
          <w:b/>
          <w:bCs/>
        </w:rPr>
        <w:t>pánicos bancarios</w:t>
      </w:r>
      <w:r>
        <w:t xml:space="preserve"> son un tema recurrente en la historia económica. Las crisis financieras están relacionadas con corridas de deuda bancaria de corto plazo, es decir, situaciones en las que los tenedores de deuda de corto plazo “corren” en masa a sus intermediarios financieros a liquidar sus ahorros, forzando a los intermediarios a llevar a cabo ventas de activos que les podrían hacer insolventes.</w:t>
      </w:r>
    </w:p>
    <w:p w14:paraId="270870FE" w14:textId="77777777" w:rsidR="009713A1" w:rsidRDefault="009713A1" w:rsidP="009713A1">
      <w:pPr>
        <w:pStyle w:val="Nivel1SM"/>
        <w:keepNext/>
        <w:spacing w:after="0"/>
      </w:pPr>
      <w:r>
        <w:t xml:space="preserve">El modelo de </w:t>
      </w:r>
      <w:r w:rsidRPr="00016389">
        <w:rPr>
          <w:smallCaps/>
        </w:rPr>
        <w:t>Diamond</w:t>
      </w:r>
      <w:r>
        <w:t xml:space="preserve"> y </w:t>
      </w:r>
      <w:r w:rsidRPr="00016389">
        <w:rPr>
          <w:smallCaps/>
        </w:rPr>
        <w:t>Dybvig</w:t>
      </w:r>
      <w:r>
        <w:t xml:space="preserve"> (1983) busca explicar este fenómeno. </w:t>
      </w:r>
      <w:r w:rsidRPr="00016389">
        <w:t>Se</w:t>
      </w:r>
      <w:r>
        <w:t xml:space="preserve"> trata de un modelo en el que el </w:t>
      </w:r>
      <w:r w:rsidRPr="00712745">
        <w:rPr>
          <w:i/>
          <w:iCs/>
        </w:rPr>
        <w:t>pánico bancario</w:t>
      </w:r>
      <w:r>
        <w:t xml:space="preserve"> puede llevar a la </w:t>
      </w:r>
      <w:r w:rsidRPr="00712745">
        <w:rPr>
          <w:i/>
          <w:iCs/>
        </w:rPr>
        <w:t>quiebra</w:t>
      </w:r>
      <w:r>
        <w:t xml:space="preserve"> a la entidad debido a que el banco dispone de </w:t>
      </w:r>
      <w:r w:rsidRPr="00712745">
        <w:rPr>
          <w:i/>
          <w:iCs/>
        </w:rPr>
        <w:t>activos poco líquidos</w:t>
      </w:r>
      <w:r>
        <w:t xml:space="preserve"> y de </w:t>
      </w:r>
      <w:r w:rsidRPr="00712745">
        <w:rPr>
          <w:i/>
          <w:iCs/>
        </w:rPr>
        <w:t>pasivos muy líquidos</w:t>
      </w:r>
      <w:r>
        <w:t>. Esta contribución, nos permitirá indagar en:</w:t>
      </w:r>
    </w:p>
    <w:p w14:paraId="09E38B0E" w14:textId="77777777" w:rsidR="009713A1" w:rsidRDefault="009713A1" w:rsidP="009713A1">
      <w:pPr>
        <w:pStyle w:val="Nivel2"/>
        <w:ind w:left="482"/>
      </w:pPr>
      <w:r>
        <w:t>Los beneficios de la transformación de liquidez realizada por los intermediarios financieros;</w:t>
      </w:r>
    </w:p>
    <w:p w14:paraId="795A5633" w14:textId="77777777" w:rsidR="009713A1" w:rsidRDefault="009713A1" w:rsidP="009713A1">
      <w:pPr>
        <w:pStyle w:val="Nivel2"/>
        <w:ind w:left="482"/>
      </w:pPr>
      <w:r>
        <w:t xml:space="preserve">Los riesgos de esta transformación de liquidez (i.e. </w:t>
      </w:r>
      <w:r w:rsidRPr="003E7343">
        <w:t>susceptibilidad</w:t>
      </w:r>
      <w:r>
        <w:t xml:space="preserve"> a pánicos bancarios); y</w:t>
      </w:r>
    </w:p>
    <w:p w14:paraId="19A9D29F" w14:textId="77777777" w:rsidR="009713A1" w:rsidRPr="00712745" w:rsidRDefault="009713A1" w:rsidP="009713A1">
      <w:pPr>
        <w:pStyle w:val="Nivel2"/>
        <w:ind w:left="482"/>
      </w:pPr>
      <w:r>
        <w:t>Provee un marco para proponer medidas de política económica.</w:t>
      </w:r>
    </w:p>
    <w:p w14:paraId="2301ED6A" w14:textId="77777777" w:rsidR="009713A1" w:rsidRDefault="009713A1" w:rsidP="009713A1">
      <w:pPr>
        <w:keepNext/>
        <w:keepLines/>
        <w:spacing w:before="120" w:after="60"/>
        <w:rPr>
          <w:b/>
          <w:bCs/>
          <w:color w:val="5F2987"/>
          <w:u w:val="single"/>
        </w:rPr>
      </w:pPr>
      <w:r>
        <w:rPr>
          <w:b/>
          <w:bCs/>
          <w:color w:val="5F2987"/>
          <w:u w:val="single"/>
        </w:rPr>
        <w:t>Modelo</w:t>
      </w:r>
    </w:p>
    <w:p w14:paraId="1BFDB235" w14:textId="77777777" w:rsidR="009713A1" w:rsidRDefault="009713A1" w:rsidP="00EF1292">
      <w:pPr>
        <w:keepNext/>
        <w:keepLines/>
        <w:spacing w:after="0"/>
        <w:ind w:left="851"/>
        <w:rPr>
          <w:i/>
          <w:iCs/>
          <w:color w:val="5F2987"/>
          <w:u w:val="dash"/>
        </w:rPr>
      </w:pPr>
      <w:r>
        <w:rPr>
          <w:i/>
          <w:iCs/>
          <w:color w:val="5F2987"/>
          <w:u w:val="dash"/>
        </w:rPr>
        <w:t>Supuestos</w:t>
      </w:r>
    </w:p>
    <w:p w14:paraId="07E8DFFF" w14:textId="77777777" w:rsidR="00F45D63" w:rsidRDefault="00F45D63" w:rsidP="00F45D63">
      <w:pPr>
        <w:pStyle w:val="Nivel1SM"/>
        <w:keepNext/>
        <w:spacing w:before="0" w:after="0"/>
      </w:pPr>
      <w:r>
        <w:t>El modelo parte de los siguientes supuestos:</w:t>
      </w:r>
    </w:p>
    <w:p w14:paraId="0BE5DDD5" w14:textId="77777777" w:rsidR="00F45D63" w:rsidRDefault="00F45D63" w:rsidP="00F45D63">
      <w:pPr>
        <w:pStyle w:val="Nivel2SM"/>
        <w:keepNext/>
        <w:spacing w:after="0"/>
      </w:pPr>
      <w:r>
        <w:t xml:space="preserve">Supongamos que existen </w:t>
      </w:r>
      <w:r w:rsidRPr="00A92D27">
        <w:rPr>
          <w:b/>
          <w:bCs/>
        </w:rPr>
        <w:t>3</w:t>
      </w:r>
      <w:r>
        <w:rPr>
          <w:b/>
          <w:bCs/>
        </w:rPr>
        <w:t> </w:t>
      </w:r>
      <w:r w:rsidRPr="00A92D27">
        <w:rPr>
          <w:b/>
          <w:bCs/>
        </w:rPr>
        <w:t>tipos de agentes en la economía</w:t>
      </w:r>
      <w:r>
        <w:t>:</w:t>
      </w:r>
    </w:p>
    <w:p w14:paraId="0C7BDD98" w14:textId="77777777" w:rsidR="00F45D63" w:rsidRDefault="00F45D63" w:rsidP="00F45D63">
      <w:pPr>
        <w:pStyle w:val="Nivel3SM"/>
      </w:pPr>
      <w:r>
        <w:t xml:space="preserve">Los </w:t>
      </w:r>
      <w:r w:rsidRPr="002156DC">
        <w:rPr>
          <w:i/>
          <w:iCs/>
          <w:u w:val="single"/>
        </w:rPr>
        <w:t>inversores</w:t>
      </w:r>
      <w:r>
        <w:t xml:space="preserve"> prefieren tomar </w:t>
      </w:r>
      <w:r w:rsidRPr="002156DC">
        <w:rPr>
          <w:i/>
          <w:iCs/>
        </w:rPr>
        <w:t>préstamos a largo plazo</w:t>
      </w:r>
      <w:r>
        <w:t>, pues los retornos de sus inversiones tardan tiempo en materializares.</w:t>
      </w:r>
    </w:p>
    <w:p w14:paraId="06F0BFF4" w14:textId="77777777" w:rsidR="00F45D63" w:rsidRDefault="00F45D63" w:rsidP="00F45D63">
      <w:pPr>
        <w:pStyle w:val="Nivel3SM"/>
      </w:pPr>
      <w:r>
        <w:t xml:space="preserve">Los </w:t>
      </w:r>
      <w:r w:rsidRPr="002156DC">
        <w:rPr>
          <w:i/>
          <w:iCs/>
          <w:u w:val="single"/>
        </w:rPr>
        <w:t>ahorradores</w:t>
      </w:r>
      <w:r>
        <w:t xml:space="preserve">, por su parte, prefieren hacer </w:t>
      </w:r>
      <w:r w:rsidRPr="002156DC">
        <w:rPr>
          <w:i/>
          <w:iCs/>
        </w:rPr>
        <w:t>depósitos a corto plazo</w:t>
      </w:r>
      <w:r>
        <w:t>, pues saben que pueden tener necesidades repentinas e impredecibles de dinero en efectivo (p.ej. enfermedades).</w:t>
      </w:r>
    </w:p>
    <w:p w14:paraId="5D009BCD" w14:textId="77777777" w:rsidR="00F45D63" w:rsidRDefault="00F45D63" w:rsidP="00F45D63">
      <w:pPr>
        <w:pStyle w:val="Nivel3SM"/>
        <w:keepNext/>
      </w:pPr>
      <w:r>
        <w:t xml:space="preserve">Los </w:t>
      </w:r>
      <w:r w:rsidRPr="00EE5AA3">
        <w:rPr>
          <w:i/>
          <w:iCs/>
          <w:u w:val="single"/>
        </w:rPr>
        <w:t>bancos</w:t>
      </w:r>
      <w:r>
        <w:t xml:space="preserve"> pueden proporcionar un valioso servicio mediante la canalización de fondos de los ahorradores a los inversores.</w:t>
      </w:r>
    </w:p>
    <w:p w14:paraId="7B65EF18" w14:textId="77777777" w:rsidR="00F45D63" w:rsidRDefault="00F45D63" w:rsidP="00F45D63">
      <w:pPr>
        <w:pStyle w:val="Nivel4"/>
        <w:ind w:left="1474"/>
      </w:pPr>
      <w:r>
        <w:t>Depositantes individuales pueden no ser capaces de hacer estos préstamos a largo plazo por sí mismos, ya que saben que de repente pueden necesitar acceso inmediato a sus fondos.</w:t>
      </w:r>
    </w:p>
    <w:p w14:paraId="109273F1" w14:textId="77777777" w:rsidR="00F45D63" w:rsidRPr="00EE5AA3" w:rsidRDefault="00F45D63" w:rsidP="00F45D63">
      <w:pPr>
        <w:pStyle w:val="Nivel2SM"/>
        <w:keepNext/>
        <w:spacing w:after="0"/>
      </w:pPr>
      <w:r>
        <w:t xml:space="preserve">Nuestra economía consistirá en </w:t>
      </w:r>
      <w:r w:rsidRPr="00A92D27">
        <w:rPr>
          <w:b/>
          <w:bCs/>
        </w:rPr>
        <w:t>3</w:t>
      </w:r>
      <w:r>
        <w:rPr>
          <w:b/>
          <w:bCs/>
        </w:rPr>
        <w:t> </w:t>
      </w:r>
      <w:r w:rsidRPr="00A92D27">
        <w:rPr>
          <w:b/>
          <w:bCs/>
        </w:rPr>
        <w:t>períodos</w:t>
      </w:r>
      <w:r>
        <w:t xml:space="preserve">, indexados por </w:t>
      </w:r>
      <m:oMath>
        <m:r>
          <m:rPr>
            <m:nor/>
          </m:rPr>
          <w:rPr>
            <w:i/>
            <w:iCs/>
          </w:rPr>
          <m:t>T</m:t>
        </m:r>
      </m:oMath>
      <w:r>
        <w:rPr>
          <w:rFonts w:eastAsiaTheme="minorEastAsia"/>
          <w:iCs/>
        </w:rPr>
        <w:t>:</w:t>
      </w:r>
    </w:p>
    <w:p w14:paraId="5D76A0B7" w14:textId="77777777" w:rsidR="00F45D63" w:rsidRPr="00EE5AA3" w:rsidRDefault="00F45D63" w:rsidP="00F45D63">
      <w:pPr>
        <w:pStyle w:val="Nivel3SM"/>
      </w:pPr>
      <m:oMath>
        <m:r>
          <m:rPr>
            <m:nor/>
          </m:rPr>
          <w:rPr>
            <w:i/>
          </w:rPr>
          <m:t>T</m:t>
        </m:r>
        <m:r>
          <w:rPr>
            <w:rFonts w:ascii="Cambria Math"/>
          </w:rPr>
          <m:t>=</m:t>
        </m:r>
        <m:r>
          <m:rPr>
            <m:nor/>
          </m:rPr>
          <w:rPr>
            <w:i/>
          </w:rPr>
          <m:t>0</m:t>
        </m:r>
      </m:oMath>
      <w:r>
        <w:t xml:space="preserve"> es el presente;</w:t>
      </w:r>
    </w:p>
    <w:p w14:paraId="2B008737" w14:textId="77777777" w:rsidR="00F45D63" w:rsidRPr="00EE5AA3" w:rsidRDefault="00F45D63" w:rsidP="00F45D63">
      <w:pPr>
        <w:pStyle w:val="Nivel3SM"/>
      </w:pPr>
      <m:oMath>
        <m:r>
          <m:rPr>
            <m:nor/>
          </m:rPr>
          <w:rPr>
            <w:i/>
          </w:rPr>
          <m:t>T</m:t>
        </m:r>
        <m:r>
          <w:rPr>
            <w:rFonts w:ascii="Cambria Math"/>
          </w:rPr>
          <m:t>=</m:t>
        </m:r>
        <m:r>
          <m:rPr>
            <m:nor/>
          </m:rPr>
          <w:rPr>
            <w:i/>
          </w:rPr>
          <m:t>1</m:t>
        </m:r>
      </m:oMath>
      <w:r w:rsidRPr="00EE5AA3">
        <w:t xml:space="preserve"> y </w:t>
      </w:r>
      <m:oMath>
        <m:r>
          <m:rPr>
            <m:nor/>
          </m:rPr>
          <w:rPr>
            <w:i/>
          </w:rPr>
          <m:t>T</m:t>
        </m:r>
        <m:r>
          <w:rPr>
            <w:rFonts w:ascii="Cambria Math"/>
          </w:rPr>
          <m:t>=</m:t>
        </m:r>
        <m:r>
          <m:rPr>
            <m:nor/>
          </m:rPr>
          <w:rPr>
            <w:i/>
          </w:rPr>
          <m:t>2</m:t>
        </m:r>
      </m:oMath>
      <w:r w:rsidRPr="00EE5AA3">
        <w:t xml:space="preserve"> miden el futuro</w:t>
      </w:r>
      <w:r>
        <w:t>.</w:t>
      </w:r>
    </w:p>
    <w:p w14:paraId="4E5010B0" w14:textId="77777777" w:rsidR="00F45D63" w:rsidRPr="00EE5AA3" w:rsidRDefault="00F45D63" w:rsidP="00F45D63">
      <w:pPr>
        <w:pStyle w:val="Nivel2SM"/>
        <w:keepNext/>
        <w:spacing w:after="0"/>
      </w:pPr>
      <w:r>
        <w:t>Existen (muchos) hogares que son idénticos (</w:t>
      </w:r>
      <w:r>
        <w:rPr>
          <w:i/>
        </w:rPr>
        <w:t>ex ante</w:t>
      </w:r>
      <w:r>
        <w:t xml:space="preserve">) y tienen una dotación inicial de 1 u.m. en </w:t>
      </w:r>
      <m:oMath>
        <m:r>
          <m:rPr>
            <m:nor/>
          </m:rPr>
          <w:rPr>
            <w:i/>
          </w:rPr>
          <m:t>T</m:t>
        </m:r>
        <m:r>
          <w:rPr>
            <w:rFonts w:ascii="Cambria Math"/>
          </w:rPr>
          <m:t>=</m:t>
        </m:r>
        <m:r>
          <m:rPr>
            <m:nor/>
          </m:rPr>
          <w:rPr>
            <w:i/>
          </w:rPr>
          <m:t>0</m:t>
        </m:r>
      </m:oMath>
      <w:r>
        <w:t xml:space="preserve">. Estos hogares van a necesitar consumir en </w:t>
      </w:r>
      <m:oMath>
        <m:r>
          <m:rPr>
            <m:nor/>
          </m:rPr>
          <w:rPr>
            <w:i/>
          </w:rPr>
          <m:t>T</m:t>
        </m:r>
        <m:r>
          <w:rPr>
            <w:rFonts w:ascii="Cambria Math"/>
          </w:rPr>
          <m:t>=</m:t>
        </m:r>
        <m:r>
          <m:rPr>
            <m:nor/>
          </m:rPr>
          <w:rPr>
            <w:i/>
          </w:rPr>
          <m:t>1</m:t>
        </m:r>
      </m:oMath>
      <w:r>
        <w:t xml:space="preserve"> </w:t>
      </w:r>
      <w:r w:rsidRPr="00EE5AA3">
        <w:t>o</w:t>
      </w:r>
      <w:r>
        <w:t xml:space="preserve"> en </w:t>
      </w:r>
      <m:oMath>
        <m:r>
          <m:rPr>
            <m:nor/>
          </m:rPr>
          <w:rPr>
            <w:i/>
          </w:rPr>
          <m:t>T</m:t>
        </m:r>
        <m:r>
          <w:rPr>
            <w:rFonts w:ascii="Cambria Math"/>
          </w:rPr>
          <m:t>=</m:t>
        </m:r>
        <m:r>
          <m:rPr>
            <m:nor/>
          </m:rPr>
          <w:rPr>
            <w:i/>
          </w:rPr>
          <m:t>2</m:t>
        </m:r>
      </m:oMath>
      <w:r>
        <w:t>, solo que no saben en qué período:</w:t>
      </w:r>
    </w:p>
    <w:p w14:paraId="709D0341" w14:textId="77777777" w:rsidR="00F45D63" w:rsidRPr="00EE5AA3" w:rsidRDefault="00F45D63" w:rsidP="00F45D63">
      <w:pPr>
        <w:pStyle w:val="Nivel3SM"/>
      </w:pPr>
      <w:r w:rsidRPr="00EE5AA3">
        <w:rPr>
          <w:i/>
          <w:u w:val="single"/>
        </w:rPr>
        <w:t>Existe incertidumbre idiosincrática</w:t>
      </w:r>
      <w:r>
        <w:t>, ya que cada individuo no sabe si va a ser de tipo </w:t>
      </w:r>
      <w:r>
        <w:rPr>
          <w:i/>
        </w:rPr>
        <w:t>1</w:t>
      </w:r>
      <w:r>
        <w:t xml:space="preserve"> (necesita consumir en </w:t>
      </w:r>
      <m:oMath>
        <m:r>
          <m:rPr>
            <m:nor/>
          </m:rPr>
          <w:rPr>
            <w:i/>
          </w:rPr>
          <m:t>T</m:t>
        </m:r>
        <m:r>
          <w:rPr>
            <w:rFonts w:ascii="Cambria Math"/>
          </w:rPr>
          <m:t>=</m:t>
        </m:r>
        <m:r>
          <m:rPr>
            <m:nor/>
          </m:rPr>
          <w:rPr>
            <w:i/>
          </w:rPr>
          <m:t>1</m:t>
        </m:r>
      </m:oMath>
      <w:r>
        <w:t>) o de tipo </w:t>
      </w:r>
      <w:r>
        <w:rPr>
          <w:i/>
        </w:rPr>
        <w:t>2</w:t>
      </w:r>
      <w:r>
        <w:t xml:space="preserve"> (puede esperar para consumir hasta </w:t>
      </w:r>
      <m:oMath>
        <m:r>
          <m:rPr>
            <m:nor/>
          </m:rPr>
          <w:rPr>
            <w:i/>
          </w:rPr>
          <m:t>T</m:t>
        </m:r>
        <m:r>
          <w:rPr>
            <w:rFonts w:ascii="Cambria Math"/>
          </w:rPr>
          <m:t>=</m:t>
        </m:r>
        <m:r>
          <m:rPr>
            <m:nor/>
          </m:rPr>
          <w:rPr>
            <w:i/>
          </w:rPr>
          <m:t>2</m:t>
        </m:r>
      </m:oMath>
      <w:r>
        <w:t xml:space="preserve">). Esto lo sabrá una vez llegado </w:t>
      </w:r>
      <m:oMath>
        <m:r>
          <m:rPr>
            <m:nor/>
          </m:rPr>
          <w:rPr>
            <w:i/>
          </w:rPr>
          <m:t>T</m:t>
        </m:r>
        <m:r>
          <w:rPr>
            <w:rFonts w:ascii="Cambria Math"/>
          </w:rPr>
          <m:t>=</m:t>
        </m:r>
        <m:r>
          <m:rPr>
            <m:nor/>
          </m:rPr>
          <w:rPr>
            <w:i/>
          </w:rPr>
          <m:t>1</m:t>
        </m:r>
      </m:oMath>
      <w:r>
        <w:t>.</w:t>
      </w:r>
    </w:p>
    <w:p w14:paraId="5292D437" w14:textId="77777777" w:rsidR="00F45D63" w:rsidRPr="009E69D5" w:rsidRDefault="00F45D63" w:rsidP="00F45D63">
      <w:pPr>
        <w:pStyle w:val="Nivel3SM"/>
      </w:pPr>
      <w:r>
        <w:t xml:space="preserve">Sin embargo, </w:t>
      </w:r>
      <w:r w:rsidRPr="00EE5AA3">
        <w:rPr>
          <w:i/>
          <w:u w:val="single"/>
        </w:rPr>
        <w:t>no hay incertidumbre agregada</w:t>
      </w:r>
      <w:r w:rsidRPr="00EE5AA3">
        <w:t xml:space="preserve">, </w:t>
      </w:r>
      <w:r>
        <w:t>ya que se sabe que una fracción fija</w:t>
      </w:r>
      <m:oMath>
        <m:r>
          <w:rPr>
            <w:rFonts w:ascii="Cambria Math" w:hAnsi="Cambria Math"/>
          </w:rPr>
          <m:t xml:space="preserve"> </m:t>
        </m:r>
        <m:r>
          <m:rPr>
            <m:nor/>
          </m:rPr>
          <w:rPr>
            <w:i/>
          </w:rPr>
          <m:t>τ</m:t>
        </m:r>
        <m:r>
          <w:rPr>
            <w:rFonts w:ascii="Cambria Math" w:hAnsi="Cambria Math"/>
          </w:rPr>
          <m:t>∈</m:t>
        </m:r>
        <m:d>
          <m:dPr>
            <m:begChr m:val="["/>
            <m:endChr m:val="]"/>
            <m:ctrlPr>
              <w:rPr>
                <w:rFonts w:ascii="Cambria Math" w:hAnsi="Cambria Math"/>
                <w:i/>
              </w:rPr>
            </m:ctrlPr>
          </m:dPr>
          <m:e>
            <m:r>
              <m:rPr>
                <m:nor/>
              </m:rPr>
              <w:rPr>
                <w:i/>
              </w:rPr>
              <m:t>0,1</m:t>
            </m:r>
          </m:e>
        </m:d>
      </m:oMath>
      <w:r>
        <w:t xml:space="preserve"> de los hogares será de tipo </w:t>
      </w:r>
      <w:r>
        <w:rPr>
          <w:i/>
        </w:rPr>
        <w:t>1</w:t>
      </w:r>
      <w:r>
        <w:t xml:space="preserve">, y una fracción fija </w:t>
      </w:r>
      <m:oMath>
        <m:r>
          <m:rPr>
            <m:nor/>
          </m:rPr>
          <w:rPr>
            <w:i/>
          </w:rPr>
          <m:t>1</m:t>
        </m:r>
        <m:r>
          <w:rPr>
            <w:rFonts w:ascii="Cambria Math" w:hAnsi="Cambria Math"/>
          </w:rPr>
          <m:t>-</m:t>
        </m:r>
        <m:r>
          <m:rPr>
            <m:nor/>
          </m:rPr>
          <w:rPr>
            <w:i/>
          </w:rPr>
          <m:t>τ</m:t>
        </m:r>
      </m:oMath>
      <w:r>
        <w:t xml:space="preserve"> será de tipo </w:t>
      </w:r>
      <w:r>
        <w:rPr>
          <w:i/>
        </w:rPr>
        <w:t>2</w:t>
      </w:r>
      <w:r>
        <w:t>.</w:t>
      </w:r>
    </w:p>
    <w:p w14:paraId="65E428B5" w14:textId="77777777" w:rsidR="00F45D63" w:rsidRDefault="00F45D63" w:rsidP="00F45D63">
      <w:pPr>
        <w:pStyle w:val="Nivel2SM"/>
        <w:keepNext/>
        <w:spacing w:after="0"/>
      </w:pPr>
      <w:r>
        <w:t xml:space="preserve">También existen </w:t>
      </w:r>
      <w:r w:rsidRPr="00A92D27">
        <w:rPr>
          <w:b/>
          <w:bCs/>
        </w:rPr>
        <w:t>2</w:t>
      </w:r>
      <w:r>
        <w:rPr>
          <w:b/>
          <w:bCs/>
        </w:rPr>
        <w:t> </w:t>
      </w:r>
      <w:r w:rsidRPr="00A92D27">
        <w:rPr>
          <w:b/>
          <w:bCs/>
        </w:rPr>
        <w:t>activos</w:t>
      </w:r>
      <w:r>
        <w:t>:</w:t>
      </w:r>
    </w:p>
    <w:p w14:paraId="7CFA82B7" w14:textId="77777777" w:rsidR="00F45D63" w:rsidRPr="00EE5AA3" w:rsidRDefault="00F45D63" w:rsidP="00F45D63">
      <w:pPr>
        <w:pStyle w:val="Nivel3SM"/>
      </w:pPr>
      <w:r>
        <w:rPr>
          <w:i/>
        </w:rPr>
        <w:t>Efectivo</w:t>
      </w:r>
      <w:r>
        <w:t xml:space="preserve">: No provee ningún rendimiento, por lo que si el individuo ahorra su dotación inicial de 1 u.m. en </w:t>
      </w:r>
      <m:oMath>
        <m:r>
          <m:rPr>
            <m:nor/>
          </m:rPr>
          <w:rPr>
            <w:i/>
          </w:rPr>
          <m:t>T</m:t>
        </m:r>
        <m:r>
          <w:rPr>
            <w:rFonts w:ascii="Cambria Math"/>
          </w:rPr>
          <m:t>=</m:t>
        </m:r>
        <m:r>
          <m:rPr>
            <m:nor/>
          </m:rPr>
          <w:rPr>
            <w:i/>
          </w:rPr>
          <m:t>0</m:t>
        </m:r>
      </m:oMath>
      <w:r>
        <w:t xml:space="preserve">, tendrá 1 u.m disponible para consumir en </w:t>
      </w:r>
      <m:oMath>
        <m:r>
          <m:rPr>
            <m:nor/>
          </m:rPr>
          <w:rPr>
            <w:i/>
          </w:rPr>
          <m:t>T</m:t>
        </m:r>
        <m:r>
          <w:rPr>
            <w:rFonts w:ascii="Cambria Math"/>
          </w:rPr>
          <m:t>=</m:t>
        </m:r>
        <m:r>
          <m:rPr>
            <m:nor/>
          </m:rPr>
          <w:rPr>
            <w:i/>
          </w:rPr>
          <m:t>1</m:t>
        </m:r>
      </m:oMath>
      <w:r w:rsidRPr="00EE5AA3">
        <w:t xml:space="preserve"> </w:t>
      </w:r>
      <w:r>
        <w:t>o en</w:t>
      </w:r>
      <w:r w:rsidRPr="00EE5AA3">
        <w:t xml:space="preserve"> </w:t>
      </w:r>
      <m:oMath>
        <m:r>
          <m:rPr>
            <m:nor/>
          </m:rPr>
          <w:rPr>
            <w:i/>
          </w:rPr>
          <m:t>T</m:t>
        </m:r>
        <m:r>
          <w:rPr>
            <w:rFonts w:ascii="Cambria Math"/>
          </w:rPr>
          <m:t>=</m:t>
        </m:r>
        <m:r>
          <m:rPr>
            <m:nor/>
          </m:rPr>
          <w:rPr>
            <w:i/>
          </w:rPr>
          <m:t>2</m:t>
        </m:r>
      </m:oMath>
      <w:r>
        <w:t>.</w:t>
      </w:r>
    </w:p>
    <w:p w14:paraId="317593F4" w14:textId="77777777" w:rsidR="00F45D63" w:rsidRPr="009E69D5" w:rsidRDefault="00F45D63" w:rsidP="00F45D63">
      <w:pPr>
        <w:pStyle w:val="Nivel3SM"/>
        <w:keepNext/>
      </w:pPr>
      <w:r>
        <w:rPr>
          <w:i/>
        </w:rPr>
        <w:t>Oportunidad de inversión no líquida</w:t>
      </w:r>
      <w:r>
        <w:t xml:space="preserve">: Si invierte 1 u.m. en </w:t>
      </w:r>
      <m:oMath>
        <m:r>
          <m:rPr>
            <m:nor/>
          </m:rPr>
          <w:rPr>
            <w:i/>
          </w:rPr>
          <m:t>T</m:t>
        </m:r>
        <m:r>
          <w:rPr>
            <w:rFonts w:ascii="Cambria Math"/>
          </w:rPr>
          <m:t>=</m:t>
        </m:r>
        <m:r>
          <m:rPr>
            <m:nor/>
          </m:rPr>
          <w:rPr>
            <w:i/>
          </w:rPr>
          <m:t>0</m:t>
        </m:r>
      </m:oMath>
      <w:r>
        <w:t>, puede obtener:</w:t>
      </w:r>
    </w:p>
    <w:p w14:paraId="06B9B9A8" w14:textId="77777777" w:rsidR="00F45D63" w:rsidRDefault="00000000" w:rsidP="00F45D63">
      <w:pPr>
        <w:pStyle w:val="Nivel4"/>
        <w:ind w:left="1474"/>
      </w:pPr>
      <m:oMath>
        <m:sSub>
          <m:sSubPr>
            <m:ctrlPr>
              <w:rPr>
                <w:rFonts w:ascii="Cambria Math" w:hAnsi="Cambria Math"/>
                <w:i/>
              </w:rPr>
            </m:ctrlPr>
          </m:sSubPr>
          <m:e>
            <m:r>
              <m:rPr>
                <m:nor/>
              </m:rPr>
              <w:rPr>
                <w:i/>
              </w:rPr>
              <m:t>r</m:t>
            </m:r>
          </m:e>
          <m:sub>
            <m:r>
              <m:rPr>
                <m:nor/>
              </m:rPr>
              <w:rPr>
                <w:i/>
              </w:rPr>
              <m:t>1</m:t>
            </m:r>
          </m:sub>
        </m:sSub>
      </m:oMath>
      <w:r w:rsidR="00F45D63">
        <w:t xml:space="preserve"> </w:t>
      </w:r>
      <w:proofErr w:type="spellStart"/>
      <w:r w:rsidR="00F45D63">
        <w:t>si</w:t>
      </w:r>
      <w:proofErr w:type="spellEnd"/>
      <w:r w:rsidR="00F45D63">
        <w:t xml:space="preserve"> liquida la inversión en </w:t>
      </w:r>
      <m:oMath>
        <m:r>
          <m:rPr>
            <m:nor/>
          </m:rPr>
          <w:rPr>
            <w:i/>
          </w:rPr>
          <m:t>T</m:t>
        </m:r>
        <m:r>
          <w:rPr>
            <w:rFonts w:ascii="Cambria Math"/>
          </w:rPr>
          <m:t>=</m:t>
        </m:r>
        <m:r>
          <m:rPr>
            <m:nor/>
          </m:rPr>
          <w:rPr>
            <w:i/>
          </w:rPr>
          <m:t>1</m:t>
        </m:r>
      </m:oMath>
      <w:r w:rsidR="00F45D63">
        <w:t xml:space="preserve">; </w:t>
      </w:r>
      <w:r w:rsidR="00F45D63" w:rsidRPr="00EE5AA3">
        <w:t>y</w:t>
      </w:r>
    </w:p>
    <w:p w14:paraId="1E14167C" w14:textId="77777777" w:rsidR="00F45D63" w:rsidRDefault="00000000" w:rsidP="00F45D63">
      <w:pPr>
        <w:pStyle w:val="Nivel4"/>
        <w:ind w:left="1474"/>
      </w:pPr>
      <m:oMath>
        <m:sSub>
          <m:sSubPr>
            <m:ctrlPr>
              <w:rPr>
                <w:rFonts w:ascii="Cambria Math" w:hAnsi="Cambria Math"/>
                <w:i/>
              </w:rPr>
            </m:ctrlPr>
          </m:sSubPr>
          <m:e>
            <m:r>
              <m:rPr>
                <m:nor/>
              </m:rPr>
              <w:rPr>
                <w:i/>
              </w:rPr>
              <m:t>r</m:t>
            </m:r>
          </m:e>
          <m:sub>
            <m:r>
              <m:rPr>
                <m:nor/>
              </m:rPr>
              <w:rPr>
                <w:i/>
              </w:rPr>
              <m:t>2</m:t>
            </m:r>
          </m:sub>
        </m:sSub>
      </m:oMath>
      <w:r w:rsidR="00F45D63">
        <w:t xml:space="preserve"> </w:t>
      </w:r>
      <w:proofErr w:type="spellStart"/>
      <w:r w:rsidR="00F45D63">
        <w:t>si</w:t>
      </w:r>
      <w:proofErr w:type="spellEnd"/>
      <w:r w:rsidR="00F45D63">
        <w:t xml:space="preserve"> liquida la inversión en</w:t>
      </w:r>
      <w:r w:rsidR="00F45D63" w:rsidRPr="00EE5AA3">
        <w:t xml:space="preserve"> </w:t>
      </w:r>
      <m:oMath>
        <m:r>
          <m:rPr>
            <m:nor/>
          </m:rPr>
          <w:rPr>
            <w:i/>
          </w:rPr>
          <m:t>T</m:t>
        </m:r>
        <m:r>
          <w:rPr>
            <w:rFonts w:ascii="Cambria Math"/>
          </w:rPr>
          <m:t>=</m:t>
        </m:r>
        <m:r>
          <m:rPr>
            <m:nor/>
          </m:rPr>
          <w:rPr>
            <w:i/>
          </w:rPr>
          <m:t>2</m:t>
        </m:r>
      </m:oMath>
      <w:r w:rsidR="00F45D63">
        <w:t>.</w:t>
      </w:r>
    </w:p>
    <w:p w14:paraId="03AF4C39" w14:textId="77777777" w:rsidR="00F45D63" w:rsidRDefault="00000000" w:rsidP="00F45D63">
      <w:pPr>
        <w:pStyle w:val="Nivel4"/>
        <w:ind w:left="1474"/>
      </w:pPr>
      <m:oMath>
        <m:sSub>
          <m:sSubPr>
            <m:ctrlPr>
              <w:rPr>
                <w:rFonts w:ascii="Cambria Math" w:hAnsi="Cambria Math"/>
                <w:i/>
              </w:rPr>
            </m:ctrlPr>
          </m:sSubPr>
          <m:e>
            <m:r>
              <m:rPr>
                <m:nor/>
              </m:rPr>
              <w:rPr>
                <w:i/>
              </w:rPr>
              <m:t>r</m:t>
            </m:r>
          </m:e>
          <m:sub>
            <m:r>
              <m:rPr>
                <m:nor/>
              </m:rPr>
              <w:rPr>
                <w:i/>
              </w:rPr>
              <m:t>2</m:t>
            </m:r>
          </m:sub>
        </m:sSub>
        <m:r>
          <w:rPr>
            <w:rFonts w:ascii="Cambria Math" w:hAnsi="Cambria Math"/>
          </w:rPr>
          <m:t>&gt;</m:t>
        </m:r>
        <m:r>
          <m:rPr>
            <m:nor/>
          </m:rPr>
          <w:rPr>
            <w:i/>
          </w:rPr>
          <m:t>1</m:t>
        </m:r>
        <m:r>
          <w:rPr>
            <w:rFonts w:ascii="Cambria Math" w:hAnsi="Cambria Math"/>
          </w:rPr>
          <m:t>&gt;</m:t>
        </m:r>
        <m:sSub>
          <m:sSubPr>
            <m:ctrlPr>
              <w:rPr>
                <w:rFonts w:ascii="Cambria Math" w:hAnsi="Cambria Math"/>
                <w:i/>
              </w:rPr>
            </m:ctrlPr>
          </m:sSubPr>
          <m:e>
            <m:r>
              <m:rPr>
                <m:nor/>
              </m:rPr>
              <w:rPr>
                <w:i/>
              </w:rPr>
              <m:t>r</m:t>
            </m:r>
          </m:e>
          <m:sub>
            <m:r>
              <m:rPr>
                <m:nor/>
              </m:rPr>
              <w:rPr>
                <w:i/>
              </w:rPr>
              <m:t>1</m:t>
            </m:r>
          </m:sub>
        </m:sSub>
      </m:oMath>
    </w:p>
    <w:p w14:paraId="770BCA85" w14:textId="0A0C85FA" w:rsidR="00F45D63" w:rsidRPr="009E69D5" w:rsidRDefault="00F45D63" w:rsidP="00F45D63">
      <w:pPr>
        <w:pStyle w:val="Nivel2SM"/>
        <w:keepNext/>
        <w:spacing w:after="0"/>
      </w:pPr>
      <w:r>
        <w:lastRenderedPageBreak/>
        <w:t xml:space="preserve">Cada hogar tiene una función de utilidad creciente y cóncava en </w:t>
      </w:r>
      <m:oMath>
        <m:r>
          <m:rPr>
            <m:nor/>
          </m:rPr>
          <w:rPr>
            <w:i/>
          </w:rPr>
          <m:t>c</m:t>
        </m:r>
      </m:oMath>
      <w:r>
        <w:t xml:space="preserve">, que hará que el individuo sea averso al riesgo y tenga un incentivo para suavizar el consumo entre los diferentes estados de la naturaleza </w:t>
      </w:r>
      <w:r w:rsidRPr="009E69D5">
        <w:rPr>
          <w:color w:val="767171" w:themeColor="background2" w:themeShade="80"/>
          <w:sz w:val="19"/>
          <w:szCs w:val="19"/>
        </w:rPr>
        <w:t>[ver tema 3.A.</w:t>
      </w:r>
      <w:r w:rsidR="00AE0338">
        <w:rPr>
          <w:color w:val="767171" w:themeColor="background2" w:themeShade="80"/>
          <w:sz w:val="19"/>
          <w:szCs w:val="19"/>
        </w:rPr>
        <w:t>10</w:t>
      </w:r>
      <w:r w:rsidRPr="009E69D5">
        <w:rPr>
          <w:color w:val="767171" w:themeColor="background2" w:themeShade="80"/>
          <w:sz w:val="19"/>
          <w:szCs w:val="19"/>
        </w:rPr>
        <w:t>]</w:t>
      </w:r>
      <w:r>
        <w:t>. De este modo su utilidad esperada es simplemente la suma de sus flujos de utilidad ponderada por la probabilidad de pertenecer a cada tipo:</w:t>
      </w:r>
    </w:p>
    <w:p w14:paraId="1A6549C7" w14:textId="77777777" w:rsidR="00F45D63" w:rsidRDefault="00F45D63" w:rsidP="00F45D63">
      <w:pPr>
        <w:pStyle w:val="Nivel2"/>
        <w:keepNext/>
        <w:numPr>
          <w:ilvl w:val="0"/>
          <w:numId w:val="0"/>
        </w:numPr>
        <w:spacing w:after="0"/>
        <w:ind w:left="567"/>
        <w:rPr>
          <w:rFonts w:eastAsiaTheme="minorEastAsia"/>
        </w:rPr>
      </w:pPr>
      <m:oMathPara>
        <m:oMath>
          <m:r>
            <m:rPr>
              <m:nor/>
            </m:rPr>
            <w:rPr>
              <w:rFonts w:ascii="Cambria Math"/>
              <w:iCs/>
            </w:rPr>
            <m:t xml:space="preserve"> </m:t>
          </m:r>
          <m:r>
            <m:rPr>
              <m:nor/>
            </m:rPr>
            <w:rPr>
              <w:i/>
            </w:rPr>
            <m:t>E</m:t>
          </m:r>
          <m:d>
            <m:dPr>
              <m:begChr m:val="["/>
              <m:endChr m:val="]"/>
              <m:ctrlPr>
                <w:rPr>
                  <w:rFonts w:ascii="Cambria Math" w:hAnsi="Cambria Math"/>
                  <w:i/>
                </w:rPr>
              </m:ctrlPr>
            </m:dPr>
            <m:e>
              <m:r>
                <m:rPr>
                  <m:nor/>
                </m:rPr>
                <w:rPr>
                  <w:i/>
                </w:rPr>
                <m:t>U</m:t>
              </m:r>
            </m:e>
          </m:d>
          <m:r>
            <w:rPr>
              <w:rFonts w:ascii="Cambria Math"/>
            </w:rPr>
            <m:t>=</m:t>
          </m:r>
          <m:r>
            <m:rPr>
              <m:nor/>
            </m:rPr>
            <w:rPr>
              <w:i/>
            </w:rPr>
            <m:t>τ</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e>
          </m:d>
          <m:r>
            <w:rPr>
              <w:rFonts w:ascii="Cambria Math"/>
            </w:rPr>
            <m:t>+</m:t>
          </m:r>
          <m:d>
            <m:dPr>
              <m:ctrlPr>
                <w:rPr>
                  <w:rFonts w:ascii="Cambria Math" w:hAnsi="Cambria Math"/>
                  <w:i/>
                </w:rPr>
              </m:ctrlPr>
            </m:dPr>
            <m:e>
              <m:r>
                <m:rPr>
                  <m:nor/>
                </m:rPr>
                <w:rPr>
                  <w:i/>
                </w:rPr>
                <m:t>1</m:t>
              </m:r>
              <m:r>
                <w:rPr>
                  <w:rFonts w:ascii="Cambria Math" w:hAnsi="Cambria Math"/>
                </w:rPr>
                <m:t>-</m:t>
              </m:r>
              <m:r>
                <m:rPr>
                  <m:nor/>
                </m:rPr>
                <w:rPr>
                  <w:i/>
                </w:rPr>
                <m:t>τ</m:t>
              </m:r>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2</m:t>
                  </m:r>
                </m:sub>
              </m:sSub>
            </m:e>
          </m:d>
          <m:r>
            <m:rPr>
              <m:sty m:val="p"/>
            </m:rPr>
            <w:rPr>
              <w:rFonts w:ascii="Cambria Math" w:eastAsiaTheme="minorEastAsia" w:hAnsi="Cambria Math"/>
            </w:rPr>
            <w:br/>
          </m:r>
        </m:oMath>
      </m:oMathPara>
      <w:r>
        <w:rPr>
          <w:rFonts w:eastAsiaTheme="minorEastAsia"/>
        </w:rPr>
        <w:t xml:space="preserve">donde </w:t>
      </w:r>
      <m:oMath>
        <m:sSub>
          <m:sSubPr>
            <m:ctrlPr>
              <w:rPr>
                <w:rFonts w:ascii="Cambria Math" w:hAnsi="Cambria Math"/>
                <w:i/>
              </w:rPr>
            </m:ctrlPr>
          </m:sSubPr>
          <m:e>
            <m:r>
              <m:rPr>
                <m:nor/>
              </m:rPr>
              <w:rPr>
                <w:i/>
              </w:rPr>
              <m:t>c</m:t>
            </m:r>
          </m:e>
          <m:sub>
            <m:r>
              <m:rPr>
                <m:nor/>
              </m:rPr>
              <w:rPr>
                <w:i/>
              </w:rPr>
              <m:t>1</m:t>
            </m:r>
          </m:sub>
        </m:sSub>
      </m:oMath>
      <w:r>
        <w:rPr>
          <w:rFonts w:eastAsiaTheme="minorEastAsia"/>
        </w:rPr>
        <w:t xml:space="preserve"> y </w:t>
      </w:r>
      <m:oMath>
        <m:sSub>
          <m:sSubPr>
            <m:ctrlPr>
              <w:rPr>
                <w:rFonts w:ascii="Cambria Math" w:hAnsi="Cambria Math"/>
                <w:i/>
              </w:rPr>
            </m:ctrlPr>
          </m:sSubPr>
          <m:e>
            <m:r>
              <m:rPr>
                <m:nor/>
              </m:rPr>
              <w:rPr>
                <w:i/>
              </w:rPr>
              <m:t>c</m:t>
            </m:r>
          </m:e>
          <m:sub>
            <m:r>
              <m:rPr>
                <m:nor/>
              </m:rPr>
              <w:rPr>
                <w:i/>
              </w:rPr>
              <m:t>2</m:t>
            </m:r>
          </m:sub>
        </m:sSub>
      </m:oMath>
      <w:r>
        <w:rPr>
          <w:rFonts w:eastAsiaTheme="minorEastAsia"/>
        </w:rPr>
        <w:t xml:space="preserve"> son el consumo en cada fecha dependiendo del tipo de consumidor.</w:t>
      </w:r>
    </w:p>
    <w:p w14:paraId="2BEA93CA" w14:textId="77777777" w:rsidR="009713A1" w:rsidRDefault="009713A1" w:rsidP="009713A1">
      <w:pPr>
        <w:keepNext/>
        <w:keepLines/>
        <w:spacing w:before="40" w:after="0"/>
        <w:ind w:left="851"/>
        <w:rPr>
          <w:i/>
          <w:iCs/>
          <w:color w:val="5F2987"/>
          <w:u w:val="dash"/>
        </w:rPr>
      </w:pPr>
      <w:r>
        <w:rPr>
          <w:i/>
          <w:iCs/>
          <w:color w:val="5F2987"/>
          <w:u w:val="dash"/>
        </w:rPr>
        <w:t>Desarrollo</w:t>
      </w:r>
    </w:p>
    <w:p w14:paraId="0D8FC77E" w14:textId="77777777" w:rsidR="00D40FEA" w:rsidRDefault="00D40FEA" w:rsidP="00D40FEA">
      <w:pPr>
        <w:pStyle w:val="Nivel1SM"/>
        <w:keepNext/>
        <w:spacing w:before="0" w:after="0"/>
      </w:pPr>
      <w:r>
        <w:t>Habiendo planteado el escenario del modelo, supongamos 5 escenarios básicos:</w:t>
      </w:r>
    </w:p>
    <w:p w14:paraId="5FE4DDC6" w14:textId="77777777" w:rsidR="00D40FEA" w:rsidRDefault="00D40FEA">
      <w:pPr>
        <w:pStyle w:val="Prrafodelista"/>
        <w:numPr>
          <w:ilvl w:val="0"/>
          <w:numId w:val="18"/>
        </w:numPr>
        <w:spacing w:after="100"/>
        <w:ind w:left="568" w:hanging="284"/>
      </w:pPr>
      <w:r>
        <w:rPr>
          <w:i/>
          <w:iCs/>
        </w:rPr>
        <w:t>Autarquía</w:t>
      </w:r>
      <w:r>
        <w:t xml:space="preserve"> (i.e. ausencia de bancos ni de mercados competitivos).</w:t>
      </w:r>
    </w:p>
    <w:p w14:paraId="6A1CED30" w14:textId="77777777" w:rsidR="00D40FEA" w:rsidRDefault="00D40FEA">
      <w:pPr>
        <w:pStyle w:val="Prrafodelista"/>
        <w:numPr>
          <w:ilvl w:val="0"/>
          <w:numId w:val="18"/>
        </w:numPr>
        <w:spacing w:after="100"/>
        <w:ind w:left="568" w:hanging="284"/>
      </w:pPr>
      <w:r>
        <w:rPr>
          <w:i/>
          <w:iCs/>
        </w:rPr>
        <w:t xml:space="preserve">Existencia de mercados financieros abiertos en </w:t>
      </w:r>
      <m:oMath>
        <m:r>
          <m:rPr>
            <m:nor/>
          </m:rPr>
          <w:rPr>
            <w:i/>
          </w:rPr>
          <m:t>T</m:t>
        </m:r>
        <m:r>
          <w:rPr>
            <w:rFonts w:ascii="Cambria Math"/>
          </w:rPr>
          <m:t>=</m:t>
        </m:r>
        <m:r>
          <m:rPr>
            <m:nor/>
          </m:rPr>
          <w:rPr>
            <w:i/>
          </w:rPr>
          <m:t>1</m:t>
        </m:r>
      </m:oMath>
      <w:r>
        <w:t>.</w:t>
      </w:r>
    </w:p>
    <w:p w14:paraId="72C438BB" w14:textId="77777777" w:rsidR="00D40FEA" w:rsidRDefault="00D40FEA">
      <w:pPr>
        <w:pStyle w:val="Prrafodelista"/>
        <w:numPr>
          <w:ilvl w:val="0"/>
          <w:numId w:val="18"/>
        </w:numPr>
        <w:spacing w:after="100"/>
        <w:ind w:left="568" w:hanging="284"/>
      </w:pPr>
      <w:r>
        <w:rPr>
          <w:i/>
          <w:iCs/>
        </w:rPr>
        <w:t>Existencia de un planificador social</w:t>
      </w:r>
      <w:r>
        <w:t>.</w:t>
      </w:r>
    </w:p>
    <w:p w14:paraId="6CC14628" w14:textId="77777777" w:rsidR="00D40FEA" w:rsidRDefault="00D40FEA">
      <w:pPr>
        <w:pStyle w:val="Prrafodelista"/>
        <w:numPr>
          <w:ilvl w:val="0"/>
          <w:numId w:val="18"/>
        </w:numPr>
        <w:spacing w:after="100"/>
        <w:ind w:left="568" w:hanging="284"/>
      </w:pPr>
      <w:r>
        <w:rPr>
          <w:i/>
          <w:iCs/>
        </w:rPr>
        <w:t>Bancos competitivos</w:t>
      </w:r>
      <w:r>
        <w:t xml:space="preserve"> (equilibrio óptimo).</w:t>
      </w:r>
    </w:p>
    <w:p w14:paraId="4DAD5FD8" w14:textId="77777777" w:rsidR="00D40FEA" w:rsidRPr="00AB3FBF" w:rsidRDefault="00D40FEA">
      <w:pPr>
        <w:pStyle w:val="Prrafodelista"/>
        <w:numPr>
          <w:ilvl w:val="0"/>
          <w:numId w:val="18"/>
        </w:numPr>
        <w:spacing w:after="100"/>
        <w:ind w:left="568" w:hanging="284"/>
        <w:contextualSpacing w:val="0"/>
      </w:pPr>
      <w:r>
        <w:rPr>
          <w:i/>
          <w:iCs/>
        </w:rPr>
        <w:t xml:space="preserve">Bancos competitivos </w:t>
      </w:r>
      <w:r w:rsidRPr="00C36438">
        <w:t>(</w:t>
      </w:r>
      <w:r>
        <w:t>pánico bancario</w:t>
      </w:r>
      <w:r w:rsidRPr="00C36438">
        <w:t>)</w:t>
      </w:r>
      <w:r>
        <w:t>.</w:t>
      </w:r>
    </w:p>
    <w:p w14:paraId="0F42D04A" w14:textId="24496C85" w:rsidR="00D40FEA" w:rsidRPr="00D40FEA" w:rsidRDefault="00D40FEA">
      <w:pPr>
        <w:pStyle w:val="Prrafodelista"/>
        <w:keepNext/>
        <w:numPr>
          <w:ilvl w:val="0"/>
          <w:numId w:val="19"/>
        </w:numPr>
        <w:spacing w:before="20" w:after="0"/>
        <w:ind w:left="1560" w:hanging="284"/>
        <w:rPr>
          <w:i/>
          <w:iCs/>
          <w:spacing w:val="-4"/>
          <w:w w:val="97"/>
          <w:u w:val="dotted"/>
        </w:rPr>
      </w:pPr>
      <w:r w:rsidRPr="00D40FEA">
        <w:rPr>
          <w:i/>
          <w:iCs/>
          <w:color w:val="240F33"/>
          <w:spacing w:val="-4"/>
          <w:w w:val="97"/>
          <w:u w:val="dotted"/>
        </w:rPr>
        <w:t>Autarquía (ausencia de mercados competitivos)</w:t>
      </w:r>
    </w:p>
    <w:p w14:paraId="113D732A" w14:textId="77777777" w:rsidR="00D40FEA" w:rsidRDefault="00D40FEA" w:rsidP="00D40FEA">
      <w:pPr>
        <w:pStyle w:val="Nivel1SM"/>
        <w:keepNext/>
        <w:spacing w:before="0" w:after="0"/>
      </w:pPr>
      <w:r>
        <w:t>En primer lugar, supongamos una situación en la que los agentes deben decidir de manera individual qué hacer con su dotación inicial.</w:t>
      </w:r>
    </w:p>
    <w:p w14:paraId="7D77C249" w14:textId="77777777" w:rsidR="00D40FEA" w:rsidRDefault="00D40FEA" w:rsidP="00D40FEA">
      <w:pPr>
        <w:pStyle w:val="Nivel2SM"/>
        <w:keepNext/>
      </w:pPr>
      <w:r>
        <w:t>Podría mantener todo en efectivo, en cuyo caso su consumo será igual a 1 u.m. independientemente del tipo de agente que resulte ser.</w:t>
      </w:r>
    </w:p>
    <w:p w14:paraId="766554EA" w14:textId="77777777" w:rsidR="00D40FEA" w:rsidRDefault="00D40FEA" w:rsidP="00D40FEA">
      <w:pPr>
        <w:pStyle w:val="Nivel2SM"/>
        <w:keepNext/>
      </w:pPr>
      <w:r>
        <w:t xml:space="preserve">Podría invertir todo en la oportunidad de inversión no líquida, en cuyo caso su consumo será igual a </w:t>
      </w:r>
      <m:oMath>
        <m:sSub>
          <m:sSubPr>
            <m:ctrlPr>
              <w:rPr>
                <w:rFonts w:ascii="Cambria Math" w:hAnsi="Cambria Math"/>
                <w:i/>
              </w:rPr>
            </m:ctrlPr>
          </m:sSubPr>
          <m:e>
            <m:r>
              <m:rPr>
                <m:nor/>
              </m:rPr>
              <w:rPr>
                <w:i/>
              </w:rPr>
              <m:t>r</m:t>
            </m:r>
          </m:e>
          <m:sub>
            <m:r>
              <m:rPr>
                <m:nor/>
              </m:rPr>
              <w:rPr>
                <w:i/>
              </w:rPr>
              <m:t>1</m:t>
            </m:r>
          </m:sub>
        </m:sSub>
      </m:oMath>
      <w:r>
        <w:rPr>
          <w:rFonts w:eastAsiaTheme="minorEastAsia"/>
        </w:rPr>
        <w:t xml:space="preserve"> </w:t>
      </w:r>
      <w:proofErr w:type="spellStart"/>
      <w:r>
        <w:rPr>
          <w:rFonts w:eastAsiaTheme="minorEastAsia"/>
        </w:rPr>
        <w:t>si</w:t>
      </w:r>
      <w:proofErr w:type="spellEnd"/>
      <w:r>
        <w:rPr>
          <w:rFonts w:eastAsiaTheme="minorEastAsia"/>
        </w:rPr>
        <w:t xml:space="preserve"> es de tipo </w:t>
      </w:r>
      <w:r>
        <w:rPr>
          <w:rFonts w:eastAsiaTheme="minorEastAsia"/>
          <w:i/>
          <w:iCs/>
        </w:rPr>
        <w:t>1</w:t>
      </w:r>
      <w:r>
        <w:rPr>
          <w:rFonts w:eastAsiaTheme="minorEastAsia"/>
        </w:rPr>
        <w:t xml:space="preserve"> e igual a </w:t>
      </w:r>
      <m:oMath>
        <m:sSub>
          <m:sSubPr>
            <m:ctrlPr>
              <w:rPr>
                <w:rFonts w:ascii="Cambria Math" w:hAnsi="Cambria Math"/>
                <w:i/>
              </w:rPr>
            </m:ctrlPr>
          </m:sSubPr>
          <m:e>
            <m:r>
              <m:rPr>
                <m:nor/>
              </m:rPr>
              <w:rPr>
                <w:i/>
              </w:rPr>
              <m:t>r</m:t>
            </m:r>
          </m:e>
          <m:sub>
            <m:r>
              <m:rPr>
                <m:nor/>
              </m:rPr>
              <w:rPr>
                <w:i/>
              </w:rPr>
              <m:t>2</m:t>
            </m:r>
          </m:sub>
        </m:sSub>
      </m:oMath>
      <w:r>
        <w:rPr>
          <w:rFonts w:eastAsiaTheme="minorEastAsia"/>
        </w:rPr>
        <w:t xml:space="preserve"> </w:t>
      </w:r>
      <w:proofErr w:type="spellStart"/>
      <w:r>
        <w:rPr>
          <w:rFonts w:eastAsiaTheme="minorEastAsia"/>
        </w:rPr>
        <w:t>si</w:t>
      </w:r>
      <w:proofErr w:type="spellEnd"/>
      <w:r>
        <w:rPr>
          <w:rFonts w:eastAsiaTheme="minorEastAsia"/>
        </w:rPr>
        <w:t xml:space="preserve"> es de tipo </w:t>
      </w:r>
      <w:r>
        <w:rPr>
          <w:rFonts w:eastAsiaTheme="minorEastAsia"/>
          <w:i/>
          <w:iCs/>
        </w:rPr>
        <w:t>2</w:t>
      </w:r>
      <w:r>
        <w:rPr>
          <w:rFonts w:eastAsiaTheme="minorEastAsia"/>
        </w:rPr>
        <w:t>.</w:t>
      </w:r>
    </w:p>
    <w:p w14:paraId="28779284" w14:textId="77777777" w:rsidR="00D40FEA" w:rsidRDefault="00D40FEA" w:rsidP="00D40FEA">
      <w:pPr>
        <w:pStyle w:val="Nivel2SM"/>
      </w:pPr>
      <w:r>
        <w:t>Podría adoptar cualquier posición intermedia.</w:t>
      </w:r>
    </w:p>
    <w:p w14:paraId="0E3C8F06" w14:textId="77777777" w:rsidR="00D40FEA" w:rsidRDefault="00D40FEA" w:rsidP="00D40FEA">
      <w:pPr>
        <w:pStyle w:val="Nivel1SM"/>
        <w:keepNext/>
        <w:spacing w:after="0"/>
      </w:pPr>
      <w:r>
        <w:t>Es decir, dada la rentabilidad de los activos, la asignación de consumo será:</w:t>
      </w:r>
    </w:p>
    <w:p w14:paraId="44478E14" w14:textId="77777777" w:rsidR="00D40FEA" w:rsidRDefault="00000000" w:rsidP="00D40FEA">
      <w:pPr>
        <w:pStyle w:val="Nivel2SM"/>
      </w:pPr>
      <m:oMath>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2</m:t>
            </m:r>
          </m:sub>
        </m:sSub>
        <m:r>
          <w:rPr>
            <w:rFonts w:ascii="Cambria Math" w:hAnsi="Cambria Math"/>
          </w:rPr>
          <m:t>=</m:t>
        </m:r>
        <m:r>
          <m:rPr>
            <m:nor/>
          </m:rPr>
          <w:rPr>
            <w:i/>
          </w:rPr>
          <m:t>1</m:t>
        </m:r>
      </m:oMath>
      <w:r w:rsidR="00D40FEA">
        <w:t xml:space="preserve"> si mantienen todos sus ahorros en efectivo; y</w:t>
      </w:r>
    </w:p>
    <w:p w14:paraId="08227840" w14:textId="77777777" w:rsidR="00D40FEA" w:rsidRPr="009E69D5" w:rsidRDefault="00000000" w:rsidP="00D40FEA">
      <w:pPr>
        <w:pStyle w:val="Nivel2SM"/>
      </w:pPr>
      <m:oMath>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r</m:t>
            </m:r>
          </m:e>
          <m:sub>
            <m:r>
              <m:rPr>
                <m:nor/>
              </m:rPr>
              <w:rPr>
                <w:i/>
              </w:rPr>
              <m:t>1</m:t>
            </m:r>
          </m:sub>
        </m:sSub>
      </m:oMath>
      <w:r w:rsidR="00D40FEA">
        <w:t xml:space="preserve"> y </w:t>
      </w:r>
      <m:oMath>
        <m:sSub>
          <m:sSubPr>
            <m:ctrlPr>
              <w:rPr>
                <w:rFonts w:ascii="Cambria Math" w:hAnsi="Cambria Math"/>
                <w:i/>
              </w:rPr>
            </m:ctrlPr>
          </m:sSubPr>
          <m:e>
            <m:r>
              <m:rPr>
                <m:nor/>
              </m:rPr>
              <w:rPr>
                <w:i/>
              </w:rPr>
              <m:t>c</m:t>
            </m:r>
          </m:e>
          <m:sub>
            <m:r>
              <m:rPr>
                <m:nor/>
              </m:rPr>
              <w:rPr>
                <w:i/>
              </w:rPr>
              <m:t>2</m:t>
            </m:r>
          </m:sub>
        </m:sSub>
        <m:r>
          <w:rPr>
            <w:rFonts w:ascii="Cambria Math" w:hAnsi="Cambria Math"/>
          </w:rPr>
          <m:t>=</m:t>
        </m:r>
        <m:sSub>
          <m:sSubPr>
            <m:ctrlPr>
              <w:rPr>
                <w:rFonts w:ascii="Cambria Math" w:hAnsi="Cambria Math"/>
                <w:i/>
              </w:rPr>
            </m:ctrlPr>
          </m:sSubPr>
          <m:e>
            <m:r>
              <m:rPr>
                <m:nor/>
              </m:rPr>
              <w:rPr>
                <w:i/>
              </w:rPr>
              <m:t>r</m:t>
            </m:r>
          </m:e>
          <m:sub>
            <m:r>
              <m:rPr>
                <m:nor/>
              </m:rPr>
              <w:rPr>
                <w:i/>
              </w:rPr>
              <m:t>2</m:t>
            </m:r>
          </m:sub>
        </m:sSub>
      </m:oMath>
      <w:r w:rsidR="00D40FEA">
        <w:t xml:space="preserve"> si deciden mantener todos sus ahorros en la inversión no líquida.</w:t>
      </w:r>
    </w:p>
    <w:p w14:paraId="2D6BE0B4" w14:textId="77777777" w:rsidR="00D40FEA" w:rsidRPr="00ED42D9" w:rsidRDefault="00D40FEA" w:rsidP="00D40FEA">
      <w:pPr>
        <w:pStyle w:val="Nivel1SM"/>
        <w:keepNext/>
        <w:spacing w:after="0"/>
      </w:pPr>
      <w:r>
        <w:t xml:space="preserve">Esto queda resumido en la siguiente gráfica, donde la línea morada refleja la restricción presupuestaria </w:t>
      </w:r>
      <w:r w:rsidRPr="00B56D7E">
        <w:rPr>
          <w:sz w:val="19"/>
          <w:szCs w:val="19"/>
        </w:rPr>
        <w:t>(i.e. el continuo de posibilidades a disposición del hogar)</w:t>
      </w:r>
      <w:r>
        <w:t xml:space="preserve"> y la curva verde representa la curva de indiferencia del hogar </w:t>
      </w:r>
      <w:r w:rsidRPr="00B56D7E">
        <w:rPr>
          <w:sz w:val="19"/>
          <w:szCs w:val="19"/>
        </w:rPr>
        <w:t>(que al ser averso al riesgo es convexa con respecto al origen de coordenadas)</w:t>
      </w:r>
      <w:r>
        <w:t>:</w:t>
      </w:r>
    </w:p>
    <w:p w14:paraId="1E982EBC" w14:textId="34B6DB04" w:rsidR="00D40FEA" w:rsidRDefault="00D40FEA" w:rsidP="00D40FEA">
      <w:pPr>
        <w:pStyle w:val="Ttuloimagen"/>
        <w:rPr>
          <w:i/>
          <w:iCs/>
          <w:smallCaps w:val="0"/>
        </w:rPr>
      </w:pPr>
      <w:r>
        <w:t>Imagen </w:t>
      </w:r>
      <w:r>
        <w:fldChar w:fldCharType="begin"/>
      </w:r>
      <w:r>
        <w:instrText xml:space="preserve"> SEQ Ilustración \* ARABIC </w:instrText>
      </w:r>
      <w:r>
        <w:fldChar w:fldCharType="separate"/>
      </w:r>
      <w:r w:rsidR="002E338F">
        <w:t>12</w:t>
      </w:r>
      <w:r>
        <w:fldChar w:fldCharType="end"/>
      </w:r>
      <w:r>
        <w:rPr>
          <w:smallCaps w:val="0"/>
        </w:rPr>
        <w:t xml:space="preserve">.– </w:t>
      </w:r>
      <w:r>
        <w:rPr>
          <w:i/>
          <w:iCs/>
          <w:smallCaps w:val="0"/>
        </w:rPr>
        <w:t>Asignación de consumo en autarquía</w:t>
      </w:r>
    </w:p>
    <w:p w14:paraId="4F45B7DD" w14:textId="77777777" w:rsidR="00D40FEA" w:rsidRDefault="00D40FEA" w:rsidP="00D40FEA">
      <w:pPr>
        <w:pStyle w:val="Imagen"/>
      </w:pPr>
      <w:r>
        <w:drawing>
          <wp:inline distT="0" distB="0" distL="0" distR="0" wp14:anchorId="7C883BFB" wp14:editId="1171F96F">
            <wp:extent cx="3840000" cy="2160000"/>
            <wp:effectExtent l="0" t="0" r="8255" b="0"/>
            <wp:docPr id="137198539"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8539" name="Imagen 1" descr="Gráfico&#10;&#10;Descripción generada automáticamente"/>
                    <pic:cNvPicPr/>
                  </pic:nvPicPr>
                  <pic:blipFill>
                    <a:blip r:embed="rId51"/>
                    <a:stretch>
                      <a:fillRect/>
                    </a:stretch>
                  </pic:blipFill>
                  <pic:spPr>
                    <a:xfrm>
                      <a:off x="0" y="0"/>
                      <a:ext cx="3840000" cy="2160000"/>
                    </a:xfrm>
                    <a:prstGeom prst="rect">
                      <a:avLst/>
                    </a:prstGeom>
                  </pic:spPr>
                </pic:pic>
              </a:graphicData>
            </a:graphic>
          </wp:inline>
        </w:drawing>
      </w:r>
    </w:p>
    <w:p w14:paraId="40AB83C2" w14:textId="416AC179" w:rsidR="00D40FEA" w:rsidRDefault="00D40FEA" w:rsidP="00D40FEA">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52" w:history="1">
        <w:r w:rsidRPr="0096192B">
          <w:rPr>
            <w:rStyle w:val="Hipervnculo"/>
            <w:i w:val="0"/>
            <w:iCs/>
            <w:spacing w:val="-4"/>
          </w:rPr>
          <w:t>https://www.fundacionareces.es/fundacionareces/es/actividades/premios-nobel-de-economia-2022-crisis-financieras-y-el-papel-de-los-bancos.html</w:t>
        </w:r>
      </w:hyperlink>
    </w:p>
    <w:p w14:paraId="0EEA8797" w14:textId="77777777" w:rsidR="00D40FEA" w:rsidRPr="00B56D7E" w:rsidRDefault="00D40FEA" w:rsidP="00D40FEA">
      <w:pPr>
        <w:pStyle w:val="Nivel1SM"/>
      </w:pPr>
      <w:r>
        <w:t xml:space="preserve">Hasta aquí, sin la introducción de un banco ni de mercados financieros, los hogares decidirán que cantidad desean invertir en </w:t>
      </w:r>
      <m:oMath>
        <m:r>
          <m:rPr>
            <m:nor/>
          </m:rPr>
          <w:rPr>
            <w:i/>
          </w:rPr>
          <m:t>T</m:t>
        </m:r>
        <m:r>
          <w:rPr>
            <w:rFonts w:ascii="Cambria Math"/>
          </w:rPr>
          <m:t>=</m:t>
        </m:r>
        <m:r>
          <m:rPr>
            <m:nor/>
          </m:rPr>
          <w:rPr>
            <w:i/>
          </w:rPr>
          <m:t>0</m:t>
        </m:r>
      </m:oMath>
      <w:r>
        <w:t xml:space="preserve"> dependiendo del valor de </w:t>
      </w:r>
      <m:oMath>
        <m:sSub>
          <m:sSubPr>
            <m:ctrlPr>
              <w:rPr>
                <w:rFonts w:ascii="Cambria Math" w:hAnsi="Cambria Math"/>
                <w:i/>
              </w:rPr>
            </m:ctrlPr>
          </m:sSubPr>
          <m:e>
            <m:r>
              <m:rPr>
                <m:nor/>
              </m:rPr>
              <w:rPr>
                <w:i/>
              </w:rPr>
              <m:t>r</m:t>
            </m:r>
          </m:e>
          <m:sub>
            <m:r>
              <m:rPr>
                <m:nor/>
              </m:rPr>
              <w:rPr>
                <w:i/>
              </w:rPr>
              <m:t>1</m:t>
            </m:r>
          </m:sub>
        </m:sSub>
      </m:oMath>
      <w:r>
        <w:t xml:space="preserve"> y </w:t>
      </w:r>
      <m:oMath>
        <m:sSub>
          <m:sSubPr>
            <m:ctrlPr>
              <w:rPr>
                <w:rFonts w:ascii="Cambria Math" w:hAnsi="Cambria Math"/>
                <w:i/>
              </w:rPr>
            </m:ctrlPr>
          </m:sSubPr>
          <m:e>
            <m:r>
              <m:rPr>
                <m:nor/>
              </m:rPr>
              <w:rPr>
                <w:i/>
              </w:rPr>
              <m:t>r</m:t>
            </m:r>
          </m:e>
          <m:sub>
            <m:r>
              <m:rPr>
                <m:nor/>
              </m:rPr>
              <w:rPr>
                <w:i/>
              </w:rPr>
              <m:t>2</m:t>
            </m:r>
          </m:sub>
        </m:sSub>
      </m:oMath>
      <w:r>
        <w:t xml:space="preserve"> (y todos decidirán lo mismo, pues son idénticos </w:t>
      </w:r>
      <w:r>
        <w:rPr>
          <w:i/>
          <w:iCs/>
        </w:rPr>
        <w:t>ex ante</w:t>
      </w:r>
      <w:r>
        <w:t>).</w:t>
      </w:r>
    </w:p>
    <w:p w14:paraId="566064BA" w14:textId="617B564E" w:rsidR="00D40FEA" w:rsidRPr="00D40FEA" w:rsidRDefault="00D40FEA">
      <w:pPr>
        <w:pStyle w:val="Prrafodelista"/>
        <w:keepNext/>
        <w:numPr>
          <w:ilvl w:val="0"/>
          <w:numId w:val="19"/>
        </w:numPr>
        <w:spacing w:before="20" w:after="0"/>
        <w:ind w:left="1560" w:hanging="284"/>
        <w:rPr>
          <w:i/>
          <w:iCs/>
          <w:spacing w:val="-4"/>
          <w:w w:val="97"/>
          <w:szCs w:val="20"/>
          <w:u w:val="dotted"/>
        </w:rPr>
      </w:pPr>
      <w:r w:rsidRPr="00D40FEA">
        <w:rPr>
          <w:i/>
          <w:iCs/>
          <w:color w:val="240F33"/>
          <w:spacing w:val="-4"/>
          <w:w w:val="97"/>
          <w:u w:val="dotted"/>
        </w:rPr>
        <w:lastRenderedPageBreak/>
        <w:t xml:space="preserve">Existencia de mercados financieros abiertos en </w:t>
      </w:r>
      <m:oMath>
        <m:r>
          <m:rPr>
            <m:nor/>
          </m:rPr>
          <w:rPr>
            <w:i/>
            <w:iCs/>
            <w:color w:val="240F33"/>
            <w:spacing w:val="-4"/>
            <w:w w:val="97"/>
            <w:szCs w:val="20"/>
            <w:u w:val="dotted"/>
          </w:rPr>
          <m:t>T</m:t>
        </m:r>
        <m:r>
          <w:rPr>
            <w:rFonts w:ascii="Cambria Math"/>
            <w:color w:val="240F33"/>
            <w:spacing w:val="-4"/>
            <w:w w:val="97"/>
            <w:szCs w:val="20"/>
            <w:u w:val="dotted"/>
          </w:rPr>
          <m:t>=</m:t>
        </m:r>
        <m:r>
          <m:rPr>
            <m:nor/>
          </m:rPr>
          <w:rPr>
            <w:i/>
            <w:iCs/>
            <w:color w:val="240F33"/>
            <w:spacing w:val="-4"/>
            <w:w w:val="97"/>
            <w:szCs w:val="20"/>
            <w:u w:val="dotted"/>
          </w:rPr>
          <m:t>1</m:t>
        </m:r>
      </m:oMath>
    </w:p>
    <w:p w14:paraId="4B05083D" w14:textId="77777777" w:rsidR="00D40FEA" w:rsidRPr="000E5625" w:rsidRDefault="00D40FEA" w:rsidP="00D40FEA">
      <w:pPr>
        <w:pStyle w:val="Nivel1SM"/>
        <w:keepNext/>
        <w:spacing w:before="0" w:after="0"/>
      </w:pPr>
      <w:r>
        <w:t>La existencia de mercados financieros permite a los hogares “ponerse de acuerdo” para invertir una proporción </w:t>
      </w:r>
      <m:oMath>
        <m:r>
          <m:rPr>
            <m:nor/>
          </m:rPr>
          <w:rPr>
            <w:i/>
          </w:rPr>
          <m:t>τ</m:t>
        </m:r>
      </m:oMath>
      <w:r>
        <w:t xml:space="preserve"> en efectivo </w:t>
      </w:r>
      <w:r w:rsidRPr="00093BF3">
        <w:rPr>
          <w:sz w:val="19"/>
          <w:szCs w:val="19"/>
        </w:rPr>
        <w:t xml:space="preserve">(pues sabe que en </w:t>
      </w:r>
      <m:oMath>
        <m:r>
          <m:rPr>
            <m:nor/>
          </m:rPr>
          <w:rPr>
            <w:i/>
            <w:sz w:val="19"/>
            <w:szCs w:val="19"/>
          </w:rPr>
          <m:t>T</m:t>
        </m:r>
        <m:r>
          <w:rPr>
            <w:rFonts w:ascii="Cambria Math"/>
            <w:sz w:val="19"/>
            <w:szCs w:val="19"/>
          </w:rPr>
          <m:t>=</m:t>
        </m:r>
        <m:r>
          <m:rPr>
            <m:nor/>
          </m:rPr>
          <w:rPr>
            <w:i/>
            <w:sz w:val="19"/>
            <w:szCs w:val="19"/>
          </w:rPr>
          <m:t>1</m:t>
        </m:r>
      </m:oMath>
      <w:r w:rsidRPr="00093BF3">
        <w:rPr>
          <w:sz w:val="19"/>
          <w:szCs w:val="19"/>
        </w:rPr>
        <w:t xml:space="preserve"> una proporción </w:t>
      </w:r>
      <m:oMath>
        <m:r>
          <m:rPr>
            <m:nor/>
          </m:rPr>
          <w:rPr>
            <w:i/>
            <w:sz w:val="19"/>
            <w:szCs w:val="19"/>
          </w:rPr>
          <m:t>τ</m:t>
        </m:r>
      </m:oMath>
      <w:r w:rsidRPr="00093BF3">
        <w:rPr>
          <w:sz w:val="19"/>
          <w:szCs w:val="19"/>
        </w:rPr>
        <w:t xml:space="preserve"> demandarán sus ahorros)</w:t>
      </w:r>
      <w:r>
        <w:t xml:space="preserve"> y una proporción </w:t>
      </w:r>
      <m:oMath>
        <m:r>
          <m:rPr>
            <m:nor/>
          </m:rPr>
          <w:rPr>
            <w:i/>
          </w:rPr>
          <m:t>1</m:t>
        </m:r>
        <m:r>
          <w:rPr>
            <w:rFonts w:ascii="Cambria Math" w:hAnsi="Cambria Math"/>
          </w:rPr>
          <m:t>-</m:t>
        </m:r>
        <m:r>
          <m:rPr>
            <m:nor/>
          </m:rPr>
          <w:rPr>
            <w:i/>
          </w:rPr>
          <m:t>τ</m:t>
        </m:r>
      </m:oMath>
      <w:r>
        <w:t xml:space="preserve"> en la inversión </w:t>
      </w:r>
      <w:r w:rsidRPr="00237866">
        <w:rPr>
          <w:bCs/>
        </w:rPr>
        <w:t>no</w:t>
      </w:r>
      <w:r>
        <w:rPr>
          <w:bCs/>
        </w:rPr>
        <w:t xml:space="preserve"> líquida </w:t>
      </w:r>
      <w:r w:rsidRPr="00093BF3">
        <w:rPr>
          <w:sz w:val="19"/>
          <w:szCs w:val="19"/>
        </w:rPr>
        <w:t>(</w:t>
      </w:r>
      <w:r>
        <w:rPr>
          <w:sz w:val="19"/>
          <w:szCs w:val="19"/>
        </w:rPr>
        <w:t>pensando en los hogares de tipo </w:t>
      </w:r>
      <w:r>
        <w:rPr>
          <w:i/>
          <w:iCs/>
          <w:sz w:val="19"/>
          <w:szCs w:val="19"/>
        </w:rPr>
        <w:t>2</w:t>
      </w:r>
      <w:r w:rsidRPr="00093BF3">
        <w:rPr>
          <w:sz w:val="19"/>
          <w:szCs w:val="19"/>
        </w:rPr>
        <w:t>)</w:t>
      </w:r>
      <w:r>
        <w:rPr>
          <w:bCs/>
        </w:rPr>
        <w:t>.</w:t>
      </w:r>
    </w:p>
    <w:p w14:paraId="1B19EFBE" w14:textId="77777777" w:rsidR="00D40FEA" w:rsidRPr="000E5625" w:rsidRDefault="00D40FEA" w:rsidP="00D40FEA">
      <w:pPr>
        <w:pStyle w:val="Nivel2SM"/>
      </w:pPr>
      <w:r>
        <w:t>Una vez llegado</w:t>
      </w:r>
      <w:r w:rsidRPr="000E5625">
        <w:t xml:space="preserve"> el período </w:t>
      </w:r>
      <m:oMath>
        <m:r>
          <m:rPr>
            <m:nor/>
          </m:rPr>
          <w:rPr>
            <w:i/>
          </w:rPr>
          <m:t>T</m:t>
        </m:r>
        <m:r>
          <w:rPr>
            <w:rFonts w:ascii="Cambria Math"/>
          </w:rPr>
          <m:t>=</m:t>
        </m:r>
        <m:r>
          <m:rPr>
            <m:nor/>
          </m:rPr>
          <w:rPr>
            <w:i/>
          </w:rPr>
          <m:t>1</m:t>
        </m:r>
      </m:oMath>
      <w:r>
        <w:rPr>
          <w:rFonts w:eastAsiaTheme="minorEastAsia"/>
        </w:rPr>
        <w:t>, los individuos de tipo 1 tendrán que abandonar su posición en el activo no líquido, pero en lugar de retirar estos fondos y obtener una rentabilidad inferior a 1, podrán vender estos activos a los individuos de tipo </w:t>
      </w:r>
      <w:r w:rsidRPr="000E5625">
        <w:rPr>
          <w:rFonts w:eastAsiaTheme="minorEastAsia"/>
          <w:i/>
          <w:iCs/>
        </w:rPr>
        <w:t>2</w:t>
      </w:r>
      <w:r>
        <w:rPr>
          <w:rFonts w:eastAsiaTheme="minorEastAsia"/>
        </w:rPr>
        <w:t xml:space="preserve"> a cambio de su ahorro en efectivo.</w:t>
      </w:r>
    </w:p>
    <w:p w14:paraId="4D0F0EDC" w14:textId="77777777" w:rsidR="00D40FEA" w:rsidRDefault="00D40FEA" w:rsidP="00D40FEA">
      <w:pPr>
        <w:pStyle w:val="Nivel1SM"/>
        <w:spacing w:before="0"/>
      </w:pPr>
      <w:r>
        <w:t>En términos gráficos, esta posibilidad permite mejorar la utilidad con respecto a la utilidad de autarquía y alcanzar el punto </w:t>
      </w:r>
      <w:r>
        <w:rPr>
          <w:i/>
          <w:iCs/>
        </w:rPr>
        <w:t>M</w:t>
      </w:r>
      <w:r>
        <w:t>, en el que los individuos de tipo </w:t>
      </w:r>
      <w:r w:rsidRPr="006F62FB">
        <w:rPr>
          <w:i/>
          <w:iCs/>
        </w:rPr>
        <w:t>1</w:t>
      </w:r>
      <w:r>
        <w:t xml:space="preserve"> obtienen 1 u.m. en el período </w:t>
      </w:r>
      <m:oMath>
        <m:r>
          <m:rPr>
            <m:nor/>
          </m:rPr>
          <w:rPr>
            <w:i/>
          </w:rPr>
          <m:t>T</m:t>
        </m:r>
        <m:r>
          <w:rPr>
            <w:rFonts w:ascii="Cambria Math"/>
          </w:rPr>
          <m:t>=</m:t>
        </m:r>
        <m:r>
          <m:rPr>
            <m:nor/>
          </m:rPr>
          <w:rPr>
            <w:i/>
          </w:rPr>
          <m:t>1</m:t>
        </m:r>
      </m:oMath>
      <w:r>
        <w:rPr>
          <w:rFonts w:eastAsiaTheme="minorEastAsia"/>
        </w:rPr>
        <w:t xml:space="preserve"> y los individuos de tipo </w:t>
      </w:r>
      <w:r>
        <w:rPr>
          <w:rFonts w:eastAsiaTheme="minorEastAsia"/>
          <w:i/>
          <w:iCs/>
        </w:rPr>
        <w:t>2</w:t>
      </w:r>
      <w:r>
        <w:rPr>
          <w:rFonts w:eastAsiaTheme="minorEastAsia"/>
        </w:rPr>
        <w:t xml:space="preserve"> obtienen </w:t>
      </w:r>
      <m:oMath>
        <m:sSub>
          <m:sSubPr>
            <m:ctrlPr>
              <w:rPr>
                <w:rFonts w:ascii="Cambria Math" w:hAnsi="Cambria Math"/>
                <w:i/>
              </w:rPr>
            </m:ctrlPr>
          </m:sSubPr>
          <m:e>
            <m:r>
              <m:rPr>
                <m:nor/>
              </m:rPr>
              <w:rPr>
                <w:i/>
              </w:rPr>
              <m:t>r</m:t>
            </m:r>
          </m:e>
          <m:sub>
            <m:r>
              <m:rPr>
                <m:nor/>
              </m:rPr>
              <w:rPr>
                <w:i/>
              </w:rPr>
              <m:t>2</m:t>
            </m:r>
          </m:sub>
        </m:sSub>
      </m:oMath>
      <w:r>
        <w:rPr>
          <w:rFonts w:eastAsiaTheme="minorEastAsia"/>
        </w:rPr>
        <w:t xml:space="preserve"> u.m. en </w:t>
      </w:r>
      <m:oMath>
        <m:r>
          <m:rPr>
            <m:nor/>
          </m:rPr>
          <w:rPr>
            <w:i/>
          </w:rPr>
          <m:t>T</m:t>
        </m:r>
        <m:r>
          <w:rPr>
            <w:rFonts w:ascii="Cambria Math"/>
          </w:rPr>
          <m:t>=</m:t>
        </m:r>
        <m:r>
          <m:rPr>
            <m:nor/>
          </m:rPr>
          <w:rPr>
            <w:i/>
          </w:rPr>
          <m:t>2</m:t>
        </m:r>
      </m:oMath>
      <w:r>
        <w:t>:</w:t>
      </w:r>
    </w:p>
    <w:p w14:paraId="55B9E8A9" w14:textId="1D2AFA9B" w:rsidR="00D40FEA" w:rsidRDefault="00D40FEA" w:rsidP="00D40FEA">
      <w:pPr>
        <w:pStyle w:val="Ttuloimagen"/>
        <w:rPr>
          <w:i/>
          <w:iCs/>
          <w:smallCaps w:val="0"/>
        </w:rPr>
      </w:pPr>
      <w:r>
        <w:t>Imagen </w:t>
      </w:r>
      <w:r>
        <w:fldChar w:fldCharType="begin"/>
      </w:r>
      <w:r>
        <w:instrText xml:space="preserve"> SEQ Ilustración \* ARABIC </w:instrText>
      </w:r>
      <w:r>
        <w:fldChar w:fldCharType="separate"/>
      </w:r>
      <w:r w:rsidR="002E338F">
        <w:t>13</w:t>
      </w:r>
      <w:r>
        <w:fldChar w:fldCharType="end"/>
      </w:r>
      <w:r>
        <w:rPr>
          <w:smallCaps w:val="0"/>
        </w:rPr>
        <w:t xml:space="preserve">.– </w:t>
      </w:r>
      <w:r>
        <w:rPr>
          <w:i/>
          <w:iCs/>
          <w:smallCaps w:val="0"/>
        </w:rPr>
        <w:t>Asignación de tras la introducción de mercados financieros</w:t>
      </w:r>
    </w:p>
    <w:p w14:paraId="581F73F5" w14:textId="77777777" w:rsidR="00D40FEA" w:rsidRDefault="00D40FEA" w:rsidP="00D40FEA">
      <w:pPr>
        <w:pStyle w:val="Imagen"/>
      </w:pPr>
      <w:r>
        <w:drawing>
          <wp:inline distT="0" distB="0" distL="0" distR="0" wp14:anchorId="5C7AC481" wp14:editId="6CD17701">
            <wp:extent cx="3839999" cy="2159999"/>
            <wp:effectExtent l="0" t="0" r="8255" b="0"/>
            <wp:docPr id="1584461082" name="Imagen 158446108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61082" name="Imagen 1584461082" descr="Gráfico, Gráfico radial&#10;&#10;Descripción generada automáticamente"/>
                    <pic:cNvPicPr/>
                  </pic:nvPicPr>
                  <pic:blipFill>
                    <a:blip r:embed="rId53"/>
                    <a:stretch>
                      <a:fillRect/>
                    </a:stretch>
                  </pic:blipFill>
                  <pic:spPr>
                    <a:xfrm>
                      <a:off x="0" y="0"/>
                      <a:ext cx="3839999" cy="2159999"/>
                    </a:xfrm>
                    <a:prstGeom prst="rect">
                      <a:avLst/>
                    </a:prstGeom>
                  </pic:spPr>
                </pic:pic>
              </a:graphicData>
            </a:graphic>
          </wp:inline>
        </w:drawing>
      </w:r>
    </w:p>
    <w:p w14:paraId="49B072AB" w14:textId="32A2C857" w:rsidR="00D40FEA" w:rsidRDefault="00D40FEA" w:rsidP="00D40FEA">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54" w:history="1">
        <w:r w:rsidRPr="0096192B">
          <w:rPr>
            <w:rStyle w:val="Hipervnculo"/>
            <w:i w:val="0"/>
            <w:iCs/>
            <w:spacing w:val="-4"/>
          </w:rPr>
          <w:t>https://www.fundacionareces.es/fundacionareces/es/actividades/premios-nobel-de-economia-2022-crisis-financieras-y-el-papel-de-los-bancos.html</w:t>
        </w:r>
      </w:hyperlink>
    </w:p>
    <w:p w14:paraId="112BDCD8" w14:textId="77777777" w:rsidR="00D40FEA" w:rsidRPr="00B24EEF" w:rsidRDefault="00D40FEA" w:rsidP="00D40FEA">
      <w:pPr>
        <w:pStyle w:val="Nivel1SM"/>
      </w:pPr>
      <w:r>
        <w:t>Sin embargo, veremos que esta situación no es óptima.</w:t>
      </w:r>
    </w:p>
    <w:p w14:paraId="5AC41253" w14:textId="513DABFD" w:rsidR="00D40FEA" w:rsidRPr="00D40FEA" w:rsidRDefault="00D40FEA">
      <w:pPr>
        <w:pStyle w:val="Prrafodelista"/>
        <w:keepNext/>
        <w:numPr>
          <w:ilvl w:val="0"/>
          <w:numId w:val="19"/>
        </w:numPr>
        <w:spacing w:before="20" w:after="0"/>
        <w:ind w:left="1560" w:hanging="284"/>
        <w:rPr>
          <w:i/>
          <w:iCs/>
          <w:color w:val="240F33"/>
          <w:spacing w:val="-4"/>
          <w:w w:val="97"/>
          <w:u w:val="dotted"/>
        </w:rPr>
      </w:pPr>
      <w:r w:rsidRPr="00D40FEA">
        <w:rPr>
          <w:i/>
          <w:iCs/>
          <w:color w:val="240F33"/>
          <w:spacing w:val="-4"/>
          <w:w w:val="97"/>
          <w:u w:val="dotted"/>
        </w:rPr>
        <w:t>Existencia de un planificador social</w:t>
      </w:r>
    </w:p>
    <w:p w14:paraId="2EFFDB69" w14:textId="77777777" w:rsidR="00D40FEA" w:rsidRDefault="00D40FEA" w:rsidP="00D40FEA">
      <w:pPr>
        <w:pStyle w:val="Nivel1SM"/>
        <w:keepNext/>
        <w:keepLines/>
        <w:spacing w:before="0" w:after="0"/>
      </w:pPr>
      <w:r>
        <w:t>Para ello, introduzcamos la existencia de un planificador social para ver cuál sería la asignación óptima. En particular, supondremos que el planificador social decide recoger los ahorros de todos los hogares e invertir con el objetivo de maximizar el bienestar social. Conociendo la proporción de individuos de cada tipo y las preferencias de los hogares dispone de las siguientes opciones:</w:t>
      </w:r>
    </w:p>
    <w:p w14:paraId="28911C25" w14:textId="77777777" w:rsidR="00D40FEA" w:rsidRPr="00093BF3" w:rsidRDefault="00D40FEA" w:rsidP="00D40FEA">
      <w:pPr>
        <w:pStyle w:val="Nivel2SM"/>
      </w:pPr>
      <w:r>
        <w:t>Puede obtener la asignación descentralizada con existencia de mercados financieros si invierte una proporción </w:t>
      </w:r>
      <m:oMath>
        <m:r>
          <m:rPr>
            <m:nor/>
          </m:rPr>
          <w:rPr>
            <w:i/>
          </w:rPr>
          <m:t>τ</m:t>
        </m:r>
      </m:oMath>
      <w:r>
        <w:t xml:space="preserve"> en efectivo </w:t>
      </w:r>
      <w:r w:rsidRPr="00093BF3">
        <w:rPr>
          <w:sz w:val="19"/>
          <w:szCs w:val="19"/>
        </w:rPr>
        <w:t xml:space="preserve">(pues sabe que en </w:t>
      </w:r>
      <m:oMath>
        <m:r>
          <m:rPr>
            <m:nor/>
          </m:rPr>
          <w:rPr>
            <w:i/>
            <w:sz w:val="19"/>
            <w:szCs w:val="19"/>
          </w:rPr>
          <m:t>T</m:t>
        </m:r>
        <m:r>
          <w:rPr>
            <w:rFonts w:ascii="Cambria Math"/>
            <w:sz w:val="19"/>
            <w:szCs w:val="19"/>
          </w:rPr>
          <m:t>=</m:t>
        </m:r>
        <m:r>
          <m:rPr>
            <m:nor/>
          </m:rPr>
          <w:rPr>
            <w:i/>
            <w:sz w:val="19"/>
            <w:szCs w:val="19"/>
          </w:rPr>
          <m:t>1</m:t>
        </m:r>
      </m:oMath>
      <w:r w:rsidRPr="00093BF3">
        <w:rPr>
          <w:sz w:val="19"/>
          <w:szCs w:val="19"/>
        </w:rPr>
        <w:t xml:space="preserve"> una proporción </w:t>
      </w:r>
      <m:oMath>
        <m:r>
          <m:rPr>
            <m:nor/>
          </m:rPr>
          <w:rPr>
            <w:i/>
            <w:sz w:val="19"/>
            <w:szCs w:val="19"/>
          </w:rPr>
          <m:t>τ</m:t>
        </m:r>
      </m:oMath>
      <w:r w:rsidRPr="00093BF3">
        <w:rPr>
          <w:sz w:val="19"/>
          <w:szCs w:val="19"/>
        </w:rPr>
        <w:t xml:space="preserve"> demandarán sus ahorros)</w:t>
      </w:r>
      <w:r>
        <w:t xml:space="preserve"> y una proporción </w:t>
      </w:r>
      <m:oMath>
        <m:r>
          <m:rPr>
            <m:nor/>
          </m:rPr>
          <w:rPr>
            <w:i/>
          </w:rPr>
          <m:t>1</m:t>
        </m:r>
        <m:r>
          <w:rPr>
            <w:rFonts w:ascii="Cambria Math" w:hAnsi="Cambria Math"/>
          </w:rPr>
          <m:t>-</m:t>
        </m:r>
        <m:r>
          <m:rPr>
            <m:nor/>
          </m:rPr>
          <w:rPr>
            <w:i/>
          </w:rPr>
          <m:t>τ</m:t>
        </m:r>
      </m:oMath>
      <w:r>
        <w:t xml:space="preserve"> en la inversión </w:t>
      </w:r>
      <w:r w:rsidRPr="00237866">
        <w:rPr>
          <w:bCs/>
        </w:rPr>
        <w:t>no</w:t>
      </w:r>
      <w:r>
        <w:rPr>
          <w:bCs/>
        </w:rPr>
        <w:t xml:space="preserve"> líquida </w:t>
      </w:r>
      <w:r w:rsidRPr="00093BF3">
        <w:rPr>
          <w:sz w:val="19"/>
          <w:szCs w:val="19"/>
        </w:rPr>
        <w:t>(</w:t>
      </w:r>
      <w:r>
        <w:rPr>
          <w:sz w:val="19"/>
          <w:szCs w:val="19"/>
        </w:rPr>
        <w:t>pensando en los hogares de tipo </w:t>
      </w:r>
      <w:r>
        <w:rPr>
          <w:i/>
          <w:iCs/>
          <w:sz w:val="19"/>
          <w:szCs w:val="19"/>
        </w:rPr>
        <w:t>2</w:t>
      </w:r>
      <w:r w:rsidRPr="00093BF3">
        <w:rPr>
          <w:sz w:val="19"/>
          <w:szCs w:val="19"/>
        </w:rPr>
        <w:t>)</w:t>
      </w:r>
      <w:r>
        <w:rPr>
          <w:bCs/>
        </w:rPr>
        <w:t>.</w:t>
      </w:r>
    </w:p>
    <w:p w14:paraId="61F1787A" w14:textId="77777777" w:rsidR="00D40FEA" w:rsidRDefault="00D40FEA" w:rsidP="00D40FEA">
      <w:pPr>
        <w:pStyle w:val="Nivel2SM"/>
      </w:pPr>
      <w:r>
        <w:t>Pero, si conoce las preferencias de los hogares, al ser éstos aversos al riesgo, podrían preferir una asignación en la que las diferencias entre los pagos a los agentes del tipo </w:t>
      </w:r>
      <w:r w:rsidRPr="00993E1A">
        <w:rPr>
          <w:i/>
          <w:iCs/>
        </w:rPr>
        <w:t>1</w:t>
      </w:r>
      <w:r>
        <w:t xml:space="preserve"> y los pagos a los agentes del tipo </w:t>
      </w:r>
      <w:r w:rsidRPr="00993E1A">
        <w:rPr>
          <w:i/>
          <w:iCs/>
        </w:rPr>
        <w:t>2</w:t>
      </w:r>
      <w:r>
        <w:t xml:space="preserve"> sean más reducidas (i.e. una asignación más cercana a la línea de certeza).</w:t>
      </w:r>
    </w:p>
    <w:p w14:paraId="07A7D3A4" w14:textId="77777777" w:rsidR="00D40FEA" w:rsidRDefault="00D40FEA" w:rsidP="00D40FEA">
      <w:pPr>
        <w:pStyle w:val="Nivel1SM"/>
        <w:keepNext/>
        <w:spacing w:after="0"/>
      </w:pPr>
      <w:r>
        <w:lastRenderedPageBreak/>
        <w:t>Por tanto, en términos gráficos, la solución se encontrará en la tangencia entre la restricción presupuestaria del planificador social y la curva de indiferencia de los hogares:</w:t>
      </w:r>
    </w:p>
    <w:p w14:paraId="4C6EDC98" w14:textId="008DA654" w:rsidR="00D40FEA" w:rsidRDefault="00D40FEA" w:rsidP="00D40FEA">
      <w:pPr>
        <w:pStyle w:val="Ttuloimagen"/>
        <w:rPr>
          <w:i/>
          <w:iCs/>
          <w:smallCaps w:val="0"/>
        </w:rPr>
      </w:pPr>
      <w:r>
        <w:t>Imagen </w:t>
      </w:r>
      <w:r>
        <w:fldChar w:fldCharType="begin"/>
      </w:r>
      <w:r>
        <w:instrText xml:space="preserve"> SEQ Ilustración \* ARABIC </w:instrText>
      </w:r>
      <w:r>
        <w:fldChar w:fldCharType="separate"/>
      </w:r>
      <w:r w:rsidR="002E338F">
        <w:t>14</w:t>
      </w:r>
      <w:r>
        <w:fldChar w:fldCharType="end"/>
      </w:r>
      <w:r>
        <w:rPr>
          <w:smallCaps w:val="0"/>
        </w:rPr>
        <w:t xml:space="preserve">.– </w:t>
      </w:r>
      <w:r>
        <w:rPr>
          <w:i/>
          <w:iCs/>
          <w:smallCaps w:val="0"/>
        </w:rPr>
        <w:t>Asignación de consumo por parte de un planificador social</w:t>
      </w:r>
    </w:p>
    <w:p w14:paraId="54119EE4" w14:textId="77777777" w:rsidR="00D40FEA" w:rsidRDefault="00D40FEA" w:rsidP="00D40FEA">
      <w:pPr>
        <w:pStyle w:val="Imagen"/>
      </w:pPr>
      <w:r>
        <w:drawing>
          <wp:inline distT="0" distB="0" distL="0" distR="0" wp14:anchorId="3ACF6204" wp14:editId="40F008A6">
            <wp:extent cx="3839999" cy="2159999"/>
            <wp:effectExtent l="0" t="0" r="8255" b="0"/>
            <wp:docPr id="29657354" name="Imagen 29657354"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7354" name="Imagen 29657354" descr="Gráfico, Gráfico radial&#10;&#10;Descripción generada automáticamente"/>
                    <pic:cNvPicPr/>
                  </pic:nvPicPr>
                  <pic:blipFill>
                    <a:blip r:embed="rId55"/>
                    <a:stretch>
                      <a:fillRect/>
                    </a:stretch>
                  </pic:blipFill>
                  <pic:spPr>
                    <a:xfrm>
                      <a:off x="0" y="0"/>
                      <a:ext cx="3839999" cy="2159999"/>
                    </a:xfrm>
                    <a:prstGeom prst="rect">
                      <a:avLst/>
                    </a:prstGeom>
                  </pic:spPr>
                </pic:pic>
              </a:graphicData>
            </a:graphic>
          </wp:inline>
        </w:drawing>
      </w:r>
    </w:p>
    <w:p w14:paraId="43096B57" w14:textId="1FD7535C" w:rsidR="00D40FEA" w:rsidRDefault="00D40FEA" w:rsidP="00D40FEA">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56" w:history="1">
        <w:r w:rsidRPr="0096192B">
          <w:rPr>
            <w:rStyle w:val="Hipervnculo"/>
            <w:i w:val="0"/>
            <w:iCs/>
            <w:spacing w:val="-4"/>
          </w:rPr>
          <w:t>https://www.fundacionareces.es/fundacionareces/es/actividades/premios-nobel-de-economia-2022-crisis-financieras-y-el-papel-de-los-bancos.html</w:t>
        </w:r>
      </w:hyperlink>
    </w:p>
    <w:p w14:paraId="5B67D2A1" w14:textId="77777777" w:rsidR="00D40FEA" w:rsidRDefault="00D40FEA" w:rsidP="00D40FEA">
      <w:pPr>
        <w:pStyle w:val="Nivel1SM"/>
        <w:keepNext/>
        <w:spacing w:after="0"/>
      </w:pPr>
      <w:r>
        <w:t xml:space="preserve">Nótese que la asignación óptima permite un reparto de riesgos y da lugar a una situación preferida a la situación de autarquía, y además, preferida a la situación de equilibrio con mercados financieros en </w:t>
      </w:r>
      <m:oMath>
        <m:r>
          <m:rPr>
            <m:nor/>
          </m:rPr>
          <w:rPr>
            <w:i/>
          </w:rPr>
          <m:t>T</m:t>
        </m:r>
        <m:r>
          <w:rPr>
            <w:rFonts w:ascii="Cambria Math"/>
          </w:rPr>
          <m:t>=</m:t>
        </m:r>
        <m:r>
          <m:rPr>
            <m:nor/>
          </m:rPr>
          <w:rPr>
            <w:i/>
          </w:rPr>
          <m:t>1</m:t>
        </m:r>
      </m:oMath>
      <w:r>
        <w:t>.</w:t>
      </w:r>
    </w:p>
    <w:p w14:paraId="39084527" w14:textId="77777777" w:rsidR="00D40FEA" w:rsidRPr="005931EB" w:rsidRDefault="00D40FEA" w:rsidP="00D40FEA">
      <w:pPr>
        <w:pStyle w:val="Nivel2SM"/>
        <w:keepNext/>
        <w:spacing w:after="0"/>
      </w:pPr>
      <w:r>
        <w:t xml:space="preserve">Esto último es así, debido a que la apertura de un mercado en </w:t>
      </w:r>
      <m:oMath>
        <m:r>
          <m:rPr>
            <m:nor/>
          </m:rPr>
          <w:rPr>
            <w:i/>
          </w:rPr>
          <m:t>T</m:t>
        </m:r>
        <m:r>
          <w:rPr>
            <w:rFonts w:ascii="Cambria Math"/>
          </w:rPr>
          <m:t>=</m:t>
        </m:r>
        <m:r>
          <m:rPr>
            <m:nor/>
          </m:rPr>
          <w:rPr>
            <w:i/>
          </w:rPr>
          <m:t>1</m:t>
        </m:r>
      </m:oMath>
      <w:r>
        <w:rPr>
          <w:rFonts w:eastAsiaTheme="minorEastAsia"/>
        </w:rPr>
        <w:t xml:space="preserve"> (tras la resolución de la incertidumbre) no permite el reparto de riesgos en </w:t>
      </w:r>
      <m:oMath>
        <m:r>
          <m:rPr>
            <m:nor/>
          </m:rPr>
          <w:rPr>
            <w:i/>
          </w:rPr>
          <m:t>T</m:t>
        </m:r>
        <m:r>
          <w:rPr>
            <w:rFonts w:ascii="Cambria Math"/>
          </w:rPr>
          <m:t>=</m:t>
        </m:r>
        <m:r>
          <m:rPr>
            <m:nor/>
          </m:rPr>
          <w:rPr>
            <w:i/>
          </w:rPr>
          <m:t>0</m:t>
        </m:r>
      </m:oMath>
      <w:r>
        <w:rPr>
          <w:rFonts w:eastAsiaTheme="minorEastAsia"/>
        </w:rPr>
        <w:t>.</w:t>
      </w:r>
    </w:p>
    <w:p w14:paraId="0D51BAC5" w14:textId="77777777" w:rsidR="00D40FEA" w:rsidRPr="00B46A21" w:rsidRDefault="00D40FEA" w:rsidP="00D40FEA">
      <w:pPr>
        <w:pStyle w:val="Nivel3SM"/>
        <w:rPr>
          <w:spacing w:val="-3"/>
        </w:rPr>
      </w:pPr>
      <w:r w:rsidRPr="00B46A21">
        <w:rPr>
          <w:spacing w:val="-3"/>
        </w:rPr>
        <w:t xml:space="preserve">Es decir, llegado </w:t>
      </w:r>
      <m:oMath>
        <m:r>
          <m:rPr>
            <m:nor/>
          </m:rPr>
          <w:rPr>
            <w:i/>
            <w:spacing w:val="-3"/>
          </w:rPr>
          <m:t>T</m:t>
        </m:r>
        <m:r>
          <w:rPr>
            <w:rFonts w:ascii="Cambria Math"/>
            <w:spacing w:val="-3"/>
          </w:rPr>
          <m:t>=</m:t>
        </m:r>
        <m:r>
          <m:rPr>
            <m:nor/>
          </m:rPr>
          <w:rPr>
            <w:i/>
            <w:spacing w:val="-3"/>
          </w:rPr>
          <m:t>1</m:t>
        </m:r>
      </m:oMath>
      <w:r w:rsidRPr="00B46A21">
        <w:rPr>
          <w:spacing w:val="-3"/>
        </w:rPr>
        <w:t xml:space="preserve"> los agentes de tipo </w:t>
      </w:r>
      <w:r w:rsidRPr="00B46A21">
        <w:rPr>
          <w:i/>
          <w:iCs/>
          <w:spacing w:val="-3"/>
        </w:rPr>
        <w:t>1</w:t>
      </w:r>
      <w:r w:rsidRPr="00B46A21">
        <w:rPr>
          <w:spacing w:val="-3"/>
        </w:rPr>
        <w:t xml:space="preserve"> no tienen la capacidad de reclamar un reparto más equitativo y, por lo tanto, no se produce una distribución eficiente de los riesgos. En otras palabras, se produce un fallo de mercado asociado a la existencia de </w:t>
      </w:r>
      <w:r w:rsidRPr="00B46A21">
        <w:rPr>
          <w:i/>
          <w:iCs/>
          <w:spacing w:val="-3"/>
        </w:rPr>
        <w:t>mercados incompletos</w:t>
      </w:r>
      <w:r w:rsidRPr="00B46A21">
        <w:rPr>
          <w:spacing w:val="-3"/>
        </w:rPr>
        <w:t>.</w:t>
      </w:r>
    </w:p>
    <w:p w14:paraId="1376C3A1" w14:textId="77777777" w:rsidR="00D40FEA" w:rsidRPr="00AD641D" w:rsidRDefault="00D40FEA" w:rsidP="00D40FEA">
      <w:pPr>
        <w:pStyle w:val="Nivel3SM"/>
      </w:pPr>
      <w:r>
        <w:t>Para resolverlo el planificador observa el tipo de consumidor y realiza una distribución eficiente de los riesgos en función de las preferencias de los individuos.</w:t>
      </w:r>
    </w:p>
    <w:p w14:paraId="4E3BA378" w14:textId="4CEF870F" w:rsidR="00D40FEA" w:rsidRPr="00D40FEA" w:rsidRDefault="00D40FEA">
      <w:pPr>
        <w:pStyle w:val="Prrafodelista"/>
        <w:keepNext/>
        <w:numPr>
          <w:ilvl w:val="0"/>
          <w:numId w:val="19"/>
        </w:numPr>
        <w:spacing w:before="20" w:after="0"/>
        <w:ind w:left="1560" w:hanging="284"/>
        <w:rPr>
          <w:i/>
          <w:iCs/>
          <w:u w:val="dotted"/>
        </w:rPr>
      </w:pPr>
      <w:r w:rsidRPr="00D40FEA">
        <w:rPr>
          <w:i/>
          <w:iCs/>
          <w:color w:val="240F33"/>
          <w:u w:val="dotted"/>
        </w:rPr>
        <w:t>Bancos competitivos. Posibilidad I: Óptimo social</w:t>
      </w:r>
    </w:p>
    <w:p w14:paraId="60FB2455" w14:textId="77777777" w:rsidR="00D40FEA" w:rsidRDefault="00D40FEA" w:rsidP="00D40FEA">
      <w:pPr>
        <w:pStyle w:val="Nivel1SM"/>
        <w:spacing w:before="0"/>
      </w:pPr>
      <w:r>
        <w:t xml:space="preserve">Alcanzado este punto, </w:t>
      </w:r>
      <w:r>
        <w:rPr>
          <w:smallCaps/>
        </w:rPr>
        <w:t>Diamond</w:t>
      </w:r>
      <w:r>
        <w:t xml:space="preserve"> y </w:t>
      </w:r>
      <w:r>
        <w:rPr>
          <w:smallCaps/>
        </w:rPr>
        <w:t>Dybvig</w:t>
      </w:r>
      <w:r>
        <w:t xml:space="preserve"> se plantean la cuestión clave de su artículo: </w:t>
      </w:r>
      <w:r w:rsidRPr="001D726D">
        <w:rPr>
          <w:i/>
          <w:iCs/>
        </w:rPr>
        <w:t>¿</w:t>
      </w:r>
      <w:r>
        <w:rPr>
          <w:i/>
          <w:iCs/>
        </w:rPr>
        <w:t>es posible llegar a la solución óptima de manera descentralizadas</w:t>
      </w:r>
      <w:r w:rsidRPr="001D726D">
        <w:rPr>
          <w:i/>
          <w:iCs/>
        </w:rPr>
        <w:t>?</w:t>
      </w:r>
    </w:p>
    <w:p w14:paraId="1DADC6BE" w14:textId="77777777" w:rsidR="00D40FEA" w:rsidRPr="009E69D5" w:rsidRDefault="00D40FEA" w:rsidP="00D40FEA">
      <w:pPr>
        <w:pStyle w:val="Nivel1SM"/>
        <w:keepNext/>
        <w:spacing w:after="0"/>
      </w:pPr>
      <w:r>
        <w:t xml:space="preserve">Para ello, </w:t>
      </w:r>
      <w:r w:rsidRPr="001D726D">
        <w:t>introducimos</w:t>
      </w:r>
      <w:r>
        <w:t xml:space="preserve"> un </w:t>
      </w:r>
      <w:r w:rsidRPr="009E69D5">
        <w:rPr>
          <w:b/>
          <w:bCs/>
        </w:rPr>
        <w:t>banco</w:t>
      </w:r>
      <w:r>
        <w:t xml:space="preserve"> que va a actuar como aseguradora y que por simplicidad suponemos que no intenta obtener beneficios, sino que tan solo busca mejorar la situación de las familias sin importar si las familias decidieran financiar la inversión de manera independiente.</w:t>
      </w:r>
    </w:p>
    <w:p w14:paraId="2EAE3626" w14:textId="77777777" w:rsidR="00D40FEA" w:rsidRDefault="00D40FEA" w:rsidP="00D40FEA">
      <w:pPr>
        <w:pStyle w:val="Nivel2SM"/>
        <w:keepNext/>
        <w:spacing w:after="0"/>
      </w:pPr>
      <w:r>
        <w:t xml:space="preserve">Para ello se basan en la </w:t>
      </w:r>
      <w:r w:rsidRPr="009E69D5">
        <w:rPr>
          <w:i/>
          <w:iCs/>
        </w:rPr>
        <w:t>ley de grandes números</w:t>
      </w:r>
      <w:r>
        <w:t>:</w:t>
      </w:r>
    </w:p>
    <w:p w14:paraId="6C602273" w14:textId="77777777" w:rsidR="00D40FEA" w:rsidRDefault="00D40FEA" w:rsidP="00D40FEA">
      <w:pPr>
        <w:pStyle w:val="Nivel3SM"/>
      </w:pPr>
      <w:r>
        <w:t>Un hogar individual tiene incertidumbre sobre cuando necesitará consumir, lo que da lugar a una preferencia por la liquidez.</w:t>
      </w:r>
    </w:p>
    <w:p w14:paraId="3F167D07" w14:textId="77777777" w:rsidR="00D40FEA" w:rsidRDefault="00D40FEA" w:rsidP="00D40FEA">
      <w:pPr>
        <w:pStyle w:val="Nivel3SM"/>
      </w:pPr>
      <w:r>
        <w:t>Sin embargo, a nivel agregado no existe incertidumbre.</w:t>
      </w:r>
    </w:p>
    <w:p w14:paraId="5CC75B12" w14:textId="77777777" w:rsidR="00D40FEA" w:rsidRDefault="00D40FEA" w:rsidP="00D40FEA">
      <w:pPr>
        <w:pStyle w:val="Nivel3SM"/>
      </w:pPr>
      <w:r>
        <w:t>El banco puede obtener recursos de muchos hogares explotando este falta de incertidumbre agregada y ofrecer a los hogares un activo que sea más líquido que el proyecto de inversión y que los hogares prefieran tanto frente a la inversión directa como frente al efectivo.</w:t>
      </w:r>
    </w:p>
    <w:p w14:paraId="66FDA019" w14:textId="77777777" w:rsidR="00D40FEA" w:rsidRDefault="00D40FEA" w:rsidP="00D40FEA">
      <w:pPr>
        <w:pStyle w:val="Nivel2SM"/>
        <w:keepNext/>
        <w:spacing w:after="0"/>
      </w:pPr>
      <w:r>
        <w:t>De este modo, este activo ofrecido por el banco dará una rentabilidad tal que:</w:t>
      </w:r>
    </w:p>
    <w:p w14:paraId="2AF3C1C4" w14:textId="77777777" w:rsidR="00D40FEA" w:rsidRPr="009E69D5" w:rsidRDefault="00000000" w:rsidP="00D40FEA">
      <w:pPr>
        <w:pStyle w:val="Nivel3SM"/>
      </w:pPr>
      <m:oMath>
        <m:sSubSup>
          <m:sSubSupPr>
            <m:ctrlPr>
              <w:rPr>
                <w:rFonts w:ascii="Cambria Math" w:hAnsi="Cambria Math"/>
                <w:i/>
              </w:rPr>
            </m:ctrlPr>
          </m:sSubSupPr>
          <m:e>
            <m:r>
              <m:rPr>
                <m:nor/>
              </m:rPr>
              <w:rPr>
                <w:i/>
              </w:rPr>
              <m:t>r</m:t>
            </m:r>
          </m:e>
          <m:sub>
            <m:r>
              <m:rPr>
                <m:nor/>
              </m:rPr>
              <w:rPr>
                <w:i/>
              </w:rPr>
              <m:t>1</m:t>
            </m:r>
          </m:sub>
          <m:sup>
            <m:r>
              <m:rPr>
                <m:nor/>
              </m:rPr>
              <w:rPr>
                <w:i/>
              </w:rPr>
              <m:t>d</m:t>
            </m:r>
          </m:sup>
        </m:sSubSup>
        <m:r>
          <w:rPr>
            <w:rFonts w:ascii="Cambria Math" w:hAnsi="Cambria Math"/>
          </w:rPr>
          <m:t>&gt;</m:t>
        </m:r>
        <m:sSub>
          <m:sSubPr>
            <m:ctrlPr>
              <w:rPr>
                <w:rFonts w:ascii="Cambria Math" w:hAnsi="Cambria Math"/>
                <w:i/>
              </w:rPr>
            </m:ctrlPr>
          </m:sSubPr>
          <m:e>
            <m:r>
              <m:rPr>
                <m:nor/>
              </m:rPr>
              <w:rPr>
                <w:i/>
              </w:rPr>
              <m:t>r</m:t>
            </m:r>
          </m:e>
          <m:sub>
            <m:r>
              <m:rPr>
                <m:nor/>
              </m:rPr>
              <w:rPr>
                <w:i/>
              </w:rPr>
              <m:t>1</m:t>
            </m:r>
          </m:sub>
        </m:sSub>
      </m:oMath>
      <w:r w:rsidR="00D40FEA">
        <w:t>, de forma que si el agente necesitara retirar su inversión de forma anticipada no se viera tan perjudicado.</w:t>
      </w:r>
    </w:p>
    <w:p w14:paraId="645D3825" w14:textId="77777777" w:rsidR="00D40FEA" w:rsidRDefault="00000000" w:rsidP="00D40FEA">
      <w:pPr>
        <w:pStyle w:val="Nivel3SM"/>
      </w:pPr>
      <m:oMath>
        <m:sSubSup>
          <m:sSubSupPr>
            <m:ctrlPr>
              <w:rPr>
                <w:rFonts w:ascii="Cambria Math" w:hAnsi="Cambria Math"/>
                <w:i/>
              </w:rPr>
            </m:ctrlPr>
          </m:sSubSupPr>
          <m:e>
            <m:r>
              <m:rPr>
                <m:nor/>
              </m:rPr>
              <w:rPr>
                <w:i/>
              </w:rPr>
              <m:t>r</m:t>
            </m:r>
          </m:e>
          <m:sub>
            <m:r>
              <m:rPr>
                <m:nor/>
              </m:rPr>
              <w:rPr>
                <w:i/>
              </w:rPr>
              <m:t>2</m:t>
            </m:r>
          </m:sub>
          <m:sup>
            <m:r>
              <m:rPr>
                <m:nor/>
              </m:rPr>
              <w:rPr>
                <w:i/>
              </w:rPr>
              <m:t>d</m:t>
            </m:r>
          </m:sup>
        </m:sSubSup>
        <m:r>
          <w:rPr>
            <w:rFonts w:ascii="Cambria Math" w:hAnsi="Cambria Math"/>
          </w:rPr>
          <m:t>&lt;</m:t>
        </m:r>
        <m:sSub>
          <m:sSubPr>
            <m:ctrlPr>
              <w:rPr>
                <w:rFonts w:ascii="Cambria Math" w:hAnsi="Cambria Math"/>
                <w:i/>
              </w:rPr>
            </m:ctrlPr>
          </m:sSubPr>
          <m:e>
            <m:r>
              <m:rPr>
                <m:nor/>
              </m:rPr>
              <w:rPr>
                <w:i/>
              </w:rPr>
              <m:t>r</m:t>
            </m:r>
          </m:e>
          <m:sub>
            <m:r>
              <m:rPr>
                <m:nor/>
              </m:rPr>
              <w:rPr>
                <w:i/>
              </w:rPr>
              <m:t>2</m:t>
            </m:r>
          </m:sub>
        </m:sSub>
      </m:oMath>
      <w:r w:rsidR="00D40FEA">
        <w:t>, de forma que si el individuo mantiene la inversión hasta el segundo período recibe menos dinero.</w:t>
      </w:r>
    </w:p>
    <w:p w14:paraId="673FC944" w14:textId="77777777" w:rsidR="00D40FEA" w:rsidRDefault="00D40FEA" w:rsidP="00D40FEA">
      <w:pPr>
        <w:pStyle w:val="Nivel3SM"/>
      </w:pPr>
      <w:r>
        <w:lastRenderedPageBreak/>
        <w:t>De este modo, los hogares están reduciendo el riesgo al sacrificar parte de la rentabilidad que obtendrían si son del tipo </w:t>
      </w:r>
      <w:r w:rsidRPr="0096192B">
        <w:rPr>
          <w:i/>
          <w:iCs/>
        </w:rPr>
        <w:t>2</w:t>
      </w:r>
      <w:r>
        <w:t xml:space="preserve"> (se podría contemplar como el pago de una prima) a cambio de rentabilidad en caso de ser de tipo </w:t>
      </w:r>
      <w:r w:rsidRPr="0096192B">
        <w:rPr>
          <w:i/>
          <w:iCs/>
        </w:rPr>
        <w:t>1</w:t>
      </w:r>
      <w:r w:rsidRPr="008A242F">
        <w:rPr>
          <w:rStyle w:val="Refdenotaalpie"/>
        </w:rPr>
        <w:footnoteReference w:id="55"/>
      </w:r>
      <w:r>
        <w:t>.</w:t>
      </w:r>
    </w:p>
    <w:p w14:paraId="15193024" w14:textId="3B872FCB" w:rsidR="00D40FEA" w:rsidRDefault="00D40FEA" w:rsidP="00D40FEA">
      <w:pPr>
        <w:pStyle w:val="Ttuloimagen"/>
        <w:rPr>
          <w:i/>
          <w:iCs/>
          <w:smallCaps w:val="0"/>
        </w:rPr>
      </w:pPr>
      <w:r>
        <w:t>Imagen </w:t>
      </w:r>
      <w:r>
        <w:fldChar w:fldCharType="begin"/>
      </w:r>
      <w:r>
        <w:instrText xml:space="preserve"> SEQ Ilustración \* ARABIC </w:instrText>
      </w:r>
      <w:r>
        <w:fldChar w:fldCharType="separate"/>
      </w:r>
      <w:r w:rsidR="002E338F">
        <w:t>15</w:t>
      </w:r>
      <w:r>
        <w:fldChar w:fldCharType="end"/>
      </w:r>
      <w:r>
        <w:rPr>
          <w:smallCaps w:val="0"/>
        </w:rPr>
        <w:t xml:space="preserve">.– </w:t>
      </w:r>
      <w:r>
        <w:rPr>
          <w:i/>
          <w:iCs/>
          <w:smallCaps w:val="0"/>
        </w:rPr>
        <w:t>Asignación de consumo con bancos competitivos (situación óptima)</w:t>
      </w:r>
    </w:p>
    <w:p w14:paraId="025880EA" w14:textId="77777777" w:rsidR="00D40FEA" w:rsidRDefault="00D40FEA" w:rsidP="00D40FEA">
      <w:pPr>
        <w:pStyle w:val="Imagen"/>
      </w:pPr>
      <w:r>
        <w:drawing>
          <wp:inline distT="0" distB="0" distL="0" distR="0" wp14:anchorId="53888FEF" wp14:editId="3906B68A">
            <wp:extent cx="3840000" cy="2160000"/>
            <wp:effectExtent l="0" t="0" r="8255" b="0"/>
            <wp:docPr id="1732044290" name="Imagen 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44290" name="Imagen 2" descr="Gráfico, Gráfico radial&#10;&#10;Descripción generada automáticamente"/>
                    <pic:cNvPicPr/>
                  </pic:nvPicPr>
                  <pic:blipFill>
                    <a:blip r:embed="rId57"/>
                    <a:stretch>
                      <a:fillRect/>
                    </a:stretch>
                  </pic:blipFill>
                  <pic:spPr>
                    <a:xfrm>
                      <a:off x="0" y="0"/>
                      <a:ext cx="3840000" cy="2160000"/>
                    </a:xfrm>
                    <a:prstGeom prst="rect">
                      <a:avLst/>
                    </a:prstGeom>
                  </pic:spPr>
                </pic:pic>
              </a:graphicData>
            </a:graphic>
          </wp:inline>
        </w:drawing>
      </w:r>
    </w:p>
    <w:p w14:paraId="18564E74" w14:textId="7AF652F1" w:rsidR="00D40FEA" w:rsidRPr="0096192B" w:rsidRDefault="00D40FEA" w:rsidP="00D40FEA">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58" w:history="1">
        <w:r w:rsidRPr="0096192B">
          <w:rPr>
            <w:rStyle w:val="Hipervnculo"/>
            <w:i w:val="0"/>
            <w:iCs/>
            <w:spacing w:val="-4"/>
          </w:rPr>
          <w:t>https://www.fundacionareces.es/fundacionareces/es/actividades/premios-nobel-de-economia-2022-crisis-financieras-y-el-papel-de-los-bancos.html</w:t>
        </w:r>
      </w:hyperlink>
    </w:p>
    <w:p w14:paraId="420C6985" w14:textId="77777777" w:rsidR="00D40FEA" w:rsidRDefault="00D40FEA" w:rsidP="00D40FEA">
      <w:pPr>
        <w:pStyle w:val="Nivel1SM"/>
      </w:pPr>
      <w:r w:rsidRPr="00BD6A25">
        <w:rPr>
          <w:b/>
          <w:bCs/>
        </w:rPr>
        <w:t>En condiciones normales</w:t>
      </w:r>
      <w:r>
        <w:t xml:space="preserve">, en un sistema bancario, las necesidades repentinas de efectivo de los ahorradores </w:t>
      </w:r>
      <w:r w:rsidRPr="00BD6A25">
        <w:rPr>
          <w:b/>
          <w:bCs/>
        </w:rPr>
        <w:t>no generan un pánico bancario</w:t>
      </w:r>
      <w:r>
        <w:t xml:space="preserve"> ya que, mediante la aceptación de depósitos de particulares con </w:t>
      </w:r>
      <w:r>
        <w:rPr>
          <w:i/>
          <w:iCs/>
        </w:rPr>
        <w:t>diferentes situaciones personales</w:t>
      </w:r>
      <w:r>
        <w:t xml:space="preserve">, el banco sólo espera la retirada diaria de una pequeña fracción de los depósitos (ley de grandes números). Así, un banco puede otorgar préstamos durante un largo horizonte, mientras mantiene pequeñas cantidades de efectivo para atender a los depositantes que lo necesitan. Esto daría lugar a un </w:t>
      </w:r>
      <w:r>
        <w:rPr>
          <w:i/>
          <w:iCs/>
        </w:rPr>
        <w:t>equilibrio de Nash</w:t>
      </w:r>
      <w:r>
        <w:t xml:space="preserve">, en el que todos los individuos se están </w:t>
      </w:r>
      <w:r w:rsidRPr="0096192B">
        <w:t>comportando</w:t>
      </w:r>
      <w:r>
        <w:t xml:space="preserve"> de manera óptima dado cómo consideran que el resto de individuos va a actuar y no tienen ningún incentivo a desviarse.</w:t>
      </w:r>
    </w:p>
    <w:p w14:paraId="7138F8B1" w14:textId="661CB195" w:rsidR="00D40FEA" w:rsidRPr="00D40FEA" w:rsidRDefault="00D40FEA">
      <w:pPr>
        <w:pStyle w:val="Prrafodelista"/>
        <w:keepNext/>
        <w:numPr>
          <w:ilvl w:val="0"/>
          <w:numId w:val="19"/>
        </w:numPr>
        <w:spacing w:before="20" w:after="0"/>
        <w:ind w:left="1560" w:hanging="284"/>
        <w:rPr>
          <w:i/>
          <w:iCs/>
          <w:spacing w:val="-4"/>
          <w:w w:val="97"/>
          <w:u w:val="dotted"/>
        </w:rPr>
      </w:pPr>
      <w:r w:rsidRPr="00D40FEA">
        <w:rPr>
          <w:i/>
          <w:iCs/>
          <w:color w:val="240F33"/>
          <w:spacing w:val="-4"/>
          <w:w w:val="97"/>
          <w:u w:val="dotted"/>
        </w:rPr>
        <w:t>Bancos competitivos. Posibilidad II: Pánico bancario</w:t>
      </w:r>
    </w:p>
    <w:p w14:paraId="31A9954A" w14:textId="77777777" w:rsidR="00D40FEA" w:rsidRPr="000B3839" w:rsidRDefault="00D40FEA" w:rsidP="00D40FEA">
      <w:pPr>
        <w:pStyle w:val="Nivel1SM"/>
        <w:keepNext/>
        <w:spacing w:before="0" w:after="0"/>
      </w:pPr>
      <w:r w:rsidRPr="000B3839">
        <w:t>En e</w:t>
      </w:r>
      <w:r>
        <w:t xml:space="preserve">stas circunstancias, ¿cuándo tendría sentido retirar el dinero en </w:t>
      </w:r>
      <m:oMath>
        <m:r>
          <m:rPr>
            <m:nor/>
          </m:rPr>
          <w:rPr>
            <w:i/>
          </w:rPr>
          <m:t>T</m:t>
        </m:r>
        <m:r>
          <w:rPr>
            <w:rFonts w:ascii="Cambria Math"/>
          </w:rPr>
          <m:t>=</m:t>
        </m:r>
        <m:r>
          <m:rPr>
            <m:nor/>
          </m:rPr>
          <w:rPr>
            <w:i/>
          </w:rPr>
          <m:t>1</m:t>
        </m:r>
      </m:oMath>
      <w:r>
        <w:rPr>
          <w:rFonts w:eastAsiaTheme="minorEastAsia"/>
        </w:rPr>
        <w:t xml:space="preserve"> para los individuos de tipo </w:t>
      </w:r>
      <w:r>
        <w:rPr>
          <w:rFonts w:eastAsiaTheme="minorEastAsia"/>
          <w:i/>
          <w:iCs/>
        </w:rPr>
        <w:t>2</w:t>
      </w:r>
      <w:r>
        <w:t xml:space="preserve">? Sólo si creen que en </w:t>
      </w:r>
      <m:oMath>
        <m:r>
          <m:rPr>
            <m:nor/>
          </m:rPr>
          <w:rPr>
            <w:i/>
          </w:rPr>
          <m:t>T</m:t>
        </m:r>
        <m:r>
          <w:rPr>
            <w:rFonts w:ascii="Cambria Math"/>
          </w:rPr>
          <m:t>=</m:t>
        </m:r>
        <m:r>
          <m:rPr>
            <m:nor/>
          </m:rPr>
          <w:rPr>
            <w:i/>
          </w:rPr>
          <m:t>2</m:t>
        </m:r>
      </m:oMath>
      <w:r>
        <w:rPr>
          <w:rFonts w:eastAsiaTheme="minorEastAsia"/>
        </w:rPr>
        <w:t xml:space="preserve"> obtendrán menos de </w:t>
      </w:r>
      <m:oMath>
        <m:sSubSup>
          <m:sSubSupPr>
            <m:ctrlPr>
              <w:rPr>
                <w:rFonts w:ascii="Cambria Math" w:hAnsi="Cambria Math"/>
                <w:i/>
              </w:rPr>
            </m:ctrlPr>
          </m:sSubSupPr>
          <m:e>
            <m:r>
              <m:rPr>
                <m:nor/>
              </m:rPr>
              <w:rPr>
                <w:i/>
              </w:rPr>
              <m:t>r</m:t>
            </m:r>
          </m:e>
          <m:sub>
            <m:r>
              <m:rPr>
                <m:nor/>
              </m:rPr>
              <w:rPr>
                <w:i/>
              </w:rPr>
              <m:t>1</m:t>
            </m:r>
          </m:sub>
          <m:sup>
            <m:r>
              <m:rPr>
                <m:nor/>
              </m:rPr>
              <w:rPr>
                <w:i/>
              </w:rPr>
              <m:t>d</m:t>
            </m:r>
          </m:sup>
        </m:sSubSup>
      </m:oMath>
      <w:r>
        <w:rPr>
          <w:rFonts w:eastAsiaTheme="minorEastAsia"/>
        </w:rPr>
        <w:t>.</w:t>
      </w:r>
    </w:p>
    <w:p w14:paraId="51D0FC71" w14:textId="77777777" w:rsidR="00D40FEA" w:rsidRDefault="00D40FEA" w:rsidP="00D40FEA">
      <w:pPr>
        <w:pStyle w:val="Nivel2SM"/>
      </w:pPr>
      <w:r>
        <w:t>Así, si creo que otros individuos (suficientes) de tipo </w:t>
      </w:r>
      <w:r>
        <w:rPr>
          <w:i/>
          <w:iCs/>
        </w:rPr>
        <w:t>2</w:t>
      </w:r>
      <w:r>
        <w:t xml:space="preserve"> van a retirar sus ahorros pronto o me preocupa que las inversiones que lleva a cabo el banco no van a salir bien tendré incentivos a retirar mis ahorros antes de tiempo.</w:t>
      </w:r>
    </w:p>
    <w:p w14:paraId="59715C9B" w14:textId="77777777" w:rsidR="00D40FEA" w:rsidRDefault="00D40FEA" w:rsidP="00D40FEA">
      <w:pPr>
        <w:pStyle w:val="Nivel1SM"/>
        <w:keepNext/>
        <w:spacing w:after="0"/>
      </w:pPr>
      <w:r>
        <w:t>Centrémonos en el caso en que creemos que otros individuos (suficientes) de tipo </w:t>
      </w:r>
      <w:r w:rsidRPr="00324402">
        <w:rPr>
          <w:i/>
          <w:iCs/>
        </w:rPr>
        <w:t>2</w:t>
      </w:r>
      <w:r>
        <w:t xml:space="preserve"> van a retirar sus ahorros pronto</w:t>
      </w:r>
      <w:r>
        <w:rPr>
          <w:rStyle w:val="Refdenotaalpie"/>
        </w:rPr>
        <w:footnoteReference w:id="56"/>
      </w:r>
      <w:r>
        <w:t>.</w:t>
      </w:r>
    </w:p>
    <w:p w14:paraId="6CFA932D" w14:textId="77777777" w:rsidR="00D40FEA" w:rsidRDefault="00D40FEA" w:rsidP="00D40FEA">
      <w:pPr>
        <w:pStyle w:val="Nivel2SM"/>
      </w:pPr>
      <w:r>
        <w:t>Si los depositantes exigieran simultáneamente su dinero, se produciría la quiebra del banco, ya que éste sólo dispone de una parte de efectivo y no puede exigir la devolución de los préstamos ya que éstos se hicieron a largo plazo.</w:t>
      </w:r>
    </w:p>
    <w:p w14:paraId="63ED22A0" w14:textId="77777777" w:rsidR="00D40FEA" w:rsidRDefault="00D40FEA" w:rsidP="00D40FEA">
      <w:pPr>
        <w:pStyle w:val="Nivel2SM"/>
      </w:pPr>
      <w:r>
        <w:t>De esta forma, los primeros depositantes en exigir su dinero podrán recuperarlo, pero los más rezagados se quedarán sin su dinero tras la quiebra del banco.</w:t>
      </w:r>
    </w:p>
    <w:p w14:paraId="1B5648F1" w14:textId="77777777" w:rsidR="00D40FEA" w:rsidRDefault="00D40FEA" w:rsidP="00D40FEA">
      <w:pPr>
        <w:pStyle w:val="Nivel1SM"/>
        <w:keepNext/>
        <w:spacing w:after="0"/>
      </w:pPr>
      <w:r>
        <w:t xml:space="preserve">Así, se produce una situación de </w:t>
      </w:r>
      <w:r w:rsidRPr="002156DC">
        <w:rPr>
          <w:i/>
          <w:iCs/>
          <w:u w:val="single"/>
        </w:rPr>
        <w:t>equilibrios múltiples</w:t>
      </w:r>
      <w:r>
        <w:t xml:space="preserve"> de Nash en el que los </w:t>
      </w:r>
      <w:r>
        <w:rPr>
          <w:i/>
          <w:iCs/>
        </w:rPr>
        <w:t>fallos de coordinación</w:t>
      </w:r>
      <w:r>
        <w:t xml:space="preserve"> pueden generar un </w:t>
      </w:r>
      <w:r>
        <w:rPr>
          <w:i/>
          <w:iCs/>
        </w:rPr>
        <w:t>equilibrio sub-óptimo</w:t>
      </w:r>
      <w:r>
        <w:t>:</w:t>
      </w:r>
    </w:p>
    <w:p w14:paraId="5838FFD8" w14:textId="77777777" w:rsidR="00D40FEA" w:rsidRDefault="00D40FEA" w:rsidP="00D40FEA">
      <w:pPr>
        <w:pStyle w:val="Nivel2SM"/>
      </w:pPr>
      <w:r>
        <w:t xml:space="preserve">Si un depositante espera que los demás no retiren su dinero, él no retirará el suyo, y, como todos los depositantes razonan igual, el </w:t>
      </w:r>
      <w:r w:rsidRPr="002156DC">
        <w:rPr>
          <w:b/>
          <w:bCs/>
        </w:rPr>
        <w:t>banco continuará operando</w:t>
      </w:r>
      <w:r>
        <w:t>.</w:t>
      </w:r>
    </w:p>
    <w:p w14:paraId="1DBBE773" w14:textId="77777777" w:rsidR="00D40FEA" w:rsidRDefault="00D40FEA" w:rsidP="00D40FEA">
      <w:pPr>
        <w:pStyle w:val="Nivel2SM"/>
      </w:pPr>
      <w:r>
        <w:t xml:space="preserve">Pero si, por cualquier razón, espera que los demás retiren su dinero, él se apresurará a retirar el suyo, y, como todos los depositantes razonan igual, se producirá un </w:t>
      </w:r>
      <w:r w:rsidRPr="002156DC">
        <w:rPr>
          <w:b/>
          <w:bCs/>
        </w:rPr>
        <w:t>pánico bancario</w:t>
      </w:r>
      <w:r>
        <w:t xml:space="preserve"> en el que todo el mundo intentará sacar todo su dinero simultáneamente, dando lugar a la quiebra </w:t>
      </w:r>
      <w:r>
        <w:lastRenderedPageBreak/>
        <w:t>del banco. Sólo los primeros depositantes en exigir su dinero podrán recuperarlo, pero los más rezagados se quedarán sin su dinero tras la quiebra del banco.</w:t>
      </w:r>
    </w:p>
    <w:p w14:paraId="4CAAE26B" w14:textId="77777777" w:rsidR="00D40FEA" w:rsidRDefault="00D40FEA" w:rsidP="00D40FEA">
      <w:pPr>
        <w:pStyle w:val="Nivel1SM"/>
        <w:keepNext/>
        <w:spacing w:after="0"/>
      </w:pPr>
      <w:r>
        <w:t>Así, da igual que el banco esté completamente sano y sea rentable: un evento que varíe las expectativas de los individuos es suficiente para alcanzar el equilibrio de pánico bancario, es decir, la mera creencia de sus depositantes de que el resto va a retirar su dinero hace que quiebre.</w:t>
      </w:r>
    </w:p>
    <w:p w14:paraId="52BD1330" w14:textId="5C05D46D" w:rsidR="00D40FEA" w:rsidRPr="00C45ADC" w:rsidRDefault="00D40FEA" w:rsidP="00D40FEA">
      <w:pPr>
        <w:pStyle w:val="Nivel2SM"/>
        <w:rPr>
          <w:spacing w:val="-2"/>
        </w:rPr>
      </w:pPr>
      <w:r w:rsidRPr="00C45ADC">
        <w:rPr>
          <w:spacing w:val="-2"/>
        </w:rPr>
        <w:t xml:space="preserve">A esto en economía a veces se le conoce como </w:t>
      </w:r>
      <w:hyperlink r:id="rId59" w:history="1">
        <w:r w:rsidRPr="001C12C3">
          <w:rPr>
            <w:rStyle w:val="Hipervnculo"/>
            <w:color w:val="auto"/>
            <w:spacing w:val="-2"/>
            <w:u w:val="none"/>
          </w:rPr>
          <w:t>equilibrio de manchas solares</w:t>
        </w:r>
      </w:hyperlink>
      <w:r w:rsidRPr="00C45ADC">
        <w:rPr>
          <w:spacing w:val="-2"/>
        </w:rPr>
        <w:t xml:space="preserve"> (</w:t>
      </w:r>
      <w:proofErr w:type="spellStart"/>
      <w:r w:rsidRPr="00C45ADC">
        <w:rPr>
          <w:i/>
          <w:iCs/>
          <w:spacing w:val="-2"/>
        </w:rPr>
        <w:t>sunspot</w:t>
      </w:r>
      <w:proofErr w:type="spellEnd"/>
      <w:r w:rsidRPr="00C45ADC">
        <w:rPr>
          <w:i/>
          <w:iCs/>
          <w:spacing w:val="-2"/>
        </w:rPr>
        <w:t xml:space="preserve"> </w:t>
      </w:r>
      <w:proofErr w:type="spellStart"/>
      <w:r w:rsidRPr="00C45ADC">
        <w:rPr>
          <w:i/>
          <w:iCs/>
          <w:spacing w:val="-2"/>
        </w:rPr>
        <w:t>equilibrium</w:t>
      </w:r>
      <w:proofErr w:type="spellEnd"/>
      <w:r w:rsidRPr="00C45ADC">
        <w:rPr>
          <w:spacing w:val="-2"/>
        </w:rPr>
        <w:t>).</w:t>
      </w:r>
    </w:p>
    <w:p w14:paraId="3A95FCFE" w14:textId="77777777" w:rsidR="00D40FEA" w:rsidRDefault="00D40FEA" w:rsidP="00D40FEA">
      <w:pPr>
        <w:pStyle w:val="Nivel2SM"/>
      </w:pPr>
      <w:r>
        <w:t xml:space="preserve">Es, por tanto, un modelo con </w:t>
      </w:r>
      <w:r>
        <w:rPr>
          <w:i/>
          <w:iCs/>
        </w:rPr>
        <w:t>profecías autocumplidas</w:t>
      </w:r>
      <w:r>
        <w:t xml:space="preserve"> (pues el incentivo de cada depositante a retirar sus fondos depende de lo que cree que van a hacer los demás).</w:t>
      </w:r>
    </w:p>
    <w:p w14:paraId="27176CF9" w14:textId="77777777" w:rsidR="00D40FEA" w:rsidRDefault="00D40FEA" w:rsidP="00D40FEA">
      <w:pPr>
        <w:pStyle w:val="Nivel1SM"/>
        <w:keepNext/>
        <w:spacing w:after="0"/>
      </w:pPr>
      <w:r>
        <w:t>Nótese que en términos de bienestar se produce la siguiente situación:</w:t>
      </w:r>
    </w:p>
    <w:p w14:paraId="079497EF" w14:textId="48BC57FC" w:rsidR="009713A1" w:rsidRDefault="00000000" w:rsidP="00D40FEA">
      <w:pPr>
        <w:pStyle w:val="Nivel2SM"/>
        <w:numPr>
          <w:ilvl w:val="0"/>
          <w:numId w:val="0"/>
        </w:numPr>
        <w:ind w:left="567"/>
      </w:pPr>
      <m:oMathPara>
        <m:oMath>
          <m:sSubSup>
            <m:sSubSupPr>
              <m:ctrlPr>
                <w:rPr>
                  <w:rFonts w:ascii="Cambria Math" w:hAnsi="Cambria Math"/>
                  <w:i/>
                </w:rPr>
              </m:ctrlPr>
            </m:sSubSupPr>
            <m:e>
              <m:r>
                <m:rPr>
                  <m:nor/>
                </m:rPr>
                <w:rPr>
                  <w:i/>
                </w:rPr>
                <m:t>U</m:t>
              </m:r>
            </m:e>
            <m:sub>
              <m:r>
                <m:rPr>
                  <m:nor/>
                </m:rPr>
                <w:rPr>
                  <w:i/>
                </w:rPr>
                <m:t>pánico bancario</m:t>
              </m:r>
            </m:sub>
            <m:sup>
              <m:r>
                <m:rPr>
                  <m:nor/>
                </m:rPr>
                <w:rPr>
                  <w:i/>
                </w:rPr>
                <m:t>bancos compet.</m:t>
              </m:r>
            </m:sup>
          </m:sSubSup>
          <m:r>
            <w:rPr>
              <w:rFonts w:ascii="Cambria Math" w:hAnsi="Cambria Math"/>
            </w:rPr>
            <m:t>&lt;</m:t>
          </m:r>
          <m:sSub>
            <m:sSubPr>
              <m:ctrlPr>
                <w:rPr>
                  <w:rFonts w:ascii="Cambria Math" w:hAnsi="Cambria Math"/>
                  <w:i/>
                </w:rPr>
              </m:ctrlPr>
            </m:sSubPr>
            <m:e>
              <m:r>
                <m:rPr>
                  <m:nor/>
                </m:rPr>
                <w:rPr>
                  <w:i/>
                </w:rPr>
                <m:t>U</m:t>
              </m:r>
            </m:e>
            <m:sub>
              <m:r>
                <m:rPr>
                  <m:nor/>
                </m:rPr>
                <w:rPr>
                  <w:i/>
                </w:rPr>
                <m:t>autarquía</m:t>
              </m:r>
            </m:sub>
          </m:sSub>
          <m:r>
            <w:rPr>
              <w:rFonts w:ascii="Cambria Math" w:hAnsi="Cambria Math"/>
            </w:rPr>
            <m:t>&lt;</m:t>
          </m:r>
          <m:sSub>
            <m:sSubPr>
              <m:ctrlPr>
                <w:rPr>
                  <w:rFonts w:ascii="Cambria Math" w:hAnsi="Cambria Math"/>
                  <w:i/>
                </w:rPr>
              </m:ctrlPr>
            </m:sSubPr>
            <m:e>
              <m:r>
                <m:rPr>
                  <m:nor/>
                </m:rPr>
                <w:rPr>
                  <w:i/>
                </w:rPr>
                <m:t>U</m:t>
              </m:r>
            </m:e>
            <m:sub>
              <m:eqArr>
                <m:eqArrPr>
                  <m:ctrlPr>
                    <w:rPr>
                      <w:rFonts w:ascii="Cambria Math" w:hAnsi="Cambria Math"/>
                      <w:i/>
                    </w:rPr>
                  </m:ctrlPr>
                </m:eqArrPr>
                <m:e>
                  <m:r>
                    <m:rPr>
                      <m:nor/>
                    </m:rPr>
                    <w:rPr>
                      <w:i/>
                    </w:rPr>
                    <m:t>mdo. finan.</m:t>
                  </m:r>
                </m:e>
                <m:e>
                  <m:r>
                    <m:rPr>
                      <m:nor/>
                    </m:rPr>
                    <w:rPr>
                      <w:i/>
                    </w:rPr>
                    <m:t>en T</m:t>
                  </m:r>
                  <m:r>
                    <w:rPr>
                      <w:rFonts w:ascii="Cambria Math" w:hAnsi="Cambria Math"/>
                    </w:rPr>
                    <m:t>=</m:t>
                  </m:r>
                  <m:r>
                    <m:rPr>
                      <m:nor/>
                    </m:rPr>
                    <w:rPr>
                      <w:i/>
                    </w:rPr>
                    <m:t>1</m:t>
                  </m:r>
                </m:e>
              </m:eqArr>
            </m:sub>
          </m:sSub>
          <m:r>
            <w:rPr>
              <w:rFonts w:ascii="Cambria Math" w:hAnsi="Cambria Math"/>
            </w:rPr>
            <m:t>&lt;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U</m:t>
                      </m:r>
                    </m:e>
                    <m:sub>
                      <m:r>
                        <m:rPr>
                          <m:nor/>
                        </m:rPr>
                        <w:rPr>
                          <w:i/>
                        </w:rPr>
                        <m:t>eq. óptimo</m:t>
                      </m:r>
                    </m:sub>
                    <m:sup>
                      <m:r>
                        <m:rPr>
                          <m:nor/>
                        </m:rPr>
                        <w:rPr>
                          <w:i/>
                        </w:rPr>
                        <m:t>bancos compet.</m:t>
                      </m:r>
                    </m:sup>
                  </m:sSubSup>
                </m:e>
              </m:groupChr>
            </m:e>
            <m:lim>
              <w:bookmarkStart w:id="89" w:name="_Hlk143258300"/>
              <m:sSub>
                <m:sSubPr>
                  <m:ctrlPr>
                    <w:rPr>
                      <w:rFonts w:ascii="Cambria Math" w:hAnsi="Cambria Math"/>
                      <w:i/>
                    </w:rPr>
                  </m:ctrlPr>
                </m:sSubPr>
                <m:e>
                  <m:r>
                    <m:rPr>
                      <m:nor/>
                    </m:rPr>
                    <w:rPr>
                      <w:i/>
                    </w:rPr>
                    <m:t>U</m:t>
                  </m:r>
                </m:e>
                <m:sub>
                  <m:r>
                    <m:rPr>
                      <m:nor/>
                    </m:rPr>
                    <w:rPr>
                      <w:i/>
                    </w:rPr>
                    <m:t>óptima</m:t>
                  </m:r>
                </m:sub>
              </m:sSub>
              <w:bookmarkEnd w:id="89"/>
            </m:lim>
          </m:limLow>
        </m:oMath>
      </m:oMathPara>
    </w:p>
    <w:p w14:paraId="6A956824" w14:textId="77777777" w:rsidR="009713A1" w:rsidRDefault="009713A1" w:rsidP="009713A1">
      <w:pPr>
        <w:keepNext/>
        <w:keepLines/>
        <w:spacing w:before="40" w:after="0"/>
        <w:ind w:left="851"/>
        <w:rPr>
          <w:i/>
          <w:iCs/>
          <w:color w:val="5F2987"/>
          <w:u w:val="dash"/>
        </w:rPr>
      </w:pPr>
      <w:r>
        <w:rPr>
          <w:i/>
          <w:iCs/>
          <w:color w:val="5F2987"/>
          <w:u w:val="dash"/>
        </w:rPr>
        <w:t>Implicaciones</w:t>
      </w:r>
    </w:p>
    <w:p w14:paraId="38044DAD" w14:textId="77777777" w:rsidR="00036282" w:rsidRDefault="00036282" w:rsidP="00036282">
      <w:pPr>
        <w:pStyle w:val="Nivel1SM"/>
        <w:keepNext/>
        <w:spacing w:before="0" w:after="0"/>
      </w:pPr>
      <w:r>
        <w:t>Los gobiernos pueden combatir el pánico bancario de 3 formas:</w:t>
      </w:r>
    </w:p>
    <w:p w14:paraId="1824C948" w14:textId="77777777" w:rsidR="00036282" w:rsidRDefault="00036282">
      <w:pPr>
        <w:pStyle w:val="Letra"/>
        <w:numPr>
          <w:ilvl w:val="0"/>
          <w:numId w:val="20"/>
        </w:numPr>
        <w:spacing w:after="0"/>
        <w:ind w:left="567" w:hanging="227"/>
      </w:pPr>
      <w:r w:rsidRPr="00036282">
        <w:rPr>
          <w:i/>
          <w:iCs/>
        </w:rPr>
        <w:t>Asegurar los depósitos de los individuos en caso de quiebra del banco</w:t>
      </w:r>
      <w:r>
        <w:t xml:space="preserve">, con un fondo específico para ello (en España (y en la Unión Europea en general), hasta 100.000 €; en Estados Unidos, tras los pánicos bancarios de la Gran Depresión se creó la </w:t>
      </w:r>
      <w:r w:rsidRPr="00036282">
        <w:rPr>
          <w:i/>
          <w:iCs/>
        </w:rPr>
        <w:t xml:space="preserve">Federal </w:t>
      </w:r>
      <w:proofErr w:type="spellStart"/>
      <w:r w:rsidRPr="00036282">
        <w:rPr>
          <w:i/>
          <w:iCs/>
        </w:rPr>
        <w:t>Deposit</w:t>
      </w:r>
      <w:proofErr w:type="spellEnd"/>
      <w:r w:rsidRPr="00036282">
        <w:rPr>
          <w:i/>
          <w:iCs/>
        </w:rPr>
        <w:t xml:space="preserve"> </w:t>
      </w:r>
      <w:proofErr w:type="spellStart"/>
      <w:r w:rsidRPr="00036282">
        <w:rPr>
          <w:i/>
          <w:iCs/>
        </w:rPr>
        <w:t>Insurance</w:t>
      </w:r>
      <w:proofErr w:type="spellEnd"/>
      <w:r w:rsidRPr="00036282">
        <w:rPr>
          <w:i/>
          <w:iCs/>
        </w:rPr>
        <w:t xml:space="preserve"> </w:t>
      </w:r>
      <w:proofErr w:type="spellStart"/>
      <w:r w:rsidRPr="00036282">
        <w:rPr>
          <w:i/>
          <w:iCs/>
        </w:rPr>
        <w:t>Corporation</w:t>
      </w:r>
      <w:proofErr w:type="spellEnd"/>
      <w:r>
        <w:t>). De esta manera, como los depositantes saben que van a recuperar su dinero incluso si el banco quiebra, no retiran sus fondos, por lo que esta medida, en caso de ser creíble, le sale “gratis” al Gobierno.</w:t>
      </w:r>
    </w:p>
    <w:p w14:paraId="564A840E" w14:textId="77777777" w:rsidR="00036282" w:rsidRDefault="00036282" w:rsidP="00036282">
      <w:pPr>
        <w:pStyle w:val="Letra"/>
        <w:keepNext/>
        <w:spacing w:after="0"/>
        <w:ind w:left="567"/>
      </w:pPr>
      <w:r>
        <w:rPr>
          <w:i/>
          <w:iCs/>
        </w:rPr>
        <w:t>Suspender la retirada de efectivo temporalmente</w:t>
      </w:r>
      <w:r>
        <w:t>, mientras el banco recupera parte de sus préstamos para poder hacer frente a las retiradas (como ocurrió en Grecia, donde en la primera mitad del año 2015 salieron 50.000 millones de euros, lo que obligó al Gobierno griego a imponer un “corralito” a finales de junio de ese año).</w:t>
      </w:r>
    </w:p>
    <w:p w14:paraId="03B8F012" w14:textId="77777777" w:rsidR="00036282" w:rsidRDefault="00036282" w:rsidP="00036282">
      <w:pPr>
        <w:pStyle w:val="Nivel3SM"/>
      </w:pPr>
      <w:r>
        <w:t xml:space="preserve">Esto en la práctica es económicamente costoso (algunas personas realmente necesitan sus fondos inmediatamente) y no evita el pánico bancario </w:t>
      </w:r>
      <w:r>
        <w:rPr>
          <w:i/>
          <w:iCs/>
        </w:rPr>
        <w:t>per se</w:t>
      </w:r>
      <w:r>
        <w:t>, pero es efectivo a la hora de prevenir crisis de liquidez que fuercen a los bancos a declararse insolventes.</w:t>
      </w:r>
    </w:p>
    <w:p w14:paraId="68DE93FD" w14:textId="77777777" w:rsidR="00036282" w:rsidRDefault="00036282" w:rsidP="00036282">
      <w:pPr>
        <w:pStyle w:val="Letra"/>
        <w:keepNext/>
        <w:spacing w:after="0"/>
        <w:ind w:left="567"/>
      </w:pPr>
      <w:r>
        <w:t>El Banco Central puede actuar como prestamista de última instancia (</w:t>
      </w:r>
      <w:proofErr w:type="spellStart"/>
      <w:r>
        <w:rPr>
          <w:i/>
          <w:iCs/>
        </w:rPr>
        <w:t>Lender</w:t>
      </w:r>
      <w:proofErr w:type="spellEnd"/>
      <w:r>
        <w:rPr>
          <w:i/>
          <w:iCs/>
        </w:rPr>
        <w:t xml:space="preserve"> </w:t>
      </w:r>
      <w:proofErr w:type="spellStart"/>
      <w:r>
        <w:rPr>
          <w:i/>
          <w:iCs/>
        </w:rPr>
        <w:t>of</w:t>
      </w:r>
      <w:proofErr w:type="spellEnd"/>
      <w:r>
        <w:rPr>
          <w:i/>
          <w:iCs/>
        </w:rPr>
        <w:t xml:space="preserve"> </w:t>
      </w:r>
      <w:proofErr w:type="spellStart"/>
      <w:r>
        <w:rPr>
          <w:i/>
          <w:iCs/>
        </w:rPr>
        <w:t>Last</w:t>
      </w:r>
      <w:proofErr w:type="spellEnd"/>
      <w:r>
        <w:rPr>
          <w:i/>
          <w:iCs/>
        </w:rPr>
        <w:t xml:space="preserve"> Resort</w:t>
      </w:r>
      <w:r>
        <w:t>) creando reservas para hacer frente a los pagos. Si los bancos se quedan sin liquidez para hacer frente a la demanda de retirada de efectivo, podrían solicitar fondos al Banco Central.</w:t>
      </w:r>
    </w:p>
    <w:p w14:paraId="3DE04C9E" w14:textId="77777777" w:rsidR="00036282" w:rsidRDefault="00036282" w:rsidP="00036282">
      <w:pPr>
        <w:pStyle w:val="Nivel3SM"/>
        <w:keepNext/>
      </w:pPr>
      <w:r>
        <w:t>Esto se llevó a cabo en la Gran Depresión, pero no acabó con la crisis debido a 2 principales problemas:</w:t>
      </w:r>
    </w:p>
    <w:p w14:paraId="60E81EF7" w14:textId="77777777" w:rsidR="00036282" w:rsidRDefault="00036282" w:rsidP="00036282">
      <w:pPr>
        <w:pStyle w:val="Nivel4"/>
        <w:ind w:left="1474"/>
      </w:pPr>
      <w:r>
        <w:t>El estigma que generaba para los bancos, que no querían pedir prestado a la Reserva Federal por miedo a quedar expuestos como débiles.</w:t>
      </w:r>
    </w:p>
    <w:p w14:paraId="43F8D434" w14:textId="04EB744D" w:rsidR="00036282" w:rsidRDefault="00036282" w:rsidP="00036282">
      <w:pPr>
        <w:pStyle w:val="Nivel4"/>
        <w:keepNext/>
        <w:ind w:left="1474"/>
      </w:pPr>
      <w:r>
        <w:t xml:space="preserve">Tal y como exponen </w:t>
      </w:r>
      <w:hyperlink r:id="rId60" w:history="1">
        <w:r w:rsidRPr="0061163D">
          <w:rPr>
            <w:rStyle w:val="Hipervnculo"/>
            <w:smallCaps/>
            <w:color w:val="auto"/>
            <w:u w:val="none"/>
          </w:rPr>
          <w:t>Friedman</w:t>
        </w:r>
        <w:r w:rsidRPr="0061163D">
          <w:rPr>
            <w:rStyle w:val="Hipervnculo"/>
            <w:color w:val="auto"/>
            <w:u w:val="none"/>
          </w:rPr>
          <w:t xml:space="preserve"> y </w:t>
        </w:r>
        <w:r w:rsidRPr="0061163D">
          <w:rPr>
            <w:rStyle w:val="Hipervnculo"/>
            <w:smallCaps/>
            <w:color w:val="auto"/>
            <w:u w:val="none"/>
          </w:rPr>
          <w:t>Schwartz</w:t>
        </w:r>
      </w:hyperlink>
      <w:r>
        <w:t>, l</w:t>
      </w:r>
      <w:r w:rsidRPr="005B260C">
        <w:t>a</w:t>
      </w:r>
      <w:r>
        <w:t xml:space="preserve"> Reserva Federal no entendió su rol y sus poderes.</w:t>
      </w:r>
    </w:p>
    <w:p w14:paraId="6D23B1ED" w14:textId="3BF1AD00" w:rsidR="009713A1" w:rsidRPr="00712745" w:rsidRDefault="00036282" w:rsidP="00036282">
      <w:pPr>
        <w:pStyle w:val="Nivel5"/>
        <w:ind w:left="1871"/>
      </w:pPr>
      <w:r>
        <w:rPr>
          <w:smallCaps/>
        </w:rPr>
        <w:t>Friedman</w:t>
      </w:r>
      <w:r>
        <w:t xml:space="preserve"> y </w:t>
      </w:r>
      <w:r>
        <w:rPr>
          <w:smallCaps/>
        </w:rPr>
        <w:t>Schwartz</w:t>
      </w:r>
      <w:r>
        <w:t xml:space="preserve"> argumentaron que la Reserva Federal podría haber </w:t>
      </w:r>
      <w:r w:rsidRPr="00A92D27">
        <w:rPr>
          <w:rStyle w:val="Nivel5Car"/>
        </w:rPr>
        <w:t>reducido</w:t>
      </w:r>
      <w:r>
        <w:t xml:space="preserve"> la severidad de la Depresión mediante una política monetaria más acomodaticia, pero no lo hizo</w:t>
      </w:r>
      <w:r>
        <w:rPr>
          <w:rStyle w:val="Refdenotaalpie"/>
        </w:rPr>
        <w:footnoteReference w:id="57"/>
      </w:r>
      <w:r>
        <w:t>.</w:t>
      </w:r>
    </w:p>
    <w:p w14:paraId="0D6DC0AB" w14:textId="77777777" w:rsidR="009713A1" w:rsidRDefault="009713A1" w:rsidP="009713A1">
      <w:pPr>
        <w:keepNext/>
        <w:keepLines/>
        <w:spacing w:before="120" w:after="60"/>
        <w:rPr>
          <w:b/>
          <w:bCs/>
          <w:color w:val="5F2987"/>
          <w:u w:val="single"/>
        </w:rPr>
      </w:pPr>
      <w:r>
        <w:rPr>
          <w:b/>
          <w:bCs/>
          <w:color w:val="5F2987"/>
          <w:u w:val="single"/>
        </w:rPr>
        <w:t>Extensiones</w:t>
      </w:r>
    </w:p>
    <w:p w14:paraId="60E18BBB" w14:textId="77777777" w:rsidR="000F1369" w:rsidRDefault="000F1369" w:rsidP="000F1369">
      <w:pPr>
        <w:pStyle w:val="Nivel1SM"/>
        <w:keepNext/>
        <w:spacing w:before="0" w:after="0"/>
      </w:pPr>
      <w:r>
        <w:t>Su influencia hasta el día de hoy ha sido enorme. En la actualidad se usa para:</w:t>
      </w:r>
    </w:p>
    <w:p w14:paraId="47BA64FE" w14:textId="77777777" w:rsidR="000F1369" w:rsidRDefault="000F1369" w:rsidP="000F1369">
      <w:pPr>
        <w:pStyle w:val="Nivel2SM"/>
      </w:pPr>
      <w:r>
        <w:t>Estudio del papel del banco central como prestamista de última instancia.</w:t>
      </w:r>
    </w:p>
    <w:p w14:paraId="54C138DE" w14:textId="77777777" w:rsidR="000F1369" w:rsidRDefault="000F1369" w:rsidP="000F1369">
      <w:pPr>
        <w:pStyle w:val="Nivel2SM"/>
      </w:pPr>
      <w:r>
        <w:t>Posible efecto disciplinador de los pánicos bancarios (estas teorías argumentan que los pánicos bancarios no siempre son negativos, sino que podrían tener efectos positivos).</w:t>
      </w:r>
    </w:p>
    <w:p w14:paraId="13AF7943" w14:textId="77777777" w:rsidR="000F1369" w:rsidRDefault="000F1369" w:rsidP="000F1369">
      <w:pPr>
        <w:pStyle w:val="Nivel2SM"/>
      </w:pPr>
      <w:r>
        <w:lastRenderedPageBreak/>
        <w:t>Estudio de pánicos bancarios basados en información (a diferencia del modelo básico, basado en la creencia de que otros agentes retirarán sus depósitos).</w:t>
      </w:r>
    </w:p>
    <w:p w14:paraId="4DCBC64C" w14:textId="77777777" w:rsidR="000F1369" w:rsidRPr="003F2B19" w:rsidRDefault="000F1369" w:rsidP="000F1369">
      <w:pPr>
        <w:pStyle w:val="Nivel2SM"/>
      </w:pPr>
      <w:r>
        <w:t>Incluso para el estudio de la introducción de moneda digital de los bancos centrales.</w:t>
      </w:r>
    </w:p>
    <w:p w14:paraId="4685256E" w14:textId="77777777" w:rsidR="009713A1" w:rsidRDefault="009713A1" w:rsidP="009713A1">
      <w:pPr>
        <w:keepNext/>
        <w:keepLines/>
        <w:spacing w:before="120" w:after="60"/>
        <w:rPr>
          <w:b/>
          <w:bCs/>
          <w:color w:val="5F2987"/>
          <w:u w:val="single"/>
        </w:rPr>
      </w:pPr>
      <w:r>
        <w:rPr>
          <w:b/>
          <w:bCs/>
          <w:color w:val="5F2987"/>
          <w:u w:val="single"/>
        </w:rPr>
        <w:t>Evidencia empírica</w:t>
      </w:r>
    </w:p>
    <w:p w14:paraId="7CF9C779" w14:textId="77777777" w:rsidR="009713A1" w:rsidRPr="00712745" w:rsidRDefault="009713A1" w:rsidP="009713A1">
      <w:pPr>
        <w:keepNext/>
        <w:keepLines/>
        <w:spacing w:before="120" w:after="60"/>
        <w:rPr>
          <w:b/>
          <w:bCs/>
          <w:color w:val="5F2987"/>
          <w:u w:val="single"/>
        </w:rPr>
      </w:pPr>
      <w:r>
        <w:rPr>
          <w:b/>
          <w:bCs/>
          <w:color w:val="5F2987"/>
          <w:u w:val="single"/>
        </w:rPr>
        <w:t>Valoración</w:t>
      </w:r>
      <w:bookmarkEnd w:id="88"/>
    </w:p>
    <w:p w14:paraId="387332DF" w14:textId="77777777" w:rsidR="000F1369" w:rsidRDefault="000F1369" w:rsidP="000F1369">
      <w:pPr>
        <w:pStyle w:val="Nivel1SM"/>
        <w:keepNext/>
        <w:spacing w:before="0" w:after="0"/>
      </w:pPr>
      <w:r>
        <w:rPr>
          <w:i/>
          <w:iCs/>
        </w:rPr>
        <w:t>Solución</w:t>
      </w:r>
      <w:r w:rsidRPr="006D0F9A">
        <w:t>:</w:t>
      </w:r>
      <w:r>
        <w:t xml:space="preserve"> Creación de Fondos de Garantías de Depósitos para evitar pánicos bancarios.</w:t>
      </w:r>
    </w:p>
    <w:p w14:paraId="36736A35" w14:textId="77777777" w:rsidR="000F1369" w:rsidRDefault="000F1369" w:rsidP="000F1369">
      <w:pPr>
        <w:pStyle w:val="Nivel2SM"/>
      </w:pPr>
      <w:r>
        <w:t>Junto a la normativa prudencial para garantizar la dotación de recursos propios suficientes por las entidades, el regulador introduce medidas para hacer frente al impacto sistémico de la crisis de una entidad financiera. Por un lado, es necesario establecer un orden de prelación claro en el derecho de cobro por parte de los acreedores (depositantes, tenedores de deuda y accionistas). En este sentido, la especial sensibilidad de los depositantes como clientes minoristas ha conducido a la dotación de fondos de garantía de depósitos, los cuales garantizan un mínimo derecho de reintegro a favor de los depositantes en crisis</w:t>
      </w:r>
      <w:r>
        <w:rPr>
          <w:rStyle w:val="Refdenotaalpie"/>
        </w:rPr>
        <w:footnoteReference w:id="58"/>
      </w:r>
      <w:r>
        <w:t>.</w:t>
      </w:r>
    </w:p>
    <w:p w14:paraId="63C55E8B" w14:textId="1F6839ED" w:rsidR="0086038E" w:rsidRDefault="000F1369" w:rsidP="0086038E">
      <w:pPr>
        <w:pStyle w:val="Nivel2SM"/>
      </w:pPr>
      <w:r>
        <w:t>Además, a raíz de la reciente crisis financiera, se está impulsando la elaboración de planes de resolución por las entidades en las que se prevean los pasos a seguir, en primer lugar, para tratar de mantener a flote la entidad (</w:t>
      </w:r>
      <w:proofErr w:type="spellStart"/>
      <w:r>
        <w:rPr>
          <w:i/>
          <w:iCs/>
        </w:rPr>
        <w:t>going</w:t>
      </w:r>
      <w:proofErr w:type="spellEnd"/>
      <w:r>
        <w:rPr>
          <w:i/>
          <w:iCs/>
        </w:rPr>
        <w:t xml:space="preserve"> </w:t>
      </w:r>
      <w:proofErr w:type="spellStart"/>
      <w:r>
        <w:rPr>
          <w:i/>
          <w:iCs/>
        </w:rPr>
        <w:t>concern</w:t>
      </w:r>
      <w:proofErr w:type="spellEnd"/>
      <w:r>
        <w:t>) y, eventualmente, para organizar la disolución ordenada de la misma (</w:t>
      </w:r>
      <w:proofErr w:type="spellStart"/>
      <w:r>
        <w:rPr>
          <w:i/>
          <w:iCs/>
        </w:rPr>
        <w:t>gone</w:t>
      </w:r>
      <w:proofErr w:type="spellEnd"/>
      <w:r>
        <w:rPr>
          <w:i/>
          <w:iCs/>
        </w:rPr>
        <w:t xml:space="preserve"> </w:t>
      </w:r>
      <w:proofErr w:type="spellStart"/>
      <w:r>
        <w:rPr>
          <w:i/>
          <w:iCs/>
        </w:rPr>
        <w:t>concern</w:t>
      </w:r>
      <w:proofErr w:type="spellEnd"/>
      <w:r>
        <w:t>) en caso de que resulte imposible cubrir las necesidades de capital con recursos propios, acudiendo al mercado (ampliaciones de capital, emisiones de deuda) o aplicando pérdidas a los acreedores (</w:t>
      </w:r>
      <w:proofErr w:type="spellStart"/>
      <w:r>
        <w:rPr>
          <w:i/>
          <w:iCs/>
        </w:rPr>
        <w:t>bail</w:t>
      </w:r>
      <w:proofErr w:type="spellEnd"/>
      <w:r>
        <w:rPr>
          <w:i/>
          <w:iCs/>
        </w:rPr>
        <w:t>-in</w:t>
      </w:r>
      <w:r w:rsidRPr="00224E7F">
        <w:rPr>
          <w:rStyle w:val="Refdenotaalpie"/>
        </w:rPr>
        <w:footnoteReference w:id="59"/>
      </w:r>
      <w:r>
        <w:t>).</w:t>
      </w:r>
    </w:p>
    <w:p w14:paraId="2C034ECF" w14:textId="60A83B7E" w:rsidR="00C83833" w:rsidRDefault="00C83833" w:rsidP="00C83833">
      <w:pPr>
        <w:pStyle w:val="Ttulo5"/>
        <w:rPr>
          <w:i w:val="0"/>
          <w:iCs w:val="0"/>
          <w:u w:val="none"/>
        </w:rPr>
      </w:pPr>
      <w:r>
        <w:t>Anexo</w:t>
      </w:r>
      <w:r w:rsidR="00EF1292">
        <w:t> </w:t>
      </w:r>
      <w:r>
        <w:t>4</w:t>
      </w:r>
      <w:r>
        <w:rPr>
          <w:i w:val="0"/>
          <w:iCs w:val="0"/>
          <w:u w:val="none"/>
        </w:rPr>
        <w:t xml:space="preserve">: Aplicación – </w:t>
      </w:r>
      <w:r>
        <w:rPr>
          <w:i w:val="0"/>
          <w:iCs w:val="0"/>
          <w:smallCaps/>
          <w:u w:val="none"/>
        </w:rPr>
        <w:t>Harry Markowitz</w:t>
      </w:r>
      <w:r>
        <w:rPr>
          <w:i w:val="0"/>
          <w:iCs w:val="0"/>
          <w:u w:val="none"/>
        </w:rPr>
        <w:t xml:space="preserve"> y el modelo media-varianza</w:t>
      </w:r>
      <w:r w:rsidR="001E01F0" w:rsidRPr="001E01F0">
        <w:rPr>
          <w:i w:val="0"/>
          <w:iCs w:val="0"/>
          <w:sz w:val="19"/>
          <w:szCs w:val="19"/>
          <w:u w:val="none"/>
        </w:rPr>
        <w:t xml:space="preserve"> [tema 3.B.2</w:t>
      </w:r>
      <w:r w:rsidR="00AE0338">
        <w:rPr>
          <w:i w:val="0"/>
          <w:iCs w:val="0"/>
          <w:sz w:val="19"/>
          <w:szCs w:val="19"/>
          <w:u w:val="none"/>
        </w:rPr>
        <w:t>3</w:t>
      </w:r>
      <w:r w:rsidR="001E01F0" w:rsidRPr="001E01F0">
        <w:rPr>
          <w:i w:val="0"/>
          <w:iCs w:val="0"/>
          <w:sz w:val="19"/>
          <w:szCs w:val="19"/>
          <w:u w:val="none"/>
        </w:rPr>
        <w:t>]</w:t>
      </w:r>
    </w:p>
    <w:p w14:paraId="286E56C3" w14:textId="77777777" w:rsidR="00C83833" w:rsidRPr="0086038E" w:rsidRDefault="00C83833" w:rsidP="0086038E"/>
    <w:sectPr w:rsidR="00C83833" w:rsidRPr="0086038E" w:rsidSect="00D525E5">
      <w:headerReference w:type="even" r:id="rId61"/>
      <w:headerReference w:type="default" r:id="rId62"/>
      <w:footerReference w:type="even" r:id="rId63"/>
      <w:footerReference w:type="default" r:id="rId64"/>
      <w:headerReference w:type="first" r:id="rId65"/>
      <w:footerReference w:type="first" r:id="rId6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F657D" w14:textId="77777777" w:rsidR="00866DF4" w:rsidRDefault="00866DF4" w:rsidP="00B77C0F">
      <w:r>
        <w:separator/>
      </w:r>
    </w:p>
  </w:endnote>
  <w:endnote w:type="continuationSeparator" w:id="0">
    <w:p w14:paraId="181BD1A3" w14:textId="77777777" w:rsidR="00866DF4" w:rsidRDefault="00866DF4"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93DD1" w:rsidRPr="00D525E5" w14:paraId="61E8C1A7" w14:textId="77777777" w:rsidTr="00D97EEA">
      <w:trPr>
        <w:trHeight w:val="138"/>
        <w:jc w:val="center"/>
      </w:trPr>
      <w:tc>
        <w:tcPr>
          <w:tcW w:w="1134" w:type="dxa"/>
          <w:vAlign w:val="center"/>
        </w:tcPr>
        <w:p w14:paraId="6CD9A58C" w14:textId="6F38FEA5" w:rsidR="00393DD1" w:rsidRPr="00D525E5" w:rsidRDefault="00393DD1" w:rsidP="00EF1292">
          <w:pPr>
            <w:pStyle w:val="Encabezado"/>
            <w:tabs>
              <w:tab w:val="clear" w:pos="4252"/>
              <w:tab w:val="clear" w:pos="8504"/>
              <w:tab w:val="right" w:pos="924"/>
              <w:tab w:val="center" w:pos="1310"/>
            </w:tabs>
            <w:spacing w:after="0"/>
            <w:contextualSpacing/>
            <w:rPr>
              <w:i/>
              <w:iCs/>
              <w:color w:val="5F2987"/>
              <w:sz w:val="18"/>
              <w:szCs w:val="18"/>
            </w:rPr>
          </w:pPr>
          <w:r w:rsidRPr="00D525E5">
            <w:rPr>
              <w:b/>
              <w:bCs/>
              <w:i/>
              <w:iCs/>
              <w:color w:val="5F2987"/>
              <w:spacing w:val="-6"/>
              <w:sz w:val="18"/>
              <w:szCs w:val="18"/>
            </w:rPr>
            <w:fldChar w:fldCharType="begin"/>
          </w:r>
          <w:r w:rsidRPr="00D525E5">
            <w:rPr>
              <w:b/>
              <w:bCs/>
              <w:i/>
              <w:iCs/>
              <w:color w:val="5F2987"/>
              <w:spacing w:val="-6"/>
              <w:sz w:val="18"/>
              <w:szCs w:val="18"/>
            </w:rPr>
            <w:instrText>PAGE  \* Arabic  \* MERGEFORMAT</w:instrText>
          </w:r>
          <w:r w:rsidRPr="00D525E5">
            <w:rPr>
              <w:b/>
              <w:bCs/>
              <w:i/>
              <w:iCs/>
              <w:color w:val="5F2987"/>
              <w:spacing w:val="-6"/>
              <w:sz w:val="18"/>
              <w:szCs w:val="18"/>
            </w:rPr>
            <w:fldChar w:fldCharType="separate"/>
          </w:r>
          <w:r w:rsidRPr="00D525E5">
            <w:rPr>
              <w:b/>
              <w:bCs/>
              <w:i/>
              <w:iCs/>
              <w:color w:val="5F2987"/>
              <w:spacing w:val="-6"/>
              <w:sz w:val="18"/>
              <w:szCs w:val="18"/>
            </w:rPr>
            <w:t>8</w:t>
          </w:r>
          <w:r w:rsidRPr="00D525E5">
            <w:rPr>
              <w:b/>
              <w:bCs/>
              <w:i/>
              <w:iCs/>
              <w:color w:val="5F2987"/>
              <w:spacing w:val="-6"/>
              <w:sz w:val="18"/>
              <w:szCs w:val="18"/>
            </w:rPr>
            <w:fldChar w:fldCharType="end"/>
          </w:r>
          <w:r w:rsidRPr="00D525E5">
            <w:rPr>
              <w:b/>
              <w:bCs/>
              <w:i/>
              <w:iCs/>
              <w:color w:val="5F2987"/>
              <w:spacing w:val="-6"/>
              <w:sz w:val="18"/>
              <w:szCs w:val="18"/>
            </w:rPr>
            <w:t>/</w:t>
          </w:r>
          <w:r w:rsidRPr="00D525E5">
            <w:rPr>
              <w:b/>
              <w:bCs/>
              <w:i/>
              <w:iCs/>
              <w:color w:val="5F2987"/>
              <w:spacing w:val="-6"/>
              <w:sz w:val="18"/>
              <w:szCs w:val="18"/>
            </w:rPr>
            <w:fldChar w:fldCharType="begin"/>
          </w:r>
          <w:r w:rsidRPr="00D525E5">
            <w:rPr>
              <w:b/>
              <w:bCs/>
              <w:i/>
              <w:iCs/>
              <w:color w:val="5F2987"/>
              <w:spacing w:val="-6"/>
              <w:sz w:val="18"/>
              <w:szCs w:val="18"/>
            </w:rPr>
            <w:instrText>NUMPAGES  \* Arabic  \* MERGEFORMAT</w:instrText>
          </w:r>
          <w:r w:rsidRPr="00D525E5">
            <w:rPr>
              <w:b/>
              <w:bCs/>
              <w:i/>
              <w:iCs/>
              <w:color w:val="5F2987"/>
              <w:spacing w:val="-6"/>
              <w:sz w:val="18"/>
              <w:szCs w:val="18"/>
            </w:rPr>
            <w:fldChar w:fldCharType="separate"/>
          </w:r>
          <w:r w:rsidRPr="00D525E5">
            <w:rPr>
              <w:b/>
              <w:bCs/>
              <w:i/>
              <w:iCs/>
              <w:color w:val="5F2987"/>
              <w:spacing w:val="-6"/>
              <w:sz w:val="18"/>
              <w:szCs w:val="18"/>
            </w:rPr>
            <w:t>11</w:t>
          </w:r>
          <w:r w:rsidRPr="00D525E5">
            <w:rPr>
              <w:b/>
              <w:bCs/>
              <w:i/>
              <w:iCs/>
              <w:color w:val="5F2987"/>
              <w:spacing w:val="-6"/>
              <w:sz w:val="18"/>
              <w:szCs w:val="18"/>
            </w:rPr>
            <w:fldChar w:fldCharType="end"/>
          </w:r>
        </w:p>
      </w:tc>
      <w:tc>
        <w:tcPr>
          <w:tcW w:w="7088" w:type="dxa"/>
          <w:vAlign w:val="center"/>
        </w:tcPr>
        <w:p w14:paraId="74B0DB6D" w14:textId="77777777" w:rsidR="00393DD1" w:rsidRPr="00D525E5" w:rsidRDefault="00393DD1" w:rsidP="00EF1292">
          <w:pPr>
            <w:pStyle w:val="Encabezado"/>
            <w:spacing w:after="0"/>
            <w:ind w:right="-110"/>
            <w:contextualSpacing/>
            <w:jc w:val="center"/>
            <w:rPr>
              <w:i/>
              <w:iCs/>
              <w:color w:val="5F2987"/>
              <w:sz w:val="18"/>
              <w:szCs w:val="18"/>
            </w:rPr>
          </w:pPr>
        </w:p>
      </w:tc>
      <w:tc>
        <w:tcPr>
          <w:tcW w:w="2551" w:type="dxa"/>
          <w:vAlign w:val="center"/>
        </w:tcPr>
        <w:p w14:paraId="3FDED045" w14:textId="77777777" w:rsidR="00393DD1" w:rsidRPr="00D525E5" w:rsidRDefault="00393DD1" w:rsidP="00EF1292">
          <w:pPr>
            <w:pStyle w:val="Encabezado"/>
            <w:spacing w:after="0"/>
            <w:contextualSpacing/>
            <w:jc w:val="right"/>
            <w:rPr>
              <w:b/>
              <w:bCs/>
              <w:i/>
              <w:iCs/>
              <w:color w:val="5F2987"/>
              <w:spacing w:val="-6"/>
              <w:sz w:val="18"/>
              <w:szCs w:val="18"/>
            </w:rPr>
          </w:pPr>
        </w:p>
      </w:tc>
    </w:tr>
  </w:tbl>
  <w:p w14:paraId="56F70679" w14:textId="77777777" w:rsidR="00B70943" w:rsidRPr="009C61AF" w:rsidRDefault="00B70943" w:rsidP="00EF1292">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D525E5" w14:paraId="5C8D4DE4" w14:textId="77777777" w:rsidTr="00837B5A">
      <w:trPr>
        <w:trHeight w:val="138"/>
        <w:jc w:val="center"/>
      </w:trPr>
      <w:tc>
        <w:tcPr>
          <w:tcW w:w="1134" w:type="dxa"/>
          <w:vAlign w:val="center"/>
        </w:tcPr>
        <w:p w14:paraId="316C1922" w14:textId="52ABB666" w:rsidR="00837B5A" w:rsidRPr="00D525E5" w:rsidRDefault="00837B5A" w:rsidP="00EF129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B0D06D2" w14:textId="77777777" w:rsidR="00837B5A" w:rsidRPr="00D525E5" w:rsidRDefault="00837B5A" w:rsidP="00EF1292">
          <w:pPr>
            <w:pStyle w:val="Encabezado"/>
            <w:spacing w:after="0"/>
            <w:ind w:right="-110"/>
            <w:contextualSpacing/>
            <w:jc w:val="center"/>
            <w:rPr>
              <w:i/>
              <w:iCs/>
              <w:color w:val="5F2987"/>
              <w:sz w:val="18"/>
              <w:szCs w:val="18"/>
            </w:rPr>
          </w:pPr>
        </w:p>
      </w:tc>
      <w:tc>
        <w:tcPr>
          <w:tcW w:w="2551" w:type="dxa"/>
          <w:vAlign w:val="center"/>
        </w:tcPr>
        <w:p w14:paraId="5DCB551E" w14:textId="77777777" w:rsidR="00837B5A" w:rsidRPr="00D525E5" w:rsidRDefault="00837B5A" w:rsidP="00EF1292">
          <w:pPr>
            <w:pStyle w:val="Encabezado"/>
            <w:spacing w:after="0"/>
            <w:contextualSpacing/>
            <w:jc w:val="right"/>
            <w:rPr>
              <w:b/>
              <w:bCs/>
              <w:i/>
              <w:iCs/>
              <w:color w:val="5F2987"/>
              <w:spacing w:val="-6"/>
              <w:sz w:val="18"/>
              <w:szCs w:val="18"/>
            </w:rPr>
          </w:pPr>
          <w:r w:rsidRPr="00D525E5">
            <w:rPr>
              <w:b/>
              <w:bCs/>
              <w:i/>
              <w:iCs/>
              <w:color w:val="5F2987"/>
              <w:spacing w:val="-6"/>
              <w:sz w:val="18"/>
              <w:szCs w:val="18"/>
            </w:rPr>
            <w:fldChar w:fldCharType="begin"/>
          </w:r>
          <w:r w:rsidRPr="00D525E5">
            <w:rPr>
              <w:b/>
              <w:bCs/>
              <w:i/>
              <w:iCs/>
              <w:color w:val="5F2987"/>
              <w:spacing w:val="-6"/>
              <w:sz w:val="18"/>
              <w:szCs w:val="18"/>
            </w:rPr>
            <w:instrText>PAGE  \* Arabic  \* MERGEFORMAT</w:instrText>
          </w:r>
          <w:r w:rsidRPr="00D525E5">
            <w:rPr>
              <w:b/>
              <w:bCs/>
              <w:i/>
              <w:iCs/>
              <w:color w:val="5F2987"/>
              <w:spacing w:val="-6"/>
              <w:sz w:val="18"/>
              <w:szCs w:val="18"/>
            </w:rPr>
            <w:fldChar w:fldCharType="separate"/>
          </w:r>
          <w:r w:rsidRPr="00D525E5">
            <w:rPr>
              <w:b/>
              <w:bCs/>
              <w:i/>
              <w:iCs/>
              <w:color w:val="5F2987"/>
              <w:spacing w:val="-6"/>
              <w:sz w:val="18"/>
              <w:szCs w:val="18"/>
            </w:rPr>
            <w:t>1</w:t>
          </w:r>
          <w:r w:rsidRPr="00D525E5">
            <w:rPr>
              <w:b/>
              <w:bCs/>
              <w:i/>
              <w:iCs/>
              <w:color w:val="5F2987"/>
              <w:spacing w:val="-6"/>
              <w:sz w:val="18"/>
              <w:szCs w:val="18"/>
            </w:rPr>
            <w:fldChar w:fldCharType="end"/>
          </w:r>
          <w:r w:rsidRPr="00D525E5">
            <w:rPr>
              <w:b/>
              <w:bCs/>
              <w:i/>
              <w:iCs/>
              <w:color w:val="5F2987"/>
              <w:spacing w:val="-6"/>
              <w:sz w:val="18"/>
              <w:szCs w:val="18"/>
            </w:rPr>
            <w:t>/</w:t>
          </w:r>
          <w:r w:rsidRPr="00D525E5">
            <w:rPr>
              <w:b/>
              <w:bCs/>
              <w:i/>
              <w:iCs/>
              <w:color w:val="5F2987"/>
              <w:spacing w:val="-6"/>
              <w:sz w:val="18"/>
              <w:szCs w:val="18"/>
            </w:rPr>
            <w:fldChar w:fldCharType="begin"/>
          </w:r>
          <w:r w:rsidRPr="00D525E5">
            <w:rPr>
              <w:b/>
              <w:bCs/>
              <w:i/>
              <w:iCs/>
              <w:color w:val="5F2987"/>
              <w:spacing w:val="-6"/>
              <w:sz w:val="18"/>
              <w:szCs w:val="18"/>
            </w:rPr>
            <w:instrText>NUMPAGES  \* Arabic  \* MERGEFORMAT</w:instrText>
          </w:r>
          <w:r w:rsidRPr="00D525E5">
            <w:rPr>
              <w:b/>
              <w:bCs/>
              <w:i/>
              <w:iCs/>
              <w:color w:val="5F2987"/>
              <w:spacing w:val="-6"/>
              <w:sz w:val="18"/>
              <w:szCs w:val="18"/>
            </w:rPr>
            <w:fldChar w:fldCharType="separate"/>
          </w:r>
          <w:r w:rsidRPr="00D525E5">
            <w:rPr>
              <w:b/>
              <w:bCs/>
              <w:i/>
              <w:iCs/>
              <w:color w:val="5F2987"/>
              <w:spacing w:val="-6"/>
              <w:sz w:val="18"/>
              <w:szCs w:val="18"/>
            </w:rPr>
            <w:t>2</w:t>
          </w:r>
          <w:r w:rsidRPr="00D525E5">
            <w:rPr>
              <w:b/>
              <w:bCs/>
              <w:i/>
              <w:iCs/>
              <w:color w:val="5F2987"/>
              <w:spacing w:val="-6"/>
              <w:sz w:val="18"/>
              <w:szCs w:val="18"/>
            </w:rPr>
            <w:fldChar w:fldCharType="end"/>
          </w:r>
        </w:p>
      </w:tc>
    </w:tr>
  </w:tbl>
  <w:p w14:paraId="33F2168B" w14:textId="77777777" w:rsidR="00C81078" w:rsidRPr="009C61AF" w:rsidRDefault="00C81078" w:rsidP="00EF1292">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D525E5" w14:paraId="49ABF379" w14:textId="77777777" w:rsidTr="00D97EEA">
      <w:trPr>
        <w:trHeight w:val="138"/>
        <w:jc w:val="center"/>
      </w:trPr>
      <w:tc>
        <w:tcPr>
          <w:tcW w:w="1134" w:type="dxa"/>
          <w:vAlign w:val="center"/>
        </w:tcPr>
        <w:p w14:paraId="453099D9" w14:textId="77777777" w:rsidR="00BE1B62" w:rsidRPr="00D525E5" w:rsidRDefault="00BE1B62" w:rsidP="00EF129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48AE701" w14:textId="77777777" w:rsidR="00BE1B62" w:rsidRPr="00D525E5" w:rsidRDefault="00BE1B62" w:rsidP="00EF1292">
          <w:pPr>
            <w:pStyle w:val="Encabezado"/>
            <w:spacing w:after="0"/>
            <w:ind w:right="-110"/>
            <w:contextualSpacing/>
            <w:jc w:val="center"/>
            <w:rPr>
              <w:i/>
              <w:iCs/>
              <w:color w:val="5F2987"/>
              <w:sz w:val="18"/>
              <w:szCs w:val="18"/>
            </w:rPr>
          </w:pPr>
        </w:p>
      </w:tc>
      <w:tc>
        <w:tcPr>
          <w:tcW w:w="2551" w:type="dxa"/>
          <w:vAlign w:val="center"/>
        </w:tcPr>
        <w:p w14:paraId="0FCD1504" w14:textId="77777777" w:rsidR="00BE1B62" w:rsidRPr="00D525E5" w:rsidRDefault="00BE1B62" w:rsidP="00EF1292">
          <w:pPr>
            <w:pStyle w:val="Encabezado"/>
            <w:spacing w:after="0"/>
            <w:contextualSpacing/>
            <w:jc w:val="right"/>
            <w:rPr>
              <w:b/>
              <w:bCs/>
              <w:i/>
              <w:iCs/>
              <w:color w:val="5F2987"/>
              <w:spacing w:val="-6"/>
              <w:sz w:val="18"/>
              <w:szCs w:val="18"/>
            </w:rPr>
          </w:pPr>
          <w:r w:rsidRPr="00D525E5">
            <w:rPr>
              <w:b/>
              <w:bCs/>
              <w:i/>
              <w:iCs/>
              <w:color w:val="5F2987"/>
              <w:spacing w:val="-6"/>
              <w:sz w:val="18"/>
              <w:szCs w:val="18"/>
            </w:rPr>
            <w:fldChar w:fldCharType="begin"/>
          </w:r>
          <w:r w:rsidRPr="00D525E5">
            <w:rPr>
              <w:b/>
              <w:bCs/>
              <w:i/>
              <w:iCs/>
              <w:color w:val="5F2987"/>
              <w:spacing w:val="-6"/>
              <w:sz w:val="18"/>
              <w:szCs w:val="18"/>
            </w:rPr>
            <w:instrText>PAGE  \* Arabic  \* MERGEFORMAT</w:instrText>
          </w:r>
          <w:r w:rsidRPr="00D525E5">
            <w:rPr>
              <w:b/>
              <w:bCs/>
              <w:i/>
              <w:iCs/>
              <w:color w:val="5F2987"/>
              <w:spacing w:val="-6"/>
              <w:sz w:val="18"/>
              <w:szCs w:val="18"/>
            </w:rPr>
            <w:fldChar w:fldCharType="separate"/>
          </w:r>
          <w:r w:rsidRPr="00D525E5">
            <w:rPr>
              <w:b/>
              <w:bCs/>
              <w:i/>
              <w:iCs/>
              <w:color w:val="5F2987"/>
              <w:spacing w:val="-6"/>
              <w:sz w:val="18"/>
              <w:szCs w:val="18"/>
            </w:rPr>
            <w:t>1</w:t>
          </w:r>
          <w:r w:rsidRPr="00D525E5">
            <w:rPr>
              <w:b/>
              <w:bCs/>
              <w:i/>
              <w:iCs/>
              <w:color w:val="5F2987"/>
              <w:spacing w:val="-6"/>
              <w:sz w:val="18"/>
              <w:szCs w:val="18"/>
            </w:rPr>
            <w:fldChar w:fldCharType="end"/>
          </w:r>
          <w:r w:rsidRPr="00D525E5">
            <w:rPr>
              <w:b/>
              <w:bCs/>
              <w:i/>
              <w:iCs/>
              <w:color w:val="5F2987"/>
              <w:spacing w:val="-6"/>
              <w:sz w:val="18"/>
              <w:szCs w:val="18"/>
            </w:rPr>
            <w:t>/</w:t>
          </w:r>
          <w:r w:rsidRPr="00D525E5">
            <w:rPr>
              <w:b/>
              <w:bCs/>
              <w:i/>
              <w:iCs/>
              <w:color w:val="5F2987"/>
              <w:spacing w:val="-6"/>
              <w:sz w:val="18"/>
              <w:szCs w:val="18"/>
            </w:rPr>
            <w:fldChar w:fldCharType="begin"/>
          </w:r>
          <w:r w:rsidRPr="00D525E5">
            <w:rPr>
              <w:b/>
              <w:bCs/>
              <w:i/>
              <w:iCs/>
              <w:color w:val="5F2987"/>
              <w:spacing w:val="-6"/>
              <w:sz w:val="18"/>
              <w:szCs w:val="18"/>
            </w:rPr>
            <w:instrText>NUMPAGES  \* Arabic  \* MERGEFORMAT</w:instrText>
          </w:r>
          <w:r w:rsidRPr="00D525E5">
            <w:rPr>
              <w:b/>
              <w:bCs/>
              <w:i/>
              <w:iCs/>
              <w:color w:val="5F2987"/>
              <w:spacing w:val="-6"/>
              <w:sz w:val="18"/>
              <w:szCs w:val="18"/>
            </w:rPr>
            <w:fldChar w:fldCharType="separate"/>
          </w:r>
          <w:r w:rsidRPr="00D525E5">
            <w:rPr>
              <w:b/>
              <w:bCs/>
              <w:i/>
              <w:iCs/>
              <w:color w:val="5F2987"/>
              <w:spacing w:val="-6"/>
              <w:sz w:val="18"/>
              <w:szCs w:val="18"/>
            </w:rPr>
            <w:t>2</w:t>
          </w:r>
          <w:r w:rsidRPr="00D525E5">
            <w:rPr>
              <w:b/>
              <w:bCs/>
              <w:i/>
              <w:iCs/>
              <w:color w:val="5F2987"/>
              <w:spacing w:val="-6"/>
              <w:sz w:val="18"/>
              <w:szCs w:val="18"/>
            </w:rPr>
            <w:fldChar w:fldCharType="end"/>
          </w:r>
        </w:p>
      </w:tc>
    </w:tr>
  </w:tbl>
  <w:p w14:paraId="64A84B90" w14:textId="77777777" w:rsidR="002756C0" w:rsidRPr="00BE1B62" w:rsidRDefault="002756C0" w:rsidP="00EF1292">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AAD7D" w14:textId="77777777" w:rsidR="00866DF4" w:rsidRPr="00417327" w:rsidRDefault="00866DF4" w:rsidP="00417327">
      <w:pPr>
        <w:spacing w:after="0" w:line="240" w:lineRule="auto"/>
        <w:rPr>
          <w:sz w:val="16"/>
          <w:szCs w:val="16"/>
        </w:rPr>
      </w:pPr>
      <w:r w:rsidRPr="00417327">
        <w:rPr>
          <w:sz w:val="16"/>
          <w:szCs w:val="16"/>
        </w:rPr>
        <w:separator/>
      </w:r>
    </w:p>
  </w:footnote>
  <w:footnote w:type="continuationSeparator" w:id="0">
    <w:p w14:paraId="1DD77B0C" w14:textId="77777777" w:rsidR="00866DF4" w:rsidRPr="001D294F" w:rsidRDefault="00866DF4" w:rsidP="001D294F">
      <w:pPr>
        <w:spacing w:after="0" w:line="240" w:lineRule="auto"/>
        <w:rPr>
          <w:sz w:val="16"/>
          <w:szCs w:val="16"/>
        </w:rPr>
      </w:pPr>
      <w:r w:rsidRPr="001D294F">
        <w:rPr>
          <w:sz w:val="16"/>
          <w:szCs w:val="16"/>
        </w:rPr>
        <w:continuationSeparator/>
      </w:r>
    </w:p>
  </w:footnote>
  <w:footnote w:type="continuationNotice" w:id="1">
    <w:p w14:paraId="610CE51C" w14:textId="77777777" w:rsidR="00866DF4" w:rsidRPr="001D294F" w:rsidRDefault="00866DF4" w:rsidP="001D294F">
      <w:pPr>
        <w:spacing w:after="0" w:line="192" w:lineRule="auto"/>
        <w:jc w:val="right"/>
        <w:rPr>
          <w:rFonts w:ascii="Arial" w:eastAsia="Times New Roman" w:hAnsi="Arial" w:cs="Arial"/>
          <w:color w:val="202122"/>
          <w:sz w:val="16"/>
          <w:szCs w:val="16"/>
          <w:lang w:eastAsia="es-ES"/>
        </w:rPr>
      </w:pPr>
      <w:r w:rsidRPr="001D294F">
        <w:rPr>
          <w:rFonts w:ascii="Cambria Math" w:eastAsia="Times New Roman" w:hAnsi="Cambria Math" w:cs="Cambria Math"/>
          <w:color w:val="202122"/>
          <w:sz w:val="16"/>
          <w:szCs w:val="16"/>
          <w:lang w:eastAsia="es-ES"/>
        </w:rPr>
        <w:t>↪</w:t>
      </w:r>
    </w:p>
  </w:footnote>
  <w:footnote w:id="2">
    <w:p w14:paraId="796C561E" w14:textId="77777777" w:rsidR="003D4493" w:rsidRDefault="003D4493" w:rsidP="003D4493">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3184F9F3" w14:textId="13D72C84" w:rsidR="00807525" w:rsidRDefault="00807525" w:rsidP="00807525">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40D386A4" w14:textId="0DE10E62" w:rsidR="00875C55" w:rsidRPr="00446C0D" w:rsidRDefault="00875C55" w:rsidP="00807525">
      <w:pPr>
        <w:pStyle w:val="Textonotapie"/>
      </w:pPr>
      <w:r>
        <w:t>Además, la microeconomía también estudia a otros agentes como las instituciones financieras o el Estado.</w:t>
      </w:r>
    </w:p>
  </w:footnote>
  <w:footnote w:id="4">
    <w:p w14:paraId="0488A38B" w14:textId="014DEF7A" w:rsidR="007D6B0E" w:rsidRDefault="007D6B0E">
      <w:pPr>
        <w:pStyle w:val="Textonotapie"/>
      </w:pPr>
      <w:r>
        <w:rPr>
          <w:rStyle w:val="Refdenotaalpie"/>
        </w:rPr>
        <w:footnoteRef/>
      </w:r>
      <w:r>
        <w:t xml:space="preserve"> En su </w:t>
      </w:r>
      <w:r>
        <w:rPr>
          <w:i/>
          <w:iCs/>
        </w:rPr>
        <w:t>Teoría de los Juegos y del Comportamiento Económico</w:t>
      </w:r>
      <w:r>
        <w:t xml:space="preserve">, publicada en 1994, </w:t>
      </w:r>
      <w:r>
        <w:rPr>
          <w:smallCaps/>
        </w:rPr>
        <w:t xml:space="preserve">John </w:t>
      </w:r>
      <w:r w:rsidR="00084BF4">
        <w:rPr>
          <w:smallCaps/>
        </w:rPr>
        <w:t>von Neumann</w:t>
      </w:r>
      <w:r>
        <w:t xml:space="preserve"> y </w:t>
      </w:r>
      <w:r>
        <w:rPr>
          <w:smallCaps/>
        </w:rPr>
        <w:t>Oskar Morgenstern</w:t>
      </w:r>
      <w:r>
        <w:t xml:space="preserve"> analizaban los gustos de una persona sobre </w:t>
      </w:r>
      <w:r w:rsidR="0046428D">
        <w:t>3 </w:t>
      </w:r>
      <w:r>
        <w:t>bebidas (lech</w:t>
      </w:r>
      <w:r w:rsidR="00711D75">
        <w:t>e</w:t>
      </w:r>
      <w:r>
        <w:t>, café y té). Para simplificar, olvidémonos de la leche y supongamos que, como buen americano, nuestro sujeto prefiere el café al té. Ahora bien, ¿cuánto más?</w:t>
      </w:r>
      <w:r w:rsidR="001C590B">
        <w:t xml:space="preserve"> P</w:t>
      </w:r>
      <w:r>
        <w:t xml:space="preserve">ara saberlo, </w:t>
      </w:r>
      <w:r w:rsidR="00084BF4">
        <w:rPr>
          <w:smallCaps/>
        </w:rPr>
        <w:t>von Neumann</w:t>
      </w:r>
      <w:r>
        <w:t xml:space="preserve"> y </w:t>
      </w:r>
      <w:r>
        <w:rPr>
          <w:smallCaps/>
        </w:rPr>
        <w:t>Morgenstern</w:t>
      </w:r>
      <w:r>
        <w:t xml:space="preserve"> propusieron preguntarle si prefería una taza de té segura o, como alternativa, una taza de café con cierta probabilidad </w:t>
      </w:r>
      <w:r w:rsidRPr="00A1205D">
        <w:rPr>
          <w:i/>
          <w:iCs/>
        </w:rPr>
        <w:t>X</w:t>
      </w:r>
      <w:r>
        <w:t>. Si, por ejemplo, el individuo se mostraba indiferente entre ambas alternativas cuando la probabilidad de tomar café era del 50</w:t>
      </w:r>
      <w:r w:rsidR="001C590B">
        <w:t> </w:t>
      </w:r>
      <w:r>
        <w:t xml:space="preserve">%, </w:t>
      </w:r>
      <w:r w:rsidR="00084BF4">
        <w:rPr>
          <w:smallCaps/>
        </w:rPr>
        <w:t>von Neumann</w:t>
      </w:r>
      <w:r>
        <w:t xml:space="preserve"> y </w:t>
      </w:r>
      <w:r>
        <w:rPr>
          <w:smallCaps/>
        </w:rPr>
        <w:t>Morgenstern</w:t>
      </w:r>
      <w:r>
        <w:t xml:space="preserve"> concluían que la utilidad del café era el doble que la del té. Mediante ese método comparativo se podía calcular una función de utilidad para cada sujeto, que atribuyera un valor numérico al disfrute conseguido con sucesivas cantidades de casa bien. Calculada esa función de utilidad, para escoger entre alternativas el sujeto compararía la utilidad esperada de cada alternativa –es decir, multiplicaría la utilidad de cada alternativa por su probabilidad– y elegiría aquella que la tuviera más alta. Nacía así la llamada </w:t>
      </w:r>
      <w:r w:rsidRPr="00935CDC">
        <w:rPr>
          <w:i/>
          <w:iCs/>
        </w:rPr>
        <w:t>Teoría de la Utilidad Esperada</w:t>
      </w:r>
      <w:r>
        <w:t xml:space="preserve"> (TUE).</w:t>
      </w:r>
    </w:p>
    <w:p w14:paraId="794B0C7B" w14:textId="1C673DCD" w:rsidR="007D6B0E" w:rsidRDefault="007D6B0E">
      <w:pPr>
        <w:pStyle w:val="Textonotapie"/>
      </w:pPr>
      <w:r w:rsidRPr="007D6B0E">
        <w:t xml:space="preserve">Como </w:t>
      </w:r>
      <w:r w:rsidR="00A1205D">
        <w:t>base</w:t>
      </w:r>
      <w:r w:rsidRPr="007D6B0E">
        <w:t xml:space="preserve"> de la nueva teoría se enunciaron diversos axiomas, parecidos a los de la teoría tradicional de la utilidad.</w:t>
      </w:r>
      <w:r>
        <w:t xml:space="preserve"> La TUE se formuló no sólo como canon de racionalidad, sino también como expresión razonable de cómo la gente se comporta en la práctica.</w:t>
      </w:r>
    </w:p>
    <w:p w14:paraId="41DCDE86" w14:textId="00B8DC01" w:rsidR="007D6B0E" w:rsidRDefault="007D6B0E" w:rsidP="007D6B0E">
      <w:pPr>
        <w:pStyle w:val="Textonotapie"/>
      </w:pPr>
      <w:r>
        <w:t xml:space="preserve">Pero ya en 1953, un economista francés, </w:t>
      </w:r>
      <w:r>
        <w:rPr>
          <w:smallCaps/>
        </w:rPr>
        <w:t>Maurice Allais</w:t>
      </w:r>
      <w:r>
        <w:t xml:space="preserve"> –más tarde Premio Nobel de Economía– alegó que algunos axiomas de la TUE no eran realistas. Tras varios experimentos con sus colegas de la Sorbona, </w:t>
      </w:r>
      <w:r>
        <w:rPr>
          <w:smallCaps/>
        </w:rPr>
        <w:t>Allais</w:t>
      </w:r>
      <w:r>
        <w:t xml:space="preserve"> presentó diversos ejemplos que confirmaban que nuestra reacción frente a una variación de la probabilidad del 1</w:t>
      </w:r>
      <w:r w:rsidR="00A67D89">
        <w:t> </w:t>
      </w:r>
      <w:r>
        <w:t>% es muy distinta si pasamos del 99</w:t>
      </w:r>
      <w:r w:rsidR="00A67D89">
        <w:t> </w:t>
      </w:r>
      <w:r>
        <w:t>% al 100</w:t>
      </w:r>
      <w:r w:rsidR="00A67D89">
        <w:t> </w:t>
      </w:r>
      <w:r>
        <w:t>% que, si pasamos, digamos, del 20% al 21</w:t>
      </w:r>
      <w:r w:rsidR="00A67D89">
        <w:t> </w:t>
      </w:r>
      <w:r>
        <w:t>% y demostró que es</w:t>
      </w:r>
      <w:r w:rsidR="00A8551A">
        <w:t>e</w:t>
      </w:r>
      <w:r>
        <w:t xml:space="preserve"> </w:t>
      </w:r>
      <w:r>
        <w:rPr>
          <w:i/>
          <w:iCs/>
        </w:rPr>
        <w:t>efecto certeza</w:t>
      </w:r>
      <w:r>
        <w:t xml:space="preserve"> no es compatible con el axioma de independencia. Como veremos más adelante, en el mundo real, la </w:t>
      </w:r>
      <w:r>
        <w:rPr>
          <w:i/>
          <w:iCs/>
        </w:rPr>
        <w:t>paradoja de Allais</w:t>
      </w:r>
      <w:r>
        <w:t xml:space="preserve"> se manifiesta en la alarma social que suelen crear algunos riesgos remotos pero nuevos.</w:t>
      </w:r>
    </w:p>
    <w:p w14:paraId="73A190AF" w14:textId="46DB6321" w:rsidR="007D6B0E" w:rsidRDefault="007D6B0E">
      <w:pPr>
        <w:pStyle w:val="Textonotapie"/>
      </w:pPr>
      <w:r w:rsidRPr="008C5AA6">
        <w:t xml:space="preserve">En 1961, </w:t>
      </w:r>
      <w:r w:rsidRPr="008C5AA6">
        <w:rPr>
          <w:smallCaps/>
        </w:rPr>
        <w:t>Daniel Ellsberg</w:t>
      </w:r>
      <w:r w:rsidRPr="008C5AA6">
        <w:t>, un economista americ</w:t>
      </w:r>
      <w:r>
        <w:t xml:space="preserve">ano que trabajó para la Administración Kennedy, enunció otra tendencia en nuestras decisiones que no cuadra con la TUE: cuando tenemos que elegir entre diversas alternativas, rehuimos instintivamente de aquéllas en las que las probabilidades no están claras y nos inclinamos por aquellas en que están bien definidas. Aunque no es posible demostrarlo aquí, esa </w:t>
      </w:r>
      <w:r>
        <w:rPr>
          <w:i/>
          <w:iCs/>
        </w:rPr>
        <w:t>aversión a la ambigüedad</w:t>
      </w:r>
      <w:r>
        <w:t xml:space="preserve"> resulta también contraria al axioma de independencia. Algunos atribuyen a la </w:t>
      </w:r>
      <w:r>
        <w:rPr>
          <w:i/>
          <w:iCs/>
        </w:rPr>
        <w:t>paradoja de Ellsberg</w:t>
      </w:r>
      <w:r>
        <w:t xml:space="preserve"> la sorprendente reticencia de muchos inversores institucionales sofisticados a invertir en activos extranjeros (</w:t>
      </w:r>
      <w:r>
        <w:rPr>
          <w:i/>
          <w:iCs/>
        </w:rPr>
        <w:t xml:space="preserve">home </w:t>
      </w:r>
      <w:proofErr w:type="spellStart"/>
      <w:r>
        <w:rPr>
          <w:i/>
          <w:iCs/>
        </w:rPr>
        <w:t>bias</w:t>
      </w:r>
      <w:proofErr w:type="spellEnd"/>
      <w:r>
        <w:t>)</w:t>
      </w:r>
      <w:r w:rsidR="005D6842">
        <w:t>, o</w:t>
      </w:r>
      <w:r>
        <w:t>tros ven en ella el motivo del rechazo visceral que muchos inverso</w:t>
      </w:r>
      <w:r w:rsidR="005D6842">
        <w:t>res</w:t>
      </w:r>
      <w:r>
        <w:t xml:space="preserve"> sienten por los activos de renta variable.</w:t>
      </w:r>
    </w:p>
  </w:footnote>
  <w:footnote w:id="5">
    <w:p w14:paraId="2305EA0A" w14:textId="711A8EA2" w:rsidR="00373956" w:rsidRDefault="00373956">
      <w:pPr>
        <w:pStyle w:val="Textonotapie"/>
      </w:pPr>
      <w:r>
        <w:rPr>
          <w:rStyle w:val="Refdenotaalpie"/>
        </w:rPr>
        <w:footnoteRef/>
      </w:r>
      <w:r>
        <w:t xml:space="preserve"> </w:t>
      </w:r>
      <w:r w:rsidRPr="00373956">
        <w:rPr>
          <w:smallCaps/>
        </w:rPr>
        <w:t>Maurice Allais</w:t>
      </w:r>
      <w:r>
        <w:t xml:space="preserve"> fue galardonado con el Premio Nobel de Economía en 1988 </w:t>
      </w:r>
      <w:r w:rsidRPr="00373956">
        <w:t>«Por sus contribuciones a la teoría de los mercados y la eficiente utilización de los recursos».</w:t>
      </w:r>
    </w:p>
  </w:footnote>
  <w:footnote w:id="6">
    <w:p w14:paraId="4F614004" w14:textId="10E16542" w:rsidR="000838B0" w:rsidRDefault="000838B0" w:rsidP="000838B0">
      <w:pPr>
        <w:pStyle w:val="Textonotapie"/>
      </w:pPr>
      <w:r>
        <w:rPr>
          <w:rStyle w:val="Refdenotaalpie"/>
        </w:rPr>
        <w:footnoteRef/>
      </w:r>
      <w:r>
        <w:t xml:space="preserve"> </w:t>
      </w:r>
      <w:r>
        <w:rPr>
          <w:smallCaps/>
        </w:rPr>
        <w:t>Daniel Kahneman</w:t>
      </w:r>
      <w:r>
        <w:t xml:space="preserve"> fue galardonado con el Premio Nobel de Economía en 2002 junto con </w:t>
      </w:r>
      <w:r>
        <w:rPr>
          <w:smallCaps/>
        </w:rPr>
        <w:t>Vernon Smith</w:t>
      </w:r>
      <w:r>
        <w:t xml:space="preserve"> </w:t>
      </w:r>
      <w:r w:rsidRPr="000838B0">
        <w:t>«Por integrar aspectos de la teoría psicológica sobre el comportamiento económico del ser humano en momentos de incertidumbre y realizar análisis empíricos de laboratorio, especialmente sobre mecanismos alternativos de mercado».</w:t>
      </w:r>
    </w:p>
  </w:footnote>
  <w:footnote w:id="7">
    <w:p w14:paraId="64D02264" w14:textId="4CEBD4C3" w:rsidR="00BD00E1" w:rsidRDefault="00BD00E1" w:rsidP="00B71378">
      <w:pPr>
        <w:pStyle w:val="Textonotapie"/>
        <w:keepNext/>
        <w:spacing w:after="0"/>
      </w:pPr>
      <w:r>
        <w:rPr>
          <w:rStyle w:val="Refdenotaalpie"/>
        </w:rPr>
        <w:footnoteRef/>
      </w:r>
      <w:r>
        <w:t xml:space="preserve"> De ahí la leve diferencia en cómo se fórmula el problema bajo riesgo a como se plantea bajo competencia perfecta </w:t>
      </w:r>
      <w:r w:rsidR="00F64BBA" w:rsidRPr="00F64BBA">
        <w:rPr>
          <w:color w:val="767171" w:themeColor="background2" w:themeShade="80"/>
          <w:sz w:val="14"/>
          <w:szCs w:val="14"/>
        </w:rPr>
        <w:t>[</w:t>
      </w:r>
      <w:r w:rsidR="004B62DD">
        <w:rPr>
          <w:color w:val="767171" w:themeColor="background2" w:themeShade="80"/>
          <w:sz w:val="14"/>
          <w:szCs w:val="14"/>
        </w:rPr>
        <w:t xml:space="preserve">Ver tema </w:t>
      </w:r>
      <w:r w:rsidRPr="00F64BBA">
        <w:rPr>
          <w:color w:val="767171" w:themeColor="background2" w:themeShade="80"/>
          <w:sz w:val="14"/>
          <w:szCs w:val="14"/>
        </w:rPr>
        <w:t>3.A.</w:t>
      </w:r>
      <w:r w:rsidR="00AE0338">
        <w:rPr>
          <w:color w:val="767171" w:themeColor="background2" w:themeShade="80"/>
          <w:sz w:val="14"/>
          <w:szCs w:val="14"/>
        </w:rPr>
        <w:t>8</w:t>
      </w:r>
      <w:r w:rsidR="00F64BBA" w:rsidRPr="00F64BBA">
        <w:rPr>
          <w:color w:val="767171" w:themeColor="background2" w:themeShade="80"/>
          <w:sz w:val="14"/>
          <w:szCs w:val="14"/>
        </w:rPr>
        <w:t>]</w:t>
      </w:r>
      <w:r>
        <w:t>:</w:t>
      </w:r>
    </w:p>
    <w:p w14:paraId="48BB97D4" w14:textId="10D60B75" w:rsidR="00432267" w:rsidRPr="00164001" w:rsidRDefault="00042784" w:rsidP="00B71378">
      <w:pPr>
        <w:pStyle w:val="Textonotapie"/>
        <w:keepNext/>
        <w:spacing w:after="0"/>
        <w:jc w:val="center"/>
        <w:rPr>
          <w:u w:val="single" w:color="5F2987"/>
        </w:rPr>
      </w:pPr>
      <w:r>
        <w:rPr>
          <w:u w:val="single" w:color="5F2987"/>
        </w:rPr>
        <w:t xml:space="preserve">                  </w:t>
      </w:r>
      <w:r w:rsidR="0077515A" w:rsidRPr="00164001">
        <w:rPr>
          <w:u w:val="single" w:color="5F2987"/>
        </w:rPr>
        <w:t xml:space="preserve">   </w:t>
      </w:r>
      <w:r>
        <w:rPr>
          <w:u w:val="single" w:color="5F2987"/>
        </w:rPr>
        <w:t xml:space="preserve">   </w:t>
      </w:r>
      <w:r w:rsidR="0077515A" w:rsidRPr="00164001">
        <w:rPr>
          <w:u w:val="single" w:color="5F2987"/>
        </w:rPr>
        <w:t xml:space="preserve">   </w:t>
      </w:r>
      <w:r>
        <w:rPr>
          <w:u w:val="single" w:color="5F2987"/>
        </w:rPr>
        <w:t xml:space="preserve">   </w:t>
      </w:r>
      <w:r w:rsidR="0077515A" w:rsidRPr="00164001">
        <w:rPr>
          <w:u w:val="single" w:color="5F2987"/>
        </w:rPr>
        <w:t xml:space="preserve"> </w:t>
      </w:r>
      <w:r>
        <w:rPr>
          <w:u w:val="single" w:color="5F2987"/>
        </w:rPr>
        <w:t xml:space="preserve">  </w:t>
      </w:r>
      <w:r w:rsidR="0077515A" w:rsidRPr="00164001">
        <w:rPr>
          <w:u w:val="single" w:color="5F2987"/>
        </w:rPr>
        <w:t xml:space="preserve"> </w:t>
      </w:r>
      <w:r w:rsidR="00BD00E1" w:rsidRPr="00164001">
        <w:rPr>
          <w:noProof/>
          <w:u w:val="single" w:color="5F2987"/>
        </w:rPr>
        <w:drawing>
          <wp:inline distT="0" distB="0" distL="0" distR="0" wp14:anchorId="4669413C" wp14:editId="5C17C6D9">
            <wp:extent cx="4551272" cy="854197"/>
            <wp:effectExtent l="0" t="0" r="1905" b="317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a:blip r:embed="rId1"/>
                    <a:stretch>
                      <a:fillRect/>
                    </a:stretch>
                  </pic:blipFill>
                  <pic:spPr>
                    <a:xfrm>
                      <a:off x="0" y="0"/>
                      <a:ext cx="4551272" cy="854197"/>
                    </a:xfrm>
                    <a:prstGeom prst="rect">
                      <a:avLst/>
                    </a:prstGeom>
                  </pic:spPr>
                </pic:pic>
              </a:graphicData>
            </a:graphic>
          </wp:inline>
        </w:drawing>
      </w:r>
      <w:r w:rsidRPr="00042784">
        <w:rPr>
          <w:u w:color="5F2987"/>
        </w:rPr>
        <w:t xml:space="preserve">                          </w:t>
      </w:r>
    </w:p>
    <w:p w14:paraId="1091DA1D" w14:textId="5FB7A901" w:rsidR="00BD00E1" w:rsidRDefault="00BD00E1" w:rsidP="00F64BBA">
      <w:pPr>
        <w:pStyle w:val="Textonotapie"/>
        <w:jc w:val="center"/>
      </w:pPr>
      <w:r>
        <w:rPr>
          <w:noProof/>
        </w:rPr>
        <w:drawing>
          <wp:inline distT="0" distB="0" distL="0" distR="0" wp14:anchorId="2A4F3D88" wp14:editId="04341EF0">
            <wp:extent cx="4271814" cy="447577"/>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2"/>
                    <a:stretch>
                      <a:fillRect/>
                    </a:stretch>
                  </pic:blipFill>
                  <pic:spPr>
                    <a:xfrm>
                      <a:off x="0" y="0"/>
                      <a:ext cx="4271814" cy="447577"/>
                    </a:xfrm>
                    <a:prstGeom prst="rect">
                      <a:avLst/>
                    </a:prstGeom>
                  </pic:spPr>
                </pic:pic>
              </a:graphicData>
            </a:graphic>
          </wp:inline>
        </w:drawing>
      </w:r>
      <w:r w:rsidR="0077515A">
        <w:t xml:space="preserve">                                                                        </w:t>
      </w:r>
    </w:p>
  </w:footnote>
  <w:footnote w:id="8">
    <w:p w14:paraId="4E6919E7" w14:textId="58125E6C" w:rsidR="00F171B7" w:rsidRDefault="00F171B7">
      <w:pPr>
        <w:pStyle w:val="Textonotapie"/>
      </w:pPr>
      <w:r>
        <w:rPr>
          <w:rStyle w:val="Refdenotaalpie"/>
        </w:rPr>
        <w:footnoteRef/>
      </w:r>
      <w:r>
        <w:t xml:space="preserve"> Si se da </w:t>
      </w:r>
      <w:r w:rsidR="00E77D86">
        <w:t xml:space="preserve">uno </w:t>
      </w:r>
      <w:r>
        <w:t>no se puede dar el otro.</w:t>
      </w:r>
    </w:p>
  </w:footnote>
  <w:footnote w:id="9">
    <w:p w14:paraId="389D1E6A" w14:textId="78B592FE" w:rsidR="00F171B7" w:rsidRDefault="00F171B7">
      <w:pPr>
        <w:pStyle w:val="Textonotapie"/>
      </w:pPr>
      <w:r>
        <w:rPr>
          <w:rStyle w:val="Refdenotaalpie"/>
        </w:rPr>
        <w:footnoteRef/>
      </w:r>
      <w:r>
        <w:t xml:space="preserve"> Todos los estados de la naturaleza que se definen cubren todas las posibilidades.</w:t>
      </w:r>
    </w:p>
  </w:footnote>
  <w:footnote w:id="10">
    <w:p w14:paraId="56C3135A" w14:textId="77777777" w:rsidR="007D1A17" w:rsidRDefault="007D1A17" w:rsidP="007D1A17">
      <w:pPr>
        <w:pStyle w:val="Textonotapie"/>
      </w:pPr>
      <w:r>
        <w:rPr>
          <w:rStyle w:val="Refdenotaalpie"/>
        </w:rPr>
        <w:footnoteRef/>
      </w:r>
      <w:r>
        <w:t xml:space="preserve"> Tal y como se recoge en la Función Indirecta de Utilidad </w:t>
      </w:r>
      <w:r w:rsidRPr="00032F84">
        <w:rPr>
          <w:color w:val="767171" w:themeColor="background2" w:themeShade="80"/>
          <w:sz w:val="14"/>
          <w:szCs w:val="18"/>
        </w:rPr>
        <w:t>[</w:t>
      </w:r>
      <w:r>
        <w:rPr>
          <w:color w:val="767171" w:themeColor="background2" w:themeShade="80"/>
          <w:sz w:val="14"/>
          <w:szCs w:val="18"/>
        </w:rPr>
        <w:t xml:space="preserve">Tema </w:t>
      </w:r>
      <w:r w:rsidRPr="00032F84">
        <w:rPr>
          <w:color w:val="767171" w:themeColor="background2" w:themeShade="80"/>
          <w:sz w:val="14"/>
          <w:szCs w:val="18"/>
        </w:rPr>
        <w:t>3.A.8]</w:t>
      </w:r>
      <w:r>
        <w:t>.</w:t>
      </w:r>
    </w:p>
  </w:footnote>
  <w:footnote w:id="11">
    <w:p w14:paraId="35C14960" w14:textId="5E1A9F95" w:rsidR="00E34C32" w:rsidRDefault="00E34C32" w:rsidP="00E34C32">
      <w:pPr>
        <w:pStyle w:val="Textonotapie"/>
      </w:pPr>
      <w:r>
        <w:rPr>
          <w:rStyle w:val="Refdenotaalpie"/>
        </w:rPr>
        <w:footnoteRef/>
      </w:r>
      <w:r>
        <w:t xml:space="preserve"> A pesar de que se está analizando el comportamiento del consumidor, dado que este análisis parte de la existencia de un único bien o </w:t>
      </w:r>
      <w:proofErr w:type="spellStart"/>
      <w:r w:rsidRPr="00E34C32">
        <w:rPr>
          <w:i/>
          <w:iCs/>
        </w:rPr>
        <w:t>commodity</w:t>
      </w:r>
      <w:proofErr w:type="spellEnd"/>
      <w:r>
        <w:t>, el mismo puede aplicarse al comportamiento de cualquier otro tipo de agente económico. Más concretamente, puede utilizarse para describir la conducta de la empresa o unidad de producción de bienes en situación de riesgo, con las debidas modificaciones (maximización del beneficio frente a maximización de utilidad, etc.).</w:t>
      </w:r>
    </w:p>
  </w:footnote>
  <w:footnote w:id="12">
    <w:p w14:paraId="4BA506A0" w14:textId="77777777" w:rsidR="00114D30" w:rsidRDefault="00114D30" w:rsidP="00114D30">
      <w:pPr>
        <w:pStyle w:val="Textonotapie"/>
      </w:pPr>
      <w:r>
        <w:rPr>
          <w:rStyle w:val="Refdenotaalpie"/>
        </w:rPr>
        <w:footnoteRef/>
      </w:r>
      <w:r>
        <w:t xml:space="preserve"> </w:t>
      </w:r>
      <w:r w:rsidRPr="008562C5">
        <w:t>Para entender la representación en el s</w:t>
      </w:r>
      <w:r>
        <w:t>í</w:t>
      </w:r>
      <w:r w:rsidRPr="008562C5">
        <w:t>mplex</w:t>
      </w:r>
      <w:r>
        <w:t xml:space="preserve"> con triángulo rectángulo</w:t>
      </w:r>
      <w:r w:rsidRPr="008562C5">
        <w:t xml:space="preserve">: Machina, M. J. (2018). </w:t>
      </w:r>
      <w:r w:rsidRPr="008562C5">
        <w:rPr>
          <w:lang w:val="en-US"/>
        </w:rPr>
        <w:t xml:space="preserve">Expected Utility Hypothesis. En Macmillan Publishers Ltd (Ed.), The New Palgrave Dictionary of Economics (p. 4204). </w:t>
      </w:r>
      <w:proofErr w:type="spellStart"/>
      <w:r w:rsidRPr="008562C5">
        <w:t>Palgrave</w:t>
      </w:r>
      <w:proofErr w:type="spellEnd"/>
      <w:r w:rsidRPr="008562C5">
        <w:t xml:space="preserve"> Macmillan UK. </w:t>
      </w:r>
      <w:hyperlink r:id="rId3" w:history="1">
        <w:r w:rsidRPr="00347C8E">
          <w:rPr>
            <w:rStyle w:val="Hipervnculo"/>
          </w:rPr>
          <w:t>https://doi.org/10.1057/978-1-349-95189-5_127</w:t>
        </w:r>
      </w:hyperlink>
    </w:p>
  </w:footnote>
  <w:footnote w:id="13">
    <w:p w14:paraId="62FB6BE8" w14:textId="637CA69A" w:rsidR="006C5EEB" w:rsidRDefault="006C5EEB" w:rsidP="006C5EEB">
      <w:pPr>
        <w:pStyle w:val="Textonotapie"/>
        <w:spacing w:after="0"/>
      </w:pPr>
      <w:r>
        <w:rPr>
          <w:rStyle w:val="Refdenotaalpie"/>
        </w:rPr>
        <w:footnoteRef/>
      </w:r>
      <w:r>
        <w:t xml:space="preserve"> Esto a veces se incluye como un axioma de las preferencias (axioma de equivalencia racional), según el individuo se mostrará indiferente entre una lotería compuesta y su lotería simple equivalente.</w:t>
      </w:r>
    </w:p>
    <w:p w14:paraId="40105F87" w14:textId="1C372881" w:rsidR="006C5EEB" w:rsidRDefault="006C5EEB">
      <w:pPr>
        <w:pStyle w:val="Textonotapie"/>
      </w:pPr>
      <w:r>
        <w:t>Por ejemplo, el individuo se mostrará indiferente entre una lotería con una probabilidad del 25</w:t>
      </w:r>
      <w:r w:rsidR="001000B1">
        <w:t> </w:t>
      </w:r>
      <w:r>
        <w:t>% de ganar 100</w:t>
      </w:r>
      <w:r w:rsidR="001000B1">
        <w:t> </w:t>
      </w:r>
      <w:r>
        <w:t>€ y otra lotería en la que tiene una probabilidad del 50</w:t>
      </w:r>
      <w:r w:rsidR="001000B1">
        <w:t> </w:t>
      </w:r>
      <w:r>
        <w:t>% de ganar un boleto de lotería que cuenta con un 50</w:t>
      </w:r>
      <w:r w:rsidR="001000B1">
        <w:t> </w:t>
      </w:r>
      <w:r>
        <w:t>% de ganar 100</w:t>
      </w:r>
      <w:r w:rsidR="001000B1">
        <w:t> </w:t>
      </w:r>
      <w:r>
        <w:t>€.</w:t>
      </w:r>
    </w:p>
  </w:footnote>
  <w:footnote w:id="14">
    <w:p w14:paraId="56A6DEEA" w14:textId="65589C6A" w:rsidR="002A28B8" w:rsidRDefault="002A28B8">
      <w:pPr>
        <w:pStyle w:val="Textonotapie"/>
      </w:pPr>
      <w:r>
        <w:rPr>
          <w:rStyle w:val="Refdenotaalpie"/>
        </w:rPr>
        <w:footnoteRef/>
      </w:r>
      <w:r>
        <w:t xml:space="preserve"> </w:t>
      </w:r>
      <m:oMath>
        <m:r>
          <w:rPr>
            <w:rFonts w:ascii="Cambria Math" w:hAnsi="Cambria Math"/>
          </w:rPr>
          <m:t xml:space="preserve"> </m:t>
        </m:r>
        <m:r>
          <m:rPr>
            <m:nor/>
          </m:rPr>
          <w:rPr>
            <w:i/>
            <w:iCs/>
          </w:rPr>
          <m:t>V</m:t>
        </m:r>
        <m:d>
          <m:dPr>
            <m:ctrlPr>
              <w:rPr>
                <w:rFonts w:ascii="Cambria Math" w:hAnsi="Cambria Math"/>
                <w:i/>
                <w:iCs/>
                <w:sz w:val="22"/>
                <w:szCs w:val="22"/>
              </w:rPr>
            </m:ctrlPr>
          </m:dPr>
          <m:e>
            <w:bookmarkStart w:id="13" w:name="_Hlk99869977"/>
            <m:acc>
              <m:accPr>
                <m:chr m:val="̃"/>
                <m:ctrlPr>
                  <w:rPr>
                    <w:rFonts w:ascii="Cambria Math" w:hAnsi="Cambria Math"/>
                    <w:i/>
                    <w:iCs/>
                  </w:rPr>
                </m:ctrlPr>
              </m:accPr>
              <m:e>
                <m:r>
                  <m:rPr>
                    <m:nor/>
                  </m:rPr>
                  <w:rPr>
                    <w:b/>
                    <w:bCs/>
                    <w:i/>
                    <w:iCs/>
                  </w:rPr>
                  <m:t>y</m:t>
                </m:r>
              </m:e>
            </m:acc>
            <m:d>
              <m:dPr>
                <m:ctrlPr>
                  <w:rPr>
                    <w:rFonts w:ascii="Cambria Math" w:hAnsi="Cambria Math"/>
                    <w:i/>
                    <w:iCs/>
                    <w:sz w:val="22"/>
                    <w:szCs w:val="22"/>
                  </w:rPr>
                </m:ctrlPr>
              </m:dPr>
              <m:e>
                <m:r>
                  <m:rPr>
                    <m:nor/>
                  </m:rPr>
                  <w:rPr>
                    <w:b/>
                    <w:bCs/>
                    <w:i/>
                    <w:iCs/>
                  </w:rPr>
                  <m:t>p</m:t>
                </m:r>
                <m:r>
                  <m:rPr>
                    <m:nor/>
                  </m:rPr>
                  <w:rPr>
                    <w:i/>
                    <w:iCs/>
                  </w:rPr>
                  <m:t>,</m:t>
                </m:r>
                <m:r>
                  <m:rPr>
                    <m:nor/>
                  </m:rPr>
                  <w:rPr>
                    <w:b/>
                    <w:bCs/>
                    <w:i/>
                    <w:iCs/>
                  </w:rPr>
                  <m:t>c</m:t>
                </m:r>
              </m:e>
            </m:d>
            <w:bookmarkEnd w:id="13"/>
          </m:e>
        </m:d>
      </m:oMath>
      <w:r>
        <w:rPr>
          <w:rFonts w:eastAsiaTheme="minorEastAsia"/>
          <w:iCs/>
        </w:rPr>
        <w:t xml:space="preserve"> frente a la utilidad</w:t>
      </w:r>
      <m:oMath>
        <m:r>
          <w:rPr>
            <w:rFonts w:ascii="Cambria Math" w:eastAsiaTheme="minorEastAsia" w:hAnsi="Cambria Math"/>
          </w:rPr>
          <m:t xml:space="preserve"> </m:t>
        </m:r>
        <m:r>
          <m:rPr>
            <m:nor/>
          </m:rPr>
          <w:rPr>
            <w:i/>
            <w:iCs/>
          </w:rPr>
          <m:t>U</m:t>
        </m:r>
        <m:d>
          <m:dPr>
            <m:ctrlPr>
              <w:rPr>
                <w:rFonts w:ascii="Cambria Math" w:hAnsi="Cambria Math"/>
                <w:i/>
                <w:iCs/>
                <w:sz w:val="22"/>
                <w:szCs w:val="22"/>
              </w:rPr>
            </m:ctrlPr>
          </m:dPr>
          <m:e>
            <m:r>
              <m:rPr>
                <m:nor/>
              </m:rPr>
              <w:rPr>
                <w:b/>
                <w:bCs/>
                <w:i/>
                <w:iCs/>
              </w:rPr>
              <m:t>x</m:t>
            </m:r>
          </m:e>
        </m:d>
      </m:oMath>
      <w:r>
        <w:rPr>
          <w:rFonts w:eastAsiaTheme="minorEastAsia"/>
          <w:iCs/>
        </w:rPr>
        <w:t xml:space="preserve"> del tema 3.A.</w:t>
      </w:r>
      <w:r w:rsidR="00AE0338">
        <w:rPr>
          <w:rFonts w:eastAsiaTheme="minorEastAsia"/>
          <w:iCs/>
        </w:rPr>
        <w:t>8</w:t>
      </w:r>
      <w:r>
        <w:rPr>
          <w:rFonts w:eastAsiaTheme="minorEastAsia"/>
          <w:iCs/>
        </w:rPr>
        <w:t>.</w:t>
      </w:r>
    </w:p>
  </w:footnote>
  <w:footnote w:id="15">
    <w:p w14:paraId="5C0E3A75" w14:textId="45351F8E" w:rsidR="006205D4" w:rsidRDefault="006205D4">
      <w:pPr>
        <w:pStyle w:val="Textonotapie"/>
      </w:pPr>
      <w:r>
        <w:rPr>
          <w:rStyle w:val="Refdenotaalpie"/>
        </w:rPr>
        <w:footnoteRef/>
      </w:r>
      <w:r>
        <w:t xml:space="preserve"> Las preferencias s</w:t>
      </w:r>
      <w:r w:rsidR="00A710EC">
        <w:t>o</w:t>
      </w:r>
      <w:r>
        <w:t>n una síntesis de los gustos del consumidor.</w:t>
      </w:r>
    </w:p>
  </w:footnote>
  <w:footnote w:id="16">
    <w:p w14:paraId="2A58E5E0" w14:textId="77777777" w:rsidR="00BB0FA2" w:rsidRPr="00847F90" w:rsidRDefault="00BB0FA2" w:rsidP="00032F84">
      <w:pPr>
        <w:pStyle w:val="Textonotapie"/>
      </w:pPr>
      <w:r>
        <w:rPr>
          <w:rStyle w:val="Refdenotaalpie"/>
        </w:rPr>
        <w:footnoteRef/>
      </w:r>
      <w:r>
        <w:t xml:space="preserve"> </w:t>
      </w:r>
      <w:r w:rsidRPr="00847F90">
        <w:t>La relación de preferencia fuerte (</w:t>
      </w:r>
      <m:oMath>
        <m:r>
          <m:rPr>
            <m:sty m:val="bi"/>
          </m:rPr>
          <w:rPr>
            <w:rFonts w:ascii="Cambria Math" w:eastAsiaTheme="minorEastAsia" w:hAnsi="Cambria Math" w:cs="Cambria Math"/>
          </w:rPr>
          <m:t>≻</m:t>
        </m:r>
      </m:oMath>
      <w:r w:rsidRPr="00847F90">
        <w:t>) no es completa, pues no incluye la indiferencia (caso 3) y la de indiferencia (</w:t>
      </w:r>
      <m:oMath>
        <m:r>
          <m:rPr>
            <m:sty m:val="bi"/>
          </m:rPr>
          <w:rPr>
            <w:rFonts w:ascii="Cambria Math" w:eastAsiaTheme="minorEastAsia" w:hAnsi="Cambria Math" w:cs="Cambria Math"/>
          </w:rPr>
          <m:t>∼</m:t>
        </m:r>
      </m:oMath>
      <w:r w:rsidRPr="00847F90">
        <w:t>) tampoco, pues no incluiría la preferencia (casos 1 y 2).</w:t>
      </w:r>
    </w:p>
  </w:footnote>
  <w:footnote w:id="17">
    <w:p w14:paraId="5D79EBE2" w14:textId="602EB44A" w:rsidR="006A4325" w:rsidRDefault="006A4325">
      <w:pPr>
        <w:pStyle w:val="Textonotapie"/>
      </w:pPr>
      <w:r>
        <w:rPr>
          <w:rStyle w:val="Refdenotaalpie"/>
        </w:rPr>
        <w:footnoteRef/>
      </w:r>
      <w:r>
        <w:t xml:space="preserve"> En algunos manuales el axioma de reflexividad se introduce como corolario del axioma de completitud.</w:t>
      </w:r>
    </w:p>
  </w:footnote>
  <w:footnote w:id="18">
    <w:p w14:paraId="2F778763" w14:textId="77777777" w:rsidR="00BB0FA2" w:rsidRPr="00847F90" w:rsidRDefault="00BB0FA2" w:rsidP="00032F84">
      <w:pPr>
        <w:pStyle w:val="Textonotapie"/>
      </w:pPr>
      <w:r w:rsidRPr="00847F90">
        <w:rPr>
          <w:rStyle w:val="Refdenotaalpie"/>
        </w:rPr>
        <w:footnoteRef/>
      </w:r>
      <w:r w:rsidRPr="00847F90">
        <w:t xml:space="preserve"> Es decir, </w:t>
      </w:r>
      <m:oMath>
        <m:r>
          <m:rPr>
            <m:sty m:val="bi"/>
          </m:rPr>
          <w:rPr>
            <w:rFonts w:ascii="Cambria Math" w:eastAsiaTheme="minorEastAsia" w:hAnsi="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m:t>
        </m:r>
        <m:sSubSup>
          <m:sSubSupPr>
            <m:ctrlPr>
              <w:rPr>
                <w:rFonts w:ascii="Cambria Math" w:eastAsiaTheme="minorEastAsia" w:hAnsi="Cambria Math"/>
                <w:b/>
                <w:bCs/>
                <w:i/>
                <w:iCs/>
                <w:sz w:val="22"/>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r>
          <m:rPr>
            <m:sty m:val="bi"/>
          </m:rPr>
          <w:rPr>
            <w:rFonts w:ascii="Cambria Math" w:eastAsiaTheme="minorEastAsia" w:hAnsi="Cambria Math"/>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oMath>
      <w:r w:rsidRPr="00847F90">
        <w:t xml:space="preserve">, pero </w:t>
      </w:r>
      <m:oMath>
        <m:r>
          <m:rPr>
            <m:sty m:val="bi"/>
          </m:rPr>
          <w:rPr>
            <w:rFonts w:ascii="Cambria Math" w:eastAsiaTheme="minorEastAsia" w:hAnsi="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m:t>
        </m:r>
        <m:sSubSup>
          <m:sSubSupPr>
            <m:ctrlPr>
              <w:rPr>
                <w:rFonts w:ascii="Cambria Math" w:eastAsiaTheme="minorEastAsia" w:hAnsi="Cambria Math"/>
                <w:b/>
                <w:bCs/>
                <w:i/>
                <w:iCs/>
                <w:sz w:val="22"/>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r>
          <m:rPr>
            <m:sty m:val="bi"/>
          </m:rPr>
          <w:rPr>
            <w:rFonts w:ascii="Cambria Math" w:eastAsiaTheme="minorEastAsia" w:hAnsi="Cambria Math"/>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oMath>
      <w:r w:rsidRPr="00847F90">
        <w:rPr>
          <w:rFonts w:eastAsiaTheme="minorEastAsia"/>
          <w:iCs/>
          <w:sz w:val="22"/>
        </w:rPr>
        <w:t>.</w:t>
      </w:r>
    </w:p>
  </w:footnote>
  <w:footnote w:id="19">
    <w:p w14:paraId="17919F9C" w14:textId="77777777" w:rsidR="00BB0FA2" w:rsidRPr="00847F90" w:rsidRDefault="00BB0FA2" w:rsidP="003B0BA9">
      <w:pPr>
        <w:pStyle w:val="Textonotapie"/>
        <w:spacing w:after="0"/>
      </w:pPr>
      <w:r w:rsidRPr="00847F90">
        <w:rPr>
          <w:rStyle w:val="Refdenotaalpie"/>
        </w:rPr>
        <w:footnoteRef/>
      </w:r>
      <w:r w:rsidRPr="00847F90">
        <w:t xml:space="preserve"> </w:t>
      </w:r>
      <w:r w:rsidRPr="00847F90">
        <w:rPr>
          <w:i/>
          <w:iCs/>
          <w:u w:val="single"/>
        </w:rPr>
        <w:t>Preorden</w:t>
      </w:r>
      <w:r w:rsidRPr="00847F90">
        <w:t xml:space="preserve">: Por permitir ordenar. Algunos autores llaman a esto orden débil, sin embargo siendo exactos con la terminología matemática el orden califica una relación que, además de reflexiva y transitiva, es antisimétrica, es decir que cumple: </w:t>
      </w:r>
      <m:oMath>
        <m:r>
          <w:rPr>
            <w:rFonts w:ascii="Cambria Math" w:hAnsi="Cambria Math"/>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m:t>
        </m:r>
        <m:sSubSup>
          <m:sSubSupPr>
            <m:ctrlPr>
              <w:rPr>
                <w:rFonts w:ascii="Cambria Math" w:eastAsiaTheme="minorEastAsia" w:hAnsi="Cambria Math"/>
                <w:b/>
                <w:bCs/>
                <w:i/>
                <w:iCs/>
                <w:sz w:val="22"/>
              </w:rPr>
            </m:ctrlPr>
          </m:sSubSupPr>
          <m:e>
            <m:r>
              <m:rPr>
                <m:scr m:val="double-struck"/>
                <m:sty m:val="bi"/>
              </m:rPr>
              <w:rPr>
                <w:rFonts w:ascii="Cambria Math" w:eastAsiaTheme="minorEastAsia" w:hAnsi="Cambria Math"/>
              </w:rPr>
              <m:t>R</m:t>
            </m:r>
          </m:e>
          <m:sub>
            <m:r>
              <m:rPr>
                <m:sty m:val="bi"/>
              </m:rPr>
              <w:rPr>
                <w:rFonts w:ascii="Cambria Math" w:eastAsiaTheme="minorEastAsia" w:hAnsi="Cambria Math"/>
              </w:rPr>
              <m:t>+</m:t>
            </m:r>
          </m:sub>
          <m:sup>
            <m:r>
              <m:rPr>
                <m:nor/>
              </m:rPr>
              <w:rPr>
                <w:rFonts w:eastAsiaTheme="minorEastAsia"/>
                <w:i/>
              </w:rPr>
              <m:t>n</m:t>
            </m:r>
          </m:sup>
        </m:sSubSup>
        <m:r>
          <m:rPr>
            <m:sty m:val="bi"/>
          </m:rPr>
          <w:rPr>
            <w:rFonts w:ascii="Cambria Math" w:eastAsiaTheme="minorEastAsia" w:hAnsi="Cambria Math"/>
            <w:sz w:val="22"/>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rPr>
          <m:t xml:space="preserve"> </m:t>
        </m:r>
        <m:r>
          <m:rPr>
            <m:nor/>
          </m:rPr>
          <w:rPr>
            <w:rFonts w:eastAsiaTheme="minorEastAsia"/>
            <w:iCs/>
          </w:rPr>
          <m:t>y</m:t>
        </m:r>
        <m:r>
          <m:rPr>
            <m:sty m:val="bi"/>
          </m:rPr>
          <w:rPr>
            <w:rFonts w:ascii="Cambria Math" w:eastAsiaTheme="minorEastAsia" w:hAnsi="Cambria Math"/>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1</m:t>
            </m:r>
          </m:sup>
        </m:sSup>
        <m:r>
          <m:rPr>
            <m:sty m:val="bi"/>
          </m:rPr>
          <w:rPr>
            <w:rFonts w:ascii="Cambria Math" w:eastAsiaTheme="minorEastAsia" w:hAnsi="Cambria Math" w:cs="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rPr>
          <m:t xml:space="preserve">⇔ </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0</m:t>
            </m:r>
          </m:sup>
        </m:sSup>
        <m:r>
          <m:rPr>
            <m:sty m:val="bi"/>
          </m:rPr>
          <w:rPr>
            <w:rFonts w:ascii="Cambria Math" w:eastAsiaTheme="minorEastAsia" w:hAnsi="Cambria Math" w:cs="Cambria Math"/>
          </w:rPr>
          <m:t>=</m:t>
        </m:r>
        <m:sSup>
          <m:sSupPr>
            <m:ctrlPr>
              <w:rPr>
                <w:rFonts w:ascii="Cambria Math" w:eastAsiaTheme="minorEastAsia" w:hAnsi="Cambria Math"/>
                <w:b/>
                <w:bCs/>
                <w:i/>
                <w:iCs/>
                <w:sz w:val="22"/>
              </w:rPr>
            </m:ctrlPr>
          </m:sSupPr>
          <m:e>
            <m:r>
              <m:rPr>
                <m:nor/>
              </m:rPr>
              <w:rPr>
                <w:rFonts w:eastAsiaTheme="minorEastAsia"/>
                <w:b/>
                <w:bCs/>
                <w:i/>
                <w:iCs/>
              </w:rPr>
              <m:t>x</m:t>
            </m:r>
          </m:e>
          <m:sup>
            <m:r>
              <m:rPr>
                <m:nor/>
              </m:rPr>
              <w:rPr>
                <w:rFonts w:eastAsiaTheme="minorEastAsia"/>
                <w:b/>
                <w:bCs/>
                <w:i/>
                <w:iCs/>
              </w:rPr>
              <m:t>1</m:t>
            </m:r>
          </m:sup>
        </m:sSup>
      </m:oMath>
      <w:r w:rsidRPr="00847F90">
        <w:t xml:space="preserve"> cosa que no sucede en este caso por admitir la relación de indiferencia entre combinaciones distintas.</w:t>
      </w:r>
    </w:p>
    <w:p w14:paraId="48A4D174" w14:textId="77777777" w:rsidR="00BB0FA2" w:rsidRPr="00847F90" w:rsidRDefault="00BB0FA2" w:rsidP="003B0BA9">
      <w:pPr>
        <w:pStyle w:val="Textonotapie"/>
        <w:spacing w:after="0"/>
      </w:pPr>
      <w:r w:rsidRPr="00847F90">
        <w:rPr>
          <w:i/>
          <w:iCs/>
          <w:u w:val="single"/>
        </w:rPr>
        <w:t>Completo</w:t>
      </w:r>
      <w:r w:rsidRPr="00847F90">
        <w:t>: Por el axioma de completitud.</w:t>
      </w:r>
    </w:p>
    <w:p w14:paraId="7604284D" w14:textId="77777777" w:rsidR="00BB0FA2" w:rsidRDefault="00BB0FA2" w:rsidP="00032F84">
      <w:pPr>
        <w:pStyle w:val="Textonotapie"/>
      </w:pPr>
      <w:r w:rsidRPr="00847F90">
        <w:rPr>
          <w:i/>
          <w:iCs/>
          <w:u w:val="single"/>
        </w:rPr>
        <w:t>Débil</w:t>
      </w:r>
      <w:r w:rsidRPr="00847F90">
        <w:t>: Por admitir indiferencia.</w:t>
      </w:r>
    </w:p>
  </w:footnote>
  <w:footnote w:id="20">
    <w:p w14:paraId="50D88E24" w14:textId="019FC7CA" w:rsidR="001C7B97" w:rsidRPr="000E5619" w:rsidRDefault="003701A7" w:rsidP="00F64BBA">
      <w:pPr>
        <w:pStyle w:val="Textonotapie"/>
      </w:pPr>
      <w:r>
        <w:rPr>
          <w:rStyle w:val="Refdenotaalpie"/>
        </w:rPr>
        <w:footnoteRef/>
      </w:r>
      <w:r>
        <w:t xml:space="preserve"> </w:t>
      </w:r>
      <w:r w:rsidR="00F64BBA">
        <w:t xml:space="preserve">Para entender el debate ordinalidad cardinalidad leer anexo </w:t>
      </w:r>
      <w:r w:rsidR="00F64BBA">
        <w:fldChar w:fldCharType="begin"/>
      </w:r>
      <w:r w:rsidR="00F64BBA">
        <w:instrText xml:space="preserve"> REF _Ref89677503 \r \h </w:instrText>
      </w:r>
      <w:r w:rsidR="00F64BBA">
        <w:fldChar w:fldCharType="separate"/>
      </w:r>
      <w:r w:rsidR="002E338F">
        <w:t>A.1</w:t>
      </w:r>
      <w:r w:rsidR="00F64BBA">
        <w:fldChar w:fldCharType="end"/>
      </w:r>
      <w:r w:rsidR="00F64BBA">
        <w:t>.</w:t>
      </w:r>
    </w:p>
  </w:footnote>
  <w:footnote w:id="21">
    <w:p w14:paraId="26508D04" w14:textId="181D1B15" w:rsidR="00601533" w:rsidRDefault="00601533">
      <w:pPr>
        <w:pStyle w:val="Textonotapie"/>
      </w:pPr>
      <w:r>
        <w:rPr>
          <w:rStyle w:val="Refdenotaalpie"/>
        </w:rPr>
        <w:footnoteRef/>
      </w:r>
      <w:r>
        <w:t xml:space="preserve"> Esto nos permite resolver junto a la idea de la utilidad marginal decreciente el juego de la paradoja de San Petersburgo (permitiendo explicar comportamientos observados). En el caso de este juego si actuáramos conforme a la utilidad de la esperanza, estaríamos dispuestos a pagar hasta una cantidad que nos </w:t>
      </w:r>
      <w:r w:rsidR="00B82120">
        <w:t>proveyera de un</w:t>
      </w:r>
      <w:r>
        <w:t>a utilidad de infinito</w:t>
      </w:r>
      <w:r w:rsidR="00B82120">
        <w:t xml:space="preserve"> (que era la esperanza matemática del resultado)</w:t>
      </w:r>
      <w:r>
        <w:t xml:space="preserve">. Según </w:t>
      </w:r>
      <w:r w:rsidR="00B82120">
        <w:t>este enfoque, será la esperanza de la utilidad de que se produzca cada uno de los resultados.</w:t>
      </w:r>
    </w:p>
    <w:p w14:paraId="2FA4B5AB" w14:textId="2C4C4BA0" w:rsidR="00B82120" w:rsidRPr="00B82120" w:rsidRDefault="00B82120">
      <w:pPr>
        <w:pStyle w:val="Textonotapie"/>
        <w:rPr>
          <w:iCs/>
        </w:rPr>
      </w:pPr>
      <w:r>
        <w:rPr>
          <w:i/>
          <w:iCs/>
        </w:rPr>
        <w:t>Nota personal</w:t>
      </w:r>
      <w:r>
        <w:t xml:space="preserve">: Cuando pienses en la utilidad esperada a nivel analítico, pensar en inglés </w:t>
      </w:r>
      <w:r>
        <w:rPr>
          <w:i/>
          <w:iCs/>
        </w:rPr>
        <w:t>“</w:t>
      </w:r>
      <w:proofErr w:type="spellStart"/>
      <w:r>
        <w:rPr>
          <w:i/>
          <w:iCs/>
        </w:rPr>
        <w:t>Expected</w:t>
      </w:r>
      <w:proofErr w:type="spellEnd"/>
      <w:r>
        <w:rPr>
          <w:i/>
          <w:iCs/>
        </w:rPr>
        <w:t xml:space="preserve"> </w:t>
      </w:r>
      <w:proofErr w:type="spellStart"/>
      <w:r>
        <w:rPr>
          <w:i/>
          <w:iCs/>
        </w:rPr>
        <w:t>Utility</w:t>
      </w:r>
      <w:proofErr w:type="spellEnd"/>
      <w:r>
        <w:rPr>
          <w:i/>
          <w:iCs/>
        </w:rPr>
        <w:t>”</w:t>
      </w:r>
      <w:r>
        <w:t xml:space="preserve"> ya que se ve más claro que estamos hablando de la </w:t>
      </w:r>
      <w:r>
        <w:rPr>
          <w:b/>
          <w:bCs/>
        </w:rPr>
        <w:t>esperanza</w:t>
      </w:r>
      <w:r>
        <w:t xml:space="preserve"> de la </w:t>
      </w:r>
      <w:r>
        <w:rPr>
          <w:b/>
          <w:bCs/>
        </w:rPr>
        <w:t>utilidad</w:t>
      </w:r>
      <w:r>
        <w:t>:</w:t>
      </w:r>
      <m:oMath>
        <m:r>
          <m:rPr>
            <m:nor/>
          </m:rPr>
          <w:rPr>
            <w:rFonts w:ascii="Cambria Math"/>
            <w:iCs/>
          </w:rPr>
          <m:t xml:space="preserve"> </m:t>
        </m:r>
        <m:r>
          <m:rPr>
            <m:nor/>
          </m:rPr>
          <w:rPr>
            <w:i/>
          </w:rPr>
          <m:t>E</m:t>
        </m:r>
        <m:d>
          <m:dPr>
            <m:begChr m:val="["/>
            <m:endChr m:val="]"/>
            <m:ctrlPr>
              <w:rPr>
                <w:rFonts w:ascii="Cambria Math" w:hAnsi="Cambria Math"/>
                <w:i/>
              </w:rPr>
            </m:ctrlPr>
          </m:dPr>
          <m:e>
            <m:r>
              <m:rPr>
                <m:nor/>
              </m:rPr>
              <w:rPr>
                <w:i/>
              </w:rPr>
              <m:t>u</m:t>
            </m:r>
            <m:d>
              <m:dPr>
                <m:ctrlPr>
                  <w:rPr>
                    <w:rFonts w:ascii="Cambria Math" w:hAnsi="Cambria Math"/>
                    <w:i/>
                  </w:rPr>
                </m:ctrlPr>
              </m:dPr>
              <m:e>
                <m:acc>
                  <m:accPr>
                    <m:chr m:val="̃"/>
                    <m:ctrlPr>
                      <w:rPr>
                        <w:rFonts w:ascii="Cambria Math" w:hAnsi="Cambria Math"/>
                        <w:b/>
                        <w:bCs/>
                        <w:i/>
                      </w:rPr>
                    </m:ctrlPr>
                  </m:accPr>
                  <m:e>
                    <m:r>
                      <m:rPr>
                        <m:nor/>
                      </m:rPr>
                      <w:rPr>
                        <w:b/>
                        <w:bCs/>
                        <w:i/>
                      </w:rPr>
                      <m:t>y</m:t>
                    </m:r>
                  </m:e>
                </m:acc>
              </m:e>
            </m:d>
          </m:e>
        </m:d>
      </m:oMath>
      <w:r>
        <w:rPr>
          <w:rFonts w:eastAsiaTheme="minorEastAsia"/>
          <w:iCs/>
        </w:rPr>
        <w:t>.</w:t>
      </w:r>
    </w:p>
  </w:footnote>
  <w:footnote w:id="22">
    <w:p w14:paraId="11CD083E" w14:textId="20A63EA4" w:rsidR="00E31F9D" w:rsidRPr="00E31F9D" w:rsidRDefault="00E31F9D" w:rsidP="00790B47">
      <w:pPr>
        <w:pStyle w:val="Textonotapie"/>
      </w:pPr>
      <w:r>
        <w:rPr>
          <w:rStyle w:val="Refdenotaalpie"/>
        </w:rPr>
        <w:footnoteRef/>
      </w:r>
      <w:r>
        <w:t xml:space="preserve"> Antes hemos supuesto que las cantidades de dinero estaban denotadas por </w:t>
      </w:r>
      <w:r>
        <w:rPr>
          <w:i/>
          <w:iCs/>
        </w:rPr>
        <w:t>c</w:t>
      </w:r>
      <w:r>
        <w:t xml:space="preserve">, asociadas directamente a cada estado de la naturaleza </w:t>
      </w:r>
      <w:r>
        <w:rPr>
          <w:i/>
          <w:iCs/>
        </w:rPr>
        <w:t>x</w:t>
      </w:r>
      <w:r>
        <w:t xml:space="preserve">. Aquí vemos la utilidad que le da al individuo el pago monetario </w:t>
      </w:r>
      <w:r>
        <w:rPr>
          <w:i/>
          <w:iCs/>
        </w:rPr>
        <w:t>c</w:t>
      </w:r>
      <w:r>
        <w:t>, que es equivalente a la utilidad que le d</w:t>
      </w:r>
      <w:r w:rsidR="00F64BBA">
        <w:t>é</w:t>
      </w:r>
      <w:r>
        <w:t xml:space="preserve"> al individuo que se dé el estado de la naturaleza </w:t>
      </w:r>
      <w:r>
        <w:rPr>
          <w:i/>
          <w:iCs/>
        </w:rPr>
        <w:t>x</w:t>
      </w:r>
      <w:r>
        <w:t xml:space="preserve">. Esto nos permite poner la ecuación en términos de </w:t>
      </w:r>
      <w:r>
        <w:rPr>
          <w:i/>
          <w:iCs/>
        </w:rPr>
        <w:t>x</w:t>
      </w:r>
      <w:r>
        <w:t xml:space="preserve"> para simplificar la notación.</w:t>
      </w:r>
    </w:p>
  </w:footnote>
  <w:footnote w:id="23">
    <w:p w14:paraId="5456A814" w14:textId="7729F6EB" w:rsidR="00790B47" w:rsidRDefault="00790B47">
      <w:pPr>
        <w:pStyle w:val="Textonotapie"/>
      </w:pPr>
      <w:r>
        <w:rPr>
          <w:rStyle w:val="Refdenotaalpie"/>
        </w:rPr>
        <w:footnoteRef/>
      </w:r>
      <w:r>
        <w:t xml:space="preserve"> Por el axioma de continuidad de las preferencias.</w:t>
      </w:r>
    </w:p>
  </w:footnote>
  <w:footnote w:id="24">
    <w:p w14:paraId="44E369DF" w14:textId="417722BE" w:rsidR="00790B47" w:rsidRDefault="00790B47">
      <w:pPr>
        <w:pStyle w:val="Textonotapie"/>
      </w:pPr>
      <w:r>
        <w:rPr>
          <w:rStyle w:val="Refdenotaalpie"/>
        </w:rPr>
        <w:footnoteRef/>
      </w:r>
      <w:r>
        <w:t xml:space="preserve"> Es decir, las utilidades marginales son estrictamente positivas.</w:t>
      </w:r>
    </w:p>
  </w:footnote>
  <w:footnote w:id="25">
    <w:p w14:paraId="3DCD0BF7" w14:textId="5E7431F1" w:rsidR="00BE0F05" w:rsidRPr="00577352" w:rsidRDefault="00BE0F05" w:rsidP="00F60949">
      <w:pPr>
        <w:pStyle w:val="Textonotapie"/>
        <w:keepNext/>
        <w:spacing w:after="0"/>
        <w:jc w:val="left"/>
        <w:rPr>
          <w:sz w:val="15"/>
          <w:szCs w:val="15"/>
        </w:rPr>
      </w:pPr>
      <w:r>
        <w:rPr>
          <w:rStyle w:val="Refdenotaalpie"/>
        </w:rPr>
        <w:footnoteRef/>
      </w:r>
      <w:r>
        <w:t xml:space="preserve"> </w:t>
      </w:r>
      <w:r w:rsidR="003B12B7">
        <w:t xml:space="preserve">Se puede </w:t>
      </w:r>
      <w:r w:rsidR="00996814">
        <w:t xml:space="preserve">aproximar </w:t>
      </w:r>
      <w:r w:rsidR="003B12B7">
        <w:t xml:space="preserve">la prima de riesgo </w:t>
      </w:r>
      <m:oMath>
        <m:r>
          <m:rPr>
            <m:nor/>
          </m:rPr>
          <w:rPr>
            <w:rFonts w:eastAsiaTheme="minorEastAsia"/>
            <w:i/>
          </w:rPr>
          <m:t>ρ</m:t>
        </m:r>
      </m:oMath>
      <w:r w:rsidR="003B12B7">
        <w:t xml:space="preserve"> de manera que:</w:t>
      </w:r>
      <m:oMath>
        <m:r>
          <w:rPr>
            <w:rFonts w:ascii="Cambria Math" w:hAnsi="Cambria Math"/>
          </w:rPr>
          <m:t xml:space="preserve"> </m:t>
        </m:r>
        <m:r>
          <m:rPr>
            <m:nor/>
          </m:rPr>
          <w:rPr>
            <w:rFonts w:eastAsiaTheme="minorEastAsia"/>
            <w:i/>
            <w:iCs/>
          </w:rPr>
          <m:t>ρ</m:t>
        </m:r>
        <m:r>
          <m:rPr>
            <m:nor/>
          </m:rPr>
          <w:rPr>
            <w:rFonts w:ascii="Cambria Math" w:eastAsiaTheme="minorEastAsia"/>
            <w:i/>
            <w:iCs/>
          </w:rPr>
          <m:t xml:space="preserve"> </m:t>
        </m:r>
        <m:r>
          <m:rPr>
            <m:nor/>
          </m:rPr>
          <w:rPr>
            <w:rFonts w:ascii="Cambria Math" w:eastAsiaTheme="minorEastAsia" w:hAnsi="Cambria Math"/>
          </w:rPr>
          <m:t>≅</m:t>
        </m:r>
        <m:r>
          <m:rPr>
            <m:nor/>
          </m:rPr>
          <w:rPr>
            <w:rFonts w:ascii="Cambria Math" w:eastAsiaTheme="minorEastAsia"/>
            <w:i/>
            <w:iCs/>
          </w:rPr>
          <m:t xml:space="preserve"> </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2</m:t>
            </m:r>
          </m:den>
        </m:f>
        <m:r>
          <w:rPr>
            <w:rFonts w:ascii="Cambria Math" w:eastAsiaTheme="minorEastAsia" w:hAnsi="Cambria Math"/>
          </w:rPr>
          <m:t>∙</m:t>
        </m:r>
        <m:sSup>
          <m:sSupPr>
            <m:ctrlPr>
              <w:rPr>
                <w:rFonts w:ascii="Cambria Math" w:eastAsiaTheme="minorEastAsia" w:hAnsi="Cambria Math"/>
                <w:i/>
                <w:iCs/>
              </w:rPr>
            </m:ctrlPr>
          </m:sSupPr>
          <m:e>
            <m:r>
              <m:rPr>
                <m:nor/>
              </m:rPr>
              <w:rPr>
                <w:rFonts w:eastAsiaTheme="minorEastAsia"/>
                <w:i/>
                <w:iCs/>
              </w:rPr>
              <m:t>σ</m:t>
            </m:r>
          </m:e>
          <m:sup>
            <m:r>
              <m:rPr>
                <m:nor/>
              </m:rPr>
              <w:rPr>
                <w:rFonts w:eastAsiaTheme="minorEastAsia"/>
                <w:i/>
                <w:iCs/>
              </w:rPr>
              <m:t>2</m:t>
            </m:r>
          </m:sup>
        </m:sSup>
        <m:r>
          <w:rPr>
            <w:rFonts w:ascii="Cambria Math" w:eastAsiaTheme="minorEastAsia" w:hAnsi="Cambria Math"/>
          </w:rPr>
          <m:t>∙</m:t>
        </m:r>
        <m:d>
          <m:dPr>
            <m:ctrlPr>
              <w:rPr>
                <w:rFonts w:ascii="Cambria Math" w:eastAsiaTheme="minorEastAsia" w:hAnsi="Cambria Math"/>
                <w:i/>
                <w:iCs/>
              </w:rPr>
            </m:ctrlPr>
          </m:dPr>
          <m:e>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x</m:t>
                    </m:r>
                  </m:e>
                </m:d>
              </m:num>
              <m:den>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x</m:t>
                    </m:r>
                  </m:e>
                </m:d>
              </m:den>
            </m:f>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2</m:t>
            </m:r>
          </m:den>
        </m:f>
        <m:r>
          <w:rPr>
            <w:rFonts w:ascii="Cambria Math" w:eastAsiaTheme="minorEastAsia" w:hAnsi="Cambria Math"/>
          </w:rPr>
          <m:t>∙</m:t>
        </m:r>
        <m:sSup>
          <m:sSupPr>
            <m:ctrlPr>
              <w:rPr>
                <w:rFonts w:ascii="Cambria Math" w:eastAsiaTheme="minorEastAsia" w:hAnsi="Cambria Math"/>
                <w:i/>
                <w:iCs/>
              </w:rPr>
            </m:ctrlPr>
          </m:sSupPr>
          <m:e>
            <m:r>
              <m:rPr>
                <m:nor/>
              </m:rPr>
              <w:rPr>
                <w:rFonts w:eastAsiaTheme="minorEastAsia"/>
                <w:i/>
                <w:iCs/>
              </w:rPr>
              <m:t>σ</m:t>
            </m:r>
          </m:e>
          <m:sup>
            <m:r>
              <m:rPr>
                <m:nor/>
              </m:rPr>
              <w:rPr>
                <w:rFonts w:eastAsiaTheme="minorEastAsia"/>
                <w:i/>
                <w:iCs/>
              </w:rPr>
              <m:t>2</m:t>
            </m:r>
          </m:sup>
        </m:sSup>
        <m:r>
          <w:rPr>
            <w:rFonts w:ascii="Cambria Math" w:eastAsiaTheme="minorEastAsia" w:hAnsi="Cambria Math"/>
          </w:rPr>
          <m:t>∙</m:t>
        </m:r>
        <m:sSub>
          <m:sSubPr>
            <m:ctrlPr>
              <w:rPr>
                <w:rFonts w:ascii="Cambria Math" w:hAnsi="Cambria Math"/>
                <w:i/>
                <w:iCs/>
                <w:sz w:val="22"/>
              </w:rPr>
            </m:ctrlPr>
          </m:sSubPr>
          <m:e>
            <m:r>
              <m:rPr>
                <m:nor/>
              </m:rPr>
              <w:rPr>
                <w:i/>
                <w:iCs/>
              </w:rPr>
              <m:t>r</m:t>
            </m:r>
          </m:e>
          <m:sub>
            <m:r>
              <m:rPr>
                <m:nor/>
              </m:rPr>
              <w:rPr>
                <w:i/>
                <w:iCs/>
              </w:rPr>
              <m:t>α</m:t>
            </m:r>
          </m:sub>
        </m:sSub>
      </m:oMath>
      <w:r w:rsidR="003B12B7">
        <w:t xml:space="preserve">. </w:t>
      </w:r>
      <w:r>
        <w:t xml:space="preserve">Para ver su </w:t>
      </w:r>
      <w:r w:rsidRPr="004F5FBF">
        <w:t>derivación</w:t>
      </w:r>
      <w:r>
        <w:t>:</w:t>
      </w:r>
      <w:r w:rsidR="00F60949">
        <w:br/>
      </w:r>
      <w:r w:rsidRPr="00F64BBA">
        <w:rPr>
          <w:sz w:val="15"/>
          <w:szCs w:val="15"/>
        </w:rPr>
        <w:t xml:space="preserve">Página 206 Maté García, J. J. &amp; Pérez Domínguez, C. (2007). </w:t>
      </w:r>
      <w:r w:rsidRPr="006914EF">
        <w:rPr>
          <w:i/>
          <w:iCs/>
          <w:sz w:val="15"/>
          <w:szCs w:val="15"/>
        </w:rPr>
        <w:t>Microeconomía avanzada: Cuestiones y ejercicios resueltos</w:t>
      </w:r>
      <w:r w:rsidRPr="00F64BBA">
        <w:rPr>
          <w:sz w:val="15"/>
          <w:szCs w:val="15"/>
        </w:rPr>
        <w:t xml:space="preserve">. </w:t>
      </w:r>
      <w:r w:rsidRPr="00577352">
        <w:rPr>
          <w:sz w:val="15"/>
          <w:szCs w:val="15"/>
        </w:rPr>
        <w:t>Pearson Prentice Hall.</w:t>
      </w:r>
    </w:p>
  </w:footnote>
  <w:footnote w:id="26">
    <w:p w14:paraId="64787FFF" w14:textId="77777777" w:rsidR="0084331D" w:rsidRPr="00577352" w:rsidRDefault="0097778A" w:rsidP="0084331D">
      <w:pPr>
        <w:keepNext/>
        <w:spacing w:after="0"/>
        <w:rPr>
          <w:sz w:val="16"/>
          <w:szCs w:val="16"/>
        </w:rPr>
      </w:pPr>
      <w:r w:rsidRPr="0097778A">
        <w:rPr>
          <w:rStyle w:val="Refdenotaalpie"/>
          <w:sz w:val="16"/>
          <w:szCs w:val="16"/>
        </w:rPr>
        <w:footnoteRef/>
      </w:r>
      <w:r w:rsidRPr="00577352">
        <w:rPr>
          <w:sz w:val="16"/>
          <w:szCs w:val="16"/>
        </w:rPr>
        <w:t xml:space="preserve"> </w:t>
      </w:r>
    </w:p>
    <w:p w14:paraId="3317407F" w14:textId="273A8760" w:rsidR="0097778A" w:rsidRPr="00577352" w:rsidRDefault="00000000" w:rsidP="00D150F0">
      <w:pPr>
        <w:spacing w:after="40"/>
        <w:rPr>
          <w:rFonts w:eastAsiaTheme="minorEastAsia"/>
          <w:i/>
          <w:sz w:val="16"/>
          <w:szCs w:val="16"/>
        </w:rPr>
      </w:pPr>
      <m:oMathPara>
        <m:oMath>
          <m:sSub>
            <m:sSubPr>
              <m:ctrlPr>
                <w:rPr>
                  <w:rFonts w:ascii="Cambria Math" w:hAnsi="Cambria Math"/>
                  <w:i/>
                  <w:sz w:val="16"/>
                  <w:szCs w:val="16"/>
                </w:rPr>
              </m:ctrlPr>
            </m:sSubPr>
            <m:e>
              <m:r>
                <m:rPr>
                  <m:nor/>
                </m:rPr>
                <w:rPr>
                  <w:i/>
                  <w:sz w:val="16"/>
                  <w:szCs w:val="16"/>
                </w:rPr>
                <m:t>r</m:t>
              </m:r>
            </m:e>
            <m:sub>
              <m:r>
                <m:rPr>
                  <m:nor/>
                </m:rPr>
                <w:rPr>
                  <w:i/>
                  <w:sz w:val="16"/>
                  <w:szCs w:val="16"/>
                </w:rPr>
                <m:t>r</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r</m:t>
              </m:r>
            </m:e>
            <m:sub>
              <m:r>
                <m:rPr>
                  <m:nor/>
                </m:rPr>
                <w:rPr>
                  <w:i/>
                  <w:sz w:val="16"/>
                  <w:szCs w:val="16"/>
                </w:rPr>
                <m:t>α</m:t>
              </m:r>
            </m:sub>
          </m:sSub>
          <m:r>
            <w:rPr>
              <w:rFonts w:ascii="Cambria Math" w:hAnsi="Cambria Math"/>
              <w:sz w:val="16"/>
              <w:szCs w:val="16"/>
            </w:rPr>
            <m:t>∙</m:t>
          </m:r>
          <m:r>
            <m:rPr>
              <m:nor/>
            </m:rPr>
            <w:rPr>
              <w:i/>
              <w:sz w:val="16"/>
              <w:szCs w:val="16"/>
            </w:rPr>
            <m:t>x</m:t>
          </m:r>
          <m:r>
            <w:rPr>
              <w:rFonts w:ascii="Cambria Math" w:hAnsi="Cambria Math"/>
              <w:sz w:val="16"/>
              <w:szCs w:val="16"/>
            </w:rPr>
            <m:t>=-</m:t>
          </m:r>
          <m:f>
            <m:fPr>
              <m:ctrlPr>
                <w:rPr>
                  <w:rFonts w:ascii="Cambria Math" w:hAnsi="Cambria Math"/>
                  <w:i/>
                  <w:sz w:val="16"/>
                  <w:szCs w:val="16"/>
                </w:rPr>
              </m:ctrlPr>
            </m:fPr>
            <m:num>
              <m:r>
                <m:rPr>
                  <m:nor/>
                </m:rPr>
                <w:rPr>
                  <w:i/>
                  <w:sz w:val="16"/>
                  <w:szCs w:val="16"/>
                </w:rPr>
                <m:t>u''</m:t>
              </m:r>
              <m:d>
                <m:dPr>
                  <m:ctrlPr>
                    <w:rPr>
                      <w:rFonts w:ascii="Cambria Math" w:hAnsi="Cambria Math"/>
                      <w:i/>
                      <w:sz w:val="16"/>
                      <w:szCs w:val="16"/>
                    </w:rPr>
                  </m:ctrlPr>
                </m:dPr>
                <m:e>
                  <m:r>
                    <m:rPr>
                      <m:nor/>
                    </m:rPr>
                    <w:rPr>
                      <w:i/>
                      <w:sz w:val="16"/>
                      <w:szCs w:val="16"/>
                    </w:rPr>
                    <m:t>x</m:t>
                  </m:r>
                </m:e>
              </m:d>
            </m:num>
            <m:den>
              <m:r>
                <m:rPr>
                  <m:nor/>
                </m:rPr>
                <w:rPr>
                  <w:i/>
                  <w:sz w:val="16"/>
                  <w:szCs w:val="16"/>
                </w:rPr>
                <m:t>u'</m:t>
              </m:r>
              <m:d>
                <m:dPr>
                  <m:ctrlPr>
                    <w:rPr>
                      <w:rFonts w:ascii="Cambria Math" w:hAnsi="Cambria Math"/>
                      <w:i/>
                      <w:sz w:val="16"/>
                      <w:szCs w:val="16"/>
                    </w:rPr>
                  </m:ctrlPr>
                </m:dPr>
                <m:e>
                  <m:r>
                    <m:rPr>
                      <m:nor/>
                    </m:rPr>
                    <w:rPr>
                      <w:i/>
                      <w:sz w:val="16"/>
                      <w:szCs w:val="16"/>
                    </w:rPr>
                    <m:t>x</m:t>
                  </m:r>
                </m:e>
              </m:d>
            </m:den>
          </m:f>
          <m:r>
            <w:rPr>
              <w:rFonts w:ascii="Cambria Math" w:hAnsi="Cambria Math"/>
              <w:sz w:val="16"/>
              <w:szCs w:val="16"/>
            </w:rPr>
            <m:t>∙</m:t>
          </m:r>
          <m:r>
            <m:rPr>
              <m:nor/>
            </m:rPr>
            <w:rPr>
              <w:rFonts w:eastAsiaTheme="minorEastAsia"/>
              <w:i/>
              <w:sz w:val="16"/>
              <w:szCs w:val="16"/>
            </w:rPr>
            <m:t>x</m:t>
          </m:r>
          <m:r>
            <w:rPr>
              <w:rFonts w:ascii="Cambria Math" w:eastAsiaTheme="minorEastAsia" w:hAnsi="Cambria Math"/>
              <w:sz w:val="16"/>
              <w:szCs w:val="16"/>
            </w:rPr>
            <m:t>=</m:t>
          </m:r>
          <m:r>
            <w:rPr>
              <w:rFonts w:ascii="Cambria Math" w:hAnsi="Cambria Math"/>
              <w:sz w:val="16"/>
              <w:szCs w:val="16"/>
            </w:rPr>
            <m:t>-</m:t>
          </m:r>
          <m:limLow>
            <m:limLowPr>
              <m:ctrlPr>
                <w:rPr>
                  <w:rFonts w:ascii="Cambria Math" w:hAnsi="Cambria Math"/>
                  <w:i/>
                  <w:sz w:val="16"/>
                  <w:szCs w:val="16"/>
                </w:rPr>
              </m:ctrlPr>
            </m:limLowPr>
            <m:e>
              <m:groupChr>
                <m:groupChrPr>
                  <m:ctrlPr>
                    <w:rPr>
                      <w:rFonts w:ascii="Cambria Math" w:hAnsi="Cambria Math"/>
                      <w:i/>
                      <w:sz w:val="16"/>
                      <w:szCs w:val="16"/>
                    </w:rPr>
                  </m:ctrlPr>
                </m:groupChrPr>
                <m:e>
                  <m:f>
                    <m:fPr>
                      <m:ctrlPr>
                        <w:rPr>
                          <w:rFonts w:ascii="Cambria Math" w:hAnsi="Cambria Math"/>
                          <w:i/>
                          <w:sz w:val="16"/>
                          <w:szCs w:val="16"/>
                        </w:rPr>
                      </m:ctrlPr>
                    </m:fPr>
                    <m:num>
                      <m:r>
                        <m:rPr>
                          <m:nor/>
                        </m:rPr>
                        <w:rPr>
                          <w:i/>
                          <w:sz w:val="16"/>
                          <w:szCs w:val="16"/>
                        </w:rPr>
                        <m:t>∂u'</m:t>
                      </m:r>
                      <m:d>
                        <m:dPr>
                          <m:ctrlPr>
                            <w:rPr>
                              <w:rFonts w:ascii="Cambria Math" w:hAnsi="Cambria Math"/>
                              <w:i/>
                              <w:sz w:val="16"/>
                              <w:szCs w:val="16"/>
                            </w:rPr>
                          </m:ctrlPr>
                        </m:dPr>
                        <m:e>
                          <m:r>
                            <m:rPr>
                              <m:nor/>
                            </m:rPr>
                            <w:rPr>
                              <w:i/>
                              <w:sz w:val="16"/>
                              <w:szCs w:val="16"/>
                            </w:rPr>
                            <m:t>x</m:t>
                          </m:r>
                        </m:e>
                      </m:d>
                    </m:num>
                    <m:den>
                      <m:r>
                        <m:rPr>
                          <m:nor/>
                        </m:rPr>
                        <w:rPr>
                          <w:i/>
                          <w:sz w:val="16"/>
                          <w:szCs w:val="16"/>
                        </w:rPr>
                        <m:t>∂x</m:t>
                      </m:r>
                    </m:den>
                  </m:f>
                  <m:r>
                    <w:rPr>
                      <w:rFonts w:ascii="Cambria Math" w:hAnsi="Cambria Math"/>
                      <w:sz w:val="16"/>
                      <w:szCs w:val="16"/>
                    </w:rPr>
                    <m:t>∙</m:t>
                  </m:r>
                  <m:f>
                    <m:fPr>
                      <m:ctrlPr>
                        <w:rPr>
                          <w:rFonts w:ascii="Cambria Math" w:hAnsi="Cambria Math"/>
                          <w:i/>
                          <w:sz w:val="16"/>
                          <w:szCs w:val="16"/>
                        </w:rPr>
                      </m:ctrlPr>
                    </m:fPr>
                    <m:num>
                      <m:r>
                        <m:rPr>
                          <m:nor/>
                        </m:rPr>
                        <w:rPr>
                          <w:i/>
                          <w:sz w:val="16"/>
                          <w:szCs w:val="16"/>
                        </w:rPr>
                        <m:t>x</m:t>
                      </m:r>
                    </m:num>
                    <m:den>
                      <m:r>
                        <m:rPr>
                          <m:nor/>
                        </m:rPr>
                        <w:rPr>
                          <w:i/>
                          <w:sz w:val="16"/>
                          <w:szCs w:val="16"/>
                        </w:rPr>
                        <m:t>u'</m:t>
                      </m:r>
                      <m:d>
                        <m:dPr>
                          <m:ctrlPr>
                            <w:rPr>
                              <w:rFonts w:ascii="Cambria Math" w:hAnsi="Cambria Math"/>
                              <w:i/>
                              <w:sz w:val="16"/>
                              <w:szCs w:val="16"/>
                            </w:rPr>
                          </m:ctrlPr>
                        </m:dPr>
                        <m:e>
                          <m:r>
                            <m:rPr>
                              <m:nor/>
                            </m:rPr>
                            <w:rPr>
                              <w:i/>
                              <w:sz w:val="16"/>
                              <w:szCs w:val="16"/>
                            </w:rPr>
                            <m:t>x</m:t>
                          </m:r>
                        </m:e>
                      </m:d>
                    </m:den>
                  </m:f>
                </m:e>
              </m:groupChr>
            </m:e>
            <m:lim>
              <m:sSub>
                <m:sSubPr>
                  <m:ctrlPr>
                    <w:rPr>
                      <w:rFonts w:ascii="Cambria Math" w:hAnsi="Cambria Math"/>
                      <w:i/>
                      <w:sz w:val="16"/>
                      <w:szCs w:val="16"/>
                    </w:rPr>
                  </m:ctrlPr>
                </m:sSubPr>
                <m:e>
                  <m:r>
                    <m:rPr>
                      <m:nor/>
                    </m:rPr>
                    <w:rPr>
                      <w:i/>
                      <w:iCs/>
                      <w:sz w:val="16"/>
                      <w:szCs w:val="16"/>
                    </w:rPr>
                    <m:t>ε</m:t>
                  </m:r>
                </m:e>
                <m:sub>
                  <m:r>
                    <m:rPr>
                      <m:nor/>
                    </m:rPr>
                    <w:rPr>
                      <w:i/>
                      <w:sz w:val="16"/>
                      <w:szCs w:val="16"/>
                    </w:rPr>
                    <m:t>u'</m:t>
                  </m:r>
                  <m:d>
                    <m:dPr>
                      <m:ctrlPr>
                        <w:rPr>
                          <w:rFonts w:ascii="Cambria Math" w:hAnsi="Cambria Math"/>
                          <w:i/>
                          <w:sz w:val="16"/>
                          <w:szCs w:val="16"/>
                        </w:rPr>
                      </m:ctrlPr>
                    </m:dPr>
                    <m:e>
                      <m:r>
                        <m:rPr>
                          <m:nor/>
                        </m:rPr>
                        <w:rPr>
                          <w:i/>
                          <w:sz w:val="16"/>
                          <w:szCs w:val="16"/>
                        </w:rPr>
                        <m:t>x</m:t>
                      </m:r>
                    </m:e>
                  </m:d>
                  <m:r>
                    <m:rPr>
                      <m:nor/>
                    </m:rPr>
                    <w:rPr>
                      <w:i/>
                      <w:sz w:val="16"/>
                      <w:szCs w:val="16"/>
                    </w:rPr>
                    <m:t>,x</m:t>
                  </m:r>
                </m:sub>
              </m:sSub>
            </m:lim>
          </m:limLow>
        </m:oMath>
      </m:oMathPara>
    </w:p>
  </w:footnote>
  <w:footnote w:id="27">
    <w:p w14:paraId="559C3208" w14:textId="77777777" w:rsidR="001C2767" w:rsidRPr="009251A9" w:rsidRDefault="001C2767" w:rsidP="001C2767">
      <w:pPr>
        <w:pStyle w:val="Textonotapie"/>
        <w:rPr>
          <w:spacing w:val="-1"/>
        </w:rPr>
      </w:pPr>
      <w:r w:rsidRPr="009251A9">
        <w:rPr>
          <w:rStyle w:val="Refdenotaalpie"/>
          <w:spacing w:val="-1"/>
        </w:rPr>
        <w:footnoteRef/>
      </w:r>
      <w:r w:rsidRPr="009251A9">
        <w:rPr>
          <w:spacing w:val="-1"/>
        </w:rPr>
        <w:t xml:space="preserve"> En macroeconomía se trabaja mucho con una función isoelástica (</w:t>
      </w:r>
      <w:proofErr w:type="spellStart"/>
      <w:r w:rsidRPr="009251A9">
        <w:rPr>
          <w:i/>
          <w:iCs/>
          <w:spacing w:val="-1"/>
        </w:rPr>
        <w:t>Constant</w:t>
      </w:r>
      <w:proofErr w:type="spellEnd"/>
      <w:r w:rsidRPr="009251A9">
        <w:rPr>
          <w:i/>
          <w:iCs/>
          <w:spacing w:val="-1"/>
        </w:rPr>
        <w:t xml:space="preserve"> Relative </w:t>
      </w:r>
      <w:proofErr w:type="spellStart"/>
      <w:r w:rsidRPr="009251A9">
        <w:rPr>
          <w:i/>
          <w:iCs/>
          <w:spacing w:val="-1"/>
        </w:rPr>
        <w:t>Risk</w:t>
      </w:r>
      <w:proofErr w:type="spellEnd"/>
      <w:r w:rsidRPr="009251A9">
        <w:rPr>
          <w:i/>
          <w:iCs/>
          <w:spacing w:val="-1"/>
        </w:rPr>
        <w:t xml:space="preserve"> </w:t>
      </w:r>
      <w:proofErr w:type="spellStart"/>
      <w:r w:rsidRPr="009251A9">
        <w:rPr>
          <w:i/>
          <w:iCs/>
          <w:spacing w:val="-1"/>
        </w:rPr>
        <w:t>Aversion</w:t>
      </w:r>
      <w:proofErr w:type="spellEnd"/>
      <w:r w:rsidRPr="009251A9">
        <w:rPr>
          <w:spacing w:val="-1"/>
        </w:rPr>
        <w:t xml:space="preserve"> - CRRA). Esto es una propiedad atractiva, ya que a lo largo de los dos últimos siglos, los niveles de prima de riesgo asociados al comercio de activos financieros en EE.UU. y en Reino Unido han fluctuado alrededor de una media considerablemente constante a pesar del crecimiento de la renta per cápita y del consumo de ambos países. Además, a nivel analítico permite obtener primas de riesgo estacionarias cuando el consumo crece a una tasa constante.</w:t>
      </w:r>
    </w:p>
    <w:p w14:paraId="64384FEB" w14:textId="77777777" w:rsidR="001C2767" w:rsidRDefault="001C2767" w:rsidP="001C2767">
      <w:pPr>
        <w:pStyle w:val="Textonotapie"/>
      </w:pPr>
      <w:r>
        <w:t>La función isoelástica también tiene como implicación (con adicionales supuestos) que la selección de cartera de un hogar (i.e. qué parte de su riqueza invertir en acciones o en bonos) no se ve alterada por cambios en la riqueza del hogar.</w:t>
      </w:r>
    </w:p>
  </w:footnote>
  <w:footnote w:id="28">
    <w:p w14:paraId="77059265" w14:textId="46332336" w:rsidR="001C2767" w:rsidRPr="00813FAB" w:rsidRDefault="001C2767" w:rsidP="001C2767">
      <w:pPr>
        <w:pStyle w:val="Textonotapie"/>
        <w:keepNext/>
        <w:spacing w:after="0"/>
      </w:pPr>
      <w:r>
        <w:rPr>
          <w:rStyle w:val="Refdenotaalpie"/>
        </w:rPr>
        <w:footnoteRef/>
      </w:r>
      <w:r w:rsidRPr="00C40372">
        <w:rPr>
          <w:rFonts w:eastAsiaTheme="minorEastAsia"/>
          <w:sz w:val="15"/>
          <w:szCs w:val="15"/>
        </w:rPr>
        <w:t xml:space="preserve"> </w:t>
      </w:r>
      <w:r w:rsidRPr="00813FAB">
        <w:t>La elasticidad de sustitución intertemporal quedaría definida como</w:t>
      </w:r>
      <w:r>
        <w:t xml:space="preserve"> </w:t>
      </w:r>
      <w:r w:rsidRPr="001C2767">
        <w:rPr>
          <w:color w:val="767171" w:themeColor="background2" w:themeShade="80"/>
          <w:sz w:val="14"/>
          <w:szCs w:val="14"/>
        </w:rPr>
        <w:t>[ver tema 3.A.</w:t>
      </w:r>
      <w:r w:rsidR="00AE0338">
        <w:rPr>
          <w:color w:val="767171" w:themeColor="background2" w:themeShade="80"/>
          <w:sz w:val="14"/>
          <w:szCs w:val="14"/>
        </w:rPr>
        <w:t>29</w:t>
      </w:r>
      <w:r w:rsidRPr="001C2767">
        <w:rPr>
          <w:color w:val="767171" w:themeColor="background2" w:themeShade="80"/>
          <w:sz w:val="14"/>
          <w:szCs w:val="14"/>
        </w:rPr>
        <w:t>]</w:t>
      </w:r>
      <w:r w:rsidRPr="00813FAB">
        <w:t>:</w:t>
      </w:r>
    </w:p>
    <w:p w14:paraId="2BCE1345" w14:textId="77777777" w:rsidR="001C2767" w:rsidRPr="001C2767" w:rsidRDefault="001C2767" w:rsidP="001C2767">
      <w:pPr>
        <w:pStyle w:val="Textonotapie"/>
        <w:ind w:right="-568"/>
        <w:rPr>
          <w:rFonts w:eastAsiaTheme="minorEastAsia"/>
          <w:szCs w:val="16"/>
          <w:lang w:val="fr-FR"/>
        </w:rPr>
      </w:pPr>
      <m:oMathPara>
        <m:oMath>
          <m:r>
            <m:rPr>
              <m:nor/>
            </m:rPr>
            <w:rPr>
              <w:rFonts w:eastAsiaTheme="minorEastAsia"/>
              <w:color w:val="C00000"/>
              <w:szCs w:val="16"/>
              <w:lang w:val="fr-FR"/>
            </w:rPr>
            <m:t>ESI</m:t>
          </m:r>
          <m:r>
            <w:rPr>
              <w:rFonts w:ascii="Cambria Math" w:eastAsiaTheme="minorEastAsia" w:hAnsi="Cambria Math"/>
              <w:color w:val="C00000"/>
              <w:szCs w:val="16"/>
              <w:lang w:val="fr-FR"/>
            </w:rPr>
            <m:t>≡</m:t>
          </m:r>
          <m:r>
            <m:rPr>
              <m:nor/>
            </m:rPr>
            <w:rPr>
              <w:rFonts w:eastAsiaTheme="minorEastAsia"/>
              <w:i/>
              <w:iCs/>
              <w:color w:val="C00000"/>
              <w:szCs w:val="16"/>
            </w:rPr>
            <m:t>σ</m:t>
          </m:r>
          <m:r>
            <w:rPr>
              <w:rFonts w:ascii="Cambria Math" w:eastAsiaTheme="minorEastAsia" w:hAnsi="Cambria Math"/>
              <w:szCs w:val="16"/>
              <w:lang w:val="fr-FR"/>
            </w:rPr>
            <m:t>=</m:t>
          </m:r>
          <m:f>
            <m:fPr>
              <m:ctrlPr>
                <w:rPr>
                  <w:rFonts w:ascii="Cambria Math" w:eastAsiaTheme="minorEastAsia" w:hAnsi="Cambria Math"/>
                  <w:i/>
                  <w:iCs/>
                  <w:szCs w:val="16"/>
                </w:rPr>
              </m:ctrlPr>
            </m:fPr>
            <m:num>
              <m:r>
                <m:rPr>
                  <m:nor/>
                </m:rPr>
                <w:rPr>
                  <w:i/>
                  <w:iCs/>
                  <w:szCs w:val="16"/>
                  <w:lang w:val="fr-FR"/>
                </w:rPr>
                <m:t xml:space="preserve">d </m:t>
              </m:r>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num>
            <m:den>
              <m:r>
                <m:rPr>
                  <m:nor/>
                </m:rPr>
                <w:rPr>
                  <w:i/>
                  <w:iCs/>
                  <w:szCs w:val="16"/>
                  <w:lang w:val="fr-FR"/>
                </w:rPr>
                <m:t xml:space="preserve">d </m:t>
              </m:r>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den>
          </m:f>
          <m:r>
            <w:rPr>
              <w:rFonts w:ascii="Cambria Math" w:eastAsiaTheme="minorEastAsia" w:hAnsi="Cambria Math"/>
              <w:szCs w:val="16"/>
              <w:lang w:val="fr-FR"/>
            </w:rPr>
            <m:t>∙</m:t>
          </m:r>
          <m:f>
            <m:fPr>
              <m:ctrlPr>
                <w:rPr>
                  <w:rFonts w:ascii="Cambria Math" w:eastAsiaTheme="minorEastAsia" w:hAnsi="Cambria Math"/>
                  <w:i/>
                  <w:iCs/>
                  <w:szCs w:val="16"/>
                </w:rPr>
              </m:ctrlPr>
            </m:fPr>
            <m:num>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num>
            <m:den>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den>
          </m:f>
          <m:r>
            <m:rPr>
              <m:sty m:val="p"/>
            </m:rPr>
            <w:rPr>
              <w:rFonts w:eastAsiaTheme="minorEastAsia"/>
              <w:szCs w:val="16"/>
              <w:lang w:val="fr-FR"/>
            </w:rPr>
            <w:br/>
          </m:r>
        </m:oMath>
        <m:oMath>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r>
                      <w:rPr>
                        <w:rFonts w:ascii="Cambria Math" w:hAnsi="Cambria Math"/>
                        <w:szCs w:val="16"/>
                        <w:lang w:val="fr-FR"/>
                      </w:rPr>
                      <m:t>=</m:t>
                    </m:r>
                    <m:f>
                      <m:fPr>
                        <m:ctrlPr>
                          <w:rPr>
                            <w:rFonts w:ascii="Cambria Math" w:hAnsi="Cambria Math"/>
                            <w:i/>
                            <w:szCs w:val="16"/>
                          </w:rPr>
                        </m:ctrlPr>
                      </m:fPr>
                      <m:num>
                        <m:f>
                          <m:fPr>
                            <m:type m:val="lin"/>
                            <m:ctrlPr>
                              <w:rPr>
                                <w:rFonts w:ascii="Cambria Math" w:hAnsi="Cambria Math"/>
                                <w:i/>
                                <w:szCs w:val="16"/>
                              </w:rPr>
                            </m:ctrlPr>
                          </m:fPr>
                          <m:num>
                            <m:r>
                              <m:rPr>
                                <m:nor/>
                              </m:rPr>
                              <w:rPr>
                                <w:i/>
                                <w:iCs/>
                                <w:szCs w:val="16"/>
                                <w:lang w:val="fr-FR"/>
                              </w:rPr>
                              <m:t>∂u</m:t>
                            </m:r>
                          </m:num>
                          <m:den>
                            <m:r>
                              <m:rPr>
                                <m:nor/>
                              </m:rPr>
                              <w:rPr>
                                <w:i/>
                                <w:iCs/>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num>
                      <m:den>
                        <m:f>
                          <m:fPr>
                            <m:type m:val="lin"/>
                            <m:ctrlPr>
                              <w:rPr>
                                <w:rFonts w:ascii="Cambria Math" w:hAnsi="Cambria Math"/>
                                <w:i/>
                                <w:szCs w:val="16"/>
                              </w:rPr>
                            </m:ctrlPr>
                          </m:fPr>
                          <m:num>
                            <m:r>
                              <m:rPr>
                                <m:nor/>
                              </m:rPr>
                              <w:rPr>
                                <w:i/>
                                <w:iCs/>
                                <w:szCs w:val="16"/>
                                <w:lang w:val="fr-FR"/>
                              </w:rPr>
                              <m:t>∂u</m:t>
                            </m:r>
                          </m:num>
                          <m:den>
                            <m:r>
                              <m:rPr>
                                <m:nor/>
                              </m:rPr>
                              <w:rPr>
                                <w:i/>
                                <w:iCs/>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den>
                        </m:f>
                      </m:den>
                    </m:f>
                    <m:r>
                      <w:rPr>
                        <w:rFonts w:ascii="Cambria Math" w:eastAsiaTheme="minorEastAsia" w:hAnsi="Cambria Math"/>
                        <w:szCs w:val="16"/>
                        <w:lang w:val="fr-FR"/>
                      </w:rPr>
                      <m:t>=</m:t>
                    </m:r>
                    <m:f>
                      <m:fPr>
                        <m:ctrlPr>
                          <w:rPr>
                            <w:rFonts w:ascii="Cambria Math" w:hAnsi="Cambria Math"/>
                            <w:i/>
                            <w:szCs w:val="16"/>
                          </w:rPr>
                        </m:ctrlPr>
                      </m:fPr>
                      <m:num>
                        <m:d>
                          <m:dPr>
                            <m:ctrlPr>
                              <w:rPr>
                                <w:rFonts w:ascii="Cambria Math" w:hAnsi="Cambria Math"/>
                                <w:i/>
                                <w:lang w:val="fr-FR"/>
                              </w:rPr>
                            </m:ctrlPr>
                          </m:dPr>
                          <m:e>
                            <m:r>
                              <m:rPr>
                                <m:nor/>
                              </m:rPr>
                              <w:rPr>
                                <w:i/>
                                <w:lang w:val="fr-FR"/>
                              </w:rPr>
                              <m:t>1</m:t>
                            </m:r>
                            <m:r>
                              <w:rPr>
                                <w:rFonts w:ascii="Cambria Math" w:hAnsi="Cambria Math"/>
                                <w:lang w:val="fr-FR"/>
                              </w:rPr>
                              <m:t>-</m:t>
                            </m:r>
                            <m:r>
                              <m:rPr>
                                <m:nor/>
                              </m:rPr>
                              <w:rPr>
                                <w:i/>
                              </w:rPr>
                              <m:t>θ</m:t>
                            </m:r>
                          </m:e>
                        </m:d>
                        <m:r>
                          <w:rPr>
                            <w:rFonts w:ascii="Cambria Math" w:hAnsi="Cambria Math"/>
                            <w:lang w:val="fr-FR"/>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w:rPr>
                                    <w:rFonts w:ascii="Cambria Math" w:hAnsi="Cambria Math"/>
                                    <w:lang w:val="fr-FR"/>
                                  </w:rPr>
                                  <m:t>-</m:t>
                                </m:r>
                                <m:r>
                                  <m:rPr>
                                    <m:nor/>
                                  </m:rPr>
                                  <w:rPr>
                                    <w:i/>
                                  </w:rPr>
                                  <m:t>θ</m:t>
                                </m:r>
                              </m:sup>
                            </m:sSup>
                          </m:num>
                          <m:den>
                            <m:r>
                              <m:rPr>
                                <m:nor/>
                              </m:rPr>
                              <w:rPr>
                                <w:i/>
                                <w:lang w:val="fr-FR"/>
                              </w:rPr>
                              <m:t>1</m:t>
                            </m:r>
                            <m:r>
                              <w:rPr>
                                <w:rFonts w:ascii="Cambria Math" w:hAnsi="Cambria Math"/>
                                <w:lang w:val="fr-FR"/>
                              </w:rPr>
                              <m:t>-</m:t>
                            </m:r>
                            <m:r>
                              <m:rPr>
                                <m:nor/>
                              </m:rPr>
                              <w:rPr>
                                <w:i/>
                              </w:rPr>
                              <m:t>θ</m:t>
                            </m:r>
                          </m:den>
                        </m:f>
                      </m:num>
                      <m:den>
                        <m:d>
                          <m:dPr>
                            <m:ctrlPr>
                              <w:rPr>
                                <w:rFonts w:ascii="Cambria Math" w:hAnsi="Cambria Math"/>
                                <w:i/>
                                <w:lang w:val="fr-FR"/>
                              </w:rPr>
                            </m:ctrlPr>
                          </m:dPr>
                          <m:e>
                            <m:r>
                              <m:rPr>
                                <m:nor/>
                              </m:rPr>
                              <w:rPr>
                                <w:i/>
                                <w:lang w:val="fr-FR"/>
                              </w:rPr>
                              <m:t>1</m:t>
                            </m:r>
                            <m:r>
                              <w:rPr>
                                <w:rFonts w:ascii="Cambria Math" w:hAnsi="Cambria Math"/>
                                <w:lang w:val="fr-FR"/>
                              </w:rPr>
                              <m:t>-</m:t>
                            </m:r>
                            <m:r>
                              <m:rPr>
                                <m:nor/>
                              </m:rPr>
                              <w:rPr>
                                <w:i/>
                              </w:rPr>
                              <m:t>θ</m:t>
                            </m:r>
                          </m:e>
                        </m:d>
                        <m:r>
                          <w:rPr>
                            <w:rFonts w:ascii="Cambria Math" w:hAnsi="Cambria Math"/>
                            <w:lang w:val="fr-FR"/>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e>
                              <m:sup>
                                <m:r>
                                  <w:rPr>
                                    <w:rFonts w:ascii="Cambria Math" w:hAnsi="Cambria Math"/>
                                    <w:lang w:val="fr-FR"/>
                                  </w:rPr>
                                  <m:t>-</m:t>
                                </m:r>
                                <m:r>
                                  <m:rPr>
                                    <m:nor/>
                                  </m:rPr>
                                  <w:rPr>
                                    <w:i/>
                                  </w:rPr>
                                  <m:t>θ</m:t>
                                </m:r>
                              </m:sup>
                            </m:sSup>
                          </m:num>
                          <m:den>
                            <m:r>
                              <m:rPr>
                                <m:nor/>
                              </m:rPr>
                              <w:rPr>
                                <w:i/>
                                <w:lang w:val="fr-FR"/>
                              </w:rPr>
                              <m:t>1</m:t>
                            </m:r>
                            <m:r>
                              <w:rPr>
                                <w:rFonts w:ascii="Cambria Math" w:hAnsi="Cambria Math"/>
                                <w:lang w:val="fr-FR"/>
                              </w:rPr>
                              <m:t>-</m:t>
                            </m:r>
                            <m:r>
                              <m:rPr>
                                <m:nor/>
                              </m:rPr>
                              <w:rPr>
                                <w:i/>
                              </w:rPr>
                              <m:t>θ</m:t>
                            </m:r>
                          </m:den>
                        </m:f>
                      </m:den>
                    </m:f>
                    <m:r>
                      <w:rPr>
                        <w:rFonts w:ascii="Cambria Math" w:hAnsi="Cambria Math"/>
                        <w:szCs w:val="16"/>
                        <w:lang w:val="fr-FR"/>
                      </w:rPr>
                      <m:t>=</m:t>
                    </m:r>
                    <m:f>
                      <m:fPr>
                        <m:ctrlPr>
                          <w:rPr>
                            <w:rFonts w:ascii="Cambria Math" w:hAnsi="Cambria Math"/>
                            <w:i/>
                            <w:szCs w:val="16"/>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w:rPr>
                                <w:rFonts w:ascii="Cambria Math" w:hAnsi="Cambria Math"/>
                                <w:lang w:val="fr-FR"/>
                              </w:rPr>
                              <m:t>-</m:t>
                            </m:r>
                            <m:r>
                              <m:rPr>
                                <m:nor/>
                              </m:rPr>
                              <w:rPr>
                                <w:i/>
                              </w:rPr>
                              <m:t>θ</m:t>
                            </m:r>
                          </m:sup>
                        </m:sSup>
                      </m:num>
                      <m:den>
                        <m:sSup>
                          <m:sSupPr>
                            <m:ctrlPr>
                              <w:rPr>
                                <w:rFonts w:ascii="Cambria Math" w:hAnsi="Cambria Math"/>
                                <w:i/>
                              </w:rPr>
                            </m:ctrlPr>
                          </m:sSupPr>
                          <m:e>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e>
                          <m:sup>
                            <m:r>
                              <w:rPr>
                                <w:rFonts w:ascii="Cambria Math" w:hAnsi="Cambria Math"/>
                                <w:lang w:val="fr-FR"/>
                              </w:rPr>
                              <m:t>-</m:t>
                            </m:r>
                            <m:r>
                              <m:rPr>
                                <m:nor/>
                              </m:rPr>
                              <w:rPr>
                                <w:i/>
                              </w:rPr>
                              <m:t>θ</m:t>
                            </m:r>
                          </m:sup>
                        </m:sSup>
                      </m:den>
                    </m:f>
                    <m:r>
                      <w:rPr>
                        <w:rFonts w:ascii="Cambria Math" w:hAnsi="Cambria Math"/>
                        <w:szCs w:val="16"/>
                        <w:lang w:val="fr-FR"/>
                      </w:rPr>
                      <m:t>=</m:t>
                    </m:r>
                    <m:sSup>
                      <m:sSupPr>
                        <m:ctrlPr>
                          <w:rPr>
                            <w:rFonts w:ascii="Cambria Math" w:hAnsi="Cambria Math"/>
                            <w:i/>
                            <w:szCs w:val="16"/>
                          </w:rPr>
                        </m:ctrlPr>
                      </m:sSupPr>
                      <m:e>
                        <m:d>
                          <m:dPr>
                            <m:ctrlPr>
                              <w:rPr>
                                <w:rFonts w:ascii="Cambria Math" w:hAnsi="Cambria Math"/>
                                <w:i/>
                                <w:szCs w:val="16"/>
                              </w:rPr>
                            </m:ctrlPr>
                          </m:dPr>
                          <m:e>
                            <m:f>
                              <m:fPr>
                                <m:ctrlPr>
                                  <w:rPr>
                                    <w:rFonts w:ascii="Cambria Math" w:hAnsi="Cambria Math"/>
                                    <w:i/>
                                    <w:szCs w:val="16"/>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rPr>
                          <m:t>θ</m:t>
                        </m:r>
                      </m:sup>
                    </m:sSup>
                  </m:e>
                </m:mr>
                <m:mr>
                  <m:e>
                    <m:r>
                      <w:rPr>
                        <w:rFonts w:ascii="Cambria Math" w:hAnsi="Cambria Math"/>
                        <w:szCs w:val="16"/>
                        <w:lang w:val="fr-FR"/>
                      </w:rPr>
                      <m:t xml:space="preserve"> </m:t>
                    </m:r>
                  </m:e>
                </m:mr>
                <m:mr>
                  <m:e>
                    <m:f>
                      <m:fPr>
                        <m:ctrlPr>
                          <w:rPr>
                            <w:rFonts w:ascii="Cambria Math" w:hAnsi="Cambria Math"/>
                            <w:i/>
                            <w:szCs w:val="16"/>
                          </w:rPr>
                        </m:ctrlPr>
                      </m:fPr>
                      <m:num>
                        <m:r>
                          <m:rPr>
                            <m:nor/>
                          </m:rPr>
                          <w:rPr>
                            <w:i/>
                            <w:iCs/>
                            <w:szCs w:val="16"/>
                            <w:lang w:val="fr-FR"/>
                          </w:rPr>
                          <m:t>d</m:t>
                        </m:r>
                        <m:r>
                          <m:rPr>
                            <m:nor/>
                          </m:rPr>
                          <w:rPr>
                            <w:rFonts w:ascii="Cambria Math"/>
                            <w:i/>
                            <w:iCs/>
                            <w:szCs w:val="16"/>
                            <w:lang w:val="fr-FR"/>
                          </w:rPr>
                          <m:t xml:space="preserve"> </m:t>
                        </m:r>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num>
                      <m:den>
                        <m:r>
                          <m:rPr>
                            <m:nor/>
                          </m:rPr>
                          <w:rPr>
                            <w:i/>
                            <w:iCs/>
                            <w:szCs w:val="16"/>
                            <w:lang w:val="fr-FR"/>
                          </w:rPr>
                          <m:t xml:space="preserve">d </m:t>
                        </m:r>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den>
                    </m:f>
                    <m:r>
                      <w:rPr>
                        <w:rFonts w:ascii="Cambria Math" w:hAnsi="Cambria Math"/>
                        <w:szCs w:val="16"/>
                        <w:lang w:val="fr-FR"/>
                      </w:rPr>
                      <m:t>=</m:t>
                    </m:r>
                    <m:r>
                      <m:rPr>
                        <m:nor/>
                      </m:rPr>
                      <w:rPr>
                        <w:i/>
                      </w:rPr>
                      <m:t>θ</m:t>
                    </m:r>
                    <m:r>
                      <w:rPr>
                        <w:rFonts w:ascii="Cambria Math" w:hAnsi="Cambria Math"/>
                        <w:lang w:val="fr-FR"/>
                      </w:rPr>
                      <m:t>∙</m:t>
                    </m:r>
                    <m:sSup>
                      <m:sSupPr>
                        <m:ctrlPr>
                          <w:rPr>
                            <w:rFonts w:ascii="Cambria Math" w:hAnsi="Cambria Math"/>
                            <w:i/>
                            <w:szCs w:val="16"/>
                          </w:rPr>
                        </m:ctrlPr>
                      </m:sSupPr>
                      <m:e>
                        <m:d>
                          <m:dPr>
                            <m:ctrlPr>
                              <w:rPr>
                                <w:rFonts w:ascii="Cambria Math" w:hAnsi="Cambria Math"/>
                                <w:i/>
                                <w:szCs w:val="16"/>
                              </w:rPr>
                            </m:ctrlPr>
                          </m:dPr>
                          <m:e>
                            <m:f>
                              <m:fPr>
                                <m:ctrlPr>
                                  <w:rPr>
                                    <w:rFonts w:ascii="Cambria Math" w:hAnsi="Cambria Math"/>
                                    <w:i/>
                                    <w:szCs w:val="16"/>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rPr>
                          <m:t>θ</m:t>
                        </m:r>
                        <m:r>
                          <w:rPr>
                            <w:rFonts w:ascii="Cambria Math" w:hAnsi="Cambria Math"/>
                            <w:lang w:val="fr-FR"/>
                          </w:rPr>
                          <m:t>-</m:t>
                        </m:r>
                        <m:r>
                          <m:rPr>
                            <m:nor/>
                          </m:rPr>
                          <w:rPr>
                            <w:i/>
                            <w:lang w:val="fr-FR"/>
                          </w:rPr>
                          <m:t>1</m:t>
                        </m:r>
                      </m:sup>
                    </m:sSup>
                    <m:r>
                      <w:rPr>
                        <w:rFonts w:ascii="Cambria Math" w:eastAsiaTheme="minorEastAsia" w:hAnsi="Cambria Math"/>
                        <w:szCs w:val="16"/>
                      </w:rPr>
                      <m:t>⟹</m:t>
                    </m:r>
                    <m:f>
                      <m:fPr>
                        <m:ctrlPr>
                          <w:rPr>
                            <w:rFonts w:ascii="Cambria Math" w:hAnsi="Cambria Math"/>
                            <w:i/>
                            <w:szCs w:val="16"/>
                          </w:rPr>
                        </m:ctrlPr>
                      </m:fPr>
                      <m:num>
                        <m:r>
                          <m:rPr>
                            <m:nor/>
                          </m:rPr>
                          <w:rPr>
                            <w:i/>
                            <w:iCs/>
                            <w:szCs w:val="16"/>
                            <w:lang w:val="fr-FR"/>
                          </w:rPr>
                          <m:t>d</m:t>
                        </m:r>
                        <m:r>
                          <m:rPr>
                            <m:nor/>
                          </m:rPr>
                          <w:rPr>
                            <w:rFonts w:ascii="Cambria Math"/>
                            <w:i/>
                            <w:iCs/>
                            <w:szCs w:val="16"/>
                            <w:lang w:val="fr-FR"/>
                          </w:rPr>
                          <m:t xml:space="preserve"> </m:t>
                        </m:r>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num>
                      <m:den>
                        <m:r>
                          <m:rPr>
                            <m:nor/>
                          </m:rPr>
                          <w:rPr>
                            <w:i/>
                            <w:iCs/>
                            <w:szCs w:val="16"/>
                            <w:lang w:val="fr-FR"/>
                          </w:rPr>
                          <m:t xml:space="preserve">d </m:t>
                        </m:r>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den>
                    </m:f>
                    <m:r>
                      <w:rPr>
                        <w:rFonts w:ascii="Cambria Math" w:hAnsi="Cambria Math"/>
                        <w:szCs w:val="16"/>
                        <w:lang w:val="fr-FR"/>
                      </w:rPr>
                      <m:t>=</m:t>
                    </m:r>
                    <m:f>
                      <m:fPr>
                        <m:ctrlPr>
                          <w:rPr>
                            <w:rFonts w:ascii="Cambria Math" w:hAnsi="Cambria Math"/>
                            <w:i/>
                            <w:szCs w:val="16"/>
                            <w:lang w:val="fr-FR"/>
                          </w:rPr>
                        </m:ctrlPr>
                      </m:fPr>
                      <m:num>
                        <m:r>
                          <m:rPr>
                            <m:nor/>
                          </m:rPr>
                          <w:rPr>
                            <w:i/>
                            <w:lang w:val="fr-FR"/>
                          </w:rPr>
                          <m:t>1</m:t>
                        </m:r>
                      </m:num>
                      <m:den>
                        <m:r>
                          <m:rPr>
                            <m:nor/>
                          </m:rPr>
                          <w:rPr>
                            <w:i/>
                          </w:rPr>
                          <m:t>θ</m:t>
                        </m:r>
                      </m:den>
                    </m:f>
                    <m:r>
                      <w:rPr>
                        <w:rFonts w:ascii="Cambria Math" w:hAnsi="Cambria Math"/>
                        <w:lang w:val="fr-FR"/>
                      </w:rPr>
                      <m:t>∙</m:t>
                    </m:r>
                    <m:sSup>
                      <m:sSupPr>
                        <m:ctrlPr>
                          <w:rPr>
                            <w:rFonts w:ascii="Cambria Math" w:hAnsi="Cambria Math"/>
                            <w:i/>
                            <w:szCs w:val="16"/>
                          </w:rPr>
                        </m:ctrlPr>
                      </m:sSupPr>
                      <m:e>
                        <m:d>
                          <m:dPr>
                            <m:ctrlPr>
                              <w:rPr>
                                <w:rFonts w:ascii="Cambria Math" w:hAnsi="Cambria Math"/>
                                <w:i/>
                                <w:szCs w:val="16"/>
                              </w:rPr>
                            </m:ctrlPr>
                          </m:dPr>
                          <m:e>
                            <m:f>
                              <m:fPr>
                                <m:ctrlPr>
                                  <w:rPr>
                                    <w:rFonts w:ascii="Cambria Math" w:hAnsi="Cambria Math"/>
                                    <w:i/>
                                    <w:szCs w:val="16"/>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lang w:val="fr-FR"/>
                          </w:rPr>
                          <m:t>1</m:t>
                        </m:r>
                        <m:r>
                          <w:rPr>
                            <w:rFonts w:ascii="Cambria Math" w:hAnsi="Cambria Math"/>
                            <w:lang w:val="fr-FR"/>
                          </w:rPr>
                          <m:t>-</m:t>
                        </m:r>
                        <m:r>
                          <m:rPr>
                            <m:nor/>
                          </m:rPr>
                          <w:rPr>
                            <w:i/>
                          </w:rPr>
                          <m:t>θ</m:t>
                        </m:r>
                      </m:sup>
                    </m:sSup>
                  </m:e>
                </m:mr>
              </m:m>
            </m:e>
          </m:d>
          <m:r>
            <w:rPr>
              <w:rFonts w:ascii="Cambria Math" w:eastAsiaTheme="minorEastAsia" w:hAnsi="Cambria Math"/>
              <w:szCs w:val="16"/>
            </w:rPr>
            <m:t>⟹</m:t>
          </m:r>
          <m:r>
            <m:rPr>
              <m:nor/>
            </m:rPr>
            <w:rPr>
              <w:rFonts w:eastAsiaTheme="minorEastAsia"/>
              <w:color w:val="C00000"/>
              <w:szCs w:val="16"/>
              <w:lang w:val="fr-FR"/>
            </w:rPr>
            <m:t>ESI</m:t>
          </m:r>
          <m:r>
            <w:rPr>
              <w:rFonts w:ascii="Cambria Math" w:eastAsiaTheme="minorEastAsia" w:hAnsi="Cambria Math"/>
              <w:color w:val="C00000"/>
              <w:szCs w:val="16"/>
              <w:lang w:val="fr-FR"/>
            </w:rPr>
            <m:t>≡</m:t>
          </m:r>
          <m:r>
            <m:rPr>
              <m:nor/>
            </m:rPr>
            <w:rPr>
              <w:rFonts w:eastAsiaTheme="minorEastAsia"/>
              <w:i/>
              <w:iCs/>
              <w:color w:val="C00000"/>
              <w:szCs w:val="16"/>
            </w:rPr>
            <m:t>σ</m:t>
          </m:r>
          <m:r>
            <w:rPr>
              <w:rFonts w:ascii="Cambria Math" w:eastAsiaTheme="minorEastAsia" w:hAnsi="Cambria Math"/>
              <w:szCs w:val="16"/>
              <w:lang w:val="fr-FR"/>
            </w:rPr>
            <m:t>=</m:t>
          </m:r>
          <m:f>
            <m:fPr>
              <m:ctrlPr>
                <w:rPr>
                  <w:rFonts w:ascii="Cambria Math" w:eastAsiaTheme="minorEastAsia" w:hAnsi="Cambria Math"/>
                  <w:i/>
                  <w:iCs/>
                  <w:szCs w:val="16"/>
                </w:rPr>
              </m:ctrlPr>
            </m:fPr>
            <m:num>
              <m:r>
                <m:rPr>
                  <m:nor/>
                </m:rPr>
                <w:rPr>
                  <w:i/>
                  <w:iCs/>
                  <w:szCs w:val="16"/>
                  <w:lang w:val="fr-FR"/>
                </w:rPr>
                <m:t xml:space="preserve">d </m:t>
              </m:r>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num>
            <m:den>
              <m:r>
                <m:rPr>
                  <m:nor/>
                </m:rPr>
                <w:rPr>
                  <w:i/>
                  <w:iCs/>
                  <w:szCs w:val="16"/>
                  <w:lang w:val="fr-FR"/>
                </w:rPr>
                <m:t xml:space="preserve">d </m:t>
              </m:r>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den>
          </m:f>
          <m:r>
            <w:rPr>
              <w:rFonts w:ascii="Cambria Math" w:eastAsiaTheme="minorEastAsia" w:hAnsi="Cambria Math"/>
              <w:szCs w:val="16"/>
              <w:lang w:val="fr-FR"/>
            </w:rPr>
            <m:t>∙</m:t>
          </m:r>
          <m:f>
            <m:fPr>
              <m:ctrlPr>
                <w:rPr>
                  <w:rFonts w:ascii="Cambria Math" w:eastAsiaTheme="minorEastAsia" w:hAnsi="Cambria Math"/>
                  <w:i/>
                  <w:iCs/>
                  <w:szCs w:val="16"/>
                </w:rPr>
              </m:ctrlPr>
            </m:fPr>
            <m:num>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num>
            <m:den>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den>
          </m:f>
          <m:r>
            <w:rPr>
              <w:rFonts w:ascii="Cambria Math" w:eastAsiaTheme="minorEastAsia" w:hAnsi="Cambria Math"/>
              <w:szCs w:val="16"/>
              <w:lang w:val="fr-FR"/>
            </w:rPr>
            <m:t>=</m:t>
          </m:r>
          <m:f>
            <m:fPr>
              <m:ctrlPr>
                <w:rPr>
                  <w:rFonts w:ascii="Cambria Math" w:hAnsi="Cambria Math"/>
                  <w:i/>
                  <w:szCs w:val="16"/>
                  <w:lang w:val="fr-FR"/>
                </w:rPr>
              </m:ctrlPr>
            </m:fPr>
            <m:num>
              <m:r>
                <m:rPr>
                  <m:nor/>
                </m:rPr>
                <w:rPr>
                  <w:i/>
                  <w:lang w:val="fr-FR"/>
                </w:rPr>
                <m:t>1</m:t>
              </m:r>
            </m:num>
            <m:den>
              <m:r>
                <m:rPr>
                  <m:nor/>
                </m:rPr>
                <w:rPr>
                  <w:i/>
                </w:rPr>
                <m:t>θ</m:t>
              </m:r>
            </m:den>
          </m:f>
          <m:r>
            <w:rPr>
              <w:rFonts w:ascii="Cambria Math" w:hAnsi="Cambria Math"/>
              <w:lang w:val="fr-FR"/>
            </w:rPr>
            <m:t>∙</m:t>
          </m:r>
          <m:sSup>
            <m:sSupPr>
              <m:ctrlPr>
                <w:rPr>
                  <w:rFonts w:ascii="Cambria Math" w:hAnsi="Cambria Math"/>
                  <w:i/>
                  <w:szCs w:val="16"/>
                </w:rPr>
              </m:ctrlPr>
            </m:sSupPr>
            <m:e>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lang w:val="fr-FR"/>
                </w:rPr>
                <m:t>1</m:t>
              </m:r>
              <m:r>
                <w:rPr>
                  <w:rFonts w:ascii="Cambria Math" w:hAnsi="Cambria Math"/>
                  <w:lang w:val="fr-FR"/>
                </w:rPr>
                <m:t>-</m:t>
              </m:r>
              <m:r>
                <m:rPr>
                  <m:nor/>
                </m:rPr>
                <w:rPr>
                  <w:i/>
                </w:rPr>
                <m:t>θ</m:t>
              </m:r>
            </m:sup>
          </m:sSup>
          <m:r>
            <w:rPr>
              <w:rFonts w:ascii="Cambria Math" w:eastAsiaTheme="minorEastAsia" w:hAnsi="Cambria Math"/>
              <w:szCs w:val="16"/>
              <w:lang w:val="fr-FR"/>
            </w:rPr>
            <m:t>∙</m:t>
          </m:r>
          <m:f>
            <m:fPr>
              <m:ctrlPr>
                <w:rPr>
                  <w:rFonts w:ascii="Cambria Math" w:eastAsiaTheme="minorEastAsia" w:hAnsi="Cambria Math"/>
                  <w:i/>
                  <w:iCs/>
                  <w:szCs w:val="16"/>
                </w:rPr>
              </m:ctrlPr>
            </m:fPr>
            <m:num>
              <m:sSup>
                <m:sSupPr>
                  <m:ctrlPr>
                    <w:rPr>
                      <w:rFonts w:ascii="Cambria Math" w:hAnsi="Cambria Math"/>
                      <w:i/>
                      <w:szCs w:val="16"/>
                    </w:rPr>
                  </m:ctrlPr>
                </m:sSupPr>
                <m:e>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rPr>
                    <m:t>θ</m:t>
                  </m:r>
                </m:sup>
              </m:sSup>
            </m:num>
            <m:den>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den>
          </m:f>
          <m:r>
            <w:rPr>
              <w:rFonts w:ascii="Cambria Math" w:eastAsiaTheme="minorEastAsia" w:hAnsi="Cambria Math"/>
              <w:szCs w:val="16"/>
              <w:lang w:val="fr-FR"/>
            </w:rPr>
            <m:t>=</m:t>
          </m:r>
          <m:f>
            <m:fPr>
              <m:ctrlPr>
                <w:rPr>
                  <w:rFonts w:ascii="Cambria Math" w:hAnsi="Cambria Math"/>
                  <w:i/>
                  <w:szCs w:val="16"/>
                  <w:lang w:val="fr-FR"/>
                </w:rPr>
              </m:ctrlPr>
            </m:fPr>
            <m:num>
              <m:r>
                <m:rPr>
                  <m:nor/>
                </m:rPr>
                <w:rPr>
                  <w:i/>
                  <w:lang w:val="fr-FR"/>
                </w:rPr>
                <m:t>1</m:t>
              </m:r>
            </m:num>
            <m:den>
              <m:r>
                <m:rPr>
                  <m:nor/>
                </m:rPr>
                <w:rPr>
                  <w:i/>
                </w:rPr>
                <m:t>θ</m:t>
              </m:r>
            </m:den>
          </m:f>
          <m:r>
            <w:rPr>
              <w:rFonts w:ascii="Cambria Math" w:eastAsiaTheme="minorEastAsia" w:hAnsi="Cambria Math"/>
              <w:szCs w:val="16"/>
            </w:rPr>
            <m:t>⟹</m:t>
          </m:r>
          <m:borderBox>
            <m:borderBoxPr>
              <m:ctrlPr>
                <w:rPr>
                  <w:rFonts w:ascii="Cambria Math" w:eastAsiaTheme="minorEastAsia" w:hAnsi="Cambria Math"/>
                  <w:szCs w:val="16"/>
                  <w:lang w:val="fr-FR"/>
                </w:rPr>
              </m:ctrlPr>
            </m:borderBoxPr>
            <m:e>
              <m:r>
                <m:rPr>
                  <m:nor/>
                </m:rPr>
                <w:rPr>
                  <w:rFonts w:eastAsiaTheme="minorEastAsia"/>
                  <w:color w:val="C00000"/>
                  <w:szCs w:val="16"/>
                  <w:lang w:val="fr-FR"/>
                </w:rPr>
                <m:t>ESI</m:t>
              </m:r>
              <m:r>
                <w:rPr>
                  <w:rFonts w:ascii="Cambria Math" w:eastAsiaTheme="minorEastAsia" w:hAnsi="Cambria Math"/>
                  <w:color w:val="C00000"/>
                  <w:szCs w:val="16"/>
                  <w:lang w:val="fr-FR"/>
                </w:rPr>
                <m:t>≡</m:t>
              </m:r>
              <m:r>
                <m:rPr>
                  <m:nor/>
                </m:rPr>
                <w:rPr>
                  <w:rFonts w:eastAsiaTheme="minorEastAsia"/>
                  <w:i/>
                  <w:iCs/>
                  <w:color w:val="C00000"/>
                  <w:szCs w:val="16"/>
                </w:rPr>
                <m:t>σ</m:t>
              </m:r>
              <m:r>
                <w:rPr>
                  <w:rFonts w:ascii="Cambria Math" w:eastAsiaTheme="minorEastAsia" w:hAnsi="Cambria Math"/>
                  <w:szCs w:val="16"/>
                  <w:lang w:val="fr-FR"/>
                </w:rPr>
                <m:t>=</m:t>
              </m:r>
              <m:f>
                <m:fPr>
                  <m:ctrlPr>
                    <w:rPr>
                      <w:rFonts w:ascii="Cambria Math" w:hAnsi="Cambria Math"/>
                      <w:i/>
                      <w:szCs w:val="16"/>
                      <w:lang w:val="fr-FR"/>
                    </w:rPr>
                  </m:ctrlPr>
                </m:fPr>
                <m:num>
                  <m:r>
                    <m:rPr>
                      <m:nor/>
                    </m:rPr>
                    <w:rPr>
                      <w:i/>
                      <w:lang w:val="fr-FR"/>
                    </w:rPr>
                    <m:t>1</m:t>
                  </m:r>
                </m:num>
                <m:den>
                  <m:r>
                    <m:rPr>
                      <m:nor/>
                    </m:rPr>
                    <w:rPr>
                      <w:i/>
                    </w:rPr>
                    <m:t>θ</m:t>
                  </m:r>
                </m:den>
              </m:f>
            </m:e>
          </m:borderBox>
        </m:oMath>
      </m:oMathPara>
    </w:p>
    <w:p w14:paraId="0CD42513" w14:textId="251B69CB" w:rsidR="001C2767" w:rsidRPr="001C2767" w:rsidRDefault="001C2767" w:rsidP="001C2767">
      <w:pPr>
        <w:pStyle w:val="Textonotapie"/>
        <w:ind w:right="-568"/>
        <w:rPr>
          <w:rFonts w:eastAsiaTheme="minorEastAsia"/>
          <w:szCs w:val="16"/>
        </w:rPr>
      </w:pPr>
      <w:r w:rsidRPr="001C2767">
        <w:rPr>
          <w:rFonts w:eastAsiaTheme="minorEastAsia"/>
          <w:szCs w:val="16"/>
        </w:rPr>
        <w:t>De este modo, con funciones de utilidad separables en el tiempo, la inversa de la elasticidad de sustitución y el coeficiente de aversión relativa al riesgo son idénticos. Por lo tanto, la familia de funciones de utilidad con aversión relativa al riesgo constante también consiste de aquellas funciones con elasticidad de sustitución intertemporal constante.</w:t>
      </w:r>
    </w:p>
  </w:footnote>
  <w:footnote w:id="29">
    <w:p w14:paraId="192CEB50" w14:textId="72C564F4" w:rsidR="000D5202" w:rsidRPr="00D150F0" w:rsidRDefault="000D5202" w:rsidP="00F64BBA">
      <w:pPr>
        <w:pStyle w:val="Textonotapie"/>
        <w:rPr>
          <w:spacing w:val="-1"/>
        </w:rPr>
      </w:pPr>
      <w:r w:rsidRPr="00D150F0">
        <w:rPr>
          <w:rStyle w:val="Refdenotaalpie"/>
          <w:spacing w:val="-1"/>
        </w:rPr>
        <w:footnoteRef/>
      </w:r>
      <w:r w:rsidR="00FD5DDB" w:rsidRPr="00D150F0">
        <w:rPr>
          <w:spacing w:val="-1"/>
        </w:rPr>
        <w:t xml:space="preserve"> </w:t>
      </w:r>
      <w:r w:rsidRPr="00D150F0">
        <w:rPr>
          <w:spacing w:val="-1"/>
        </w:rPr>
        <w:t xml:space="preserve">Formalmente se tiene que la lotería </w:t>
      </w:r>
      <w:r w:rsidRPr="00D150F0">
        <w:rPr>
          <w:i/>
          <w:iCs/>
          <w:spacing w:val="-1"/>
        </w:rPr>
        <w:t>F</w:t>
      </w:r>
      <w:r w:rsidRPr="00D150F0">
        <w:rPr>
          <w:spacing w:val="-1"/>
        </w:rPr>
        <w:t xml:space="preserve"> domina a la lotería </w:t>
      </w:r>
      <w:r w:rsidRPr="00D150F0">
        <w:rPr>
          <w:i/>
          <w:iCs/>
          <w:spacing w:val="-1"/>
        </w:rPr>
        <w:t>G</w:t>
      </w:r>
      <w:r w:rsidRPr="00D150F0">
        <w:rPr>
          <w:spacing w:val="-1"/>
        </w:rPr>
        <w:t xml:space="preserve"> estocásticamente de primer orden si para cada </w:t>
      </w:r>
      <m:oMath>
        <m:r>
          <m:rPr>
            <m:nor/>
          </m:rPr>
          <w:rPr>
            <w:i/>
            <w:spacing w:val="-1"/>
          </w:rPr>
          <m:t xml:space="preserve">x </m:t>
        </m:r>
        <m:r>
          <m:rPr>
            <m:nor/>
          </m:rPr>
          <w:rPr>
            <w:rFonts w:ascii="Cambria Math" w:hAnsi="Cambria Math" w:cs="Cambria Math"/>
            <w:iCs/>
            <w:spacing w:val="-1"/>
          </w:rPr>
          <m:t>∈</m:t>
        </m:r>
        <m:r>
          <m:rPr>
            <m:nor/>
          </m:rPr>
          <w:rPr>
            <w:iCs/>
            <w:spacing w:val="-1"/>
          </w:rPr>
          <m:t xml:space="preserve"> </m:t>
        </m:r>
        <m:r>
          <m:rPr>
            <m:scr m:val="double-struck"/>
            <m:sty m:val="p"/>
          </m:rPr>
          <w:rPr>
            <w:rFonts w:ascii="Cambria Math" w:hAnsi="Cambria Math"/>
            <w:spacing w:val="-1"/>
          </w:rPr>
          <m:t>R</m:t>
        </m:r>
      </m:oMath>
      <w:r w:rsidRPr="00D150F0">
        <w:rPr>
          <w:spacing w:val="-1"/>
        </w:rPr>
        <w:t xml:space="preserve">, se verifica que </w:t>
      </w:r>
      <m:oMath>
        <m:r>
          <m:rPr>
            <m:nor/>
          </m:rPr>
          <w:rPr>
            <w:i/>
            <w:spacing w:val="-1"/>
          </w:rPr>
          <m:t>F</m:t>
        </m:r>
        <m:r>
          <m:rPr>
            <m:nor/>
          </m:rPr>
          <w:rPr>
            <w:iCs/>
            <w:spacing w:val="-1"/>
          </w:rPr>
          <m:t>(</m:t>
        </m:r>
        <m:r>
          <m:rPr>
            <m:nor/>
          </m:rPr>
          <w:rPr>
            <w:i/>
            <w:spacing w:val="-1"/>
          </w:rPr>
          <m:t>x</m:t>
        </m:r>
        <m:r>
          <m:rPr>
            <m:nor/>
          </m:rPr>
          <w:rPr>
            <w:iCs/>
            <w:spacing w:val="-1"/>
          </w:rPr>
          <m:t>)</m:t>
        </m:r>
        <m:r>
          <m:rPr>
            <m:nor/>
          </m:rPr>
          <w:rPr>
            <w:i/>
            <w:spacing w:val="-1"/>
          </w:rPr>
          <m:t xml:space="preserve"> </m:t>
        </m:r>
        <m:r>
          <m:rPr>
            <m:nor/>
          </m:rPr>
          <w:rPr>
            <w:rFonts w:cs="Palatino Linotype"/>
            <w:iCs/>
            <w:spacing w:val="-1"/>
          </w:rPr>
          <m:t>≤</m:t>
        </m:r>
        <m:r>
          <m:rPr>
            <m:nor/>
          </m:rPr>
          <w:rPr>
            <w:i/>
            <w:spacing w:val="-1"/>
          </w:rPr>
          <m:t xml:space="preserve"> G</m:t>
        </m:r>
        <m:r>
          <m:rPr>
            <m:nor/>
          </m:rPr>
          <w:rPr>
            <w:iCs/>
            <w:spacing w:val="-1"/>
          </w:rPr>
          <m:t>(</m:t>
        </m:r>
        <m:r>
          <m:rPr>
            <m:nor/>
          </m:rPr>
          <w:rPr>
            <w:i/>
            <w:spacing w:val="-1"/>
          </w:rPr>
          <m:t>x</m:t>
        </m:r>
        <m:r>
          <m:rPr>
            <m:nor/>
          </m:rPr>
          <w:rPr>
            <w:iCs/>
            <w:spacing w:val="-1"/>
          </w:rPr>
          <m:t>)</m:t>
        </m:r>
      </m:oMath>
      <w:r w:rsidRPr="00D150F0">
        <w:rPr>
          <w:spacing w:val="-1"/>
        </w:rPr>
        <w:t xml:space="preserve">. Además, si </w:t>
      </w:r>
      <w:r w:rsidRPr="00D150F0">
        <w:rPr>
          <w:i/>
          <w:iCs/>
          <w:spacing w:val="-1"/>
        </w:rPr>
        <w:t>F</w:t>
      </w:r>
      <w:r w:rsidRPr="00D150F0">
        <w:rPr>
          <w:spacing w:val="-1"/>
        </w:rPr>
        <w:t xml:space="preserve"> domina a </w:t>
      </w:r>
      <w:r w:rsidRPr="00D150F0">
        <w:rPr>
          <w:i/>
          <w:iCs/>
          <w:spacing w:val="-1"/>
        </w:rPr>
        <w:t>G</w:t>
      </w:r>
      <w:r w:rsidRPr="00D150F0">
        <w:rPr>
          <w:spacing w:val="-1"/>
        </w:rPr>
        <w:t xml:space="preserve"> estocásticamente de primer orden, entonces cualquier agente con preferencias crecientes prefiere </w:t>
      </w:r>
      <w:r w:rsidRPr="00D150F0">
        <w:rPr>
          <w:i/>
          <w:iCs/>
          <w:spacing w:val="-1"/>
        </w:rPr>
        <w:t>F</w:t>
      </w:r>
      <w:r w:rsidRPr="00D150F0">
        <w:rPr>
          <w:spacing w:val="-1"/>
        </w:rPr>
        <w:t xml:space="preserve"> a </w:t>
      </w:r>
      <w:r w:rsidRPr="00D150F0">
        <w:rPr>
          <w:i/>
          <w:iCs/>
          <w:spacing w:val="-1"/>
        </w:rPr>
        <w:t>G</w:t>
      </w:r>
      <w:r w:rsidRPr="00D150F0">
        <w:rPr>
          <w:spacing w:val="-1"/>
        </w:rPr>
        <w:t>.</w:t>
      </w:r>
    </w:p>
    <w:p w14:paraId="2BA4F1AC" w14:textId="44E2133D" w:rsidR="00AA4438" w:rsidRDefault="00AA4438" w:rsidP="00F64BBA">
      <w:pPr>
        <w:pStyle w:val="Textonotapie"/>
      </w:pPr>
      <w:r>
        <w:rPr>
          <w:i/>
          <w:iCs/>
          <w:u w:val="single"/>
        </w:rPr>
        <w:t>Ejemplo gráfico</w:t>
      </w:r>
      <w:r>
        <w:t xml:space="preserve">: En el siguiente gráfico, la lotería </w:t>
      </w:r>
      <w:r w:rsidR="00C45683">
        <w:rPr>
          <w:i/>
          <w:iCs/>
        </w:rPr>
        <w:t>F</w:t>
      </w:r>
      <w:r>
        <w:t xml:space="preserve"> domina estocásticamente de primer orden a la lotería </w:t>
      </w:r>
      <w:r w:rsidR="00C45683">
        <w:rPr>
          <w:i/>
          <w:iCs/>
        </w:rPr>
        <w:t>G</w:t>
      </w:r>
      <w:r>
        <w:t>.</w:t>
      </w:r>
    </w:p>
    <w:p w14:paraId="3986F81D" w14:textId="7E6AAC7A" w:rsidR="00AA4438" w:rsidRPr="00AA4438" w:rsidRDefault="00AA4438" w:rsidP="00F64BBA">
      <w:pPr>
        <w:pStyle w:val="Textonotapie"/>
        <w:jc w:val="center"/>
      </w:pPr>
      <w:r>
        <w:rPr>
          <w:noProof/>
        </w:rPr>
        <w:drawing>
          <wp:inline distT="0" distB="0" distL="0" distR="0" wp14:anchorId="51D7E98E" wp14:editId="7B94FC2D">
            <wp:extent cx="1453243" cy="908221"/>
            <wp:effectExtent l="0" t="0" r="0"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a:picLocks noChangeAspect="1" noChangeArrowheads="1"/>
                    </pic:cNvPicPr>
                  </pic:nvPicPr>
                  <pic:blipFill rotWithShape="1">
                    <a:blip r:embed="rId4">
                      <a:extLst>
                        <a:ext uri="{28A0092B-C50C-407E-A947-70E740481C1C}">
                          <a14:useLocalDpi xmlns:a14="http://schemas.microsoft.com/office/drawing/2010/main" val="0"/>
                        </a:ext>
                      </a:extLst>
                    </a:blip>
                    <a:srcRect l="4589" r="5406"/>
                    <a:stretch/>
                  </pic:blipFill>
                  <pic:spPr bwMode="auto">
                    <a:xfrm>
                      <a:off x="0" y="0"/>
                      <a:ext cx="1456934" cy="910528"/>
                    </a:xfrm>
                    <a:prstGeom prst="rect">
                      <a:avLst/>
                    </a:prstGeom>
                    <a:noFill/>
                    <a:ln>
                      <a:noFill/>
                    </a:ln>
                    <a:extLst>
                      <a:ext uri="{53640926-AAD7-44D8-BBD7-CCE9431645EC}">
                        <a14:shadowObscured xmlns:a14="http://schemas.microsoft.com/office/drawing/2010/main"/>
                      </a:ext>
                    </a:extLst>
                  </pic:spPr>
                </pic:pic>
              </a:graphicData>
            </a:graphic>
          </wp:inline>
        </w:drawing>
      </w:r>
    </w:p>
  </w:footnote>
  <w:footnote w:id="30">
    <w:p w14:paraId="56A52B68" w14:textId="23AFAB9F" w:rsidR="00EE763E" w:rsidRPr="008720DA" w:rsidRDefault="00EE763E" w:rsidP="007C258F">
      <w:pPr>
        <w:pStyle w:val="Textonotapie"/>
        <w:keepNext/>
        <w:spacing w:after="0"/>
      </w:pPr>
      <w:r>
        <w:rPr>
          <w:rStyle w:val="Refdenotaalpie"/>
        </w:rPr>
        <w:footnoteRef/>
      </w:r>
      <w:r w:rsidR="00FD5DDB">
        <w:t xml:space="preserve"> </w:t>
      </w:r>
      <w:r w:rsidR="00A651F2">
        <w:t>Todos los adversos al riesgo preferirán la lotería</w:t>
      </w:r>
      <w:r w:rsidR="00E02345">
        <w:t> </w:t>
      </w:r>
      <w:r w:rsidR="00FD5DDB" w:rsidRPr="00FD5DDB">
        <w:rPr>
          <w:i/>
          <w:iCs/>
        </w:rPr>
        <w:t>B</w:t>
      </w:r>
      <w:r w:rsidR="008720DA" w:rsidRPr="008720DA">
        <w:t>.</w:t>
      </w:r>
    </w:p>
    <w:p w14:paraId="295843E9" w14:textId="5D1A628E" w:rsidR="00746967" w:rsidRPr="00E31134" w:rsidRDefault="00EE763E" w:rsidP="00BF2E29">
      <w:pPr>
        <w:pStyle w:val="Textonotapie"/>
        <w:jc w:val="center"/>
      </w:pPr>
      <w:r>
        <w:rPr>
          <w:noProof/>
        </w:rPr>
        <w:drawing>
          <wp:inline distT="0" distB="0" distL="0" distR="0" wp14:anchorId="352A2BFC" wp14:editId="622C0B3C">
            <wp:extent cx="1117420" cy="1005840"/>
            <wp:effectExtent l="0" t="0" r="6985" b="381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19017" cy="1007277"/>
                    </a:xfrm>
                    <a:prstGeom prst="rect">
                      <a:avLst/>
                    </a:prstGeom>
                    <a:noFill/>
                    <a:ln>
                      <a:noFill/>
                    </a:ln>
                  </pic:spPr>
                </pic:pic>
              </a:graphicData>
            </a:graphic>
          </wp:inline>
        </w:drawing>
      </w:r>
      <w:r w:rsidR="007C258F" w:rsidRPr="007C258F">
        <w:rPr>
          <w:noProof/>
        </w:rPr>
        <w:t xml:space="preserve"> </w:t>
      </w:r>
    </w:p>
  </w:footnote>
  <w:footnote w:id="31">
    <w:p w14:paraId="70AAEDAE" w14:textId="77777777" w:rsidR="00E243C7" w:rsidRDefault="00E243C7" w:rsidP="00F64BBA">
      <w:pPr>
        <w:pStyle w:val="Textonotapie"/>
      </w:pPr>
      <w:r>
        <w:rPr>
          <w:rStyle w:val="Refdenotaalpie"/>
        </w:rPr>
        <w:footnoteRef/>
      </w:r>
      <w:r>
        <w:t xml:space="preserve"> Se basan en una función de utilidad esperada que es de naturaleza ordinal.</w:t>
      </w:r>
    </w:p>
  </w:footnote>
  <w:footnote w:id="32">
    <w:p w14:paraId="583EDFBC" w14:textId="652DD891" w:rsidR="00E243C7" w:rsidRDefault="00E243C7" w:rsidP="00F64BBA">
      <w:pPr>
        <w:pStyle w:val="Textonotapie"/>
      </w:pPr>
      <w:r>
        <w:rPr>
          <w:rStyle w:val="Refdenotaalpie"/>
        </w:rPr>
        <w:footnoteRef/>
      </w:r>
      <w:r>
        <w:t xml:space="preserve"> Nótese que el modelo media-varianza descansa únicamente sobre un momento de primer orden (media) y otro de segundo orden (varianza), omitiendo momentos de orden superior que como ya se ha dicho pueden afectar a las decisiones de los agentes al reflejar la asimetría (momentos de tercer orden) y la curtosis (momento de cuarto orden de las distribuciones de probabilidad.</w:t>
      </w:r>
    </w:p>
  </w:footnote>
  <w:footnote w:id="33">
    <w:p w14:paraId="1695F6FC" w14:textId="1FCD79BE" w:rsidR="00BF2E29" w:rsidRDefault="00BF2E29">
      <w:pPr>
        <w:pStyle w:val="Textonotapie"/>
      </w:pPr>
      <w:r>
        <w:rPr>
          <w:rStyle w:val="Refdenotaalpie"/>
        </w:rPr>
        <w:footnoteRef/>
      </w:r>
      <w:r>
        <w:t xml:space="preserve"> </w:t>
      </w:r>
      <w:hyperlink r:id="rId6" w:history="1">
        <w:r w:rsidRPr="0097727E">
          <w:rPr>
            <w:rStyle w:val="Hipervnculo"/>
          </w:rPr>
          <w:t>https://www.youtube.com/watch?v=pNmX7g-FRrw</w:t>
        </w:r>
      </w:hyperlink>
    </w:p>
  </w:footnote>
  <w:footnote w:id="34">
    <w:p w14:paraId="2427D7B3" w14:textId="6CDF95F9" w:rsidR="0039738C" w:rsidRDefault="0039738C">
      <w:pPr>
        <w:pStyle w:val="Textonotapie"/>
      </w:pPr>
      <w:r>
        <w:rPr>
          <w:rStyle w:val="Refdenotaalpie"/>
        </w:rPr>
        <w:footnoteRef/>
      </w:r>
      <w:r>
        <w:t xml:space="preserve"> Obsérvese que esta utilidad </w:t>
      </w:r>
      <w:r w:rsidR="00084BF4">
        <w:t>von Neumann</w:t>
      </w:r>
      <w:r>
        <w:t>-Morgenste</w:t>
      </w:r>
      <w:r w:rsidR="00FA6F9C">
        <w:t>r</w:t>
      </w:r>
      <w:r>
        <w:t xml:space="preserve">n se asemeja mucho a una función Cobb-Douglas linealmente homogénea sometida a la habitual transformación </w:t>
      </w:r>
      <w:r w:rsidR="00FA6F9C">
        <w:t>logarítmica que simplifica su resolución,</w:t>
      </w:r>
      <m:oMath>
        <m:r>
          <w:rPr>
            <w:rFonts w:ascii="Cambria Math" w:hAnsi="Cambria Math"/>
          </w:rPr>
          <m:t xml:space="preserve"> </m:t>
        </m:r>
        <m:r>
          <m:rPr>
            <m:nor/>
          </m:rPr>
          <w:rPr>
            <w:i/>
            <w:iCs/>
          </w:rPr>
          <m:t>u</m:t>
        </m:r>
        <m:d>
          <m:dPr>
            <m:ctrlPr>
              <w:rPr>
                <w:rFonts w:ascii="Cambria Math" w:hAnsi="Cambria Math"/>
                <w:i/>
                <w:iCs/>
              </w:rPr>
            </m:ctrlPr>
          </m:dPr>
          <m:e>
            <m:r>
              <m:rPr>
                <m:nor/>
              </m:rPr>
              <w:rPr>
                <w:i/>
                <w:iCs/>
              </w:rPr>
              <m:t>x</m:t>
            </m:r>
          </m:e>
        </m:d>
        <m:r>
          <w:rPr>
            <w:rFonts w:ascii="Cambria Math" w:hAnsi="Cambria Math"/>
          </w:rPr>
          <m:t>=</m:t>
        </m:r>
        <m:nary>
          <m:naryPr>
            <m:chr m:val="∑"/>
            <m:limLoc m:val="undOvr"/>
            <m:ctrlPr>
              <w:rPr>
                <w:rFonts w:ascii="Cambria Math" w:eastAsiaTheme="minorEastAsia" w:hAnsi="Cambria Math"/>
                <w:i/>
                <w:iCs/>
              </w:rPr>
            </m:ctrlPr>
          </m:naryPr>
          <m:sub>
            <m:r>
              <m:rPr>
                <m:nor/>
              </m:rPr>
              <w:rPr>
                <w:i/>
                <w:iCs/>
              </w:rPr>
              <m:t>i</m:t>
            </m:r>
            <m:r>
              <w:rPr>
                <w:rFonts w:ascii="Cambria Math" w:hAnsi="Cambria Math"/>
              </w:rPr>
              <m:t>=</m:t>
            </m:r>
            <m:r>
              <m:rPr>
                <m:nor/>
              </m:rPr>
              <w:rPr>
                <w:i/>
                <w:iCs/>
              </w:rPr>
              <m:t>1</m:t>
            </m:r>
          </m:sub>
          <m:sup>
            <m:r>
              <m:rPr>
                <m:nor/>
              </m:rPr>
              <w:rPr>
                <w:i/>
                <w:iCs/>
              </w:rPr>
              <m:t>n</m:t>
            </m:r>
          </m:sup>
          <m:e>
            <m:sSub>
              <m:sSubPr>
                <m:ctrlPr>
                  <w:rPr>
                    <w:rFonts w:ascii="Cambria Math" w:hAnsi="Cambria Math"/>
                    <w:i/>
                    <w:iCs/>
                  </w:rPr>
                </m:ctrlPr>
              </m:sSubPr>
              <m:e>
                <m:r>
                  <m:rPr>
                    <m:nor/>
                  </m:rPr>
                  <w:rPr>
                    <w:i/>
                  </w:rPr>
                  <m:t>α</m:t>
                </m:r>
              </m:e>
              <m:sub>
                <m:r>
                  <m:rPr>
                    <m:nor/>
                  </m:rPr>
                  <w:rPr>
                    <w:i/>
                    <w:iCs/>
                  </w:rPr>
                  <m:t>i</m:t>
                </m:r>
              </m:sub>
            </m:sSub>
            <m:r>
              <w:rPr>
                <w:rFonts w:ascii="Cambria Math" w:hAnsi="Cambria Math"/>
              </w:rPr>
              <m:t>∙</m:t>
            </m:r>
            <m:r>
              <m:rPr>
                <m:nor/>
              </m:rPr>
              <w:rPr>
                <w:i/>
                <w:iCs/>
              </w:rPr>
              <m:t>ln</m:t>
            </m:r>
            <m:d>
              <m:dPr>
                <m:ctrlPr>
                  <w:rPr>
                    <w:rFonts w:ascii="Cambria Math" w:hAnsi="Cambria Math"/>
                    <w:i/>
                    <w:iCs/>
                  </w:rPr>
                </m:ctrlPr>
              </m:dPr>
              <m:e>
                <m:sSub>
                  <m:sSubPr>
                    <m:ctrlPr>
                      <w:rPr>
                        <w:rFonts w:ascii="Cambria Math" w:hAnsi="Cambria Math"/>
                        <w:i/>
                        <w:iCs/>
                      </w:rPr>
                    </m:ctrlPr>
                  </m:sSubPr>
                  <m:e>
                    <m:r>
                      <m:rPr>
                        <m:nor/>
                      </m:rPr>
                      <w:rPr>
                        <w:i/>
                      </w:rPr>
                      <m:t>x</m:t>
                    </m:r>
                  </m:e>
                  <m:sub>
                    <m:r>
                      <m:rPr>
                        <m:nor/>
                      </m:rPr>
                      <w:rPr>
                        <w:i/>
                        <w:iCs/>
                      </w:rPr>
                      <m:t>i</m:t>
                    </m:r>
                  </m:sub>
                </m:sSub>
              </m:e>
            </m:d>
          </m:e>
        </m:nary>
        <m:r>
          <m:rPr>
            <m:nor/>
          </m:rPr>
          <w:rPr>
            <w:i/>
          </w:rPr>
          <m:t>,</m:t>
        </m:r>
        <m:r>
          <w:rPr>
            <w:rFonts w:ascii="Cambria Math" w:eastAsiaTheme="minorEastAsia" w:hAnsi="Cambria Math"/>
          </w:rPr>
          <m:t xml:space="preserve">   </m:t>
        </m:r>
        <m:r>
          <m:rPr>
            <m:nor/>
          </m:rPr>
          <w:rPr>
            <w:i/>
          </w:rPr>
          <m:t>con</m:t>
        </m:r>
        <m:d>
          <m:dPr>
            <m:begChr m:val="{"/>
            <m:endChr m:val=""/>
            <m:ctrlPr>
              <w:rPr>
                <w:rFonts w:ascii="Cambria Math" w:hAnsi="Cambria Math"/>
                <w:i/>
                <w:lang w:val="en-US"/>
              </w:rPr>
            </m:ctrlPr>
          </m:dPr>
          <m:e>
            <m:eqArr>
              <m:eqArrPr>
                <m:ctrlPr>
                  <w:rPr>
                    <w:rFonts w:ascii="Cambria Math" w:hAnsi="Cambria Math"/>
                    <w:i/>
                    <w:lang w:val="en-US"/>
                  </w:rPr>
                </m:ctrlPr>
              </m:eqArrPr>
              <m:e>
                <m:sSub>
                  <m:sSubPr>
                    <m:ctrlPr>
                      <w:rPr>
                        <w:rFonts w:ascii="Cambria Math" w:hAnsi="Cambria Math"/>
                        <w:i/>
                        <w:iCs/>
                      </w:rPr>
                    </m:ctrlPr>
                  </m:sSubPr>
                  <m:e>
                    <m:r>
                      <m:rPr>
                        <m:nor/>
                      </m:rPr>
                      <w:rPr>
                        <w:i/>
                      </w:rPr>
                      <m:t>α</m:t>
                    </m:r>
                  </m:e>
                  <m:sub>
                    <m:r>
                      <m:rPr>
                        <m:nor/>
                      </m:rPr>
                      <w:rPr>
                        <w:i/>
                        <w:iCs/>
                      </w:rPr>
                      <m:t>i</m:t>
                    </m:r>
                  </m:sub>
                </m:sSub>
                <m:r>
                  <w:rPr>
                    <w:rFonts w:ascii="Cambria Math" w:hAnsi="Cambria Math"/>
                  </w:rPr>
                  <m:t>&gt;</m:t>
                </m:r>
                <m:r>
                  <m:rPr>
                    <m:nor/>
                  </m:rPr>
                  <w:rPr>
                    <w:i/>
                    <w:iCs/>
                  </w:rPr>
                  <m:t>0</m:t>
                </m:r>
              </m:e>
              <m:e>
                <m:nary>
                  <m:naryPr>
                    <m:chr m:val="∑"/>
                    <m:limLoc m:val="undOvr"/>
                    <m:ctrlPr>
                      <w:rPr>
                        <w:rFonts w:ascii="Cambria Math" w:eastAsiaTheme="minorEastAsia" w:hAnsi="Cambria Math"/>
                        <w:i/>
                        <w:iCs/>
                      </w:rPr>
                    </m:ctrlPr>
                  </m:naryPr>
                  <m:sub>
                    <m:r>
                      <m:rPr>
                        <m:nor/>
                      </m:rPr>
                      <w:rPr>
                        <w:i/>
                        <w:iCs/>
                      </w:rPr>
                      <m:t>i</m:t>
                    </m:r>
                    <m:r>
                      <w:rPr>
                        <w:rFonts w:ascii="Cambria Math" w:hAnsi="Cambria Math"/>
                      </w:rPr>
                      <m:t>=</m:t>
                    </m:r>
                    <m:r>
                      <m:rPr>
                        <m:nor/>
                      </m:rPr>
                      <w:rPr>
                        <w:i/>
                        <w:iCs/>
                      </w:rPr>
                      <m:t>1</m:t>
                    </m:r>
                  </m:sub>
                  <m:sup>
                    <m:r>
                      <m:rPr>
                        <m:nor/>
                      </m:rPr>
                      <w:rPr>
                        <w:i/>
                        <w:iCs/>
                      </w:rPr>
                      <m:t>n</m:t>
                    </m:r>
                  </m:sup>
                  <m:e>
                    <m:sSub>
                      <m:sSubPr>
                        <m:ctrlPr>
                          <w:rPr>
                            <w:rFonts w:ascii="Cambria Math" w:hAnsi="Cambria Math"/>
                            <w:i/>
                            <w:iCs/>
                          </w:rPr>
                        </m:ctrlPr>
                      </m:sSubPr>
                      <m:e>
                        <m:r>
                          <m:rPr>
                            <m:nor/>
                          </m:rPr>
                          <w:rPr>
                            <w:i/>
                          </w:rPr>
                          <m:t>α</m:t>
                        </m:r>
                      </m:e>
                      <m:sub>
                        <m:r>
                          <m:rPr>
                            <m:nor/>
                          </m:rPr>
                          <w:rPr>
                            <w:i/>
                            <w:iCs/>
                          </w:rPr>
                          <m:t>i</m:t>
                        </m:r>
                      </m:sub>
                    </m:sSub>
                  </m:e>
                </m:nary>
                <m:r>
                  <w:rPr>
                    <w:rFonts w:ascii="Cambria Math" w:hAnsi="Cambria Math"/>
                  </w:rPr>
                  <m:t>=</m:t>
                </m:r>
                <m:r>
                  <m:rPr>
                    <m:nor/>
                  </m:rPr>
                  <w:rPr>
                    <w:i/>
                    <w:iCs/>
                  </w:rPr>
                  <m:t>1</m:t>
                </m:r>
              </m:e>
            </m:eqArr>
          </m:e>
        </m:d>
      </m:oMath>
      <w:r w:rsidR="00FA6F9C">
        <w:t xml:space="preserve"> (la función logarítmica cumple los requisitos de la función de Bernoulli).</w:t>
      </w:r>
    </w:p>
  </w:footnote>
  <w:footnote w:id="35">
    <w:p w14:paraId="5249AA56" w14:textId="2D068EB8" w:rsidR="00166FC2" w:rsidRDefault="00166FC2" w:rsidP="00166FC2">
      <w:pPr>
        <w:pStyle w:val="Textonotapie"/>
      </w:pPr>
      <w:r>
        <w:rPr>
          <w:rStyle w:val="Refdenotaalpie"/>
        </w:rPr>
        <w:footnoteRef/>
      </w:r>
      <w:r>
        <w:t xml:space="preserve"> Por analogía con la recta de balance del consumo en certidumbre </w:t>
      </w:r>
      <w:r w:rsidRPr="00211253">
        <w:rPr>
          <w:color w:val="767171" w:themeColor="background2" w:themeShade="80"/>
          <w:sz w:val="14"/>
          <w:szCs w:val="14"/>
        </w:rPr>
        <w:t>[ver tema 3.A.</w:t>
      </w:r>
      <w:r w:rsidR="00AE0338">
        <w:rPr>
          <w:color w:val="767171" w:themeColor="background2" w:themeShade="80"/>
          <w:sz w:val="14"/>
          <w:szCs w:val="14"/>
        </w:rPr>
        <w:t>8</w:t>
      </w:r>
      <w:r w:rsidRPr="00211253">
        <w:rPr>
          <w:color w:val="767171" w:themeColor="background2" w:themeShade="80"/>
          <w:sz w:val="14"/>
          <w:szCs w:val="14"/>
        </w:rPr>
        <w:t>]</w:t>
      </w:r>
      <w:r>
        <w:t>.</w:t>
      </w:r>
    </w:p>
  </w:footnote>
  <w:footnote w:id="36">
    <w:p w14:paraId="6F188F6A" w14:textId="77777777" w:rsidR="00166FC2" w:rsidRPr="008726A1" w:rsidRDefault="00166FC2" w:rsidP="00166FC2">
      <w:pPr>
        <w:pStyle w:val="Textonotapie"/>
        <w:keepNext/>
        <w:spacing w:after="0"/>
        <w:rPr>
          <w:rFonts w:eastAsiaTheme="minorEastAsia"/>
        </w:rPr>
      </w:pPr>
      <w:r>
        <w:rPr>
          <w:rStyle w:val="Refdenotaalpie"/>
        </w:rPr>
        <w:footnoteRef/>
      </w:r>
      <w:r w:rsidRPr="008726A1">
        <w:t xml:space="preserve"> Los beneficios esperados de l</w:t>
      </w:r>
      <w:r>
        <w:t>a aseguradora serían:</w:t>
      </w:r>
    </w:p>
    <w:p w14:paraId="1C42BE1C" w14:textId="77777777" w:rsidR="00166FC2" w:rsidRPr="008726A1" w:rsidRDefault="00166FC2" w:rsidP="00166FC2">
      <w:pPr>
        <w:pStyle w:val="Textonotapie"/>
        <w:rPr>
          <w:lang w:val="en-US"/>
        </w:rPr>
      </w:pPr>
      <m:oMathPara>
        <m:oMath>
          <m:r>
            <w:rPr>
              <w:rFonts w:ascii="Cambria Math" w:eastAsiaTheme="minorEastAsia" w:hAnsi="Cambria Math"/>
              <w:lang w:val="en-US"/>
            </w:rPr>
            <m:t xml:space="preserve"> </m:t>
          </m:r>
          <m:r>
            <m:rPr>
              <m:nor/>
            </m:rPr>
            <w:rPr>
              <w:i/>
              <w:iCs/>
              <w:lang w:val="en-US"/>
            </w:rPr>
            <m:t>E</m:t>
          </m:r>
          <m:d>
            <m:dPr>
              <m:begChr m:val="["/>
              <m:endChr m:val="]"/>
              <m:ctrlPr>
                <w:rPr>
                  <w:rFonts w:ascii="Cambria Math" w:hAnsi="Cambria Math"/>
                  <w:i/>
                  <w:iCs/>
                </w:rPr>
              </m:ctrlPr>
            </m:dPr>
            <m:e>
              <m:r>
                <m:rPr>
                  <m:nor/>
                </m:rPr>
                <w:rPr>
                  <w:i/>
                  <w:iCs/>
                  <w:lang w:val="en-US"/>
                </w:rPr>
                <m:t>B</m:t>
              </m:r>
            </m:e>
          </m:d>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p</m:t>
              </m:r>
            </m:e>
          </m:d>
          <m:r>
            <w:rPr>
              <w:rFonts w:ascii="Cambria Math" w:hAnsi="Cambria Math"/>
              <w:lang w:val="en-US"/>
            </w:rPr>
            <m:t>∙</m:t>
          </m:r>
          <m:d>
            <m:dPr>
              <m:ctrlPr>
                <w:rPr>
                  <w:rFonts w:ascii="Cambria Math" w:hAnsi="Cambria Math"/>
                  <w:i/>
                  <w:iCs/>
                </w:rPr>
              </m:ctrlPr>
            </m:dPr>
            <m:e>
              <m:r>
                <m:rPr>
                  <m:nor/>
                </m:rPr>
                <w:rPr>
                  <w:i/>
                  <w:iCs/>
                  <w:lang w:val="en-US"/>
                </w:rPr>
                <m:t>r</m:t>
              </m:r>
              <m:r>
                <w:rPr>
                  <w:rFonts w:ascii="Cambria Math" w:hAnsi="Cambria Math"/>
                  <w:lang w:val="en-US"/>
                </w:rPr>
                <m:t>∙</m:t>
              </m:r>
              <m:r>
                <m:rPr>
                  <m:nor/>
                </m:rPr>
                <w:rPr>
                  <w:i/>
                  <w:iCs/>
                  <w:lang w:val="en-US"/>
                </w:rPr>
                <m:t>S</m:t>
              </m:r>
            </m:e>
          </m:d>
          <m:r>
            <w:rPr>
              <w:rFonts w:ascii="Cambria Math" w:hAnsi="Cambria Math"/>
              <w:lang w:val="en-US"/>
            </w:rPr>
            <m:t>+</m:t>
          </m:r>
          <m:r>
            <m:rPr>
              <m:nor/>
            </m:rPr>
            <w:rPr>
              <w:i/>
              <w:iCs/>
              <w:lang w:val="en-US"/>
            </w:rPr>
            <m:t>p</m:t>
          </m:r>
          <m:r>
            <w:rPr>
              <w:rFonts w:ascii="Cambria Math" w:hAnsi="Cambria Math"/>
              <w:lang w:val="en-US"/>
            </w:rPr>
            <m:t>∙</m:t>
          </m:r>
          <m:d>
            <m:dPr>
              <m:ctrlPr>
                <w:rPr>
                  <w:rFonts w:ascii="Cambria Math" w:hAnsi="Cambria Math"/>
                  <w:i/>
                  <w:iCs/>
                </w:rPr>
              </m:ctrlPr>
            </m:dPr>
            <m:e>
              <m:r>
                <m:rPr>
                  <m:nor/>
                </m:rPr>
                <w:rPr>
                  <w:i/>
                  <w:iCs/>
                  <w:lang w:val="en-US"/>
                </w:rPr>
                <m:t>r</m:t>
              </m:r>
              <m:r>
                <w:rPr>
                  <w:rFonts w:ascii="Cambria Math" w:hAnsi="Cambria Math"/>
                  <w:lang w:val="en-US"/>
                </w:rPr>
                <m:t>∙</m:t>
              </m:r>
              <m:r>
                <m:rPr>
                  <m:nor/>
                </m:rPr>
                <w:rPr>
                  <w:i/>
                  <w:iCs/>
                  <w:lang w:val="en-US"/>
                </w:rPr>
                <m:t>S</m:t>
              </m:r>
              <m:r>
                <w:rPr>
                  <w:rFonts w:ascii="Cambria Math" w:hAnsi="Cambria Math"/>
                  <w:lang w:val="en-US"/>
                </w:rPr>
                <m:t>-</m:t>
              </m:r>
              <m:r>
                <m:rPr>
                  <m:nor/>
                </m:rPr>
                <w:rPr>
                  <w:i/>
                  <w:iCs/>
                  <w:lang w:val="en-US"/>
                </w:rPr>
                <m:t>S</m:t>
              </m:r>
            </m:e>
          </m:d>
          <m:r>
            <w:rPr>
              <w:rFonts w:ascii="Cambria Math" w:eastAsiaTheme="minorEastAsia" w:hAnsi="Cambria Math"/>
              <w:lang w:val="en-US"/>
            </w:rPr>
            <m:t>=</m:t>
          </m:r>
          <m:r>
            <m:rPr>
              <m:nor/>
            </m:rPr>
            <w:rPr>
              <w:i/>
              <w:iCs/>
              <w:lang w:val="en-US"/>
            </w:rPr>
            <m:t>0</m:t>
          </m:r>
          <m:r>
            <w:rPr>
              <w:rFonts w:ascii="Cambria Math" w:eastAsiaTheme="minorEastAsia" w:hAnsi="Cambria Math"/>
              <w:lang w:val="en-US"/>
            </w:rPr>
            <m:t>⟹</m:t>
          </m:r>
          <m:r>
            <m:rPr>
              <m:nor/>
            </m:rPr>
            <w:rPr>
              <w:i/>
              <w:iCs/>
              <w:lang w:val="en-US"/>
            </w:rPr>
            <m:t>S</m:t>
          </m:r>
          <m:r>
            <w:rPr>
              <w:rFonts w:ascii="Cambria Math" w:hAnsi="Cambria Math"/>
              <w:lang w:val="en-US"/>
            </w:rPr>
            <m:t>∙</m:t>
          </m:r>
          <m:d>
            <m:dPr>
              <m:ctrlPr>
                <w:rPr>
                  <w:rFonts w:ascii="Cambria Math" w:hAnsi="Cambria Math"/>
                  <w:i/>
                  <w:iCs/>
                </w:rPr>
              </m:ctrlPr>
            </m:dPr>
            <m:e>
              <m:r>
                <m:rPr>
                  <m:nor/>
                </m:rPr>
                <w:rPr>
                  <w:i/>
                  <w:iCs/>
                  <w:lang w:val="en-US"/>
                </w:rPr>
                <m:t>r</m:t>
              </m:r>
              <m:r>
                <w:rPr>
                  <w:rFonts w:ascii="Cambria Math" w:hAnsi="Cambria Math"/>
                  <w:lang w:val="en-US"/>
                </w:rPr>
                <m:t>-</m:t>
              </m:r>
              <m:r>
                <m:rPr>
                  <m:nor/>
                </m:rPr>
                <w:rPr>
                  <w:i/>
                  <w:iCs/>
                  <w:lang w:val="en-US"/>
                </w:rPr>
                <m:t>p</m:t>
              </m:r>
            </m:e>
          </m:d>
          <m:r>
            <w:rPr>
              <w:rFonts w:ascii="Cambria Math" w:eastAsiaTheme="minorEastAsia" w:hAnsi="Cambria Math"/>
              <w:lang w:val="en-US"/>
            </w:rPr>
            <m:t>=</m:t>
          </m:r>
          <m:r>
            <m:rPr>
              <m:nor/>
            </m:rPr>
            <w:rPr>
              <w:i/>
              <w:iCs/>
              <w:lang w:val="en-US"/>
            </w:rPr>
            <m:t>0</m:t>
          </m:r>
          <m:r>
            <w:rPr>
              <w:rFonts w:ascii="Cambria Math" w:eastAsiaTheme="minorEastAsia" w:hAnsi="Cambria Math"/>
              <w:lang w:val="en-US"/>
            </w:rPr>
            <m:t>⟹</m:t>
          </m:r>
          <m:d>
            <m:dPr>
              <m:begChr m:val="{"/>
              <m:endChr m:val=""/>
              <m:ctrlPr>
                <w:rPr>
                  <w:rFonts w:ascii="Cambria Math" w:eastAsiaTheme="minorEastAsia" w:hAnsi="Cambria Math"/>
                  <w:i/>
                  <w:iCs/>
                  <w:lang w:val="en-US"/>
                </w:rPr>
              </m:ctrlPr>
            </m:dPr>
            <m:e>
              <m:eqArr>
                <m:eqArrPr>
                  <m:ctrlPr>
                    <w:rPr>
                      <w:rFonts w:ascii="Cambria Math" w:eastAsiaTheme="minorEastAsia" w:hAnsi="Cambria Math"/>
                      <w:i/>
                      <w:iCs/>
                      <w:lang w:val="en-US"/>
                    </w:rPr>
                  </m:ctrlPr>
                </m:eqArrPr>
                <m:e>
                  <m:r>
                    <m:rPr>
                      <m:nor/>
                    </m:rPr>
                    <w:rPr>
                      <w:i/>
                      <w:iCs/>
                      <w:lang w:val="en-US"/>
                    </w:rPr>
                    <m:t>S</m:t>
                  </m:r>
                  <m:r>
                    <w:rPr>
                      <w:rFonts w:ascii="Cambria Math" w:eastAsiaTheme="minorEastAsia" w:hAnsi="Cambria Math"/>
                      <w:lang w:val="en-US"/>
                    </w:rPr>
                    <m:t>=</m:t>
                  </m:r>
                  <m:r>
                    <m:rPr>
                      <m:nor/>
                    </m:rPr>
                    <w:rPr>
                      <w:i/>
                      <w:iCs/>
                      <w:lang w:val="en-US"/>
                    </w:rPr>
                    <m:t>0</m:t>
                  </m:r>
                </m:e>
                <m:e>
                  <m:r>
                    <m:rPr>
                      <m:nor/>
                    </m:rPr>
                    <w:rPr>
                      <w:i/>
                      <w:iCs/>
                      <w:lang w:val="en-US"/>
                    </w:rPr>
                    <m:t>r</m:t>
                  </m:r>
                  <m:r>
                    <w:rPr>
                      <w:rFonts w:ascii="Cambria Math" w:hAnsi="Cambria Math"/>
                      <w:lang w:val="en-US"/>
                    </w:rPr>
                    <m:t>=</m:t>
                  </m:r>
                  <m:r>
                    <m:rPr>
                      <m:nor/>
                    </m:rPr>
                    <w:rPr>
                      <w:i/>
                      <w:iCs/>
                      <w:lang w:val="en-US"/>
                    </w:rPr>
                    <m:t>p</m:t>
                  </m:r>
                </m:e>
              </m:eqArr>
            </m:e>
          </m:d>
        </m:oMath>
      </m:oMathPara>
    </w:p>
  </w:footnote>
  <w:footnote w:id="37">
    <w:p w14:paraId="55EB420A" w14:textId="2A2995A5" w:rsidR="0000138C" w:rsidRDefault="0000138C" w:rsidP="0000138C">
      <w:pPr>
        <w:pStyle w:val="Textonotapie"/>
        <w:keepNext/>
        <w:spacing w:after="0"/>
        <w:rPr>
          <w:rFonts w:eastAsiaTheme="minorEastAsia"/>
          <w:szCs w:val="16"/>
        </w:rPr>
      </w:pPr>
      <w:r w:rsidRPr="004E316D">
        <w:rPr>
          <w:rStyle w:val="Refdenotaalpie"/>
          <w:szCs w:val="16"/>
        </w:rPr>
        <w:footnoteRef/>
      </w:r>
      <w:r w:rsidRPr="004E316D">
        <w:rPr>
          <w:szCs w:val="16"/>
        </w:rPr>
        <w:t xml:space="preserve"> </w:t>
      </w:r>
      <w:r>
        <w:rPr>
          <w:szCs w:val="16"/>
        </w:rPr>
        <w:t xml:space="preserve">La función de utilidad esperada de </w:t>
      </w:r>
      <w:r w:rsidR="00084BF4">
        <w:rPr>
          <w:szCs w:val="16"/>
        </w:rPr>
        <w:t>von Neumann</w:t>
      </w:r>
      <w:r>
        <w:rPr>
          <w:szCs w:val="16"/>
        </w:rPr>
        <w:t>-Morgenstern sería la siguiente:</w:t>
      </w:r>
    </w:p>
    <w:p w14:paraId="3D51672E" w14:textId="77777777" w:rsidR="0000138C" w:rsidRPr="004E316D" w:rsidRDefault="0000138C" w:rsidP="0000138C">
      <w:pPr>
        <w:pStyle w:val="Textonotapie"/>
        <w:rPr>
          <w:rFonts w:eastAsiaTheme="minorEastAsia"/>
          <w:iCs/>
          <w:szCs w:val="16"/>
        </w:rPr>
      </w:pPr>
      <m:oMathPara>
        <m:oMath>
          <m:r>
            <w:rPr>
              <w:rFonts w:ascii="Cambria Math" w:hAnsi="Cambria Math"/>
              <w:szCs w:val="16"/>
            </w:rPr>
            <m:t xml:space="preserve"> </m:t>
          </m:r>
          <m:r>
            <m:rPr>
              <m:nor/>
            </m:rPr>
            <w:rPr>
              <w:i/>
              <w:iCs/>
              <w:szCs w:val="16"/>
            </w:rPr>
            <m:t>E</m:t>
          </m:r>
          <m:d>
            <m:dPr>
              <m:begChr m:val="["/>
              <m:endChr m:val="]"/>
              <m:ctrlPr>
                <w:rPr>
                  <w:rFonts w:ascii="Cambria Math" w:hAnsi="Cambria Math"/>
                  <w:i/>
                  <w:iCs/>
                  <w:szCs w:val="16"/>
                </w:rPr>
              </m:ctrlPr>
            </m:dPr>
            <m:e>
              <m:r>
                <m:rPr>
                  <m:nor/>
                </m:rPr>
                <w:rPr>
                  <w:i/>
                  <w:iCs/>
                  <w:szCs w:val="16"/>
                </w:rPr>
                <m:t>U</m:t>
              </m:r>
            </m:e>
          </m:d>
          <m:r>
            <w:rPr>
              <w:rFonts w:ascii="Cambria Math" w:hAnsi="Cambria Math"/>
              <w:szCs w:val="16"/>
            </w:rPr>
            <m:t>=</m:t>
          </m:r>
          <m:d>
            <m:dPr>
              <m:ctrlPr>
                <w:rPr>
                  <w:rFonts w:ascii="Cambria Math" w:hAnsi="Cambria Math"/>
                  <w:i/>
                  <w:iCs/>
                  <w:szCs w:val="16"/>
                  <w:lang w:val="en-US"/>
                </w:rPr>
              </m:ctrlPr>
            </m:dPr>
            <m:e>
              <m:r>
                <m:rPr>
                  <m:nor/>
                </m:rPr>
                <w:rPr>
                  <w:i/>
                  <w:iCs/>
                  <w:szCs w:val="16"/>
                </w:rPr>
                <m:t>1</m:t>
              </m:r>
              <m:r>
                <w:rPr>
                  <w:rFonts w:ascii="Cambria Math" w:hAnsi="Cambria Math"/>
                  <w:szCs w:val="16"/>
                </w:rPr>
                <m:t>-</m:t>
              </m:r>
              <m:r>
                <m:rPr>
                  <m:nor/>
                </m:rPr>
                <w:rPr>
                  <w:i/>
                  <w:iCs/>
                  <w:szCs w:val="16"/>
                </w:rPr>
                <m:t>p</m:t>
              </m:r>
            </m:e>
          </m:d>
          <m:r>
            <w:rPr>
              <w:rFonts w:ascii="Cambria Math" w:hAnsi="Cambria Math"/>
              <w:szCs w:val="16"/>
            </w:rPr>
            <m:t>∙</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1</m:t>
                  </m:r>
                </m:sub>
              </m:sSub>
            </m:e>
          </m:d>
          <m:r>
            <w:rPr>
              <w:rFonts w:ascii="Cambria Math" w:hAnsi="Cambria Math"/>
              <w:szCs w:val="16"/>
            </w:rPr>
            <m:t>+</m:t>
          </m:r>
          <m:r>
            <m:rPr>
              <m:nor/>
            </m:rPr>
            <w:rPr>
              <w:i/>
              <w:iCs/>
              <w:szCs w:val="16"/>
            </w:rPr>
            <m:t>p</m:t>
          </m:r>
          <m:r>
            <w:rPr>
              <w:rFonts w:ascii="Cambria Math" w:hAnsi="Cambria Math"/>
              <w:szCs w:val="16"/>
            </w:rPr>
            <m:t>∙</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2</m:t>
                  </m:r>
                </m:sub>
              </m:sSub>
            </m:e>
          </m:d>
        </m:oMath>
      </m:oMathPara>
    </w:p>
    <w:p w14:paraId="76F0189D" w14:textId="77777777" w:rsidR="0000138C" w:rsidRPr="004E316D" w:rsidRDefault="0000138C" w:rsidP="0000138C">
      <w:pPr>
        <w:pStyle w:val="Textonotapie"/>
        <w:keepNext/>
        <w:spacing w:after="0"/>
        <w:rPr>
          <w:rFonts w:eastAsiaTheme="minorEastAsia"/>
          <w:iCs/>
          <w:szCs w:val="16"/>
        </w:rPr>
      </w:pPr>
      <w:r>
        <w:rPr>
          <w:rFonts w:eastAsiaTheme="minorEastAsia"/>
          <w:iCs/>
          <w:szCs w:val="16"/>
        </w:rPr>
        <w:t>La RMSE:</w:t>
      </w:r>
    </w:p>
    <w:p w14:paraId="73ED351F" w14:textId="19CA27A0" w:rsidR="0000138C" w:rsidRPr="0034325E" w:rsidRDefault="0000138C" w:rsidP="0000138C">
      <w:pPr>
        <w:pStyle w:val="Textonotapie"/>
        <w:spacing w:after="0"/>
        <w:rPr>
          <w:rFonts w:eastAsiaTheme="minorEastAsia"/>
          <w:iCs/>
          <w:szCs w:val="16"/>
        </w:rPr>
      </w:pPr>
      <m:oMathPara>
        <m:oMath>
          <m:r>
            <w:rPr>
              <w:rFonts w:ascii="Cambria Math" w:eastAsiaTheme="minorEastAsia" w:hAnsi="Cambria Math"/>
              <w:szCs w:val="16"/>
            </w:rPr>
            <m:t xml:space="preserve"> </m:t>
          </m:r>
          <m:r>
            <m:rPr>
              <m:nor/>
            </m:rPr>
            <w:rPr>
              <w:i/>
              <w:iCs/>
              <w:szCs w:val="16"/>
            </w:rPr>
            <m:t>RMSE</m:t>
          </m:r>
          <m:r>
            <w:rPr>
              <w:rFonts w:ascii="Cambria Math" w:hAnsi="Cambria Math"/>
              <w:szCs w:val="16"/>
            </w:rPr>
            <m:t>=-</m:t>
          </m:r>
          <m:f>
            <m:fPr>
              <m:ctrlPr>
                <w:rPr>
                  <w:rFonts w:ascii="Cambria Math" w:hAnsi="Cambria Math"/>
                  <w:iCs/>
                  <w:szCs w:val="16"/>
                  <w:lang w:val="en-US"/>
                </w:rPr>
              </m:ctrlPr>
            </m:fPr>
            <m:num>
              <m:f>
                <m:fPr>
                  <m:type m:val="lin"/>
                  <m:ctrlPr>
                    <w:rPr>
                      <w:rFonts w:ascii="Cambria Math" w:hAnsi="Cambria Math"/>
                      <w:i/>
                      <w:iCs/>
                      <w:szCs w:val="16"/>
                      <w:lang w:val="en-US"/>
                    </w:rPr>
                  </m:ctrlPr>
                </m:fPr>
                <m:num>
                  <m:r>
                    <m:rPr>
                      <m:nor/>
                    </m:rPr>
                    <w:rPr>
                      <w:i/>
                      <w:szCs w:val="16"/>
                    </w:rPr>
                    <m:t>∂</m:t>
                  </m:r>
                  <m:r>
                    <m:rPr>
                      <m:nor/>
                    </m:rPr>
                    <w:rPr>
                      <w:i/>
                      <w:iCs/>
                      <w:szCs w:val="16"/>
                    </w:rPr>
                    <m:t>E</m:t>
                  </m:r>
                  <m:d>
                    <m:dPr>
                      <m:begChr m:val="["/>
                      <m:endChr m:val="]"/>
                      <m:ctrlPr>
                        <w:rPr>
                          <w:rFonts w:ascii="Cambria Math" w:hAnsi="Cambria Math"/>
                          <w:i/>
                          <w:iCs/>
                          <w:szCs w:val="16"/>
                        </w:rPr>
                      </m:ctrlPr>
                    </m:dPr>
                    <m:e>
                      <m:r>
                        <m:rPr>
                          <m:nor/>
                        </m:rPr>
                        <w:rPr>
                          <w:i/>
                          <w:iCs/>
                          <w:szCs w:val="16"/>
                        </w:rPr>
                        <m:t>U</m:t>
                      </m:r>
                    </m:e>
                  </m:d>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1</m:t>
                      </m:r>
                    </m:sub>
                  </m:sSub>
                </m:den>
              </m:f>
            </m:num>
            <m:den>
              <m:f>
                <m:fPr>
                  <m:type m:val="lin"/>
                  <m:ctrlPr>
                    <w:rPr>
                      <w:rFonts w:ascii="Cambria Math" w:hAnsi="Cambria Math"/>
                      <w:i/>
                      <w:iCs/>
                      <w:szCs w:val="16"/>
                      <w:lang w:val="en-US"/>
                    </w:rPr>
                  </m:ctrlPr>
                </m:fPr>
                <m:num>
                  <m:r>
                    <m:rPr>
                      <m:nor/>
                    </m:rPr>
                    <w:rPr>
                      <w:i/>
                      <w:szCs w:val="16"/>
                    </w:rPr>
                    <m:t>∂</m:t>
                  </m:r>
                  <m:r>
                    <m:rPr>
                      <m:nor/>
                    </m:rPr>
                    <w:rPr>
                      <w:i/>
                      <w:iCs/>
                      <w:szCs w:val="16"/>
                    </w:rPr>
                    <m:t>E</m:t>
                  </m:r>
                  <m:d>
                    <m:dPr>
                      <m:begChr m:val="["/>
                      <m:endChr m:val="]"/>
                      <m:ctrlPr>
                        <w:rPr>
                          <w:rFonts w:ascii="Cambria Math" w:hAnsi="Cambria Math"/>
                          <w:i/>
                          <w:iCs/>
                          <w:szCs w:val="16"/>
                        </w:rPr>
                      </m:ctrlPr>
                    </m:dPr>
                    <m:e>
                      <m:r>
                        <m:rPr>
                          <m:nor/>
                        </m:rPr>
                        <w:rPr>
                          <w:i/>
                          <w:iCs/>
                          <w:szCs w:val="16"/>
                        </w:rPr>
                        <m:t>U</m:t>
                      </m:r>
                    </m:e>
                  </m:d>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2</m:t>
                      </m:r>
                    </m:sub>
                  </m:sSub>
                </m:den>
              </m:f>
            </m:den>
          </m:f>
          <m:r>
            <w:rPr>
              <w:rFonts w:ascii="Cambria Math" w:eastAsiaTheme="minorEastAsia" w:hAnsi="Cambria Math"/>
              <w:szCs w:val="16"/>
            </w:rPr>
            <m:t>=</m:t>
          </m:r>
          <m:r>
            <w:rPr>
              <w:rFonts w:ascii="Cambria Math" w:hAnsi="Cambria Math"/>
              <w:szCs w:val="16"/>
            </w:rPr>
            <m:t>-</m:t>
          </m:r>
          <m:f>
            <m:fPr>
              <m:ctrlPr>
                <w:rPr>
                  <w:rFonts w:ascii="Cambria Math" w:hAnsi="Cambria Math"/>
                  <w:iCs/>
                  <w:szCs w:val="16"/>
                  <w:lang w:val="en-US"/>
                </w:rPr>
              </m:ctrlPr>
            </m:fPr>
            <m:num>
              <m:d>
                <m:dPr>
                  <m:ctrlPr>
                    <w:rPr>
                      <w:rFonts w:ascii="Cambria Math" w:hAnsi="Cambria Math"/>
                      <w:i/>
                      <w:iCs/>
                      <w:szCs w:val="16"/>
                      <w:lang w:val="en-US"/>
                    </w:rPr>
                  </m:ctrlPr>
                </m:dPr>
                <m:e>
                  <m:r>
                    <m:rPr>
                      <m:nor/>
                    </m:rPr>
                    <w:rPr>
                      <w:i/>
                      <w:iCs/>
                      <w:szCs w:val="16"/>
                    </w:rPr>
                    <m:t>1</m:t>
                  </m:r>
                  <m:r>
                    <w:rPr>
                      <w:rFonts w:ascii="Cambria Math" w:hAnsi="Cambria Math"/>
                      <w:szCs w:val="16"/>
                    </w:rPr>
                    <m:t>-</m:t>
                  </m:r>
                  <m:r>
                    <m:rPr>
                      <m:nor/>
                    </m:rPr>
                    <w:rPr>
                      <w:i/>
                      <w:iCs/>
                      <w:szCs w:val="16"/>
                    </w:rPr>
                    <m:t>p</m:t>
                  </m:r>
                </m:e>
              </m:d>
              <m:r>
                <w:rPr>
                  <w:rFonts w:ascii="Cambria Math" w:hAnsi="Cambria Math"/>
                  <w:szCs w:val="16"/>
                </w:rPr>
                <m:t>∙</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1</m:t>
                      </m:r>
                    </m:sub>
                  </m:sSub>
                </m:e>
              </m:d>
            </m:num>
            <m:den>
              <m:r>
                <m:rPr>
                  <m:nor/>
                </m:rPr>
                <w:rPr>
                  <w:i/>
                  <w:iCs/>
                  <w:szCs w:val="16"/>
                </w:rPr>
                <m:t>p</m:t>
              </m:r>
              <m:r>
                <w:rPr>
                  <w:rFonts w:ascii="Cambria Math" w:hAnsi="Cambria Math"/>
                  <w:szCs w:val="16"/>
                </w:rPr>
                <m:t>∙</m:t>
              </m:r>
              <m:r>
                <m:rPr>
                  <m:nor/>
                </m:rPr>
                <w:rPr>
                  <w:i/>
                  <w:iCs/>
                  <w:szCs w:val="16"/>
                </w:rPr>
                <m:t>u'</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2</m:t>
                      </m:r>
                    </m:sub>
                  </m:sSub>
                </m:e>
              </m:d>
            </m:den>
          </m:f>
        </m:oMath>
      </m:oMathPara>
    </w:p>
    <w:p w14:paraId="6E1BCA4A" w14:textId="70480557" w:rsidR="0000138C" w:rsidRPr="004E316D" w:rsidRDefault="0000138C" w:rsidP="0000138C">
      <w:pPr>
        <w:pStyle w:val="Textonotapie"/>
        <w:rPr>
          <w:iCs/>
        </w:rPr>
      </w:pPr>
      <w:r w:rsidRPr="004E316D">
        <w:rPr>
          <w:rFonts w:eastAsiaTheme="minorEastAsia"/>
          <w:iCs/>
          <w:szCs w:val="16"/>
        </w:rPr>
        <w:t xml:space="preserve">En la línea de certeza </w:t>
      </w:r>
      <m:oMath>
        <m:sSub>
          <m:sSubPr>
            <m:ctrlPr>
              <w:rPr>
                <w:rFonts w:ascii="Cambria Math" w:hAnsi="Cambria Math"/>
                <w:i/>
                <w:iCs/>
                <w:szCs w:val="16"/>
              </w:rPr>
            </m:ctrlPr>
          </m:sSubPr>
          <m:e>
            <m:r>
              <m:rPr>
                <m:nor/>
              </m:rPr>
              <w:rPr>
                <w:i/>
                <w:iCs/>
                <w:szCs w:val="16"/>
              </w:rPr>
              <m:t>x</m:t>
            </m:r>
          </m:e>
          <m:sub>
            <m:r>
              <m:rPr>
                <m:nor/>
              </m:rPr>
              <w:rPr>
                <w:i/>
                <w:iCs/>
                <w:szCs w:val="16"/>
              </w:rPr>
              <m:t>1</m:t>
            </m:r>
          </m:sub>
        </m:sSub>
        <m:r>
          <w:rPr>
            <w:rFonts w:ascii="Cambria Math" w:hAnsi="Cambria Math"/>
            <w:szCs w:val="16"/>
          </w:rPr>
          <m:t>=</m:t>
        </m:r>
        <m:sSub>
          <m:sSubPr>
            <m:ctrlPr>
              <w:rPr>
                <w:rFonts w:ascii="Cambria Math" w:hAnsi="Cambria Math"/>
                <w:i/>
                <w:iCs/>
                <w:szCs w:val="16"/>
              </w:rPr>
            </m:ctrlPr>
          </m:sSubPr>
          <m:e>
            <m:r>
              <m:rPr>
                <m:nor/>
              </m:rPr>
              <w:rPr>
                <w:i/>
                <w:iCs/>
                <w:szCs w:val="16"/>
              </w:rPr>
              <m:t>x</m:t>
            </m:r>
          </m:e>
          <m:sub>
            <m:r>
              <m:rPr>
                <m:nor/>
              </m:rPr>
              <w:rPr>
                <w:i/>
                <w:iCs/>
                <w:szCs w:val="16"/>
              </w:rPr>
              <m:t>2</m:t>
            </m:r>
          </m:sub>
        </m:sSub>
      </m:oMath>
      <w:r>
        <w:rPr>
          <w:rFonts w:eastAsiaTheme="minorEastAsia"/>
          <w:iCs/>
          <w:szCs w:val="16"/>
        </w:rPr>
        <w:t xml:space="preserve">, por lo que </w:t>
      </w:r>
      <m:oMath>
        <m:r>
          <w:rPr>
            <w:rFonts w:ascii="Cambria Math" w:eastAsiaTheme="minorEastAsia" w:hAnsi="Cambria Math"/>
            <w:szCs w:val="16"/>
          </w:rPr>
          <m:t xml:space="preserve"> </m:t>
        </m:r>
        <m:r>
          <m:rPr>
            <m:nor/>
          </m:rPr>
          <w:rPr>
            <w:i/>
            <w:iCs/>
            <w:szCs w:val="16"/>
          </w:rPr>
          <m:t>RMSE</m:t>
        </m:r>
        <m:r>
          <w:rPr>
            <w:rFonts w:ascii="Cambria Math" w:eastAsiaTheme="minorEastAsia" w:hAnsi="Cambria Math"/>
            <w:szCs w:val="16"/>
          </w:rPr>
          <m:t>=</m:t>
        </m:r>
        <m:r>
          <w:rPr>
            <w:rFonts w:ascii="Cambria Math" w:hAnsi="Cambria Math"/>
            <w:szCs w:val="16"/>
          </w:rPr>
          <m:t>-</m:t>
        </m:r>
        <m:f>
          <m:fPr>
            <m:type m:val="lin"/>
            <m:ctrlPr>
              <w:rPr>
                <w:rFonts w:ascii="Cambria Math" w:eastAsiaTheme="minorEastAsia" w:hAnsi="Cambria Math"/>
                <w:i/>
                <w:sz w:val="22"/>
                <w:szCs w:val="22"/>
              </w:rPr>
            </m:ctrlPr>
          </m:fPr>
          <m:num>
            <m:d>
              <m:dPr>
                <m:ctrlPr>
                  <w:rPr>
                    <w:rFonts w:ascii="Cambria Math" w:eastAsiaTheme="minorEastAsia" w:hAnsi="Cambria Math"/>
                    <w:i/>
                    <w:sz w:val="22"/>
                    <w:szCs w:val="22"/>
                  </w:rPr>
                </m:ctrlPr>
              </m:dPr>
              <m:e>
                <m:r>
                  <m:rPr>
                    <m:nor/>
                  </m:rPr>
                  <w:rPr>
                    <w:i/>
                    <w:iCs/>
                  </w:rPr>
                  <m:t>1</m:t>
                </m:r>
                <m:r>
                  <w:rPr>
                    <w:rFonts w:ascii="Cambria Math" w:eastAsiaTheme="minorEastAsia" w:hAnsi="Cambria Math"/>
                  </w:rPr>
                  <m:t>-</m:t>
                </m:r>
                <m:r>
                  <m:rPr>
                    <m:nor/>
                  </m:rPr>
                  <w:rPr>
                    <w:i/>
                    <w:iCs/>
                  </w:rPr>
                  <m:t>p</m:t>
                </m:r>
              </m:e>
            </m:d>
          </m:num>
          <m:den>
            <m:r>
              <m:rPr>
                <m:nor/>
              </m:rPr>
              <w:rPr>
                <w:i/>
                <w:iCs/>
              </w:rPr>
              <m:t>p</m:t>
            </m:r>
          </m:den>
        </m:f>
      </m:oMath>
    </w:p>
  </w:footnote>
  <w:footnote w:id="38">
    <w:p w14:paraId="7E4AD01B" w14:textId="2DDDDCC1" w:rsidR="00274F1B" w:rsidRPr="00813C05" w:rsidRDefault="00274F1B">
      <w:pPr>
        <w:pStyle w:val="Textonotapie"/>
      </w:pPr>
      <w:r>
        <w:rPr>
          <w:rStyle w:val="Refdenotaalpie"/>
        </w:rPr>
        <w:footnoteRef/>
      </w:r>
      <w:r>
        <w:t xml:space="preserve"> </w:t>
      </w:r>
      <w:r w:rsidR="00FF5FB9">
        <w:t>Es interesante conocer, a efectos de otros temas, en qué consiste un reparto óptimo del riesgo (entre agentes con diferentes preferencias frente al riesgo, por ejemplo), así como ciertos fenómenos que se producen en la industria aseguradora cuando se cubre a una colectividad de agentes (</w:t>
      </w:r>
      <w:proofErr w:type="spellStart"/>
      <w:r w:rsidR="00FF5FB9" w:rsidRPr="00813C05">
        <w:rPr>
          <w:i/>
          <w:iCs/>
        </w:rPr>
        <w:t>risk</w:t>
      </w:r>
      <w:proofErr w:type="spellEnd"/>
      <w:r w:rsidR="00FF5FB9" w:rsidRPr="00813C05">
        <w:rPr>
          <w:i/>
          <w:iCs/>
        </w:rPr>
        <w:t xml:space="preserve"> </w:t>
      </w:r>
      <w:proofErr w:type="spellStart"/>
      <w:r w:rsidR="00FF5FB9" w:rsidRPr="00813C05">
        <w:rPr>
          <w:i/>
          <w:iCs/>
        </w:rPr>
        <w:t>pooling</w:t>
      </w:r>
      <w:proofErr w:type="spellEnd"/>
      <w:r w:rsidR="00FF5FB9" w:rsidRPr="00813C05">
        <w:t xml:space="preserve"> o agrupación en un colectivo de individuos de sus riesgos individuales, por ejemplo, una mutua de seguros) y cuando existe una colectividad de aseguradores (</w:t>
      </w:r>
      <w:proofErr w:type="spellStart"/>
      <w:r w:rsidR="00FF5FB9" w:rsidRPr="00813C05">
        <w:rPr>
          <w:i/>
          <w:iCs/>
        </w:rPr>
        <w:t>risk</w:t>
      </w:r>
      <w:proofErr w:type="spellEnd"/>
      <w:r w:rsidR="00FF5FB9" w:rsidRPr="00813C05">
        <w:rPr>
          <w:i/>
          <w:iCs/>
        </w:rPr>
        <w:t xml:space="preserve"> </w:t>
      </w:r>
      <w:proofErr w:type="spellStart"/>
      <w:r w:rsidR="00FF5FB9" w:rsidRPr="00813C05">
        <w:rPr>
          <w:i/>
          <w:iCs/>
        </w:rPr>
        <w:t>spreading</w:t>
      </w:r>
      <w:proofErr w:type="spellEnd"/>
      <w:r w:rsidR="00FF5FB9" w:rsidRPr="00813C05">
        <w:t xml:space="preserve"> o distribución del riesgo entre numerosos aseguradores aversos al riesgo que conjuntamente se comportarán como un agente neutral al riesgo, bajo ciertas hipótesis, según el teorema de Arrow-</w:t>
      </w:r>
      <w:proofErr w:type="spellStart"/>
      <w:r w:rsidR="00FF5FB9" w:rsidRPr="00813C05">
        <w:t>Lind</w:t>
      </w:r>
      <w:proofErr w:type="spellEnd"/>
      <w:r w:rsidR="00FF5FB9" w:rsidRPr="00813C05">
        <w:t xml:space="preserve">). Aunque caen fuera del ámbito de la elección del consumidor, se remite para su explicación al manual de </w:t>
      </w:r>
      <w:r w:rsidR="00FF5FB9" w:rsidRPr="00813C05">
        <w:rPr>
          <w:smallCaps/>
        </w:rPr>
        <w:t>Gravelle</w:t>
      </w:r>
      <w:r w:rsidR="00FF5FB9" w:rsidRPr="00813C05">
        <w:t xml:space="preserve"> y </w:t>
      </w:r>
      <w:r w:rsidR="00FF5FB9" w:rsidRPr="00813C05">
        <w:rPr>
          <w:smallCaps/>
        </w:rPr>
        <w:t>Rees</w:t>
      </w:r>
      <w:r w:rsidR="00FF5FB9" w:rsidRPr="00813C05">
        <w:t xml:space="preserve"> (2004).</w:t>
      </w:r>
    </w:p>
  </w:footnote>
  <w:footnote w:id="39">
    <w:p w14:paraId="6D221672" w14:textId="36E5B18E" w:rsidR="00FC4704" w:rsidRPr="00813C05" w:rsidRDefault="00FC4704">
      <w:pPr>
        <w:pStyle w:val="Textonotapie"/>
      </w:pPr>
      <w:r w:rsidRPr="00813C05">
        <w:rPr>
          <w:rStyle w:val="Refdenotaalpie"/>
        </w:rPr>
        <w:footnoteRef/>
      </w:r>
      <w:r w:rsidRPr="00813C05">
        <w:t xml:space="preserve"> Si tengo una enfermedad, valoraré de forma distinta el pago a como me pensaba que lo valoraría cuando tenía buena salud.</w:t>
      </w:r>
      <w:r w:rsidR="006E5851" w:rsidRPr="00813C05">
        <w:t xml:space="preserve"> Al enfermar, cambia mi función de utilidad y por lo tanto, mi valoración de los resultados.</w:t>
      </w:r>
      <w:r w:rsidR="00813C05">
        <w:t xml:space="preserve"> De este modo, la pendiente de las curvas de indiferencia (RMSE) a lo largo de la línea de certeza pasa a ser </w:t>
      </w:r>
      <m:oMath>
        <m:r>
          <w:rPr>
            <w:rFonts w:ascii="Cambria Math" w:eastAsiaTheme="minorEastAsia" w:hAnsi="Cambria Math"/>
            <w:szCs w:val="16"/>
          </w:rPr>
          <m:t xml:space="preserve"> </m:t>
        </m:r>
        <m:r>
          <w:rPr>
            <w:rFonts w:ascii="Cambria Math" w:hAnsi="Cambria Math"/>
            <w:szCs w:val="16"/>
          </w:rPr>
          <m:t>-</m:t>
        </m:r>
        <m:f>
          <m:fPr>
            <m:ctrlPr>
              <w:rPr>
                <w:rFonts w:ascii="Cambria Math" w:hAnsi="Cambria Math"/>
                <w:iCs/>
                <w:szCs w:val="16"/>
                <w:lang w:val="en-US"/>
              </w:rPr>
            </m:ctrlPr>
          </m:fPr>
          <m:num>
            <m:d>
              <m:dPr>
                <m:ctrlPr>
                  <w:rPr>
                    <w:rFonts w:ascii="Cambria Math" w:hAnsi="Cambria Math"/>
                    <w:i/>
                    <w:iCs/>
                    <w:szCs w:val="16"/>
                    <w:lang w:val="en-US"/>
                  </w:rPr>
                </m:ctrlPr>
              </m:dPr>
              <m:e>
                <m:r>
                  <m:rPr>
                    <m:nor/>
                  </m:rPr>
                  <w:rPr>
                    <w:i/>
                    <w:iCs/>
                    <w:szCs w:val="16"/>
                  </w:rPr>
                  <m:t>1</m:t>
                </m:r>
                <m:r>
                  <w:rPr>
                    <w:rFonts w:ascii="Cambria Math" w:hAnsi="Cambria Math"/>
                    <w:szCs w:val="16"/>
                  </w:rPr>
                  <m:t>-</m:t>
                </m:r>
                <m:r>
                  <m:rPr>
                    <m:nor/>
                  </m:rPr>
                  <w:rPr>
                    <w:i/>
                    <w:iCs/>
                    <w:szCs w:val="16"/>
                  </w:rPr>
                  <m:t>p</m:t>
                </m:r>
              </m:e>
            </m:d>
            <m:r>
              <w:rPr>
                <w:rFonts w:ascii="Cambria Math" w:hAnsi="Cambria Math"/>
                <w:szCs w:val="16"/>
              </w:rPr>
              <m:t>∙</m:t>
            </m:r>
            <m:sSub>
              <m:sSubPr>
                <m:ctrlPr>
                  <w:rPr>
                    <w:rFonts w:ascii="Cambria Math" w:hAnsi="Cambria Math"/>
                    <w:i/>
                    <w:iCs/>
                    <w:szCs w:val="16"/>
                  </w:rPr>
                </m:ctrlPr>
              </m:sSubPr>
              <m:e>
                <m:r>
                  <m:rPr>
                    <m:nor/>
                  </m:rPr>
                  <w:rPr>
                    <w:i/>
                    <w:iCs/>
                    <w:szCs w:val="16"/>
                  </w:rPr>
                  <m:t>u</m:t>
                </m:r>
              </m:e>
              <m:sub>
                <m:r>
                  <m:rPr>
                    <m:nor/>
                  </m:rPr>
                  <w:rPr>
                    <w:i/>
                    <w:iCs/>
                    <w:szCs w:val="16"/>
                  </w:rPr>
                  <m:t>1</m:t>
                </m:r>
              </m:sub>
            </m:sSub>
            <m:r>
              <m:rPr>
                <m:nor/>
              </m:rPr>
              <w:rPr>
                <w:i/>
                <w:iCs/>
                <w:szCs w:val="16"/>
              </w:rPr>
              <m:t>'</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1</m:t>
                    </m:r>
                  </m:sub>
                </m:sSub>
              </m:e>
            </m:d>
          </m:num>
          <m:den>
            <m:r>
              <m:rPr>
                <m:nor/>
              </m:rPr>
              <w:rPr>
                <w:i/>
                <w:iCs/>
                <w:szCs w:val="16"/>
              </w:rPr>
              <m:t>p</m:t>
            </m:r>
            <m:r>
              <w:rPr>
                <w:rFonts w:ascii="Cambria Math" w:hAnsi="Cambria Math"/>
                <w:szCs w:val="16"/>
              </w:rPr>
              <m:t>∙</m:t>
            </m:r>
            <m:sSub>
              <m:sSubPr>
                <m:ctrlPr>
                  <w:rPr>
                    <w:rFonts w:ascii="Cambria Math" w:hAnsi="Cambria Math"/>
                    <w:i/>
                    <w:iCs/>
                    <w:szCs w:val="16"/>
                  </w:rPr>
                </m:ctrlPr>
              </m:sSubPr>
              <m:e>
                <m:r>
                  <m:rPr>
                    <m:nor/>
                  </m:rPr>
                  <w:rPr>
                    <w:i/>
                    <w:iCs/>
                    <w:szCs w:val="16"/>
                  </w:rPr>
                  <m:t>u</m:t>
                </m:r>
              </m:e>
              <m:sub>
                <m:r>
                  <m:rPr>
                    <m:nor/>
                  </m:rPr>
                  <w:rPr>
                    <w:i/>
                    <w:iCs/>
                    <w:szCs w:val="16"/>
                  </w:rPr>
                  <m:t>2</m:t>
                </m:r>
              </m:sub>
            </m:sSub>
            <m:r>
              <m:rPr>
                <m:nor/>
              </m:rPr>
              <w:rPr>
                <w:i/>
                <w:iCs/>
                <w:szCs w:val="16"/>
              </w:rPr>
              <m:t>'</m:t>
            </m:r>
            <m:d>
              <m:dPr>
                <m:ctrlPr>
                  <w:rPr>
                    <w:rFonts w:ascii="Cambria Math" w:hAnsi="Cambria Math"/>
                    <w:i/>
                    <w:iCs/>
                    <w:szCs w:val="16"/>
                  </w:rPr>
                </m:ctrlPr>
              </m:dPr>
              <m:e>
                <m:sSub>
                  <m:sSubPr>
                    <m:ctrlPr>
                      <w:rPr>
                        <w:rFonts w:ascii="Cambria Math" w:hAnsi="Cambria Math"/>
                        <w:i/>
                        <w:iCs/>
                        <w:szCs w:val="16"/>
                      </w:rPr>
                    </m:ctrlPr>
                  </m:sSubPr>
                  <m:e>
                    <m:r>
                      <m:rPr>
                        <m:nor/>
                      </m:rPr>
                      <w:rPr>
                        <w:i/>
                        <w:iCs/>
                        <w:szCs w:val="16"/>
                      </w:rPr>
                      <m:t>x</m:t>
                    </m:r>
                  </m:e>
                  <m:sub>
                    <m:r>
                      <m:rPr>
                        <m:nor/>
                      </m:rPr>
                      <w:rPr>
                        <w:i/>
                        <w:iCs/>
                        <w:szCs w:val="16"/>
                      </w:rPr>
                      <m:t>2</m:t>
                    </m:r>
                  </m:sub>
                </m:sSub>
              </m:e>
            </m:d>
          </m:den>
        </m:f>
      </m:oMath>
      <w:r w:rsidR="00813C05" w:rsidRPr="00813C05">
        <w:rPr>
          <w:rFonts w:eastAsiaTheme="minorEastAsia"/>
          <w:iCs/>
          <w:szCs w:val="16"/>
        </w:rPr>
        <w:t>.</w:t>
      </w:r>
    </w:p>
  </w:footnote>
  <w:footnote w:id="40">
    <w:p w14:paraId="0992C7DB" w14:textId="3E52D806" w:rsidR="00D34FB7" w:rsidRPr="00D34FB7" w:rsidRDefault="00D34FB7" w:rsidP="00D34FB7">
      <w:pPr>
        <w:pStyle w:val="Textonotapie"/>
      </w:pPr>
      <w:r>
        <w:rPr>
          <w:rStyle w:val="Refdenotaalpie"/>
        </w:rPr>
        <w:footnoteRef/>
      </w:r>
      <w:r>
        <w:t xml:space="preserve"> </w:t>
      </w:r>
      <w:r>
        <w:rPr>
          <w:smallCaps/>
        </w:rPr>
        <w:t>Harry Markowitz</w:t>
      </w:r>
      <w:r>
        <w:t xml:space="preserve"> fue galardonado con el Premio Nobel de Economía en 1990 junto con </w:t>
      </w:r>
      <w:r>
        <w:rPr>
          <w:smallCaps/>
        </w:rPr>
        <w:t>Merton Miller</w:t>
      </w:r>
      <w:r>
        <w:t xml:space="preserve"> y </w:t>
      </w:r>
      <w:r>
        <w:rPr>
          <w:smallCaps/>
        </w:rPr>
        <w:t>William Sharpe</w:t>
      </w:r>
      <w:r>
        <w:t xml:space="preserve"> </w:t>
      </w:r>
      <w:r w:rsidRPr="00D34FB7">
        <w:t>«Por sus trabajos pioneros para establecer la teoría de la economía financiera».</w:t>
      </w:r>
    </w:p>
  </w:footnote>
  <w:footnote w:id="41">
    <w:p w14:paraId="46433E05" w14:textId="44B712A3" w:rsidR="007C5AD1" w:rsidRDefault="007C5AD1">
      <w:pPr>
        <w:pStyle w:val="Textonotapie"/>
      </w:pPr>
      <w:r>
        <w:rPr>
          <w:rStyle w:val="Refdenotaalpie"/>
        </w:rPr>
        <w:footnoteRef/>
      </w:r>
      <w:r>
        <w:t xml:space="preserve"> </w:t>
      </w:r>
      <w:r w:rsidRPr="007C5AD1">
        <w:t>Los casinos de Monte Carlo no tendrían entonces razón de ser.</w:t>
      </w:r>
    </w:p>
  </w:footnote>
  <w:footnote w:id="42">
    <w:p w14:paraId="0BA7C13F" w14:textId="06A02AD9" w:rsidR="00A8551A" w:rsidRDefault="00A8551A" w:rsidP="00280A45">
      <w:pPr>
        <w:pStyle w:val="Textonotapie"/>
        <w:keepNext/>
        <w:spacing w:after="0"/>
      </w:pPr>
      <w:r>
        <w:rPr>
          <w:rStyle w:val="Refdenotaalpie"/>
        </w:rPr>
        <w:footnoteRef/>
      </w:r>
      <w:r>
        <w:t xml:space="preserve"> Posteriormente se descubrió que la paradoja de Allais es un caso particular de </w:t>
      </w:r>
      <w:r w:rsidR="001D4587">
        <w:t>2 </w:t>
      </w:r>
      <w:r>
        <w:t>efectos:</w:t>
      </w:r>
    </w:p>
    <w:p w14:paraId="3DAD439C" w14:textId="2C52C534" w:rsidR="00A8551A" w:rsidRDefault="00A8551A">
      <w:pPr>
        <w:pStyle w:val="Textonotapie"/>
        <w:numPr>
          <w:ilvl w:val="0"/>
          <w:numId w:val="12"/>
        </w:numPr>
        <w:spacing w:after="0"/>
        <w:ind w:left="283" w:hanging="113"/>
      </w:pPr>
      <w:r>
        <w:rPr>
          <w:i/>
          <w:iCs/>
        </w:rPr>
        <w:t>Efecto consecuencia común</w:t>
      </w:r>
      <w:r>
        <w:t>: En una lotería recibir una cantidad como premio máximo genera mucha más utilidad que recibirla como precio mínimo. Se trata de una explicación que guarda cierta relación con la paradoja de la medalla de bronce donde empíricamente se observa que los ganadores de la medalla de bronce son más felices que los ganadores de la medalla de plata.</w:t>
      </w:r>
    </w:p>
    <w:p w14:paraId="6F07C13B" w14:textId="460D5110" w:rsidR="00A8551A" w:rsidRDefault="00A8551A">
      <w:pPr>
        <w:pStyle w:val="Textonotapie"/>
        <w:numPr>
          <w:ilvl w:val="0"/>
          <w:numId w:val="12"/>
        </w:numPr>
        <w:ind w:left="283" w:hanging="113"/>
      </w:pPr>
      <w:r>
        <w:rPr>
          <w:i/>
          <w:iCs/>
        </w:rPr>
        <w:t>Efecto razón común</w:t>
      </w:r>
      <w:r>
        <w:t>: Establece que la gente sufre cierta modificación de sus preferencias por el riesgo cuando son confrontados a elecciones sobre loterías que guardan cierta equivalencia entre ellas.</w:t>
      </w:r>
      <w:r w:rsidR="00F902F6">
        <w:t xml:space="preserve"> Parece ser que la gente aprende con el tiempo y corrigen su comportamiento una vez </w:t>
      </w:r>
      <w:r w:rsidR="0014239E">
        <w:t>s</w:t>
      </w:r>
      <w:r w:rsidR="00F902F6">
        <w:t>e les revela la naturaleza de sus desviaciones de la teoría de la utilidad esperada.</w:t>
      </w:r>
    </w:p>
  </w:footnote>
  <w:footnote w:id="43">
    <w:p w14:paraId="7790383D" w14:textId="15EFB0A2" w:rsidR="00C477D1" w:rsidRPr="00C477D1" w:rsidRDefault="00C477D1">
      <w:pPr>
        <w:pStyle w:val="Textonotapie"/>
      </w:pPr>
      <w:r>
        <w:rPr>
          <w:rStyle w:val="Refdenotaalpie"/>
        </w:rPr>
        <w:footnoteRef/>
      </w:r>
      <w:r>
        <w:t xml:space="preserve"> </w:t>
      </w:r>
      <w:r>
        <w:rPr>
          <w:smallCaps/>
        </w:rPr>
        <w:t>Richard Thaler</w:t>
      </w:r>
      <w:r>
        <w:t xml:space="preserve"> fue galardonado con el Premio Nobel de Economía en 2017 </w:t>
      </w:r>
      <w:r w:rsidRPr="00C477D1">
        <w:t>«Por sus contribuciones a la economía conductual.»</w:t>
      </w:r>
    </w:p>
  </w:footnote>
  <w:footnote w:id="44">
    <w:p w14:paraId="7DE0C907" w14:textId="6531001B" w:rsidR="001B635E" w:rsidRDefault="001B635E" w:rsidP="001B635E">
      <w:pPr>
        <w:pStyle w:val="Textonotapie"/>
        <w:keepNext/>
        <w:spacing w:after="0"/>
      </w:pPr>
      <w:r>
        <w:rPr>
          <w:rStyle w:val="Refdenotaalpie"/>
        </w:rPr>
        <w:footnoteRef/>
      </w:r>
      <w:r>
        <w:t xml:space="preserve">  Modo meramente ilustrativo, una relación de las principales teorías puede verse aquí:</w:t>
      </w:r>
    </w:p>
    <w:p w14:paraId="23DDEA72" w14:textId="1AD888AB" w:rsidR="001B635E" w:rsidRDefault="001B635E" w:rsidP="001B635E">
      <w:pPr>
        <w:pStyle w:val="Textonotapie"/>
        <w:jc w:val="center"/>
      </w:pPr>
      <w:r>
        <w:rPr>
          <w:noProof/>
        </w:rPr>
        <w:drawing>
          <wp:inline distT="0" distB="0" distL="0" distR="0" wp14:anchorId="7FFFC5A2" wp14:editId="58467713">
            <wp:extent cx="2880000" cy="2134750"/>
            <wp:effectExtent l="0" t="0" r="0" b="0"/>
            <wp:docPr id="22" name="Imagen 2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Texto&#10;&#10;Descripción generada automáticamente con confianza media"/>
                    <pic:cNvPicPr/>
                  </pic:nvPicPr>
                  <pic:blipFill>
                    <a:blip r:embed="rId7"/>
                    <a:stretch>
                      <a:fillRect/>
                    </a:stretch>
                  </pic:blipFill>
                  <pic:spPr>
                    <a:xfrm>
                      <a:off x="0" y="0"/>
                      <a:ext cx="2880000" cy="2134750"/>
                    </a:xfrm>
                    <a:prstGeom prst="rect">
                      <a:avLst/>
                    </a:prstGeom>
                  </pic:spPr>
                </pic:pic>
              </a:graphicData>
            </a:graphic>
          </wp:inline>
        </w:drawing>
      </w:r>
    </w:p>
  </w:footnote>
  <w:footnote w:id="45">
    <w:p w14:paraId="54467B20" w14:textId="4DB6BBBA" w:rsidR="006A508B" w:rsidRDefault="006A508B">
      <w:pPr>
        <w:pStyle w:val="Textonotapie"/>
      </w:pPr>
      <w:r>
        <w:rPr>
          <w:rStyle w:val="Refdenotaalpie"/>
        </w:rPr>
        <w:footnoteRef/>
      </w:r>
      <w:r>
        <w:t xml:space="preserve"> La limitación más relevante era el no cumplimiento de la dominancia estocástica de primer orden, es decir, que los agentes elegirían en ocasiones loterías dominadas.</w:t>
      </w:r>
    </w:p>
  </w:footnote>
  <w:footnote w:id="46">
    <w:p w14:paraId="2BA6FE36" w14:textId="77777777" w:rsidR="00864F3C" w:rsidRPr="00A51E0E" w:rsidRDefault="00037BDF">
      <w:pPr>
        <w:pStyle w:val="Textonotapie"/>
        <w:rPr>
          <w:lang w:val="en-US"/>
        </w:rPr>
      </w:pPr>
      <w:r>
        <w:rPr>
          <w:rStyle w:val="Refdenotaalpie"/>
        </w:rPr>
        <w:footnoteRef/>
      </w:r>
      <w:r w:rsidRPr="00B447BD">
        <w:rPr>
          <w:lang w:val="en-US"/>
        </w:rPr>
        <w:t xml:space="preserve"> Karni, E. (2018). </w:t>
      </w:r>
      <w:r w:rsidRPr="00037BDF">
        <w:rPr>
          <w:lang w:val="en-US"/>
        </w:rPr>
        <w:t xml:space="preserve">Savage’s Subjective Expected Utility Model. En Macmillan Publishers Ltd (Ed.), </w:t>
      </w:r>
      <w:r w:rsidRPr="00037BDF">
        <w:rPr>
          <w:i/>
          <w:iCs/>
          <w:lang w:val="en-US"/>
        </w:rPr>
        <w:t>The New Palgrave Dictionary of Economics</w:t>
      </w:r>
      <w:r w:rsidRPr="00037BDF">
        <w:rPr>
          <w:lang w:val="en-US"/>
        </w:rPr>
        <w:t xml:space="preserve"> (pp. 11938-11942). </w:t>
      </w:r>
      <w:r w:rsidRPr="00A51E0E">
        <w:rPr>
          <w:lang w:val="en-US"/>
        </w:rPr>
        <w:t xml:space="preserve">Palgrave Macmillan UK. </w:t>
      </w:r>
      <w:hyperlink r:id="rId8" w:history="1">
        <w:r w:rsidRPr="00A51E0E">
          <w:rPr>
            <w:rStyle w:val="Hipervnculo"/>
            <w:lang w:val="en-US"/>
          </w:rPr>
          <w:t>https://doi.org/10.1057/978-1-349-95189-5_2467</w:t>
        </w:r>
      </w:hyperlink>
    </w:p>
    <w:p w14:paraId="44F3BFF1" w14:textId="37624376" w:rsidR="00037BDF" w:rsidRPr="00864F3C" w:rsidRDefault="00864F3C" w:rsidP="00864F3C">
      <w:pPr>
        <w:pStyle w:val="Textonotapie"/>
      </w:pPr>
      <w:r w:rsidRPr="00864F3C">
        <w:rPr>
          <w:lang w:val="en-US"/>
        </w:rPr>
        <w:t>Fonseca, G. (</w:t>
      </w:r>
      <w:r>
        <w:rPr>
          <w:lang w:val="en-US"/>
        </w:rPr>
        <w:t>2021</w:t>
      </w:r>
      <w:r w:rsidRPr="00864F3C">
        <w:rPr>
          <w:lang w:val="en-US"/>
        </w:rPr>
        <w:t xml:space="preserve">) </w:t>
      </w:r>
      <w:r>
        <w:rPr>
          <w:lang w:val="en-US"/>
        </w:rPr>
        <w:t>“</w:t>
      </w:r>
      <w:r w:rsidRPr="00864F3C">
        <w:rPr>
          <w:lang w:val="en-US"/>
        </w:rPr>
        <w:t>Subjective Expected Utility</w:t>
      </w:r>
      <w:r>
        <w:rPr>
          <w:lang w:val="en-US"/>
        </w:rPr>
        <w:t>”</w:t>
      </w:r>
      <w:r w:rsidRPr="00864F3C">
        <w:rPr>
          <w:lang w:val="en-US"/>
        </w:rPr>
        <w:t>.</w:t>
      </w:r>
      <w:r>
        <w:rPr>
          <w:lang w:val="en-US"/>
        </w:rPr>
        <w:t xml:space="preserve"> </w:t>
      </w:r>
      <w:r w:rsidRPr="00864F3C">
        <w:rPr>
          <w:i/>
          <w:iCs/>
          <w:lang w:val="en-US"/>
        </w:rPr>
        <w:t>The History of Economic Thought Website</w:t>
      </w:r>
      <w:r>
        <w:rPr>
          <w:lang w:val="en-US"/>
        </w:rPr>
        <w:t xml:space="preserve">. </w:t>
      </w:r>
      <w:hyperlink r:id="rId9" w:history="1">
        <w:r w:rsidRPr="00864F3C">
          <w:rPr>
            <w:rStyle w:val="Hipervnculo"/>
          </w:rPr>
          <w:t>https://www.hetwebsite.net/het/essays/uncert/subjective.htm</w:t>
        </w:r>
      </w:hyperlink>
      <w:hyperlink r:id="rId10" w:history="1"/>
    </w:p>
  </w:footnote>
  <w:footnote w:id="47">
    <w:p w14:paraId="18A9F584" w14:textId="6EB25290" w:rsidR="00A45EEB" w:rsidRDefault="00A45EEB" w:rsidP="00A45EEB">
      <w:pPr>
        <w:pStyle w:val="Textonotapie"/>
        <w:keepNext/>
        <w:spacing w:after="0"/>
      </w:pPr>
      <w:r>
        <w:rPr>
          <w:rStyle w:val="Refdenotaalpie"/>
        </w:rPr>
        <w:footnoteRef/>
      </w:r>
      <w:r>
        <w:t xml:space="preserve"> Estos modelos digieren en la especificación de los conjuntos de elección y las correspondientes estructuras de preferencia, pero su objetivo es el mismo, la determinación simultánea de:</w:t>
      </w:r>
    </w:p>
    <w:p w14:paraId="4A16548D" w14:textId="47F14698" w:rsidR="00A45EEB" w:rsidRDefault="00A45EEB">
      <w:pPr>
        <w:pStyle w:val="Textonotapie"/>
        <w:numPr>
          <w:ilvl w:val="0"/>
          <w:numId w:val="11"/>
        </w:numPr>
        <w:spacing w:after="0"/>
        <w:ind w:left="340" w:hanging="170"/>
      </w:pPr>
      <w:r>
        <w:t>Una función de utilidad que cuantifique los gustos del decisor; y</w:t>
      </w:r>
    </w:p>
    <w:p w14:paraId="0E2E16EE" w14:textId="58D92B31" w:rsidR="00A45EEB" w:rsidRDefault="00A45EEB">
      <w:pPr>
        <w:pStyle w:val="Textonotapie"/>
        <w:numPr>
          <w:ilvl w:val="0"/>
          <w:numId w:val="11"/>
        </w:numPr>
        <w:ind w:left="340" w:hanging="170"/>
      </w:pPr>
      <w:r>
        <w:t>Una medida de probabilidad que cuantifique sus creencias.</w:t>
      </w:r>
    </w:p>
  </w:footnote>
  <w:footnote w:id="48">
    <w:p w14:paraId="634D47DF" w14:textId="2BB0D979" w:rsidR="002165FF" w:rsidRDefault="002165FF">
      <w:pPr>
        <w:pStyle w:val="Textonotapie"/>
      </w:pPr>
      <w:r>
        <w:rPr>
          <w:rStyle w:val="Refdenotaalpie"/>
        </w:rPr>
        <w:footnoteRef/>
      </w:r>
      <w:r>
        <w:t xml:space="preserve"> Se demuestra que la aversión a la ambigüedad implica que la función de ponderación debe ser convexa (en su definición específica para conjuntos), lo cual no es posible con sofisticación probabilística.</w:t>
      </w:r>
    </w:p>
  </w:footnote>
  <w:footnote w:id="49">
    <w:p w14:paraId="3E548503" w14:textId="1906C814" w:rsidR="001E6903" w:rsidRDefault="001E6903">
      <w:pPr>
        <w:pStyle w:val="Textonotapie"/>
      </w:pPr>
      <w:r>
        <w:rPr>
          <w:rStyle w:val="Refdenotaalpie"/>
        </w:rPr>
        <w:footnoteRef/>
      </w:r>
      <w:r>
        <w:t xml:space="preserve"> </w:t>
      </w:r>
      <w:r w:rsidRPr="001E6903">
        <w:t xml:space="preserve">Esta literatura de múltiples previos tiene un reflejo muy interesante en la </w:t>
      </w:r>
      <w:r w:rsidR="007208AE">
        <w:t>e</w:t>
      </w:r>
      <w:r w:rsidRPr="001E6903">
        <w:t xml:space="preserve">conomía del </w:t>
      </w:r>
      <w:r w:rsidR="007208AE">
        <w:t>b</w:t>
      </w:r>
      <w:r w:rsidRPr="001E6903">
        <w:t xml:space="preserve">ienestar, ya que la Función de Bienestar Social de </w:t>
      </w:r>
      <w:r>
        <w:rPr>
          <w:smallCaps/>
        </w:rPr>
        <w:t>Rawls</w:t>
      </w:r>
      <w:r w:rsidRPr="001E6903">
        <w:t xml:space="preserve"> se basa en el criterio </w:t>
      </w:r>
      <w:proofErr w:type="spellStart"/>
      <w:r w:rsidRPr="001E6903">
        <w:rPr>
          <w:i/>
          <w:iCs/>
        </w:rPr>
        <w:t>maximin</w:t>
      </w:r>
      <w:proofErr w:type="spellEnd"/>
      <w:r w:rsidRPr="001E6903">
        <w:t xml:space="preserve"> a diferencia de la Función de Bienestar Social utilitarista de </w:t>
      </w:r>
      <w:r>
        <w:rPr>
          <w:smallCaps/>
        </w:rPr>
        <w:t>Harsanyi</w:t>
      </w:r>
      <w:r w:rsidRPr="001E6903">
        <w:t xml:space="preserve"> basada en la Teoría de la Utilidad Esperada </w:t>
      </w:r>
      <w:r w:rsidRPr="001E6903">
        <w:rPr>
          <w:color w:val="767171" w:themeColor="background2" w:themeShade="80"/>
          <w:sz w:val="14"/>
          <w:szCs w:val="14"/>
        </w:rPr>
        <w:t>[ver tema 3.A.24]</w:t>
      </w:r>
      <w:r w:rsidRPr="001E6903">
        <w:t>.</w:t>
      </w:r>
    </w:p>
  </w:footnote>
  <w:footnote w:id="50">
    <w:p w14:paraId="14B6EDF9" w14:textId="6D96A3D1" w:rsidR="00B31421" w:rsidRDefault="00B31421">
      <w:pPr>
        <w:pStyle w:val="Textonotapie"/>
      </w:pPr>
      <w:r>
        <w:rPr>
          <w:rStyle w:val="Refdenotaalpie"/>
        </w:rPr>
        <w:footnoteRef/>
      </w:r>
      <w:r>
        <w:t xml:space="preserve"> La clave de los mercados Arrow-Debreu es que en </w:t>
      </w:r>
      <m:oMath>
        <m:r>
          <m:rPr>
            <m:nor/>
          </m:rPr>
          <w:rPr>
            <w:i/>
          </w:rPr>
          <m:t>t</m:t>
        </m:r>
        <m:r>
          <w:rPr>
            <w:rFonts w:ascii="Cambria Math" w:hAnsi="Cambria Math"/>
          </w:rPr>
          <m:t>=</m:t>
        </m:r>
        <m:r>
          <m:rPr>
            <m:nor/>
          </m:rPr>
          <w:rPr>
            <w:i/>
          </w:rPr>
          <m:t>0</m:t>
        </m:r>
      </m:oMath>
      <w:r>
        <w:t xml:space="preserve"> hay mercados para todos los bienes en cada uno de los estados. Una idea propuesta por </w:t>
      </w:r>
      <w:r>
        <w:rPr>
          <w:smallCaps/>
        </w:rPr>
        <w:t>Arrow</w:t>
      </w:r>
      <w:r>
        <w:t xml:space="preserve"> es que es posible reducir los mercados en </w:t>
      </w:r>
      <m:oMath>
        <m:r>
          <m:rPr>
            <m:nor/>
          </m:rPr>
          <w:rPr>
            <w:i/>
          </w:rPr>
          <m:t>t</m:t>
        </m:r>
        <m:r>
          <w:rPr>
            <w:rFonts w:ascii="Cambria Math" w:hAnsi="Cambria Math"/>
          </w:rPr>
          <m:t>=</m:t>
        </m:r>
        <m:r>
          <m:rPr>
            <m:nor/>
          </m:rPr>
          <w:rPr>
            <w:i/>
          </w:rPr>
          <m:t>0</m:t>
        </m:r>
      </m:oMath>
      <w:r>
        <w:t xml:space="preserve"> a un único bien contingente, a cambio de que en </w:t>
      </w:r>
      <m:oMath>
        <m:r>
          <m:rPr>
            <m:nor/>
          </m:rPr>
          <w:rPr>
            <w:i/>
          </w:rPr>
          <m:t>t</m:t>
        </m:r>
        <m:r>
          <w:rPr>
            <w:rFonts w:ascii="Cambria Math" w:hAnsi="Cambria Math"/>
          </w:rPr>
          <m:t>=</m:t>
        </m:r>
        <m:r>
          <m:rPr>
            <m:nor/>
          </m:rPr>
          <w:rPr>
            <w:i/>
          </w:rPr>
          <m:t>1</m:t>
        </m:r>
      </m:oMath>
      <w:r>
        <w:t xml:space="preserve"> se reabran los mercados de contado en todas las mercancías.</w:t>
      </w:r>
    </w:p>
    <w:p w14:paraId="67F62151" w14:textId="721CD1E4" w:rsidR="00B31421" w:rsidRPr="00B31421" w:rsidRDefault="00B31421">
      <w:pPr>
        <w:pStyle w:val="Textonotapie"/>
      </w:pPr>
      <w:r>
        <w:t xml:space="preserve">El equilibrio de </w:t>
      </w:r>
      <w:proofErr w:type="spellStart"/>
      <w:r>
        <w:t>Radner</w:t>
      </w:r>
      <w:proofErr w:type="spellEnd"/>
      <w:r>
        <w:t xml:space="preserve"> es para el equilibrio en el mercado de activos.</w:t>
      </w:r>
    </w:p>
  </w:footnote>
  <w:footnote w:id="51">
    <w:p w14:paraId="666DF403" w14:textId="00FFF43A" w:rsidR="00021DBB" w:rsidRDefault="00021DBB">
      <w:pPr>
        <w:pStyle w:val="Textonotapie"/>
      </w:pPr>
      <w:r>
        <w:rPr>
          <w:rStyle w:val="Refdenotaalpie"/>
        </w:rPr>
        <w:footnoteRef/>
      </w:r>
      <w:r>
        <w:t xml:space="preserve"> Desde la revolución paretiana (o al menos desde su “resurrección” en los años 1930s), se asume generalmente que las funciones de utilidad habituales, no estocásticas, son ordinales (i.e. son </w:t>
      </w:r>
      <w:r w:rsidRPr="00456287">
        <w:rPr>
          <w:i/>
          <w:iCs/>
        </w:rPr>
        <w:t>índices</w:t>
      </w:r>
      <w:r>
        <w:t xml:space="preserve"> que preservan el orden de las preferencias). Con esto nos referimos a que las ma</w:t>
      </w:r>
      <w:r w:rsidR="00456287">
        <w:t xml:space="preserve">gnitudes numéricas que le damos a la función son irrelevantes siempre que preserven el orden de las preferencias. Sin embargo, cuando nos enfrentamos a la descomposición de la utilidad esperada de </w:t>
      </w:r>
      <w:r w:rsidR="00084BF4">
        <w:t>von Neumann</w:t>
      </w:r>
      <w:r w:rsidR="00456287">
        <w:t xml:space="preserve">-Morgenstern es común caer en la conclusión errónea de que la utilidad es cardinal (i.e. que es una </w:t>
      </w:r>
      <w:r w:rsidR="00456287">
        <w:rPr>
          <w:i/>
          <w:iCs/>
        </w:rPr>
        <w:t>medida</w:t>
      </w:r>
      <w:r w:rsidR="00456287">
        <w:t xml:space="preserve"> de las preferencias).</w:t>
      </w:r>
    </w:p>
    <w:p w14:paraId="429CF75B" w14:textId="6B5BA791" w:rsidR="00456287" w:rsidRDefault="00456287">
      <w:pPr>
        <w:pStyle w:val="Textonotapie"/>
        <w:rPr>
          <w:rFonts w:eastAsiaTheme="minorEastAsia"/>
          <w:szCs w:val="14"/>
        </w:rPr>
      </w:pPr>
      <w:r>
        <w:t xml:space="preserve">Desde luego, la función de utilidad </w:t>
      </w:r>
      <w:r w:rsidRPr="00456287">
        <w:t>de</w:t>
      </w:r>
      <w:r>
        <w:rPr>
          <w:i/>
          <w:iCs/>
        </w:rPr>
        <w:t xml:space="preserve"> </w:t>
      </w:r>
      <w:r>
        <w:t>Bernoulli es cardinal. Esto es así porque la utilidad esperada se obtiene mediante la suma ponderada de las utilidades de Bernoulli, por lo que la medida precisa de las utilidades elementales es muy relevante. De forma más explícita, si</w:t>
      </w:r>
      <m:oMath>
        <m:r>
          <w:rPr>
            <w:rFonts w:ascii="Cambria Math" w:hAnsi="Cambria Math"/>
          </w:rPr>
          <m:t xml:space="preserve"> </m:t>
        </m:r>
        <m:r>
          <m:rPr>
            <m:nor/>
          </m:rPr>
          <w:rPr>
            <w:i/>
            <w:szCs w:val="14"/>
          </w:rPr>
          <m:t>u</m:t>
        </m:r>
        <m:d>
          <m:dPr>
            <m:ctrlPr>
              <w:rPr>
                <w:rFonts w:ascii="Cambria Math" w:hAnsi="Cambria Math"/>
                <w:i/>
                <w:szCs w:val="14"/>
              </w:rPr>
            </m:ctrlPr>
          </m:dPr>
          <m:e>
            <m:r>
              <m:rPr>
                <m:nor/>
              </m:rPr>
              <w:rPr>
                <w:i/>
                <w:szCs w:val="14"/>
              </w:rPr>
              <m:t>x</m:t>
            </m:r>
          </m:e>
        </m:d>
      </m:oMath>
      <w:r>
        <w:rPr>
          <w:rFonts w:eastAsiaTheme="minorEastAsia"/>
          <w:szCs w:val="14"/>
        </w:rPr>
        <w:t xml:space="preserve"> representa las preferencias sobre los resultados, entonces, entonces es única</w:t>
      </w:r>
      <w:r w:rsidR="009022E3">
        <w:rPr>
          <w:rFonts w:eastAsiaTheme="minorEastAsia"/>
          <w:szCs w:val="14"/>
        </w:rPr>
        <w:t xml:space="preserve"> para cualquier transformación linear creciente (i.e. </w:t>
      </w:r>
      <w:proofErr w:type="spellStart"/>
      <w:r w:rsidR="009022E3">
        <w:rPr>
          <w:rFonts w:eastAsiaTheme="minorEastAsia"/>
          <w:szCs w:val="14"/>
        </w:rPr>
        <w:t>si</w:t>
      </w:r>
      <w:proofErr w:type="spellEnd"/>
      <w:r w:rsidR="009022E3">
        <w:rPr>
          <w:rFonts w:eastAsiaTheme="minorEastAsia"/>
          <w:szCs w:val="14"/>
        </w:rPr>
        <w:t xml:space="preserve"> </w:t>
      </w:r>
      <m:oMath>
        <m:sSup>
          <m:sSupPr>
            <m:ctrlPr>
              <w:rPr>
                <w:rFonts w:ascii="Cambria Math" w:eastAsiaTheme="minorEastAsia" w:hAnsi="Cambria Math"/>
                <w:i/>
                <w:szCs w:val="14"/>
              </w:rPr>
            </m:ctrlPr>
          </m:sSupPr>
          <m:e>
            <m:r>
              <m:rPr>
                <m:nor/>
              </m:rPr>
              <w:rPr>
                <w:rFonts w:eastAsiaTheme="minorEastAsia"/>
                <w:i/>
                <w:szCs w:val="14"/>
              </w:rPr>
              <m:t>u</m:t>
            </m:r>
          </m:e>
          <m:sup>
            <m:r>
              <m:rPr>
                <m:nor/>
              </m:rPr>
              <w:rPr>
                <w:rFonts w:eastAsiaTheme="minorEastAsia"/>
                <w:i/>
                <w:szCs w:val="14"/>
              </w:rPr>
              <m:t>*</m:t>
            </m:r>
          </m:sup>
        </m:sSup>
        <m:r>
          <m:rPr>
            <m:nor/>
          </m:rPr>
          <w:rPr>
            <w:rFonts w:eastAsiaTheme="minorEastAsia"/>
            <w:iCs/>
            <w:szCs w:val="14"/>
          </w:rPr>
          <m:t>(</m:t>
        </m:r>
        <m:r>
          <m:rPr>
            <m:nor/>
          </m:rPr>
          <w:rPr>
            <w:rFonts w:eastAsiaTheme="minorEastAsia"/>
            <w:i/>
            <w:szCs w:val="14"/>
          </w:rPr>
          <m:t>x</m:t>
        </m:r>
        <m:r>
          <m:rPr>
            <m:nor/>
          </m:rPr>
          <w:rPr>
            <w:rFonts w:eastAsiaTheme="minorEastAsia"/>
            <w:iCs/>
            <w:szCs w:val="14"/>
          </w:rPr>
          <m:t>)</m:t>
        </m:r>
      </m:oMath>
      <w:r w:rsidR="009022E3">
        <w:rPr>
          <w:rFonts w:eastAsiaTheme="minorEastAsia"/>
          <w:iCs/>
          <w:szCs w:val="14"/>
        </w:rPr>
        <w:t xml:space="preserve"> representa las preferencias sobre los resultados, existe </w:t>
      </w:r>
      <m:oMath>
        <m:r>
          <m:rPr>
            <m:nor/>
          </m:rPr>
          <w:rPr>
            <w:rFonts w:eastAsiaTheme="minorEastAsia"/>
            <w:i/>
            <w:szCs w:val="14"/>
          </w:rPr>
          <m:t>a</m:t>
        </m:r>
        <m:r>
          <w:rPr>
            <w:rFonts w:ascii="Cambria Math" w:eastAsiaTheme="minorEastAsia" w:hAnsi="Cambria Math"/>
            <w:szCs w:val="14"/>
          </w:rPr>
          <m:t>&gt;</m:t>
        </m:r>
        <m:r>
          <m:rPr>
            <m:nor/>
          </m:rPr>
          <w:rPr>
            <w:rFonts w:eastAsiaTheme="minorEastAsia"/>
            <w:i/>
            <w:iCs/>
            <w:szCs w:val="14"/>
          </w:rPr>
          <m:t>0</m:t>
        </m:r>
      </m:oMath>
      <w:r w:rsidR="009022E3">
        <w:rPr>
          <w:rFonts w:eastAsiaTheme="minorEastAsia"/>
          <w:iCs/>
          <w:szCs w:val="14"/>
        </w:rPr>
        <w:t xml:space="preserve"> tal que </w:t>
      </w:r>
      <m:oMath>
        <m:sSup>
          <m:sSupPr>
            <m:ctrlPr>
              <w:rPr>
                <w:rFonts w:ascii="Cambria Math" w:eastAsiaTheme="minorEastAsia" w:hAnsi="Cambria Math"/>
                <w:i/>
                <w:szCs w:val="14"/>
              </w:rPr>
            </m:ctrlPr>
          </m:sSupPr>
          <m:e>
            <m:r>
              <m:rPr>
                <m:nor/>
              </m:rPr>
              <w:rPr>
                <w:rFonts w:eastAsiaTheme="minorEastAsia"/>
                <w:i/>
                <w:szCs w:val="14"/>
              </w:rPr>
              <m:t>u</m:t>
            </m:r>
          </m:e>
          <m:sup>
            <m:r>
              <m:rPr>
                <m:nor/>
              </m:rPr>
              <w:rPr>
                <w:rFonts w:eastAsiaTheme="minorEastAsia"/>
                <w:i/>
                <w:szCs w:val="14"/>
              </w:rPr>
              <m:t>*</m:t>
            </m:r>
          </m:sup>
        </m:sSup>
        <m:d>
          <m:dPr>
            <m:ctrlPr>
              <w:rPr>
                <w:rFonts w:ascii="Cambria Math" w:eastAsiaTheme="minorEastAsia" w:hAnsi="Cambria Math"/>
                <w:i/>
                <w:szCs w:val="14"/>
              </w:rPr>
            </m:ctrlPr>
          </m:dPr>
          <m:e>
            <m:r>
              <m:rPr>
                <m:nor/>
              </m:rPr>
              <w:rPr>
                <w:rFonts w:eastAsiaTheme="minorEastAsia"/>
                <w:i/>
                <w:szCs w:val="14"/>
              </w:rPr>
              <m:t>x</m:t>
            </m:r>
          </m:e>
        </m:d>
        <m:r>
          <w:rPr>
            <w:rFonts w:ascii="Cambria Math" w:eastAsiaTheme="minorEastAsia" w:hAnsi="Cambria Math"/>
            <w:szCs w:val="14"/>
          </w:rPr>
          <m:t>≡</m:t>
        </m:r>
        <m:r>
          <m:rPr>
            <m:nor/>
          </m:rPr>
          <w:rPr>
            <w:rFonts w:eastAsiaTheme="minorEastAsia"/>
            <w:i/>
            <w:szCs w:val="14"/>
          </w:rPr>
          <m:t>a</m:t>
        </m:r>
        <m:r>
          <w:rPr>
            <w:rFonts w:ascii="Cambria Math" w:eastAsiaTheme="minorEastAsia" w:hAnsi="Cambria Math" w:cs="Cambria Math"/>
            <w:szCs w:val="14"/>
          </w:rPr>
          <m:t>⋅</m:t>
        </m:r>
        <m:r>
          <m:rPr>
            <m:nor/>
          </m:rPr>
          <w:rPr>
            <w:rFonts w:eastAsiaTheme="minorEastAsia"/>
            <w:i/>
            <w:szCs w:val="14"/>
          </w:rPr>
          <m:t>u</m:t>
        </m:r>
        <m:d>
          <m:dPr>
            <m:ctrlPr>
              <w:rPr>
                <w:rFonts w:ascii="Cambria Math" w:eastAsiaTheme="minorEastAsia" w:hAnsi="Cambria Math"/>
                <w:i/>
                <w:szCs w:val="14"/>
              </w:rPr>
            </m:ctrlPr>
          </m:dPr>
          <m:e>
            <m:r>
              <m:rPr>
                <m:nor/>
              </m:rPr>
              <w:rPr>
                <w:rFonts w:eastAsiaTheme="minorEastAsia"/>
                <w:i/>
                <w:szCs w:val="14"/>
              </w:rPr>
              <m:t>x</m:t>
            </m:r>
          </m:e>
        </m:d>
        <m:r>
          <w:rPr>
            <w:rFonts w:ascii="Cambria Math" w:eastAsiaTheme="minorEastAsia" w:hAnsi="Cambria Math"/>
            <w:szCs w:val="14"/>
          </w:rPr>
          <m:t>+</m:t>
        </m:r>
        <m:r>
          <m:rPr>
            <m:nor/>
          </m:rPr>
          <w:rPr>
            <w:rFonts w:eastAsiaTheme="minorEastAsia"/>
            <w:i/>
            <w:szCs w:val="14"/>
          </w:rPr>
          <m:t>b</m:t>
        </m:r>
      </m:oMath>
      <w:r w:rsidR="009022E3">
        <w:rPr>
          <w:rFonts w:eastAsiaTheme="minorEastAsia"/>
          <w:szCs w:val="14"/>
        </w:rPr>
        <w:t>)).</w:t>
      </w:r>
    </w:p>
    <w:p w14:paraId="36385758" w14:textId="466F2A87" w:rsidR="009022E3" w:rsidRPr="00456287" w:rsidRDefault="009022E3">
      <w:pPr>
        <w:pStyle w:val="Textonotapie"/>
      </w:pPr>
      <w:r>
        <w:rPr>
          <w:rFonts w:eastAsiaTheme="minorEastAsia"/>
          <w:szCs w:val="14"/>
        </w:rPr>
        <w:t>La idea que no tuvieron en cuenta los primeros participantes en este debate es que</w:t>
      </w:r>
      <w:r w:rsidR="00394179">
        <w:rPr>
          <w:rFonts w:eastAsiaTheme="minorEastAsia"/>
          <w:szCs w:val="14"/>
        </w:rPr>
        <w:t xml:space="preserve"> a pesar de que la función de utilidad de Bernoulli es cardinal, la función de utilidad sobre las loterías (esto es, la función de utilidad de </w:t>
      </w:r>
      <w:r w:rsidR="00084BF4">
        <w:rPr>
          <w:rFonts w:eastAsiaTheme="minorEastAsia"/>
          <w:szCs w:val="14"/>
        </w:rPr>
        <w:t>von Neumann</w:t>
      </w:r>
      <w:r w:rsidR="00394179">
        <w:rPr>
          <w:rFonts w:eastAsiaTheme="minorEastAsia"/>
          <w:szCs w:val="14"/>
        </w:rPr>
        <w:t xml:space="preserve">-Morgenstern) no es cardinal. Esto es así porque las utilidades de Bernoulli sobre los resultados no son primarios en este modelo; sino que las preferencias sobre las loterías son los primarios en este modelo. La función de utilidad sobre las loterías, por lo tanto, precede a la función de utilidad sobre los resultados: la función de utilidad de Bernoulli se deriva de la función de utilidad de </w:t>
      </w:r>
      <w:r w:rsidR="00084BF4">
        <w:rPr>
          <w:rFonts w:eastAsiaTheme="minorEastAsia"/>
          <w:szCs w:val="14"/>
        </w:rPr>
        <w:t>von Neumann</w:t>
      </w:r>
      <w:r w:rsidR="00394179">
        <w:rPr>
          <w:rFonts w:eastAsiaTheme="minorEastAsia"/>
          <w:szCs w:val="14"/>
        </w:rPr>
        <w:t>-Morgenstern</w:t>
      </w:r>
      <w:r w:rsidR="00944CED">
        <w:rPr>
          <w:rFonts w:eastAsiaTheme="minorEastAsia"/>
          <w:szCs w:val="14"/>
        </w:rPr>
        <w:t>, y no al revés</w:t>
      </w:r>
      <w:r w:rsidR="00394179">
        <w:rPr>
          <w:rFonts w:eastAsiaTheme="minorEastAsia"/>
          <w:szCs w:val="14"/>
        </w:rPr>
        <w:t>.</w:t>
      </w:r>
    </w:p>
  </w:footnote>
  <w:footnote w:id="52">
    <w:p w14:paraId="21E1EE68" w14:textId="09C7B5CE" w:rsidR="007200A2" w:rsidRPr="00944CED" w:rsidRDefault="007200A2" w:rsidP="007200A2">
      <w:pPr>
        <w:keepNext/>
        <w:spacing w:after="0"/>
        <w:rPr>
          <w:sz w:val="16"/>
          <w:szCs w:val="16"/>
        </w:rPr>
      </w:pPr>
      <w:r w:rsidRPr="00944CED">
        <w:rPr>
          <w:rStyle w:val="Refdenotaalpie"/>
          <w:sz w:val="16"/>
          <w:szCs w:val="16"/>
        </w:rPr>
        <w:footnoteRef/>
      </w:r>
      <w:r w:rsidRPr="00944CED">
        <w:rPr>
          <w:sz w:val="16"/>
          <w:szCs w:val="16"/>
          <w:lang w:val="fr-FR"/>
        </w:rPr>
        <w:t xml:space="preserve"> Maté García, J. J. &amp; Pérez </w:t>
      </w:r>
      <w:proofErr w:type="spellStart"/>
      <w:r w:rsidRPr="00944CED">
        <w:rPr>
          <w:sz w:val="16"/>
          <w:szCs w:val="16"/>
          <w:lang w:val="fr-FR"/>
        </w:rPr>
        <w:t>Domínguez</w:t>
      </w:r>
      <w:proofErr w:type="spellEnd"/>
      <w:r w:rsidRPr="00944CED">
        <w:rPr>
          <w:sz w:val="16"/>
          <w:szCs w:val="16"/>
          <w:lang w:val="fr-FR"/>
        </w:rPr>
        <w:t xml:space="preserve">, C. (2007). </w:t>
      </w:r>
      <w:r w:rsidRPr="00556F45">
        <w:rPr>
          <w:i/>
          <w:iCs/>
          <w:sz w:val="16"/>
          <w:szCs w:val="16"/>
        </w:rPr>
        <w:t>Microeconomía avanzada: Cuestiones y ejercicios resueltos</w:t>
      </w:r>
      <w:r w:rsidRPr="00944CED">
        <w:rPr>
          <w:sz w:val="16"/>
          <w:szCs w:val="16"/>
        </w:rPr>
        <w:t>. (pág. 203):</w:t>
      </w:r>
    </w:p>
    <w:p w14:paraId="7383E1CC" w14:textId="15C25EC6" w:rsidR="007200A2" w:rsidRPr="00944CED" w:rsidRDefault="007200A2" w:rsidP="007200A2">
      <w:pPr>
        <w:ind w:left="426"/>
        <w:rPr>
          <w:sz w:val="16"/>
          <w:szCs w:val="16"/>
        </w:rPr>
      </w:pPr>
      <w:r w:rsidRPr="00944CED">
        <w:rPr>
          <w:sz w:val="16"/>
          <w:szCs w:val="16"/>
        </w:rPr>
        <w:t xml:space="preserve">La función de utilidad de </w:t>
      </w:r>
      <w:r w:rsidR="00084BF4">
        <w:rPr>
          <w:sz w:val="16"/>
          <w:szCs w:val="16"/>
        </w:rPr>
        <w:t>von Neumann</w:t>
      </w:r>
      <w:r w:rsidRPr="00944CED">
        <w:rPr>
          <w:sz w:val="16"/>
          <w:szCs w:val="16"/>
        </w:rPr>
        <w:t>-Morgenstern preserva el orden de preferencias ante transformaciones lineales crecientes debido a los axiomas de pre-orden débil y continuidad (</w:t>
      </w:r>
      <w:r w:rsidRPr="00944CED">
        <w:rPr>
          <w:i/>
          <w:iCs/>
          <w:sz w:val="16"/>
          <w:szCs w:val="16"/>
        </w:rPr>
        <w:t>carácter ordinal</w:t>
      </w:r>
      <w:r w:rsidRPr="00944CED">
        <w:rPr>
          <w:sz w:val="16"/>
          <w:szCs w:val="16"/>
        </w:rPr>
        <w:t>), pero no soporta todas las transformaciones monótonas crecientes debido al axioma de independencia de alternativas irrelevantes (</w:t>
      </w:r>
      <w:r w:rsidRPr="00944CED">
        <w:rPr>
          <w:i/>
          <w:iCs/>
          <w:sz w:val="16"/>
          <w:szCs w:val="16"/>
        </w:rPr>
        <w:t>carácter cardinal</w:t>
      </w:r>
      <w:r w:rsidRPr="00944CED">
        <w:rPr>
          <w:sz w:val="16"/>
          <w:szCs w:val="16"/>
        </w:rPr>
        <w:t>).</w:t>
      </w:r>
    </w:p>
  </w:footnote>
  <w:footnote w:id="53">
    <w:p w14:paraId="5280C340" w14:textId="4B69D9C7" w:rsidR="00F54550" w:rsidRPr="00944CED" w:rsidRDefault="00F54550">
      <w:pPr>
        <w:pStyle w:val="Textonotapie"/>
        <w:rPr>
          <w:sz w:val="14"/>
          <w:szCs w:val="14"/>
        </w:rPr>
      </w:pPr>
      <w:r w:rsidRPr="00944CED">
        <w:rPr>
          <w:rStyle w:val="Refdenotaalpie"/>
          <w:szCs w:val="16"/>
        </w:rPr>
        <w:footnoteRef/>
      </w:r>
      <w:r w:rsidRPr="00944CED">
        <w:rPr>
          <w:szCs w:val="16"/>
        </w:rPr>
        <w:t xml:space="preserve"> </w:t>
      </w:r>
      <w:r w:rsidRPr="00944CED">
        <w:rPr>
          <w:rFonts w:eastAsiaTheme="minorEastAsia"/>
          <w:iCs/>
          <w:szCs w:val="16"/>
        </w:rPr>
        <w:t>En cualquier caso, esta misma distinción aplica a la teoría de la demanda del consumidor en situaciones de perfecta certidumbre: la función de preferencias de Cobb-Douglas</w:t>
      </w:r>
      <m:oMath>
        <m:r>
          <m:rPr>
            <m:nor/>
          </m:rPr>
          <w:rPr>
            <w:rFonts w:ascii="Cambria Math" w:eastAsiaTheme="minorEastAsia" w:hAnsi="Cambria Math"/>
            <w:szCs w:val="16"/>
          </w:rPr>
          <m:t xml:space="preserve"> </m:t>
        </m:r>
        <m:r>
          <m:rPr>
            <m:nor/>
          </m:rPr>
          <w:rPr>
            <w:rFonts w:eastAsiaTheme="minorEastAsia"/>
            <w:i/>
            <w:iCs/>
            <w:szCs w:val="16"/>
          </w:rPr>
          <m:t>α</m:t>
        </m:r>
        <m:r>
          <w:rPr>
            <w:rFonts w:ascii="Cambria Math" w:eastAsiaTheme="minorEastAsia" w:hAnsi="Cambria Math"/>
            <w:szCs w:val="16"/>
          </w:rPr>
          <m:t>∙</m:t>
        </m:r>
        <m:func>
          <m:funcPr>
            <m:ctrlPr>
              <w:rPr>
                <w:rFonts w:ascii="Cambria Math" w:eastAsiaTheme="minorEastAsia" w:hAnsi="Cambria Math"/>
                <w:i/>
                <w:szCs w:val="16"/>
              </w:rPr>
            </m:ctrlPr>
          </m:funcPr>
          <m:fName>
            <m:r>
              <m:rPr>
                <m:nor/>
              </m:rPr>
              <w:rPr>
                <w:i/>
                <w:iCs/>
                <w:szCs w:val="16"/>
              </w:rPr>
              <m:t>ln</m:t>
            </m:r>
          </m:fName>
          <m:e>
            <m:d>
              <m:dPr>
                <m:ctrlPr>
                  <w:rPr>
                    <w:rFonts w:ascii="Cambria Math" w:eastAsiaTheme="minorEastAsia" w:hAnsi="Cambria Math"/>
                    <w:i/>
                    <w:szCs w:val="16"/>
                  </w:rPr>
                </m:ctrlPr>
              </m:dPr>
              <m:e>
                <m:sSub>
                  <m:sSubPr>
                    <m:ctrlPr>
                      <w:rPr>
                        <w:rFonts w:ascii="Cambria Math" w:eastAsiaTheme="minorEastAsia" w:hAnsi="Cambria Math"/>
                        <w:i/>
                        <w:szCs w:val="16"/>
                      </w:rPr>
                    </m:ctrlPr>
                  </m:sSubPr>
                  <m:e>
                    <m:r>
                      <m:rPr>
                        <m:nor/>
                      </m:rPr>
                      <w:rPr>
                        <w:rFonts w:eastAsiaTheme="minorEastAsia"/>
                        <w:i/>
                        <w:iCs/>
                        <w:szCs w:val="16"/>
                      </w:rPr>
                      <m:t>z</m:t>
                    </m:r>
                  </m:e>
                  <m:sub>
                    <m:r>
                      <m:rPr>
                        <m:nor/>
                      </m:rPr>
                      <w:rPr>
                        <w:rFonts w:eastAsiaTheme="minorEastAsia"/>
                        <w:i/>
                        <w:iCs/>
                        <w:szCs w:val="16"/>
                      </w:rPr>
                      <m:t>1</m:t>
                    </m:r>
                  </m:sub>
                </m:sSub>
              </m:e>
            </m:d>
          </m:e>
        </m:func>
        <m:r>
          <w:rPr>
            <w:rFonts w:ascii="Cambria Math" w:eastAsiaTheme="minorEastAsia" w:hAnsi="Cambria Math"/>
            <w:szCs w:val="16"/>
          </w:rPr>
          <m:t>+</m:t>
        </m:r>
        <m:r>
          <m:rPr>
            <m:nor/>
          </m:rPr>
          <w:rPr>
            <w:rFonts w:eastAsiaTheme="minorEastAsia"/>
            <w:i/>
            <w:iCs/>
            <w:szCs w:val="16"/>
          </w:rPr>
          <m:t>β</m:t>
        </m:r>
        <m:r>
          <w:rPr>
            <w:rFonts w:ascii="Cambria Math" w:eastAsiaTheme="minorEastAsia" w:hAnsi="Cambria Math"/>
            <w:szCs w:val="16"/>
          </w:rPr>
          <m:t>∙</m:t>
        </m:r>
        <m:func>
          <m:funcPr>
            <m:ctrlPr>
              <w:rPr>
                <w:rFonts w:ascii="Cambria Math" w:eastAsiaTheme="minorEastAsia" w:hAnsi="Cambria Math"/>
                <w:i/>
                <w:szCs w:val="16"/>
              </w:rPr>
            </m:ctrlPr>
          </m:funcPr>
          <m:fName>
            <m:r>
              <m:rPr>
                <m:nor/>
              </m:rPr>
              <w:rPr>
                <w:i/>
                <w:iCs/>
                <w:szCs w:val="16"/>
              </w:rPr>
              <m:t>ln</m:t>
            </m:r>
          </m:fName>
          <m:e>
            <m:d>
              <m:dPr>
                <m:ctrlPr>
                  <w:rPr>
                    <w:rFonts w:ascii="Cambria Math" w:eastAsiaTheme="minorEastAsia" w:hAnsi="Cambria Math"/>
                    <w:i/>
                    <w:szCs w:val="16"/>
                  </w:rPr>
                </m:ctrlPr>
              </m:dPr>
              <m:e>
                <m:sSub>
                  <m:sSubPr>
                    <m:ctrlPr>
                      <w:rPr>
                        <w:rFonts w:ascii="Cambria Math" w:eastAsiaTheme="minorEastAsia" w:hAnsi="Cambria Math"/>
                        <w:i/>
                        <w:szCs w:val="16"/>
                      </w:rPr>
                    </m:ctrlPr>
                  </m:sSubPr>
                  <m:e>
                    <m:r>
                      <m:rPr>
                        <m:nor/>
                      </m:rPr>
                      <w:rPr>
                        <w:rFonts w:eastAsiaTheme="minorEastAsia"/>
                        <w:i/>
                        <w:iCs/>
                        <w:szCs w:val="16"/>
                      </w:rPr>
                      <m:t>z</m:t>
                    </m:r>
                  </m:e>
                  <m:sub>
                    <m:r>
                      <m:rPr>
                        <m:nor/>
                      </m:rPr>
                      <w:rPr>
                        <w:rFonts w:eastAsiaTheme="minorEastAsia"/>
                        <w:i/>
                        <w:iCs/>
                        <w:szCs w:val="16"/>
                      </w:rPr>
                      <m:t>2</m:t>
                    </m:r>
                  </m:sub>
                </m:sSub>
              </m:e>
            </m:d>
          </m:e>
        </m:func>
        <m:r>
          <w:rPr>
            <w:rFonts w:ascii="Cambria Math" w:eastAsiaTheme="minorEastAsia" w:hAnsi="Cambria Math"/>
            <w:szCs w:val="16"/>
          </w:rPr>
          <m:t>+</m:t>
        </m:r>
        <m:r>
          <m:rPr>
            <m:nor/>
          </m:rPr>
          <w:rPr>
            <w:rFonts w:eastAsiaTheme="minorEastAsia"/>
            <w:i/>
            <w:iCs/>
            <w:szCs w:val="16"/>
          </w:rPr>
          <m:t>γ</m:t>
        </m:r>
        <m:r>
          <w:rPr>
            <w:rFonts w:ascii="Cambria Math" w:eastAsiaTheme="minorEastAsia" w:hAnsi="Cambria Math"/>
            <w:szCs w:val="16"/>
          </w:rPr>
          <m:t>∙</m:t>
        </m:r>
        <m:func>
          <m:funcPr>
            <m:ctrlPr>
              <w:rPr>
                <w:rFonts w:ascii="Cambria Math" w:eastAsiaTheme="minorEastAsia" w:hAnsi="Cambria Math"/>
                <w:i/>
                <w:szCs w:val="16"/>
              </w:rPr>
            </m:ctrlPr>
          </m:funcPr>
          <m:fName>
            <m:r>
              <m:rPr>
                <m:nor/>
              </m:rPr>
              <w:rPr>
                <w:i/>
                <w:iCs/>
                <w:szCs w:val="16"/>
              </w:rPr>
              <m:t>ln</m:t>
            </m:r>
          </m:fName>
          <m:e>
            <m:d>
              <m:dPr>
                <m:ctrlPr>
                  <w:rPr>
                    <w:rFonts w:ascii="Cambria Math" w:eastAsiaTheme="minorEastAsia" w:hAnsi="Cambria Math"/>
                    <w:i/>
                    <w:szCs w:val="16"/>
                  </w:rPr>
                </m:ctrlPr>
              </m:dPr>
              <m:e>
                <m:sSub>
                  <m:sSubPr>
                    <m:ctrlPr>
                      <w:rPr>
                        <w:rFonts w:ascii="Cambria Math" w:eastAsiaTheme="minorEastAsia" w:hAnsi="Cambria Math"/>
                        <w:i/>
                        <w:szCs w:val="16"/>
                      </w:rPr>
                    </m:ctrlPr>
                  </m:sSubPr>
                  <m:e>
                    <m:r>
                      <m:rPr>
                        <m:nor/>
                      </m:rPr>
                      <w:rPr>
                        <w:rFonts w:eastAsiaTheme="minorEastAsia"/>
                        <w:i/>
                        <w:iCs/>
                        <w:szCs w:val="16"/>
                      </w:rPr>
                      <m:t>z</m:t>
                    </m:r>
                  </m:e>
                  <m:sub>
                    <m:r>
                      <m:rPr>
                        <m:nor/>
                      </m:rPr>
                      <w:rPr>
                        <w:rFonts w:eastAsiaTheme="minorEastAsia"/>
                        <w:i/>
                        <w:iCs/>
                        <w:szCs w:val="16"/>
                      </w:rPr>
                      <m:t>3</m:t>
                    </m:r>
                  </m:sub>
                </m:sSub>
              </m:e>
            </m:d>
          </m:e>
        </m:func>
      </m:oMath>
      <w:r w:rsidRPr="00944CED">
        <w:rPr>
          <w:rFonts w:eastAsiaTheme="minorEastAsia"/>
          <w:iCs/>
          <w:szCs w:val="16"/>
        </w:rPr>
        <w:t xml:space="preserve"> (aquí escrita en su forma aditiva) puede someterse a cualquier transformación creciente y es claramente ordinal, pero un vector de parámetros </w:t>
      </w:r>
      <m:oMath>
        <m:d>
          <m:dPr>
            <m:ctrlPr>
              <w:rPr>
                <w:rFonts w:ascii="Cambria Math" w:eastAsiaTheme="minorEastAsia" w:hAnsi="Cambria Math"/>
                <w:i/>
                <w:szCs w:val="16"/>
              </w:rPr>
            </m:ctrlPr>
          </m:dPr>
          <m:e>
            <m:r>
              <m:rPr>
                <m:nor/>
              </m:rPr>
              <w:rPr>
                <w:rFonts w:eastAsiaTheme="minorEastAsia"/>
                <w:i/>
                <w:iCs/>
                <w:szCs w:val="16"/>
              </w:rPr>
              <m:t>α</m:t>
            </m:r>
            <m:r>
              <m:rPr>
                <m:nor/>
              </m:rPr>
              <w:rPr>
                <w:rFonts w:eastAsiaTheme="minorEastAsia"/>
                <w:i/>
                <w:szCs w:val="16"/>
              </w:rPr>
              <m:t xml:space="preserve">*, </m:t>
            </m:r>
            <m:r>
              <m:rPr>
                <m:nor/>
              </m:rPr>
              <w:rPr>
                <w:rFonts w:eastAsiaTheme="minorEastAsia"/>
                <w:i/>
                <w:iCs/>
                <w:szCs w:val="16"/>
              </w:rPr>
              <m:t>β</m:t>
            </m:r>
            <m:r>
              <m:rPr>
                <m:nor/>
              </m:rPr>
              <w:rPr>
                <w:rFonts w:eastAsiaTheme="minorEastAsia"/>
                <w:i/>
                <w:szCs w:val="16"/>
              </w:rPr>
              <m:t xml:space="preserve">*, </m:t>
            </m:r>
            <m:r>
              <m:rPr>
                <m:nor/>
              </m:rPr>
              <w:rPr>
                <w:rFonts w:eastAsiaTheme="minorEastAsia"/>
                <w:i/>
                <w:iCs/>
                <w:szCs w:val="16"/>
              </w:rPr>
              <m:t>γ</m:t>
            </m:r>
            <m:r>
              <m:rPr>
                <m:nor/>
              </m:rPr>
              <w:rPr>
                <w:rFonts w:eastAsiaTheme="minorEastAsia"/>
                <w:i/>
                <w:szCs w:val="16"/>
              </w:rPr>
              <m:t>*</m:t>
            </m:r>
          </m:e>
        </m:d>
      </m:oMath>
      <w:r w:rsidRPr="00944CED">
        <w:rPr>
          <w:rFonts w:eastAsiaTheme="minorEastAsia"/>
          <w:szCs w:val="16"/>
        </w:rPr>
        <w:t xml:space="preserve"> generará una forma ordinal aditiva equivalente</w:t>
      </w:r>
      <m:oMath>
        <m:r>
          <w:rPr>
            <w:rFonts w:ascii="Cambria Math" w:eastAsiaTheme="minorEastAsia" w:hAnsi="Cambria Math"/>
            <w:szCs w:val="16"/>
          </w:rPr>
          <m:t xml:space="preserve"> </m:t>
        </m:r>
        <m:r>
          <m:rPr>
            <m:nor/>
          </m:rPr>
          <w:rPr>
            <w:rFonts w:eastAsiaTheme="minorEastAsia"/>
            <w:i/>
            <w:iCs/>
            <w:szCs w:val="16"/>
          </w:rPr>
          <m:t>α</m:t>
        </m:r>
        <m:r>
          <m:rPr>
            <m:nor/>
          </m:rPr>
          <w:rPr>
            <w:rFonts w:eastAsiaTheme="minorEastAsia"/>
            <w:i/>
            <w:szCs w:val="16"/>
          </w:rPr>
          <m:t>*</m:t>
        </m:r>
        <m:r>
          <w:rPr>
            <w:rFonts w:ascii="Cambria Math" w:eastAsiaTheme="minorEastAsia" w:hAnsi="Cambria Math"/>
            <w:szCs w:val="16"/>
          </w:rPr>
          <m:t>∙</m:t>
        </m:r>
        <m:func>
          <m:funcPr>
            <m:ctrlPr>
              <w:rPr>
                <w:rFonts w:ascii="Cambria Math" w:eastAsiaTheme="minorEastAsia" w:hAnsi="Cambria Math"/>
                <w:i/>
                <w:szCs w:val="16"/>
              </w:rPr>
            </m:ctrlPr>
          </m:funcPr>
          <m:fName>
            <m:r>
              <m:rPr>
                <m:nor/>
              </m:rPr>
              <w:rPr>
                <w:i/>
                <w:iCs/>
                <w:szCs w:val="16"/>
              </w:rPr>
              <m:t>ln</m:t>
            </m:r>
          </m:fName>
          <m:e>
            <m:d>
              <m:dPr>
                <m:ctrlPr>
                  <w:rPr>
                    <w:rFonts w:ascii="Cambria Math" w:eastAsiaTheme="minorEastAsia" w:hAnsi="Cambria Math"/>
                    <w:i/>
                    <w:szCs w:val="16"/>
                  </w:rPr>
                </m:ctrlPr>
              </m:dPr>
              <m:e>
                <m:sSub>
                  <m:sSubPr>
                    <m:ctrlPr>
                      <w:rPr>
                        <w:rFonts w:ascii="Cambria Math" w:eastAsiaTheme="minorEastAsia" w:hAnsi="Cambria Math"/>
                        <w:i/>
                        <w:szCs w:val="16"/>
                      </w:rPr>
                    </m:ctrlPr>
                  </m:sSubPr>
                  <m:e>
                    <m:r>
                      <m:rPr>
                        <m:nor/>
                      </m:rPr>
                      <w:rPr>
                        <w:rFonts w:eastAsiaTheme="minorEastAsia"/>
                        <w:i/>
                        <w:iCs/>
                        <w:szCs w:val="16"/>
                      </w:rPr>
                      <m:t>z</m:t>
                    </m:r>
                  </m:e>
                  <m:sub>
                    <m:r>
                      <m:rPr>
                        <m:nor/>
                      </m:rPr>
                      <w:rPr>
                        <w:rFonts w:eastAsiaTheme="minorEastAsia"/>
                        <w:i/>
                        <w:iCs/>
                        <w:szCs w:val="16"/>
                      </w:rPr>
                      <m:t>1</m:t>
                    </m:r>
                  </m:sub>
                </m:sSub>
              </m:e>
            </m:d>
          </m:e>
        </m:func>
        <m:r>
          <w:rPr>
            <w:rFonts w:ascii="Cambria Math" w:eastAsiaTheme="minorEastAsia" w:hAnsi="Cambria Math"/>
            <w:szCs w:val="16"/>
          </w:rPr>
          <m:t>+</m:t>
        </m:r>
        <m:r>
          <m:rPr>
            <m:nor/>
          </m:rPr>
          <w:rPr>
            <w:rFonts w:eastAsiaTheme="minorEastAsia"/>
            <w:i/>
            <w:iCs/>
            <w:szCs w:val="16"/>
          </w:rPr>
          <m:t>β</m:t>
        </m:r>
        <m:r>
          <m:rPr>
            <m:nor/>
          </m:rPr>
          <w:rPr>
            <w:rFonts w:eastAsiaTheme="minorEastAsia"/>
            <w:i/>
            <w:szCs w:val="16"/>
          </w:rPr>
          <m:t>*</m:t>
        </m:r>
        <m:r>
          <w:rPr>
            <w:rFonts w:ascii="Cambria Math" w:eastAsiaTheme="minorEastAsia" w:hAnsi="Cambria Math"/>
            <w:szCs w:val="16"/>
          </w:rPr>
          <m:t>∙</m:t>
        </m:r>
        <m:func>
          <m:funcPr>
            <m:ctrlPr>
              <w:rPr>
                <w:rFonts w:ascii="Cambria Math" w:eastAsiaTheme="minorEastAsia" w:hAnsi="Cambria Math"/>
                <w:i/>
                <w:szCs w:val="16"/>
              </w:rPr>
            </m:ctrlPr>
          </m:funcPr>
          <m:fName>
            <m:r>
              <m:rPr>
                <m:nor/>
              </m:rPr>
              <w:rPr>
                <w:i/>
                <w:iCs/>
                <w:szCs w:val="16"/>
              </w:rPr>
              <m:t>ln</m:t>
            </m:r>
          </m:fName>
          <m:e>
            <m:d>
              <m:dPr>
                <m:ctrlPr>
                  <w:rPr>
                    <w:rFonts w:ascii="Cambria Math" w:eastAsiaTheme="minorEastAsia" w:hAnsi="Cambria Math"/>
                    <w:i/>
                    <w:szCs w:val="16"/>
                  </w:rPr>
                </m:ctrlPr>
              </m:dPr>
              <m:e>
                <m:sSub>
                  <m:sSubPr>
                    <m:ctrlPr>
                      <w:rPr>
                        <w:rFonts w:ascii="Cambria Math" w:eastAsiaTheme="minorEastAsia" w:hAnsi="Cambria Math"/>
                        <w:i/>
                        <w:szCs w:val="16"/>
                      </w:rPr>
                    </m:ctrlPr>
                  </m:sSubPr>
                  <m:e>
                    <m:r>
                      <m:rPr>
                        <m:nor/>
                      </m:rPr>
                      <w:rPr>
                        <w:rFonts w:eastAsiaTheme="minorEastAsia"/>
                        <w:i/>
                        <w:iCs/>
                        <w:szCs w:val="16"/>
                      </w:rPr>
                      <m:t>z</m:t>
                    </m:r>
                  </m:e>
                  <m:sub>
                    <m:r>
                      <m:rPr>
                        <m:nor/>
                      </m:rPr>
                      <w:rPr>
                        <w:rFonts w:eastAsiaTheme="minorEastAsia"/>
                        <w:i/>
                        <w:iCs/>
                        <w:szCs w:val="16"/>
                      </w:rPr>
                      <m:t>2</m:t>
                    </m:r>
                  </m:sub>
                </m:sSub>
              </m:e>
            </m:d>
          </m:e>
        </m:func>
        <m:r>
          <w:rPr>
            <w:rFonts w:ascii="Cambria Math" w:eastAsiaTheme="minorEastAsia" w:hAnsi="Cambria Math"/>
            <w:szCs w:val="16"/>
          </w:rPr>
          <m:t>+</m:t>
        </m:r>
        <m:r>
          <m:rPr>
            <m:nor/>
          </m:rPr>
          <w:rPr>
            <w:rFonts w:eastAsiaTheme="minorEastAsia"/>
            <w:i/>
            <w:iCs/>
            <w:szCs w:val="16"/>
          </w:rPr>
          <m:t>γ</m:t>
        </m:r>
        <m:r>
          <m:rPr>
            <m:nor/>
          </m:rPr>
          <w:rPr>
            <w:rFonts w:eastAsiaTheme="minorEastAsia"/>
            <w:i/>
            <w:szCs w:val="16"/>
          </w:rPr>
          <m:t>*</m:t>
        </m:r>
        <m:r>
          <w:rPr>
            <w:rFonts w:ascii="Cambria Math" w:eastAsiaTheme="minorEastAsia" w:hAnsi="Cambria Math"/>
            <w:szCs w:val="16"/>
          </w:rPr>
          <m:t>∙</m:t>
        </m:r>
        <m:func>
          <m:funcPr>
            <m:ctrlPr>
              <w:rPr>
                <w:rFonts w:ascii="Cambria Math" w:eastAsiaTheme="minorEastAsia" w:hAnsi="Cambria Math"/>
                <w:i/>
                <w:szCs w:val="16"/>
              </w:rPr>
            </m:ctrlPr>
          </m:funcPr>
          <m:fName>
            <m:r>
              <m:rPr>
                <m:nor/>
              </m:rPr>
              <w:rPr>
                <w:i/>
                <w:iCs/>
                <w:szCs w:val="16"/>
              </w:rPr>
              <m:t>ln</m:t>
            </m:r>
          </m:fName>
          <m:e>
            <m:d>
              <m:dPr>
                <m:ctrlPr>
                  <w:rPr>
                    <w:rFonts w:ascii="Cambria Math" w:eastAsiaTheme="minorEastAsia" w:hAnsi="Cambria Math"/>
                    <w:i/>
                    <w:szCs w:val="16"/>
                  </w:rPr>
                </m:ctrlPr>
              </m:dPr>
              <m:e>
                <m:sSub>
                  <m:sSubPr>
                    <m:ctrlPr>
                      <w:rPr>
                        <w:rFonts w:ascii="Cambria Math" w:eastAsiaTheme="minorEastAsia" w:hAnsi="Cambria Math"/>
                        <w:i/>
                        <w:szCs w:val="16"/>
                      </w:rPr>
                    </m:ctrlPr>
                  </m:sSubPr>
                  <m:e>
                    <m:r>
                      <m:rPr>
                        <m:nor/>
                      </m:rPr>
                      <w:rPr>
                        <w:rFonts w:eastAsiaTheme="minorEastAsia"/>
                        <w:i/>
                        <w:iCs/>
                        <w:szCs w:val="16"/>
                      </w:rPr>
                      <m:t>z</m:t>
                    </m:r>
                  </m:e>
                  <m:sub>
                    <m:r>
                      <m:rPr>
                        <m:nor/>
                      </m:rPr>
                      <w:rPr>
                        <w:rFonts w:eastAsiaTheme="minorEastAsia"/>
                        <w:i/>
                        <w:iCs/>
                        <w:szCs w:val="16"/>
                      </w:rPr>
                      <m:t>3</m:t>
                    </m:r>
                  </m:sub>
                </m:sSub>
              </m:e>
            </m:d>
          </m:e>
        </m:func>
      </m:oMath>
      <w:r w:rsidRPr="00944CED">
        <w:rPr>
          <w:rFonts w:eastAsiaTheme="minorEastAsia"/>
          <w:szCs w:val="16"/>
        </w:rPr>
        <w:t xml:space="preserve"> </w:t>
      </w:r>
      <w:proofErr w:type="spellStart"/>
      <w:r w:rsidRPr="00944CED">
        <w:rPr>
          <w:rFonts w:eastAsiaTheme="minorEastAsia"/>
          <w:szCs w:val="16"/>
        </w:rPr>
        <w:t>si</w:t>
      </w:r>
      <w:proofErr w:type="spellEnd"/>
      <w:r w:rsidRPr="00944CED">
        <w:rPr>
          <w:rFonts w:eastAsiaTheme="minorEastAsia"/>
          <w:szCs w:val="16"/>
        </w:rPr>
        <w:t xml:space="preserve"> y solo si se satisface la relación cardinal </w:t>
      </w:r>
      <m:oMath>
        <m:d>
          <m:dPr>
            <m:ctrlPr>
              <w:rPr>
                <w:rFonts w:ascii="Cambria Math" w:eastAsiaTheme="minorEastAsia" w:hAnsi="Cambria Math"/>
                <w:i/>
                <w:szCs w:val="16"/>
              </w:rPr>
            </m:ctrlPr>
          </m:dPr>
          <m:e>
            <m:r>
              <m:rPr>
                <m:nor/>
              </m:rPr>
              <w:rPr>
                <w:rFonts w:eastAsiaTheme="minorEastAsia"/>
                <w:i/>
                <w:iCs/>
                <w:szCs w:val="16"/>
              </w:rPr>
              <m:t>α</m:t>
            </m:r>
            <m:r>
              <m:rPr>
                <m:nor/>
              </m:rPr>
              <w:rPr>
                <w:rFonts w:eastAsiaTheme="minorEastAsia"/>
                <w:i/>
                <w:szCs w:val="16"/>
              </w:rPr>
              <m:t xml:space="preserve">*, </m:t>
            </m:r>
            <m:r>
              <m:rPr>
                <m:nor/>
              </m:rPr>
              <w:rPr>
                <w:rFonts w:eastAsiaTheme="minorEastAsia"/>
                <w:i/>
                <w:iCs/>
                <w:szCs w:val="16"/>
              </w:rPr>
              <m:t>β</m:t>
            </m:r>
            <m:r>
              <m:rPr>
                <m:nor/>
              </m:rPr>
              <w:rPr>
                <w:rFonts w:eastAsiaTheme="minorEastAsia"/>
                <w:i/>
                <w:szCs w:val="16"/>
              </w:rPr>
              <m:t xml:space="preserve">*, </m:t>
            </m:r>
            <m:r>
              <m:rPr>
                <m:nor/>
              </m:rPr>
              <w:rPr>
                <w:rFonts w:eastAsiaTheme="minorEastAsia"/>
                <w:i/>
                <w:iCs/>
                <w:szCs w:val="16"/>
              </w:rPr>
              <m:t>γ</m:t>
            </m:r>
            <m:r>
              <m:rPr>
                <m:nor/>
              </m:rPr>
              <w:rPr>
                <w:rFonts w:eastAsiaTheme="minorEastAsia"/>
                <w:i/>
                <w:szCs w:val="16"/>
              </w:rPr>
              <m:t>*</m:t>
            </m:r>
          </m:e>
        </m:d>
        <m:r>
          <w:rPr>
            <w:rFonts w:ascii="Cambria Math" w:eastAsiaTheme="minorEastAsia" w:hAnsi="Cambria Math"/>
            <w:szCs w:val="16"/>
          </w:rPr>
          <m:t>=</m:t>
        </m:r>
        <m:r>
          <m:rPr>
            <m:nor/>
          </m:rPr>
          <w:rPr>
            <w:rFonts w:eastAsiaTheme="minorEastAsia"/>
            <w:i/>
            <w:iCs/>
            <w:szCs w:val="16"/>
          </w:rPr>
          <m:t>λ</m:t>
        </m:r>
        <m:r>
          <w:rPr>
            <w:rFonts w:ascii="Cambria Math" w:eastAsiaTheme="minorEastAsia" w:hAnsi="Cambria Math"/>
            <w:szCs w:val="16"/>
          </w:rPr>
          <m:t>∙</m:t>
        </m:r>
        <m:d>
          <m:dPr>
            <m:ctrlPr>
              <w:rPr>
                <w:rFonts w:ascii="Cambria Math" w:eastAsiaTheme="minorEastAsia" w:hAnsi="Cambria Math"/>
                <w:i/>
                <w:szCs w:val="16"/>
              </w:rPr>
            </m:ctrlPr>
          </m:dPr>
          <m:e>
            <m:r>
              <m:rPr>
                <m:nor/>
              </m:rPr>
              <w:rPr>
                <w:rFonts w:eastAsiaTheme="minorEastAsia"/>
                <w:i/>
                <w:iCs/>
                <w:szCs w:val="16"/>
              </w:rPr>
              <m:t>α</m:t>
            </m:r>
            <m:r>
              <m:rPr>
                <m:nor/>
              </m:rPr>
              <w:rPr>
                <w:rFonts w:eastAsiaTheme="minorEastAsia"/>
                <w:i/>
                <w:szCs w:val="16"/>
              </w:rPr>
              <m:t xml:space="preserve">, </m:t>
            </m:r>
            <m:r>
              <m:rPr>
                <m:nor/>
              </m:rPr>
              <w:rPr>
                <w:rFonts w:eastAsiaTheme="minorEastAsia"/>
                <w:i/>
                <w:iCs/>
                <w:szCs w:val="16"/>
              </w:rPr>
              <m:t>β</m:t>
            </m:r>
            <m:r>
              <m:rPr>
                <m:nor/>
              </m:rPr>
              <w:rPr>
                <w:rFonts w:eastAsiaTheme="minorEastAsia"/>
                <w:i/>
                <w:szCs w:val="16"/>
              </w:rPr>
              <m:t xml:space="preserve">, </m:t>
            </m:r>
            <m:r>
              <m:rPr>
                <m:nor/>
              </m:rPr>
              <w:rPr>
                <w:rFonts w:eastAsiaTheme="minorEastAsia"/>
                <w:i/>
                <w:iCs/>
                <w:szCs w:val="16"/>
              </w:rPr>
              <m:t>γ</m:t>
            </m:r>
          </m:e>
        </m:d>
        <m:r>
          <w:rPr>
            <w:rFonts w:ascii="Cambria Math" w:eastAsiaTheme="minorEastAsia" w:hAnsi="Cambria Math"/>
            <w:szCs w:val="16"/>
          </w:rPr>
          <m:t xml:space="preserve"> ∀</m:t>
        </m:r>
        <m:r>
          <m:rPr>
            <m:nor/>
          </m:rPr>
          <w:rPr>
            <w:rFonts w:eastAsiaTheme="minorEastAsia"/>
            <w:i/>
            <w:iCs/>
            <w:szCs w:val="16"/>
          </w:rPr>
          <m:t>λ</m:t>
        </m:r>
        <m:r>
          <w:rPr>
            <w:rFonts w:ascii="Cambria Math" w:eastAsiaTheme="minorEastAsia"/>
            <w:szCs w:val="16"/>
          </w:rPr>
          <m:t>&gt;</m:t>
        </m:r>
        <m:r>
          <m:rPr>
            <m:nor/>
          </m:rPr>
          <w:rPr>
            <w:rFonts w:eastAsiaTheme="minorEastAsia"/>
            <w:i/>
            <w:iCs/>
            <w:szCs w:val="16"/>
          </w:rPr>
          <m:t>0</m:t>
        </m:r>
      </m:oMath>
      <w:r w:rsidRPr="00944CED">
        <w:rPr>
          <w:rFonts w:eastAsiaTheme="minorEastAsia"/>
          <w:szCs w:val="16"/>
        </w:rPr>
        <w:t>.</w:t>
      </w:r>
    </w:p>
  </w:footnote>
  <w:footnote w:id="54">
    <w:p w14:paraId="7A4E8FFB" w14:textId="77777777" w:rsidR="00D07FE4" w:rsidRPr="0086161B" w:rsidRDefault="00D07FE4" w:rsidP="00D07FE4">
      <w:pPr>
        <w:pStyle w:val="Textonotapie"/>
        <w:tabs>
          <w:tab w:val="left" w:pos="1102"/>
        </w:tabs>
      </w:pPr>
      <w:r>
        <w:rPr>
          <w:rStyle w:val="Refdenotaalpie"/>
        </w:rPr>
        <w:footnoteRef/>
      </w:r>
      <w:r>
        <w:t xml:space="preserve"> </w:t>
      </w:r>
      <w:r>
        <w:rPr>
          <w:smallCaps/>
        </w:rPr>
        <w:t>Douglas Diamond</w:t>
      </w:r>
      <w:r>
        <w:t xml:space="preserve"> y </w:t>
      </w:r>
      <w:r>
        <w:rPr>
          <w:smallCaps/>
        </w:rPr>
        <w:t>Philip H. Dybvig</w:t>
      </w:r>
      <w:r>
        <w:t xml:space="preserve"> fueron galardonados con el Premio Nobel de Economía en 2022 “</w:t>
      </w:r>
      <w:r w:rsidRPr="0086161B">
        <w:t>por sus investigaciones sobre bancos y crisis financieras</w:t>
      </w:r>
      <w:r>
        <w:t xml:space="preserve">”. </w:t>
      </w:r>
      <w:hyperlink r:id="rId11" w:history="1">
        <w:r w:rsidRPr="0076755C">
          <w:rPr>
            <w:rStyle w:val="Hipervnculo"/>
          </w:rPr>
          <w:t>https://www.fundacionareces.es/fundacionareces/es/actividades/premios-nobel-de-economia-2022-crisis-financieras-y-el-papel-de-los-bancos.html</w:t>
        </w:r>
      </w:hyperlink>
    </w:p>
  </w:footnote>
  <w:footnote w:id="55">
    <w:p w14:paraId="5195A97E" w14:textId="77777777" w:rsidR="00D40FEA" w:rsidRDefault="00D40FEA" w:rsidP="00D40FEA">
      <w:pPr>
        <w:pStyle w:val="Textonotapie"/>
      </w:pPr>
      <w:r>
        <w:rPr>
          <w:rStyle w:val="Refdenotaalpie"/>
        </w:rPr>
        <w:footnoteRef/>
      </w:r>
      <w:r>
        <w:t xml:space="preserve"> Con incertidumbre agregada esto sería más complicado, pero la esencia sería la misma.</w:t>
      </w:r>
    </w:p>
  </w:footnote>
  <w:footnote w:id="56">
    <w:p w14:paraId="75942D0C" w14:textId="77777777" w:rsidR="00D40FEA" w:rsidRDefault="00D40FEA" w:rsidP="00D40FEA">
      <w:pPr>
        <w:pStyle w:val="Textonotapie"/>
      </w:pPr>
      <w:r>
        <w:rPr>
          <w:rStyle w:val="Refdenotaalpie"/>
        </w:rPr>
        <w:footnoteRef/>
      </w:r>
      <w:r>
        <w:t xml:space="preserve"> El caso en que nos preocupa que las inversiones que lleva a cabo el banco no van a salir bien requiere incertidumbre agregada que complicaría el análisis, pero es importante en la vida real.</w:t>
      </w:r>
    </w:p>
  </w:footnote>
  <w:footnote w:id="57">
    <w:p w14:paraId="4186B83C" w14:textId="77777777" w:rsidR="00036282" w:rsidRPr="005B260C" w:rsidRDefault="00036282" w:rsidP="00036282">
      <w:pPr>
        <w:pStyle w:val="Textonotapie"/>
        <w:keepNext/>
        <w:spacing w:after="0"/>
        <w:rPr>
          <w:lang w:val="en-US"/>
        </w:rPr>
      </w:pPr>
      <w:r>
        <w:rPr>
          <w:rStyle w:val="Refdenotaalpie"/>
        </w:rPr>
        <w:footnoteRef/>
      </w:r>
      <w:r w:rsidRPr="005B260C">
        <w:rPr>
          <w:lang w:val="en-US"/>
        </w:rPr>
        <w:t xml:space="preserve"> </w:t>
      </w:r>
      <w:r w:rsidRPr="005B260C">
        <w:rPr>
          <w:i/>
          <w:iCs/>
          <w:lang w:val="en-US"/>
        </w:rPr>
        <w:t>“Let me end my talk by abusing slightly my status as an official representative of the Federal Reserve. I would like to say to Milton and Anna: Regarding the Great Depression, you're right. We did it. We're very sorry. But thanks to you, we won't do it again.”</w:t>
      </w:r>
    </w:p>
    <w:p w14:paraId="6856AA77" w14:textId="77777777" w:rsidR="00036282" w:rsidRPr="00A73B07" w:rsidRDefault="00036282" w:rsidP="00036282">
      <w:pPr>
        <w:pStyle w:val="Textonotapie"/>
        <w:jc w:val="right"/>
      </w:pPr>
      <w:r w:rsidRPr="00A73B07">
        <w:t>— Ben S. Bernanke</w:t>
      </w:r>
    </w:p>
  </w:footnote>
  <w:footnote w:id="58">
    <w:p w14:paraId="10E5E2D2" w14:textId="77777777" w:rsidR="000F1369" w:rsidRDefault="000F1369" w:rsidP="000F1369">
      <w:pPr>
        <w:pStyle w:val="Textonotapie"/>
        <w:tabs>
          <w:tab w:val="left" w:pos="8653"/>
        </w:tabs>
      </w:pPr>
      <w:r>
        <w:rPr>
          <w:rStyle w:val="Refdenotaalpie"/>
        </w:rPr>
        <w:footnoteRef/>
      </w:r>
      <w:r>
        <w:t xml:space="preserve"> En la Unión Europea, el fondo de garantía de depósitos está armonizado en 100.000 € por depositante y entidad. Hay dos modelos fundamentales de financiación de los fondos de garantía de depósitos: por un lado, vía presupuestos (caso alemán); por otro lado, vía contribución de las entidades financieras (caso español).</w:t>
      </w:r>
    </w:p>
  </w:footnote>
  <w:footnote w:id="59">
    <w:p w14:paraId="5E3B4949" w14:textId="77777777" w:rsidR="000F1369" w:rsidRPr="00224E7F" w:rsidRDefault="000F1369" w:rsidP="000F1369">
      <w:pPr>
        <w:pStyle w:val="Textonotapie"/>
      </w:pPr>
      <w:r>
        <w:rPr>
          <w:rStyle w:val="Refdenotaalpie"/>
        </w:rPr>
        <w:footnoteRef/>
      </w:r>
      <w:r>
        <w:t xml:space="preserve"> </w:t>
      </w:r>
      <w:proofErr w:type="spellStart"/>
      <w:r>
        <w:rPr>
          <w:i/>
          <w:iCs/>
        </w:rPr>
        <w:t>Bail</w:t>
      </w:r>
      <w:proofErr w:type="spellEnd"/>
      <w:r>
        <w:rPr>
          <w:i/>
          <w:iCs/>
        </w:rPr>
        <w:t>-in</w:t>
      </w:r>
      <w:r>
        <w:t>: Aplicación de pérdidas a acreedores de una entidad insolvente como alternativa al recurso a fondos públicos (</w:t>
      </w:r>
      <w:proofErr w:type="spellStart"/>
      <w:r>
        <w:rPr>
          <w:i/>
          <w:iCs/>
        </w:rPr>
        <w:t>bail-out</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7FAFDD55" w14:textId="77777777" w:rsidTr="00AC65FF">
      <w:trPr>
        <w:trHeight w:val="136"/>
        <w:jc w:val="center"/>
      </w:trPr>
      <w:sdt>
        <w:sdtPr>
          <w:rPr>
            <w:b/>
            <w:bCs/>
            <w:i/>
            <w:iCs/>
            <w:caps/>
            <w:color w:val="5F2987"/>
            <w:sz w:val="18"/>
            <w:szCs w:val="18"/>
          </w:rPr>
          <w:alias w:val="Title"/>
          <w:tag w:val=""/>
          <w:id w:val="388612809"/>
          <w:placeholder>
            <w:docPart w:val="DefaultPlaceholder_2098659788"/>
          </w:placeholder>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E6CA9A8" w14:textId="7ED1911F" w:rsidR="00FD7152" w:rsidRPr="00C44422" w:rsidRDefault="003D1FEE" w:rsidP="00C4442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3.A.10</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19B56415" w14:textId="4E452139" w:rsidR="00FD7152" w:rsidRPr="00C44422" w:rsidRDefault="003D1FEE" w:rsidP="00C44422">
              <w:pPr>
                <w:pStyle w:val="Encabezado"/>
                <w:spacing w:after="0"/>
                <w:ind w:right="-110"/>
                <w:contextualSpacing/>
                <w:jc w:val="center"/>
                <w:rPr>
                  <w:i/>
                  <w:iCs/>
                  <w:color w:val="5F2987"/>
                  <w:sz w:val="18"/>
                  <w:szCs w:val="18"/>
                </w:rPr>
              </w:pPr>
              <w:r>
                <w:rPr>
                  <w:i/>
                  <w:iCs/>
                  <w:color w:val="5F2987"/>
                  <w:sz w:val="18"/>
                  <w:szCs w:val="18"/>
                </w:rPr>
                <w:t>Teoría de la demanda del consumidor (III). Elección del consumidor en situaciones de riesgo e incertidumbre.</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5ECD2922" w14:textId="77777777" w:rsidR="00FD7152" w:rsidRPr="00C44422" w:rsidRDefault="00FD7152" w:rsidP="00C4442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8CAF9DF"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47F44891" w14:textId="77777777" w:rsidTr="00D97EEA">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C8F682E" w14:textId="0A46DDD7" w:rsidR="00837B5A" w:rsidRPr="00C44422" w:rsidRDefault="003D1FEE" w:rsidP="00D525E5">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3.A.10</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549CB0F5" w14:textId="46DDE29B" w:rsidR="00837B5A" w:rsidRPr="00C44422" w:rsidRDefault="003D1FEE" w:rsidP="00D525E5">
              <w:pPr>
                <w:pStyle w:val="Encabezado"/>
                <w:spacing w:after="0"/>
                <w:ind w:right="-110"/>
                <w:contextualSpacing/>
                <w:jc w:val="center"/>
                <w:rPr>
                  <w:i/>
                  <w:iCs/>
                  <w:color w:val="5F2987"/>
                  <w:sz w:val="18"/>
                  <w:szCs w:val="18"/>
                </w:rPr>
              </w:pPr>
              <w:r>
                <w:rPr>
                  <w:i/>
                  <w:iCs/>
                  <w:color w:val="5F2987"/>
                  <w:sz w:val="18"/>
                  <w:szCs w:val="18"/>
                </w:rPr>
                <w:t>Teoría de la demanda del consumidor (III). Elección del consumidor en situaciones de riesgo e incertidumbre.</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A3D97C6" w14:textId="77777777" w:rsidR="00837B5A" w:rsidRPr="00C44422" w:rsidRDefault="00837B5A" w:rsidP="00D525E5">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190C104" w14:textId="77777777" w:rsidR="008274D7" w:rsidRPr="004C465C" w:rsidRDefault="008274D7" w:rsidP="00D525E5">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77D1" w:rsidRPr="00BE1B62" w14:paraId="64862540" w14:textId="77777777" w:rsidTr="00D525E5">
      <w:tc>
        <w:tcPr>
          <w:tcW w:w="3261" w:type="dxa"/>
          <w:tcBorders>
            <w:bottom w:val="thickThinSmallGap" w:sz="12" w:space="0" w:color="5F2987"/>
          </w:tcBorders>
        </w:tcPr>
        <w:p w14:paraId="64024AD5" w14:textId="0368ED79" w:rsidR="00FF77D1" w:rsidRPr="00BE1B62" w:rsidRDefault="00FF77D1" w:rsidP="00D525E5">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DATE   \* MERGEFORMAT </w:instrText>
          </w:r>
          <w:r>
            <w:rPr>
              <w:i/>
              <w:iCs/>
              <w:color w:val="5F2987"/>
              <w:spacing w:val="-6"/>
              <w:sz w:val="18"/>
              <w:szCs w:val="18"/>
            </w:rPr>
            <w:fldChar w:fldCharType="separate"/>
          </w:r>
          <w:r w:rsidR="002E338F">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6FDCB42" w14:textId="77777777" w:rsidR="00FF77D1" w:rsidRPr="00BE1B62" w:rsidRDefault="00FF77D1" w:rsidP="00D525E5">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16B82D0" w14:textId="009C70C2" w:rsidR="00FF77D1" w:rsidRPr="00BE1B62" w:rsidRDefault="003D1FEE" w:rsidP="00D525E5">
              <w:pPr>
                <w:pStyle w:val="Encabezado"/>
                <w:spacing w:after="0"/>
                <w:jc w:val="right"/>
                <w:rPr>
                  <w:i/>
                  <w:iCs/>
                  <w:color w:val="5F2987"/>
                  <w:spacing w:val="-6"/>
                  <w:sz w:val="18"/>
                  <w:szCs w:val="18"/>
                </w:rPr>
              </w:pPr>
              <w:r>
                <w:rPr>
                  <w:i/>
                  <w:iCs/>
                  <w:color w:val="5F2987"/>
                  <w:spacing w:val="-6"/>
                  <w:sz w:val="20"/>
                  <w:szCs w:val="20"/>
                </w:rPr>
                <w:t>3.A.10</w:t>
              </w:r>
            </w:p>
          </w:tc>
        </w:sdtContent>
      </w:sdt>
    </w:tr>
  </w:tbl>
  <w:p w14:paraId="094FF13A" w14:textId="77777777" w:rsidR="002756C0" w:rsidRPr="00BE1B62" w:rsidRDefault="002756C0" w:rsidP="00D525E5">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534113D"/>
    <w:multiLevelType w:val="hybridMultilevel"/>
    <w:tmpl w:val="050C0228"/>
    <w:lvl w:ilvl="0" w:tplc="2A22C416">
      <w:start w:val="1"/>
      <w:numFmt w:val="lowerLetter"/>
      <w:lvlText w:val="%1)"/>
      <w:lvlJc w:val="left"/>
      <w:pPr>
        <w:ind w:left="720" w:hanging="360"/>
      </w:pPr>
      <w:rPr>
        <w:rFonts w:hint="default"/>
        <w:color w:val="240F3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D6C7407"/>
    <w:multiLevelType w:val="hybridMultilevel"/>
    <w:tmpl w:val="A754AA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BDF0F2C"/>
    <w:multiLevelType w:val="hybridMultilevel"/>
    <w:tmpl w:val="24565794"/>
    <w:lvl w:ilvl="0" w:tplc="00B68C6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54D7002"/>
    <w:multiLevelType w:val="hybridMultilevel"/>
    <w:tmpl w:val="238C325E"/>
    <w:lvl w:ilvl="0" w:tplc="AF3C2CAA">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7792116"/>
    <w:multiLevelType w:val="hybridMultilevel"/>
    <w:tmpl w:val="0F9C33F2"/>
    <w:lvl w:ilvl="0" w:tplc="799E1EC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3" w15:restartNumberingAfterBreak="0">
    <w:nsid w:val="50DF4DD1"/>
    <w:multiLevelType w:val="hybridMultilevel"/>
    <w:tmpl w:val="279E667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0FB7C1A"/>
    <w:multiLevelType w:val="multilevel"/>
    <w:tmpl w:val="0809001D"/>
    <w:numStyleLink w:val="Lista1"/>
  </w:abstractNum>
  <w:abstractNum w:abstractNumId="2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987E82"/>
    <w:multiLevelType w:val="hybridMultilevel"/>
    <w:tmpl w:val="19F63C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64F2BC6"/>
    <w:multiLevelType w:val="hybridMultilevel"/>
    <w:tmpl w:val="082CD37C"/>
    <w:lvl w:ilvl="0" w:tplc="EAAAFD8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0040A1F"/>
    <w:multiLevelType w:val="hybridMultilevel"/>
    <w:tmpl w:val="3272B3B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37" w15:restartNumberingAfterBreak="0">
    <w:nsid w:val="7A5153F3"/>
    <w:multiLevelType w:val="hybridMultilevel"/>
    <w:tmpl w:val="ABE4E9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52181430">
    <w:abstractNumId w:val="11"/>
  </w:num>
  <w:num w:numId="2" w16cid:durableId="708990506">
    <w:abstractNumId w:val="35"/>
  </w:num>
  <w:num w:numId="3" w16cid:durableId="1184826138">
    <w:abstractNumId w:val="16"/>
  </w:num>
  <w:num w:numId="4" w16cid:durableId="1595943250">
    <w:abstractNumId w:val="30"/>
  </w:num>
  <w:num w:numId="5" w16cid:durableId="1128400685">
    <w:abstractNumId w:val="17"/>
  </w:num>
  <w:num w:numId="6" w16cid:durableId="111362278">
    <w:abstractNumId w:val="20"/>
  </w:num>
  <w:num w:numId="7" w16cid:durableId="752748092">
    <w:abstractNumId w:val="29"/>
  </w:num>
  <w:num w:numId="8" w16cid:durableId="952905518">
    <w:abstractNumId w:val="30"/>
    <w:lvlOverride w:ilvl="0">
      <w:startOverride w:val="1"/>
    </w:lvlOverride>
  </w:num>
  <w:num w:numId="9" w16cid:durableId="1060906329">
    <w:abstractNumId w:val="21"/>
  </w:num>
  <w:num w:numId="10" w16cid:durableId="477187700">
    <w:abstractNumId w:val="13"/>
  </w:num>
  <w:num w:numId="11" w16cid:durableId="1438788083">
    <w:abstractNumId w:val="37"/>
  </w:num>
  <w:num w:numId="12" w16cid:durableId="1183326435">
    <w:abstractNumId w:val="27"/>
  </w:num>
  <w:num w:numId="13" w16cid:durableId="384644180">
    <w:abstractNumId w:val="22"/>
  </w:num>
  <w:num w:numId="14" w16cid:durableId="1784381075">
    <w:abstractNumId w:val="19"/>
  </w:num>
  <w:num w:numId="15" w16cid:durableId="1008487739">
    <w:abstractNumId w:val="23"/>
  </w:num>
  <w:num w:numId="16" w16cid:durableId="902830495">
    <w:abstractNumId w:val="32"/>
  </w:num>
  <w:num w:numId="17" w16cid:durableId="821389862">
    <w:abstractNumId w:val="28"/>
  </w:num>
  <w:num w:numId="18" w16cid:durableId="1826706496">
    <w:abstractNumId w:val="14"/>
  </w:num>
  <w:num w:numId="19" w16cid:durableId="1391152777">
    <w:abstractNumId w:val="12"/>
  </w:num>
  <w:num w:numId="20" w16cid:durableId="413744921">
    <w:abstractNumId w:val="30"/>
    <w:lvlOverride w:ilvl="0">
      <w:startOverride w:val="1"/>
    </w:lvlOverride>
  </w:num>
  <w:num w:numId="21" w16cid:durableId="181676059">
    <w:abstractNumId w:val="31"/>
  </w:num>
  <w:num w:numId="22" w16cid:durableId="1281767471">
    <w:abstractNumId w:val="33"/>
  </w:num>
  <w:num w:numId="23" w16cid:durableId="259066400">
    <w:abstractNumId w:val="36"/>
  </w:num>
  <w:num w:numId="24" w16cid:durableId="373384582">
    <w:abstractNumId w:val="15"/>
  </w:num>
  <w:num w:numId="25" w16cid:durableId="829365101">
    <w:abstractNumId w:val="26"/>
  </w:num>
  <w:num w:numId="26" w16cid:durableId="25372873">
    <w:abstractNumId w:val="24"/>
  </w:num>
  <w:num w:numId="27" w16cid:durableId="159583792">
    <w:abstractNumId w:val="9"/>
  </w:num>
  <w:num w:numId="28" w16cid:durableId="1412461012">
    <w:abstractNumId w:val="7"/>
  </w:num>
  <w:num w:numId="29" w16cid:durableId="1049498149">
    <w:abstractNumId w:val="6"/>
  </w:num>
  <w:num w:numId="30" w16cid:durableId="480776684">
    <w:abstractNumId w:val="5"/>
  </w:num>
  <w:num w:numId="31" w16cid:durableId="1221096349">
    <w:abstractNumId w:val="4"/>
  </w:num>
  <w:num w:numId="32" w16cid:durableId="1127814330">
    <w:abstractNumId w:val="8"/>
  </w:num>
  <w:num w:numId="33" w16cid:durableId="953441926">
    <w:abstractNumId w:val="3"/>
  </w:num>
  <w:num w:numId="34" w16cid:durableId="1642999023">
    <w:abstractNumId w:val="2"/>
  </w:num>
  <w:num w:numId="35" w16cid:durableId="327173804">
    <w:abstractNumId w:val="1"/>
  </w:num>
  <w:num w:numId="36" w16cid:durableId="434401366">
    <w:abstractNumId w:val="0"/>
  </w:num>
  <w:num w:numId="37" w16cid:durableId="1051079801">
    <w:abstractNumId w:val="34"/>
  </w:num>
  <w:num w:numId="38" w16cid:durableId="623118318">
    <w:abstractNumId w:val="18"/>
  </w:num>
  <w:num w:numId="39" w16cid:durableId="7665390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9938890">
    <w:abstractNumId w:val="25"/>
  </w:num>
  <w:num w:numId="41" w16cid:durableId="494882035">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230"/>
    <w:rsid w:val="000002B3"/>
    <w:rsid w:val="000012F1"/>
    <w:rsid w:val="0000138C"/>
    <w:rsid w:val="00001C9E"/>
    <w:rsid w:val="00002579"/>
    <w:rsid w:val="00002D67"/>
    <w:rsid w:val="00002FC6"/>
    <w:rsid w:val="00021DBB"/>
    <w:rsid w:val="0002549F"/>
    <w:rsid w:val="000259D3"/>
    <w:rsid w:val="00025FE1"/>
    <w:rsid w:val="00026AD7"/>
    <w:rsid w:val="00027686"/>
    <w:rsid w:val="00030A1E"/>
    <w:rsid w:val="00031D43"/>
    <w:rsid w:val="00032F84"/>
    <w:rsid w:val="00034AE1"/>
    <w:rsid w:val="00036282"/>
    <w:rsid w:val="000375C5"/>
    <w:rsid w:val="00037BDF"/>
    <w:rsid w:val="00041740"/>
    <w:rsid w:val="00042784"/>
    <w:rsid w:val="00044055"/>
    <w:rsid w:val="00047E2D"/>
    <w:rsid w:val="000502FD"/>
    <w:rsid w:val="000547C5"/>
    <w:rsid w:val="00060F7F"/>
    <w:rsid w:val="00061020"/>
    <w:rsid w:val="00061C46"/>
    <w:rsid w:val="000641A4"/>
    <w:rsid w:val="0006593D"/>
    <w:rsid w:val="00065B7D"/>
    <w:rsid w:val="000705E4"/>
    <w:rsid w:val="00072A90"/>
    <w:rsid w:val="00073B35"/>
    <w:rsid w:val="0007446C"/>
    <w:rsid w:val="000759FC"/>
    <w:rsid w:val="000770C8"/>
    <w:rsid w:val="000771C0"/>
    <w:rsid w:val="000779AE"/>
    <w:rsid w:val="00080AD5"/>
    <w:rsid w:val="000838B0"/>
    <w:rsid w:val="00084BF4"/>
    <w:rsid w:val="00084E1B"/>
    <w:rsid w:val="000900C5"/>
    <w:rsid w:val="00090703"/>
    <w:rsid w:val="000907B0"/>
    <w:rsid w:val="00091706"/>
    <w:rsid w:val="000933A3"/>
    <w:rsid w:val="00093622"/>
    <w:rsid w:val="000A07DB"/>
    <w:rsid w:val="000A3137"/>
    <w:rsid w:val="000B03F9"/>
    <w:rsid w:val="000B0F72"/>
    <w:rsid w:val="000B167A"/>
    <w:rsid w:val="000B1957"/>
    <w:rsid w:val="000B3F68"/>
    <w:rsid w:val="000B4C49"/>
    <w:rsid w:val="000B56FC"/>
    <w:rsid w:val="000B7A50"/>
    <w:rsid w:val="000C5ED8"/>
    <w:rsid w:val="000D5202"/>
    <w:rsid w:val="000D6EC0"/>
    <w:rsid w:val="000D7392"/>
    <w:rsid w:val="000E30D2"/>
    <w:rsid w:val="000E3517"/>
    <w:rsid w:val="000E5619"/>
    <w:rsid w:val="000E6E62"/>
    <w:rsid w:val="000F1369"/>
    <w:rsid w:val="000F18FB"/>
    <w:rsid w:val="001000B1"/>
    <w:rsid w:val="0010044E"/>
    <w:rsid w:val="00100A64"/>
    <w:rsid w:val="001015B0"/>
    <w:rsid w:val="00101B04"/>
    <w:rsid w:val="00102A7B"/>
    <w:rsid w:val="00103A21"/>
    <w:rsid w:val="00103B5E"/>
    <w:rsid w:val="00103D20"/>
    <w:rsid w:val="00106DD6"/>
    <w:rsid w:val="00113A5B"/>
    <w:rsid w:val="00114C6C"/>
    <w:rsid w:val="00114D30"/>
    <w:rsid w:val="00115DED"/>
    <w:rsid w:val="00116ED9"/>
    <w:rsid w:val="00117245"/>
    <w:rsid w:val="001202BA"/>
    <w:rsid w:val="00121E28"/>
    <w:rsid w:val="0012510E"/>
    <w:rsid w:val="001254A9"/>
    <w:rsid w:val="001255B3"/>
    <w:rsid w:val="001274B5"/>
    <w:rsid w:val="00127674"/>
    <w:rsid w:val="001318D9"/>
    <w:rsid w:val="001364D4"/>
    <w:rsid w:val="001412DB"/>
    <w:rsid w:val="0014239E"/>
    <w:rsid w:val="00146490"/>
    <w:rsid w:val="001466B9"/>
    <w:rsid w:val="00147D16"/>
    <w:rsid w:val="0015013E"/>
    <w:rsid w:val="001513E9"/>
    <w:rsid w:val="0015443B"/>
    <w:rsid w:val="00155B00"/>
    <w:rsid w:val="0015757C"/>
    <w:rsid w:val="00160C77"/>
    <w:rsid w:val="00164001"/>
    <w:rsid w:val="00166FC2"/>
    <w:rsid w:val="0016701D"/>
    <w:rsid w:val="0016795D"/>
    <w:rsid w:val="00167CB5"/>
    <w:rsid w:val="00171F67"/>
    <w:rsid w:val="00172569"/>
    <w:rsid w:val="00172B72"/>
    <w:rsid w:val="00175BC4"/>
    <w:rsid w:val="00176B09"/>
    <w:rsid w:val="00177929"/>
    <w:rsid w:val="00181505"/>
    <w:rsid w:val="00183138"/>
    <w:rsid w:val="00183769"/>
    <w:rsid w:val="001847C2"/>
    <w:rsid w:val="001869B6"/>
    <w:rsid w:val="00190239"/>
    <w:rsid w:val="00192CB4"/>
    <w:rsid w:val="001957CC"/>
    <w:rsid w:val="001A24CB"/>
    <w:rsid w:val="001A27EB"/>
    <w:rsid w:val="001A46DA"/>
    <w:rsid w:val="001B0463"/>
    <w:rsid w:val="001B0B62"/>
    <w:rsid w:val="001B635E"/>
    <w:rsid w:val="001C111D"/>
    <w:rsid w:val="001C1881"/>
    <w:rsid w:val="001C2236"/>
    <w:rsid w:val="001C2767"/>
    <w:rsid w:val="001C559A"/>
    <w:rsid w:val="001C590B"/>
    <w:rsid w:val="001C7476"/>
    <w:rsid w:val="001C7B97"/>
    <w:rsid w:val="001D0E28"/>
    <w:rsid w:val="001D1B40"/>
    <w:rsid w:val="001D2560"/>
    <w:rsid w:val="001D294F"/>
    <w:rsid w:val="001D33D1"/>
    <w:rsid w:val="001D4587"/>
    <w:rsid w:val="001D47BD"/>
    <w:rsid w:val="001D6275"/>
    <w:rsid w:val="001E01F0"/>
    <w:rsid w:val="001E2334"/>
    <w:rsid w:val="001E2905"/>
    <w:rsid w:val="001E5094"/>
    <w:rsid w:val="001E6903"/>
    <w:rsid w:val="001F12DB"/>
    <w:rsid w:val="001F1FCA"/>
    <w:rsid w:val="001F48B1"/>
    <w:rsid w:val="002042F3"/>
    <w:rsid w:val="00211253"/>
    <w:rsid w:val="002112F7"/>
    <w:rsid w:val="00211BEC"/>
    <w:rsid w:val="0021641C"/>
    <w:rsid w:val="002165FF"/>
    <w:rsid w:val="002174C9"/>
    <w:rsid w:val="0021754E"/>
    <w:rsid w:val="0021774E"/>
    <w:rsid w:val="00220DCD"/>
    <w:rsid w:val="00224C0C"/>
    <w:rsid w:val="00224EEE"/>
    <w:rsid w:val="00225B15"/>
    <w:rsid w:val="00226F84"/>
    <w:rsid w:val="00233420"/>
    <w:rsid w:val="00233A2B"/>
    <w:rsid w:val="0023655E"/>
    <w:rsid w:val="002375CA"/>
    <w:rsid w:val="0023766A"/>
    <w:rsid w:val="00243104"/>
    <w:rsid w:val="00247EB2"/>
    <w:rsid w:val="00251AED"/>
    <w:rsid w:val="00254714"/>
    <w:rsid w:val="002548BB"/>
    <w:rsid w:val="002570B1"/>
    <w:rsid w:val="00264F3E"/>
    <w:rsid w:val="00271DD4"/>
    <w:rsid w:val="00274F1B"/>
    <w:rsid w:val="002756C0"/>
    <w:rsid w:val="00275C6A"/>
    <w:rsid w:val="00275D21"/>
    <w:rsid w:val="0027707E"/>
    <w:rsid w:val="00280A45"/>
    <w:rsid w:val="00281B62"/>
    <w:rsid w:val="002826EB"/>
    <w:rsid w:val="002841ED"/>
    <w:rsid w:val="00285F4B"/>
    <w:rsid w:val="00286736"/>
    <w:rsid w:val="00291E93"/>
    <w:rsid w:val="0029255D"/>
    <w:rsid w:val="00294AD7"/>
    <w:rsid w:val="00294EA8"/>
    <w:rsid w:val="002955A0"/>
    <w:rsid w:val="00295F46"/>
    <w:rsid w:val="002A1386"/>
    <w:rsid w:val="002A17D0"/>
    <w:rsid w:val="002A2148"/>
    <w:rsid w:val="002A23E4"/>
    <w:rsid w:val="002A28B8"/>
    <w:rsid w:val="002A3679"/>
    <w:rsid w:val="002A3F7E"/>
    <w:rsid w:val="002A4D35"/>
    <w:rsid w:val="002A5615"/>
    <w:rsid w:val="002A6515"/>
    <w:rsid w:val="002A7603"/>
    <w:rsid w:val="002B110D"/>
    <w:rsid w:val="002B2D87"/>
    <w:rsid w:val="002B3DEC"/>
    <w:rsid w:val="002B410B"/>
    <w:rsid w:val="002B4CDF"/>
    <w:rsid w:val="002B53B6"/>
    <w:rsid w:val="002B72C2"/>
    <w:rsid w:val="002B7D28"/>
    <w:rsid w:val="002C1FEB"/>
    <w:rsid w:val="002C6439"/>
    <w:rsid w:val="002C7D7A"/>
    <w:rsid w:val="002D1AFF"/>
    <w:rsid w:val="002D1B16"/>
    <w:rsid w:val="002D4299"/>
    <w:rsid w:val="002D4AF0"/>
    <w:rsid w:val="002D5209"/>
    <w:rsid w:val="002D7FE9"/>
    <w:rsid w:val="002E0C48"/>
    <w:rsid w:val="002E10F4"/>
    <w:rsid w:val="002E338F"/>
    <w:rsid w:val="002E4BC5"/>
    <w:rsid w:val="002E543D"/>
    <w:rsid w:val="002E5F5F"/>
    <w:rsid w:val="002E6719"/>
    <w:rsid w:val="002F13AF"/>
    <w:rsid w:val="002F17DB"/>
    <w:rsid w:val="002F5A13"/>
    <w:rsid w:val="002F7FA3"/>
    <w:rsid w:val="00302A0E"/>
    <w:rsid w:val="003045EA"/>
    <w:rsid w:val="00305CD9"/>
    <w:rsid w:val="003065B1"/>
    <w:rsid w:val="00307C23"/>
    <w:rsid w:val="00310131"/>
    <w:rsid w:val="003108AF"/>
    <w:rsid w:val="00312048"/>
    <w:rsid w:val="00312B98"/>
    <w:rsid w:val="00314B5D"/>
    <w:rsid w:val="0031762E"/>
    <w:rsid w:val="00317865"/>
    <w:rsid w:val="003216DC"/>
    <w:rsid w:val="00321BE3"/>
    <w:rsid w:val="00321D20"/>
    <w:rsid w:val="00324699"/>
    <w:rsid w:val="0032482B"/>
    <w:rsid w:val="00325817"/>
    <w:rsid w:val="00325916"/>
    <w:rsid w:val="00336D09"/>
    <w:rsid w:val="003413D2"/>
    <w:rsid w:val="00342648"/>
    <w:rsid w:val="00351386"/>
    <w:rsid w:val="0036102A"/>
    <w:rsid w:val="00361121"/>
    <w:rsid w:val="00361C88"/>
    <w:rsid w:val="00364A63"/>
    <w:rsid w:val="003701A7"/>
    <w:rsid w:val="00372A1B"/>
    <w:rsid w:val="00373956"/>
    <w:rsid w:val="003739F7"/>
    <w:rsid w:val="00373C7A"/>
    <w:rsid w:val="0037593F"/>
    <w:rsid w:val="0038143F"/>
    <w:rsid w:val="003815F5"/>
    <w:rsid w:val="00382871"/>
    <w:rsid w:val="0038301A"/>
    <w:rsid w:val="003847B1"/>
    <w:rsid w:val="00385506"/>
    <w:rsid w:val="00393373"/>
    <w:rsid w:val="00393DD1"/>
    <w:rsid w:val="00394179"/>
    <w:rsid w:val="00395FCA"/>
    <w:rsid w:val="0039738C"/>
    <w:rsid w:val="003A50C3"/>
    <w:rsid w:val="003A6978"/>
    <w:rsid w:val="003A6D50"/>
    <w:rsid w:val="003A7799"/>
    <w:rsid w:val="003B04F7"/>
    <w:rsid w:val="003B0BA9"/>
    <w:rsid w:val="003B12B7"/>
    <w:rsid w:val="003B13C5"/>
    <w:rsid w:val="003B3819"/>
    <w:rsid w:val="003B52A5"/>
    <w:rsid w:val="003C0360"/>
    <w:rsid w:val="003C08C7"/>
    <w:rsid w:val="003C2265"/>
    <w:rsid w:val="003C26D2"/>
    <w:rsid w:val="003C4654"/>
    <w:rsid w:val="003C688A"/>
    <w:rsid w:val="003C6B7F"/>
    <w:rsid w:val="003D02E5"/>
    <w:rsid w:val="003D0F49"/>
    <w:rsid w:val="003D1FEE"/>
    <w:rsid w:val="003D4493"/>
    <w:rsid w:val="003D4D94"/>
    <w:rsid w:val="003D552F"/>
    <w:rsid w:val="003D6153"/>
    <w:rsid w:val="003D659C"/>
    <w:rsid w:val="003D6FC4"/>
    <w:rsid w:val="003E3B90"/>
    <w:rsid w:val="003E77BB"/>
    <w:rsid w:val="003F0D09"/>
    <w:rsid w:val="003F2FE8"/>
    <w:rsid w:val="003F4AC5"/>
    <w:rsid w:val="003F529B"/>
    <w:rsid w:val="003F6B27"/>
    <w:rsid w:val="003F79AB"/>
    <w:rsid w:val="004005AD"/>
    <w:rsid w:val="004057D2"/>
    <w:rsid w:val="00406475"/>
    <w:rsid w:val="004074DA"/>
    <w:rsid w:val="0041589C"/>
    <w:rsid w:val="00417327"/>
    <w:rsid w:val="004263AB"/>
    <w:rsid w:val="0043073E"/>
    <w:rsid w:val="00431AE3"/>
    <w:rsid w:val="00432267"/>
    <w:rsid w:val="00433ABD"/>
    <w:rsid w:val="00435560"/>
    <w:rsid w:val="00437C82"/>
    <w:rsid w:val="00440FA4"/>
    <w:rsid w:val="00442226"/>
    <w:rsid w:val="00446411"/>
    <w:rsid w:val="004464AC"/>
    <w:rsid w:val="004467AB"/>
    <w:rsid w:val="00447376"/>
    <w:rsid w:val="00447771"/>
    <w:rsid w:val="00447C0F"/>
    <w:rsid w:val="00450F6E"/>
    <w:rsid w:val="00456287"/>
    <w:rsid w:val="004567F5"/>
    <w:rsid w:val="00461DE0"/>
    <w:rsid w:val="0046334B"/>
    <w:rsid w:val="00463E45"/>
    <w:rsid w:val="0046428D"/>
    <w:rsid w:val="00464455"/>
    <w:rsid w:val="004726E2"/>
    <w:rsid w:val="004738C3"/>
    <w:rsid w:val="00481E21"/>
    <w:rsid w:val="00484C54"/>
    <w:rsid w:val="004851E9"/>
    <w:rsid w:val="00486830"/>
    <w:rsid w:val="0049376E"/>
    <w:rsid w:val="004A0615"/>
    <w:rsid w:val="004A0C06"/>
    <w:rsid w:val="004A103B"/>
    <w:rsid w:val="004A21D3"/>
    <w:rsid w:val="004A628F"/>
    <w:rsid w:val="004A6BE1"/>
    <w:rsid w:val="004B080A"/>
    <w:rsid w:val="004B62DD"/>
    <w:rsid w:val="004B6C4E"/>
    <w:rsid w:val="004C0540"/>
    <w:rsid w:val="004C0C34"/>
    <w:rsid w:val="004C0D84"/>
    <w:rsid w:val="004C1239"/>
    <w:rsid w:val="004C465C"/>
    <w:rsid w:val="004C5637"/>
    <w:rsid w:val="004C5DE5"/>
    <w:rsid w:val="004C7C4B"/>
    <w:rsid w:val="004D0642"/>
    <w:rsid w:val="004D7EEE"/>
    <w:rsid w:val="004E1C77"/>
    <w:rsid w:val="004E3010"/>
    <w:rsid w:val="004E30B6"/>
    <w:rsid w:val="004E52B0"/>
    <w:rsid w:val="004E7D97"/>
    <w:rsid w:val="004F23A1"/>
    <w:rsid w:val="004F5FBF"/>
    <w:rsid w:val="004F66EC"/>
    <w:rsid w:val="004F6BDB"/>
    <w:rsid w:val="004F6E87"/>
    <w:rsid w:val="004F7858"/>
    <w:rsid w:val="00501786"/>
    <w:rsid w:val="005019A4"/>
    <w:rsid w:val="00502A72"/>
    <w:rsid w:val="005073A8"/>
    <w:rsid w:val="00510FB5"/>
    <w:rsid w:val="00515D26"/>
    <w:rsid w:val="00520421"/>
    <w:rsid w:val="0052273D"/>
    <w:rsid w:val="00522A8F"/>
    <w:rsid w:val="0052639E"/>
    <w:rsid w:val="0052677F"/>
    <w:rsid w:val="005334B4"/>
    <w:rsid w:val="00536EFA"/>
    <w:rsid w:val="005401E9"/>
    <w:rsid w:val="00541229"/>
    <w:rsid w:val="00542E07"/>
    <w:rsid w:val="00542EF6"/>
    <w:rsid w:val="00546F87"/>
    <w:rsid w:val="0055010B"/>
    <w:rsid w:val="00550E4F"/>
    <w:rsid w:val="0055111E"/>
    <w:rsid w:val="00554E7A"/>
    <w:rsid w:val="00555090"/>
    <w:rsid w:val="00555355"/>
    <w:rsid w:val="00556F45"/>
    <w:rsid w:val="00556F6E"/>
    <w:rsid w:val="005603E5"/>
    <w:rsid w:val="0056072E"/>
    <w:rsid w:val="0056077D"/>
    <w:rsid w:val="00562AA1"/>
    <w:rsid w:val="005652D7"/>
    <w:rsid w:val="00566950"/>
    <w:rsid w:val="00566C52"/>
    <w:rsid w:val="005713E1"/>
    <w:rsid w:val="005736F0"/>
    <w:rsid w:val="00573E46"/>
    <w:rsid w:val="0057474D"/>
    <w:rsid w:val="00577352"/>
    <w:rsid w:val="00583400"/>
    <w:rsid w:val="00583E28"/>
    <w:rsid w:val="00586587"/>
    <w:rsid w:val="005878FF"/>
    <w:rsid w:val="00594683"/>
    <w:rsid w:val="005A0192"/>
    <w:rsid w:val="005A64E1"/>
    <w:rsid w:val="005A6702"/>
    <w:rsid w:val="005B01B2"/>
    <w:rsid w:val="005B2A53"/>
    <w:rsid w:val="005B4FE2"/>
    <w:rsid w:val="005C131B"/>
    <w:rsid w:val="005C3D49"/>
    <w:rsid w:val="005C4725"/>
    <w:rsid w:val="005C4DC3"/>
    <w:rsid w:val="005C735A"/>
    <w:rsid w:val="005D05A9"/>
    <w:rsid w:val="005D20D4"/>
    <w:rsid w:val="005D26DF"/>
    <w:rsid w:val="005D327D"/>
    <w:rsid w:val="005D554B"/>
    <w:rsid w:val="005D6569"/>
    <w:rsid w:val="005D6842"/>
    <w:rsid w:val="005D7E1C"/>
    <w:rsid w:val="005E22CA"/>
    <w:rsid w:val="005E3EBD"/>
    <w:rsid w:val="005E53B9"/>
    <w:rsid w:val="005E7105"/>
    <w:rsid w:val="005F0C11"/>
    <w:rsid w:val="005F3AF1"/>
    <w:rsid w:val="00601533"/>
    <w:rsid w:val="00602888"/>
    <w:rsid w:val="00603E91"/>
    <w:rsid w:val="00605803"/>
    <w:rsid w:val="0060664A"/>
    <w:rsid w:val="0060687D"/>
    <w:rsid w:val="00606E13"/>
    <w:rsid w:val="006079EE"/>
    <w:rsid w:val="006108AB"/>
    <w:rsid w:val="00614091"/>
    <w:rsid w:val="006205D4"/>
    <w:rsid w:val="00620DB3"/>
    <w:rsid w:val="006213DA"/>
    <w:rsid w:val="00621661"/>
    <w:rsid w:val="00621FD6"/>
    <w:rsid w:val="006225DE"/>
    <w:rsid w:val="00622C48"/>
    <w:rsid w:val="0062309B"/>
    <w:rsid w:val="00630D0B"/>
    <w:rsid w:val="00631280"/>
    <w:rsid w:val="00632A89"/>
    <w:rsid w:val="00632C16"/>
    <w:rsid w:val="006356E6"/>
    <w:rsid w:val="00636938"/>
    <w:rsid w:val="006369FE"/>
    <w:rsid w:val="00640D38"/>
    <w:rsid w:val="0064241B"/>
    <w:rsid w:val="00644105"/>
    <w:rsid w:val="00647CEE"/>
    <w:rsid w:val="00651CB4"/>
    <w:rsid w:val="00651F95"/>
    <w:rsid w:val="0065657E"/>
    <w:rsid w:val="00657A20"/>
    <w:rsid w:val="006648B4"/>
    <w:rsid w:val="0066497D"/>
    <w:rsid w:val="00664A08"/>
    <w:rsid w:val="00667CC9"/>
    <w:rsid w:val="00670D6E"/>
    <w:rsid w:val="00671682"/>
    <w:rsid w:val="00671A3A"/>
    <w:rsid w:val="006750DB"/>
    <w:rsid w:val="00680642"/>
    <w:rsid w:val="00682A1E"/>
    <w:rsid w:val="00684229"/>
    <w:rsid w:val="0068426C"/>
    <w:rsid w:val="00690BFE"/>
    <w:rsid w:val="006914EF"/>
    <w:rsid w:val="00691EF3"/>
    <w:rsid w:val="00693B21"/>
    <w:rsid w:val="00693E74"/>
    <w:rsid w:val="0069722B"/>
    <w:rsid w:val="00697DCC"/>
    <w:rsid w:val="006A0544"/>
    <w:rsid w:val="006A0A38"/>
    <w:rsid w:val="006A41E4"/>
    <w:rsid w:val="006A4325"/>
    <w:rsid w:val="006A508B"/>
    <w:rsid w:val="006C1B67"/>
    <w:rsid w:val="006C2907"/>
    <w:rsid w:val="006C30AE"/>
    <w:rsid w:val="006C3135"/>
    <w:rsid w:val="006C56C6"/>
    <w:rsid w:val="006C5EEB"/>
    <w:rsid w:val="006C69B3"/>
    <w:rsid w:val="006C7E56"/>
    <w:rsid w:val="006D1494"/>
    <w:rsid w:val="006D2111"/>
    <w:rsid w:val="006D2330"/>
    <w:rsid w:val="006D5735"/>
    <w:rsid w:val="006D5812"/>
    <w:rsid w:val="006E1CC7"/>
    <w:rsid w:val="006E38B7"/>
    <w:rsid w:val="006E424D"/>
    <w:rsid w:val="006E5851"/>
    <w:rsid w:val="006E716D"/>
    <w:rsid w:val="006F20BF"/>
    <w:rsid w:val="006F30BE"/>
    <w:rsid w:val="006F3584"/>
    <w:rsid w:val="00700999"/>
    <w:rsid w:val="007017B0"/>
    <w:rsid w:val="00701B36"/>
    <w:rsid w:val="00701E05"/>
    <w:rsid w:val="007036EB"/>
    <w:rsid w:val="0070459F"/>
    <w:rsid w:val="00704771"/>
    <w:rsid w:val="00710C21"/>
    <w:rsid w:val="00711D75"/>
    <w:rsid w:val="00713AC3"/>
    <w:rsid w:val="00717A09"/>
    <w:rsid w:val="007200A2"/>
    <w:rsid w:val="007208AE"/>
    <w:rsid w:val="00721ADE"/>
    <w:rsid w:val="0072247F"/>
    <w:rsid w:val="0072450B"/>
    <w:rsid w:val="00734553"/>
    <w:rsid w:val="00741B8A"/>
    <w:rsid w:val="007450FA"/>
    <w:rsid w:val="00745BA6"/>
    <w:rsid w:val="00746967"/>
    <w:rsid w:val="00747849"/>
    <w:rsid w:val="0075247F"/>
    <w:rsid w:val="00752719"/>
    <w:rsid w:val="00752A3F"/>
    <w:rsid w:val="00755A7D"/>
    <w:rsid w:val="00756FF5"/>
    <w:rsid w:val="0076142C"/>
    <w:rsid w:val="00764940"/>
    <w:rsid w:val="00765240"/>
    <w:rsid w:val="00767ABA"/>
    <w:rsid w:val="00767EBD"/>
    <w:rsid w:val="0077095A"/>
    <w:rsid w:val="007709BF"/>
    <w:rsid w:val="00770BE8"/>
    <w:rsid w:val="00772710"/>
    <w:rsid w:val="0077515A"/>
    <w:rsid w:val="00775C11"/>
    <w:rsid w:val="007770BC"/>
    <w:rsid w:val="00777E2C"/>
    <w:rsid w:val="00781F6D"/>
    <w:rsid w:val="00784A87"/>
    <w:rsid w:val="00784DB5"/>
    <w:rsid w:val="00785CBE"/>
    <w:rsid w:val="00786941"/>
    <w:rsid w:val="0079082E"/>
    <w:rsid w:val="00790B47"/>
    <w:rsid w:val="00791B2F"/>
    <w:rsid w:val="0079209B"/>
    <w:rsid w:val="00794CE7"/>
    <w:rsid w:val="00795A73"/>
    <w:rsid w:val="00795B75"/>
    <w:rsid w:val="00796019"/>
    <w:rsid w:val="007A23C4"/>
    <w:rsid w:val="007A4887"/>
    <w:rsid w:val="007A4FD7"/>
    <w:rsid w:val="007A52E1"/>
    <w:rsid w:val="007A6616"/>
    <w:rsid w:val="007A7481"/>
    <w:rsid w:val="007B370B"/>
    <w:rsid w:val="007B492F"/>
    <w:rsid w:val="007C05AD"/>
    <w:rsid w:val="007C258F"/>
    <w:rsid w:val="007C4DDF"/>
    <w:rsid w:val="007C5AD1"/>
    <w:rsid w:val="007D1A17"/>
    <w:rsid w:val="007D2CCD"/>
    <w:rsid w:val="007D3158"/>
    <w:rsid w:val="007D4C76"/>
    <w:rsid w:val="007D4CF8"/>
    <w:rsid w:val="007D6B0E"/>
    <w:rsid w:val="007D6D82"/>
    <w:rsid w:val="007D7B56"/>
    <w:rsid w:val="007E4A7C"/>
    <w:rsid w:val="007E512E"/>
    <w:rsid w:val="007F07CD"/>
    <w:rsid w:val="007F4E9F"/>
    <w:rsid w:val="007F5934"/>
    <w:rsid w:val="007F776F"/>
    <w:rsid w:val="0080102A"/>
    <w:rsid w:val="00805E5F"/>
    <w:rsid w:val="00807525"/>
    <w:rsid w:val="008117B4"/>
    <w:rsid w:val="00812700"/>
    <w:rsid w:val="00812AA1"/>
    <w:rsid w:val="00813C05"/>
    <w:rsid w:val="008142B0"/>
    <w:rsid w:val="0081544B"/>
    <w:rsid w:val="0081788C"/>
    <w:rsid w:val="00817F69"/>
    <w:rsid w:val="00821061"/>
    <w:rsid w:val="008233F9"/>
    <w:rsid w:val="008274D7"/>
    <w:rsid w:val="00827955"/>
    <w:rsid w:val="00831E8C"/>
    <w:rsid w:val="0083210F"/>
    <w:rsid w:val="00832BC1"/>
    <w:rsid w:val="008345AB"/>
    <w:rsid w:val="00837B5A"/>
    <w:rsid w:val="00841581"/>
    <w:rsid w:val="0084331D"/>
    <w:rsid w:val="00845C0D"/>
    <w:rsid w:val="00846F57"/>
    <w:rsid w:val="00847F90"/>
    <w:rsid w:val="00853135"/>
    <w:rsid w:val="008536CA"/>
    <w:rsid w:val="00856154"/>
    <w:rsid w:val="008562C5"/>
    <w:rsid w:val="00856C38"/>
    <w:rsid w:val="00857C49"/>
    <w:rsid w:val="00860169"/>
    <w:rsid w:val="0086038E"/>
    <w:rsid w:val="00863B3B"/>
    <w:rsid w:val="0086404B"/>
    <w:rsid w:val="00864F3C"/>
    <w:rsid w:val="008653D3"/>
    <w:rsid w:val="008653F0"/>
    <w:rsid w:val="008665CC"/>
    <w:rsid w:val="00866DF4"/>
    <w:rsid w:val="008720DA"/>
    <w:rsid w:val="008751E6"/>
    <w:rsid w:val="00875C55"/>
    <w:rsid w:val="008762F1"/>
    <w:rsid w:val="008764F9"/>
    <w:rsid w:val="00880683"/>
    <w:rsid w:val="00880831"/>
    <w:rsid w:val="00881B06"/>
    <w:rsid w:val="0088235D"/>
    <w:rsid w:val="008828B8"/>
    <w:rsid w:val="008872EC"/>
    <w:rsid w:val="008937DA"/>
    <w:rsid w:val="00895734"/>
    <w:rsid w:val="00896484"/>
    <w:rsid w:val="008A0274"/>
    <w:rsid w:val="008A414A"/>
    <w:rsid w:val="008A5D1E"/>
    <w:rsid w:val="008A75A3"/>
    <w:rsid w:val="008B3E08"/>
    <w:rsid w:val="008B5F07"/>
    <w:rsid w:val="008B659A"/>
    <w:rsid w:val="008B7CEC"/>
    <w:rsid w:val="008C1224"/>
    <w:rsid w:val="008C55D4"/>
    <w:rsid w:val="008C5AA6"/>
    <w:rsid w:val="008C6948"/>
    <w:rsid w:val="008D435E"/>
    <w:rsid w:val="008E22DA"/>
    <w:rsid w:val="008E2B02"/>
    <w:rsid w:val="008E2DA4"/>
    <w:rsid w:val="008E5500"/>
    <w:rsid w:val="008E73A8"/>
    <w:rsid w:val="008F16E4"/>
    <w:rsid w:val="008F35A1"/>
    <w:rsid w:val="008F65A4"/>
    <w:rsid w:val="008F677F"/>
    <w:rsid w:val="00900D26"/>
    <w:rsid w:val="009022E3"/>
    <w:rsid w:val="00903FB8"/>
    <w:rsid w:val="00906EB8"/>
    <w:rsid w:val="00912925"/>
    <w:rsid w:val="0091559B"/>
    <w:rsid w:val="00917662"/>
    <w:rsid w:val="0092198B"/>
    <w:rsid w:val="009251A9"/>
    <w:rsid w:val="00927F96"/>
    <w:rsid w:val="00935214"/>
    <w:rsid w:val="00935CDC"/>
    <w:rsid w:val="009365CA"/>
    <w:rsid w:val="00936E90"/>
    <w:rsid w:val="00941CB5"/>
    <w:rsid w:val="00944333"/>
    <w:rsid w:val="00944CED"/>
    <w:rsid w:val="009626D8"/>
    <w:rsid w:val="00962B81"/>
    <w:rsid w:val="00962ECD"/>
    <w:rsid w:val="00963D1F"/>
    <w:rsid w:val="0096481D"/>
    <w:rsid w:val="00965DDC"/>
    <w:rsid w:val="00970554"/>
    <w:rsid w:val="00971031"/>
    <w:rsid w:val="009713A1"/>
    <w:rsid w:val="0097607B"/>
    <w:rsid w:val="0097778A"/>
    <w:rsid w:val="00981A85"/>
    <w:rsid w:val="00981F11"/>
    <w:rsid w:val="00995254"/>
    <w:rsid w:val="00995A08"/>
    <w:rsid w:val="00996814"/>
    <w:rsid w:val="00997ADC"/>
    <w:rsid w:val="009A3145"/>
    <w:rsid w:val="009A3230"/>
    <w:rsid w:val="009A34C1"/>
    <w:rsid w:val="009A34F1"/>
    <w:rsid w:val="009A36B5"/>
    <w:rsid w:val="009B0A6E"/>
    <w:rsid w:val="009B153B"/>
    <w:rsid w:val="009B2C05"/>
    <w:rsid w:val="009B3093"/>
    <w:rsid w:val="009B759C"/>
    <w:rsid w:val="009B7AEC"/>
    <w:rsid w:val="009B7CCA"/>
    <w:rsid w:val="009C00DA"/>
    <w:rsid w:val="009C0129"/>
    <w:rsid w:val="009C29AC"/>
    <w:rsid w:val="009C61AF"/>
    <w:rsid w:val="009C69E8"/>
    <w:rsid w:val="009D0463"/>
    <w:rsid w:val="009D14BB"/>
    <w:rsid w:val="009D223F"/>
    <w:rsid w:val="009D43DF"/>
    <w:rsid w:val="009E11F9"/>
    <w:rsid w:val="009E23AB"/>
    <w:rsid w:val="009E25C7"/>
    <w:rsid w:val="009E315E"/>
    <w:rsid w:val="009E374A"/>
    <w:rsid w:val="009E489B"/>
    <w:rsid w:val="009E71EC"/>
    <w:rsid w:val="009F0056"/>
    <w:rsid w:val="009F1A7D"/>
    <w:rsid w:val="009F2EB8"/>
    <w:rsid w:val="009F6FD1"/>
    <w:rsid w:val="00A00F54"/>
    <w:rsid w:val="00A03356"/>
    <w:rsid w:val="00A04349"/>
    <w:rsid w:val="00A059C7"/>
    <w:rsid w:val="00A116B6"/>
    <w:rsid w:val="00A12025"/>
    <w:rsid w:val="00A1205D"/>
    <w:rsid w:val="00A15092"/>
    <w:rsid w:val="00A20BF3"/>
    <w:rsid w:val="00A234D9"/>
    <w:rsid w:val="00A25B74"/>
    <w:rsid w:val="00A27F53"/>
    <w:rsid w:val="00A3084A"/>
    <w:rsid w:val="00A31C46"/>
    <w:rsid w:val="00A31CD1"/>
    <w:rsid w:val="00A33C35"/>
    <w:rsid w:val="00A36CD9"/>
    <w:rsid w:val="00A40E23"/>
    <w:rsid w:val="00A414B9"/>
    <w:rsid w:val="00A42628"/>
    <w:rsid w:val="00A42B58"/>
    <w:rsid w:val="00A443E0"/>
    <w:rsid w:val="00A45424"/>
    <w:rsid w:val="00A45EEB"/>
    <w:rsid w:val="00A45FAC"/>
    <w:rsid w:val="00A50060"/>
    <w:rsid w:val="00A519BF"/>
    <w:rsid w:val="00A51B24"/>
    <w:rsid w:val="00A51E0E"/>
    <w:rsid w:val="00A5364C"/>
    <w:rsid w:val="00A54398"/>
    <w:rsid w:val="00A57837"/>
    <w:rsid w:val="00A60031"/>
    <w:rsid w:val="00A611DF"/>
    <w:rsid w:val="00A62F89"/>
    <w:rsid w:val="00A64A6D"/>
    <w:rsid w:val="00A6505E"/>
    <w:rsid w:val="00A651F2"/>
    <w:rsid w:val="00A67D89"/>
    <w:rsid w:val="00A710EC"/>
    <w:rsid w:val="00A7295B"/>
    <w:rsid w:val="00A73A52"/>
    <w:rsid w:val="00A7554A"/>
    <w:rsid w:val="00A75B61"/>
    <w:rsid w:val="00A77141"/>
    <w:rsid w:val="00A773CC"/>
    <w:rsid w:val="00A77CEA"/>
    <w:rsid w:val="00A817FE"/>
    <w:rsid w:val="00A818F4"/>
    <w:rsid w:val="00A84B39"/>
    <w:rsid w:val="00A8551A"/>
    <w:rsid w:val="00A858AE"/>
    <w:rsid w:val="00A912EB"/>
    <w:rsid w:val="00A914E0"/>
    <w:rsid w:val="00A96C08"/>
    <w:rsid w:val="00AA04CF"/>
    <w:rsid w:val="00AA077D"/>
    <w:rsid w:val="00AA1274"/>
    <w:rsid w:val="00AA2AA5"/>
    <w:rsid w:val="00AA4438"/>
    <w:rsid w:val="00AA6BE9"/>
    <w:rsid w:val="00AA7366"/>
    <w:rsid w:val="00AB3B45"/>
    <w:rsid w:val="00AB57E3"/>
    <w:rsid w:val="00AC09F9"/>
    <w:rsid w:val="00AC16AC"/>
    <w:rsid w:val="00AC65FF"/>
    <w:rsid w:val="00AC6799"/>
    <w:rsid w:val="00AC6972"/>
    <w:rsid w:val="00AC6BA6"/>
    <w:rsid w:val="00AC74A9"/>
    <w:rsid w:val="00AD0361"/>
    <w:rsid w:val="00AD0AD7"/>
    <w:rsid w:val="00AD2EC7"/>
    <w:rsid w:val="00AD472E"/>
    <w:rsid w:val="00AD4844"/>
    <w:rsid w:val="00AD5A8C"/>
    <w:rsid w:val="00AD60B0"/>
    <w:rsid w:val="00AD7744"/>
    <w:rsid w:val="00AE0338"/>
    <w:rsid w:val="00AE333D"/>
    <w:rsid w:val="00AE3F7B"/>
    <w:rsid w:val="00AE408D"/>
    <w:rsid w:val="00AF2B6D"/>
    <w:rsid w:val="00AF490E"/>
    <w:rsid w:val="00AF4F1E"/>
    <w:rsid w:val="00B0080A"/>
    <w:rsid w:val="00B101DC"/>
    <w:rsid w:val="00B10790"/>
    <w:rsid w:val="00B10AC4"/>
    <w:rsid w:val="00B13D38"/>
    <w:rsid w:val="00B1409B"/>
    <w:rsid w:val="00B14FE0"/>
    <w:rsid w:val="00B20423"/>
    <w:rsid w:val="00B206CA"/>
    <w:rsid w:val="00B248BB"/>
    <w:rsid w:val="00B24AC2"/>
    <w:rsid w:val="00B25286"/>
    <w:rsid w:val="00B264B2"/>
    <w:rsid w:val="00B278A2"/>
    <w:rsid w:val="00B31421"/>
    <w:rsid w:val="00B322D9"/>
    <w:rsid w:val="00B347C1"/>
    <w:rsid w:val="00B3647B"/>
    <w:rsid w:val="00B37110"/>
    <w:rsid w:val="00B41761"/>
    <w:rsid w:val="00B447BD"/>
    <w:rsid w:val="00B4650C"/>
    <w:rsid w:val="00B47869"/>
    <w:rsid w:val="00B5080E"/>
    <w:rsid w:val="00B50D06"/>
    <w:rsid w:val="00B51A2F"/>
    <w:rsid w:val="00B52052"/>
    <w:rsid w:val="00B54C54"/>
    <w:rsid w:val="00B625AB"/>
    <w:rsid w:val="00B62CE4"/>
    <w:rsid w:val="00B65BD2"/>
    <w:rsid w:val="00B668C1"/>
    <w:rsid w:val="00B70943"/>
    <w:rsid w:val="00B71378"/>
    <w:rsid w:val="00B75046"/>
    <w:rsid w:val="00B7552C"/>
    <w:rsid w:val="00B757A0"/>
    <w:rsid w:val="00B75886"/>
    <w:rsid w:val="00B7747C"/>
    <w:rsid w:val="00B77C0F"/>
    <w:rsid w:val="00B8015E"/>
    <w:rsid w:val="00B82120"/>
    <w:rsid w:val="00B84F30"/>
    <w:rsid w:val="00B86A95"/>
    <w:rsid w:val="00B9022F"/>
    <w:rsid w:val="00B9025A"/>
    <w:rsid w:val="00B939A3"/>
    <w:rsid w:val="00B9488D"/>
    <w:rsid w:val="00B949A4"/>
    <w:rsid w:val="00B96842"/>
    <w:rsid w:val="00B96D15"/>
    <w:rsid w:val="00B97F4A"/>
    <w:rsid w:val="00BA446D"/>
    <w:rsid w:val="00BA4712"/>
    <w:rsid w:val="00BA5C1D"/>
    <w:rsid w:val="00BA659B"/>
    <w:rsid w:val="00BA695D"/>
    <w:rsid w:val="00BA6D10"/>
    <w:rsid w:val="00BB01F6"/>
    <w:rsid w:val="00BB0FA2"/>
    <w:rsid w:val="00BB3BBF"/>
    <w:rsid w:val="00BB4470"/>
    <w:rsid w:val="00BC6453"/>
    <w:rsid w:val="00BD00E1"/>
    <w:rsid w:val="00BD0125"/>
    <w:rsid w:val="00BD2BD2"/>
    <w:rsid w:val="00BE0F05"/>
    <w:rsid w:val="00BE1B62"/>
    <w:rsid w:val="00BE2874"/>
    <w:rsid w:val="00BE29C5"/>
    <w:rsid w:val="00BE31EB"/>
    <w:rsid w:val="00BE4DCF"/>
    <w:rsid w:val="00BF2191"/>
    <w:rsid w:val="00BF2ADB"/>
    <w:rsid w:val="00BF2E29"/>
    <w:rsid w:val="00BF6397"/>
    <w:rsid w:val="00BF7ECE"/>
    <w:rsid w:val="00C054AE"/>
    <w:rsid w:val="00C06ECF"/>
    <w:rsid w:val="00C10D3E"/>
    <w:rsid w:val="00C11454"/>
    <w:rsid w:val="00C226E0"/>
    <w:rsid w:val="00C23D9A"/>
    <w:rsid w:val="00C27ADC"/>
    <w:rsid w:val="00C325BE"/>
    <w:rsid w:val="00C329EB"/>
    <w:rsid w:val="00C4049C"/>
    <w:rsid w:val="00C4210F"/>
    <w:rsid w:val="00C44422"/>
    <w:rsid w:val="00C45683"/>
    <w:rsid w:val="00C46F74"/>
    <w:rsid w:val="00C477D1"/>
    <w:rsid w:val="00C51253"/>
    <w:rsid w:val="00C5710C"/>
    <w:rsid w:val="00C57D7C"/>
    <w:rsid w:val="00C61D00"/>
    <w:rsid w:val="00C6463A"/>
    <w:rsid w:val="00C649A1"/>
    <w:rsid w:val="00C64B7E"/>
    <w:rsid w:val="00C66727"/>
    <w:rsid w:val="00C7048C"/>
    <w:rsid w:val="00C73466"/>
    <w:rsid w:val="00C756D3"/>
    <w:rsid w:val="00C81078"/>
    <w:rsid w:val="00C82019"/>
    <w:rsid w:val="00C83833"/>
    <w:rsid w:val="00C851DA"/>
    <w:rsid w:val="00C85F42"/>
    <w:rsid w:val="00C92ADA"/>
    <w:rsid w:val="00C95937"/>
    <w:rsid w:val="00CA1470"/>
    <w:rsid w:val="00CA2D29"/>
    <w:rsid w:val="00CA36A0"/>
    <w:rsid w:val="00CA68C9"/>
    <w:rsid w:val="00CA6A7B"/>
    <w:rsid w:val="00CA6A8D"/>
    <w:rsid w:val="00CA6BEA"/>
    <w:rsid w:val="00CB459D"/>
    <w:rsid w:val="00CC2443"/>
    <w:rsid w:val="00CC2DF6"/>
    <w:rsid w:val="00CC3A83"/>
    <w:rsid w:val="00CC6BA6"/>
    <w:rsid w:val="00CC6DB7"/>
    <w:rsid w:val="00CC758D"/>
    <w:rsid w:val="00CC785B"/>
    <w:rsid w:val="00CD3ABD"/>
    <w:rsid w:val="00CD4ABD"/>
    <w:rsid w:val="00CD6EDF"/>
    <w:rsid w:val="00CE01DE"/>
    <w:rsid w:val="00CE0A9F"/>
    <w:rsid w:val="00CE3923"/>
    <w:rsid w:val="00CE615F"/>
    <w:rsid w:val="00CE7571"/>
    <w:rsid w:val="00CF1FD5"/>
    <w:rsid w:val="00CF2953"/>
    <w:rsid w:val="00CF3857"/>
    <w:rsid w:val="00CF6BBD"/>
    <w:rsid w:val="00CF6FE1"/>
    <w:rsid w:val="00D00DD8"/>
    <w:rsid w:val="00D03797"/>
    <w:rsid w:val="00D05D2C"/>
    <w:rsid w:val="00D0748B"/>
    <w:rsid w:val="00D076A1"/>
    <w:rsid w:val="00D07FE4"/>
    <w:rsid w:val="00D107E4"/>
    <w:rsid w:val="00D126A3"/>
    <w:rsid w:val="00D13FEB"/>
    <w:rsid w:val="00D150F0"/>
    <w:rsid w:val="00D151C7"/>
    <w:rsid w:val="00D242C4"/>
    <w:rsid w:val="00D24424"/>
    <w:rsid w:val="00D25392"/>
    <w:rsid w:val="00D269D8"/>
    <w:rsid w:val="00D336DA"/>
    <w:rsid w:val="00D34916"/>
    <w:rsid w:val="00D34FB7"/>
    <w:rsid w:val="00D35E74"/>
    <w:rsid w:val="00D408A6"/>
    <w:rsid w:val="00D40F17"/>
    <w:rsid w:val="00D40FEA"/>
    <w:rsid w:val="00D4319A"/>
    <w:rsid w:val="00D50662"/>
    <w:rsid w:val="00D52426"/>
    <w:rsid w:val="00D525E5"/>
    <w:rsid w:val="00D53570"/>
    <w:rsid w:val="00D54296"/>
    <w:rsid w:val="00D548C6"/>
    <w:rsid w:val="00D564BC"/>
    <w:rsid w:val="00D61153"/>
    <w:rsid w:val="00D626B4"/>
    <w:rsid w:val="00D62DA7"/>
    <w:rsid w:val="00D63180"/>
    <w:rsid w:val="00D66CA0"/>
    <w:rsid w:val="00D7009A"/>
    <w:rsid w:val="00D70807"/>
    <w:rsid w:val="00D729CF"/>
    <w:rsid w:val="00D7458E"/>
    <w:rsid w:val="00D74969"/>
    <w:rsid w:val="00D777BF"/>
    <w:rsid w:val="00D77EA1"/>
    <w:rsid w:val="00D8081B"/>
    <w:rsid w:val="00D80837"/>
    <w:rsid w:val="00D80AC2"/>
    <w:rsid w:val="00D829F9"/>
    <w:rsid w:val="00D852AF"/>
    <w:rsid w:val="00D877E8"/>
    <w:rsid w:val="00D909B4"/>
    <w:rsid w:val="00D91DA8"/>
    <w:rsid w:val="00D94F57"/>
    <w:rsid w:val="00D96C45"/>
    <w:rsid w:val="00D97EEA"/>
    <w:rsid w:val="00DA0BA3"/>
    <w:rsid w:val="00DA197A"/>
    <w:rsid w:val="00DA2037"/>
    <w:rsid w:val="00DA2095"/>
    <w:rsid w:val="00DA3F9E"/>
    <w:rsid w:val="00DA4615"/>
    <w:rsid w:val="00DA5E29"/>
    <w:rsid w:val="00DA723A"/>
    <w:rsid w:val="00DB0858"/>
    <w:rsid w:val="00DB1D62"/>
    <w:rsid w:val="00DB372A"/>
    <w:rsid w:val="00DB3942"/>
    <w:rsid w:val="00DB4466"/>
    <w:rsid w:val="00DB5607"/>
    <w:rsid w:val="00DC117D"/>
    <w:rsid w:val="00DC6F40"/>
    <w:rsid w:val="00DC7F03"/>
    <w:rsid w:val="00DD0AA0"/>
    <w:rsid w:val="00DD4843"/>
    <w:rsid w:val="00DD5477"/>
    <w:rsid w:val="00DD65B6"/>
    <w:rsid w:val="00DE116D"/>
    <w:rsid w:val="00DE16EE"/>
    <w:rsid w:val="00DE664B"/>
    <w:rsid w:val="00DE6737"/>
    <w:rsid w:val="00DF0C7F"/>
    <w:rsid w:val="00DF2655"/>
    <w:rsid w:val="00DF37C2"/>
    <w:rsid w:val="00DF439E"/>
    <w:rsid w:val="00DF6E1B"/>
    <w:rsid w:val="00DF7BC1"/>
    <w:rsid w:val="00E00363"/>
    <w:rsid w:val="00E02345"/>
    <w:rsid w:val="00E04302"/>
    <w:rsid w:val="00E14AF5"/>
    <w:rsid w:val="00E14EF3"/>
    <w:rsid w:val="00E16FAC"/>
    <w:rsid w:val="00E175D6"/>
    <w:rsid w:val="00E243C7"/>
    <w:rsid w:val="00E31134"/>
    <w:rsid w:val="00E31F9D"/>
    <w:rsid w:val="00E32121"/>
    <w:rsid w:val="00E33297"/>
    <w:rsid w:val="00E343C6"/>
    <w:rsid w:val="00E3497B"/>
    <w:rsid w:val="00E34C32"/>
    <w:rsid w:val="00E44A2F"/>
    <w:rsid w:val="00E45D43"/>
    <w:rsid w:val="00E45FCD"/>
    <w:rsid w:val="00E467FA"/>
    <w:rsid w:val="00E5034D"/>
    <w:rsid w:val="00E533C9"/>
    <w:rsid w:val="00E55E29"/>
    <w:rsid w:val="00E61117"/>
    <w:rsid w:val="00E61735"/>
    <w:rsid w:val="00E61F30"/>
    <w:rsid w:val="00E6544F"/>
    <w:rsid w:val="00E67CEE"/>
    <w:rsid w:val="00E70BC8"/>
    <w:rsid w:val="00E73850"/>
    <w:rsid w:val="00E739E9"/>
    <w:rsid w:val="00E7487F"/>
    <w:rsid w:val="00E77D86"/>
    <w:rsid w:val="00E80747"/>
    <w:rsid w:val="00E85377"/>
    <w:rsid w:val="00E904DF"/>
    <w:rsid w:val="00E92CA5"/>
    <w:rsid w:val="00E940DC"/>
    <w:rsid w:val="00E957E1"/>
    <w:rsid w:val="00E95AD7"/>
    <w:rsid w:val="00E95BC4"/>
    <w:rsid w:val="00E97667"/>
    <w:rsid w:val="00EA0A77"/>
    <w:rsid w:val="00EA27B8"/>
    <w:rsid w:val="00EB07AA"/>
    <w:rsid w:val="00EB35D3"/>
    <w:rsid w:val="00EB707E"/>
    <w:rsid w:val="00EB7550"/>
    <w:rsid w:val="00EC21C3"/>
    <w:rsid w:val="00ED2EE8"/>
    <w:rsid w:val="00ED4213"/>
    <w:rsid w:val="00ED4DC4"/>
    <w:rsid w:val="00ED5BED"/>
    <w:rsid w:val="00ED646B"/>
    <w:rsid w:val="00ED7809"/>
    <w:rsid w:val="00EE1667"/>
    <w:rsid w:val="00EE2BA6"/>
    <w:rsid w:val="00EE763E"/>
    <w:rsid w:val="00EF1292"/>
    <w:rsid w:val="00EF2F29"/>
    <w:rsid w:val="00EF39BB"/>
    <w:rsid w:val="00EF49DE"/>
    <w:rsid w:val="00F018F3"/>
    <w:rsid w:val="00F03714"/>
    <w:rsid w:val="00F04EBA"/>
    <w:rsid w:val="00F10118"/>
    <w:rsid w:val="00F12469"/>
    <w:rsid w:val="00F1278E"/>
    <w:rsid w:val="00F1279F"/>
    <w:rsid w:val="00F171B7"/>
    <w:rsid w:val="00F17F8F"/>
    <w:rsid w:val="00F231D2"/>
    <w:rsid w:val="00F2467B"/>
    <w:rsid w:val="00F25886"/>
    <w:rsid w:val="00F26794"/>
    <w:rsid w:val="00F26CA4"/>
    <w:rsid w:val="00F30D58"/>
    <w:rsid w:val="00F31E37"/>
    <w:rsid w:val="00F328E2"/>
    <w:rsid w:val="00F36CD4"/>
    <w:rsid w:val="00F42123"/>
    <w:rsid w:val="00F45D63"/>
    <w:rsid w:val="00F50430"/>
    <w:rsid w:val="00F50DB3"/>
    <w:rsid w:val="00F5341A"/>
    <w:rsid w:val="00F54550"/>
    <w:rsid w:val="00F6052F"/>
    <w:rsid w:val="00F60949"/>
    <w:rsid w:val="00F64BBA"/>
    <w:rsid w:val="00F74986"/>
    <w:rsid w:val="00F80933"/>
    <w:rsid w:val="00F80FBA"/>
    <w:rsid w:val="00F810B2"/>
    <w:rsid w:val="00F81B3F"/>
    <w:rsid w:val="00F82B75"/>
    <w:rsid w:val="00F83FCF"/>
    <w:rsid w:val="00F8442C"/>
    <w:rsid w:val="00F87AD1"/>
    <w:rsid w:val="00F902F6"/>
    <w:rsid w:val="00F91570"/>
    <w:rsid w:val="00F919B8"/>
    <w:rsid w:val="00F91FA5"/>
    <w:rsid w:val="00F9470F"/>
    <w:rsid w:val="00F95C39"/>
    <w:rsid w:val="00F96758"/>
    <w:rsid w:val="00FA0E47"/>
    <w:rsid w:val="00FA16EC"/>
    <w:rsid w:val="00FA5565"/>
    <w:rsid w:val="00FA6F9C"/>
    <w:rsid w:val="00FB305C"/>
    <w:rsid w:val="00FB379F"/>
    <w:rsid w:val="00FB5077"/>
    <w:rsid w:val="00FB50B7"/>
    <w:rsid w:val="00FB55DC"/>
    <w:rsid w:val="00FC06E4"/>
    <w:rsid w:val="00FC4704"/>
    <w:rsid w:val="00FC4FA0"/>
    <w:rsid w:val="00FC7FB6"/>
    <w:rsid w:val="00FD095D"/>
    <w:rsid w:val="00FD0F44"/>
    <w:rsid w:val="00FD1713"/>
    <w:rsid w:val="00FD30D0"/>
    <w:rsid w:val="00FD5DDB"/>
    <w:rsid w:val="00FD7152"/>
    <w:rsid w:val="00FE0280"/>
    <w:rsid w:val="00FE0542"/>
    <w:rsid w:val="00FE3103"/>
    <w:rsid w:val="00FE422D"/>
    <w:rsid w:val="00FE654A"/>
    <w:rsid w:val="00FE6F1A"/>
    <w:rsid w:val="00FF0353"/>
    <w:rsid w:val="00FF0CEF"/>
    <w:rsid w:val="00FF5FB9"/>
    <w:rsid w:val="00FF6FE4"/>
    <w:rsid w:val="00FF77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5FC70E"/>
  <w15:docId w15:val="{2FBB8196-FD9F-4D59-A287-F114FF890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2EB"/>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A912EB"/>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A912E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A912E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A912E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A912EB"/>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A912E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A912E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A912EB"/>
    <w:pPr>
      <w:ind w:left="993"/>
      <w:outlineLvl w:val="7"/>
    </w:pPr>
    <w:rPr>
      <w:color w:val="321547"/>
      <w:szCs w:val="22"/>
      <w:u w:val="dotDotDash"/>
    </w:rPr>
  </w:style>
  <w:style w:type="paragraph" w:styleId="Ttulo9">
    <w:name w:val="heading 9"/>
    <w:basedOn w:val="Ttulo8"/>
    <w:next w:val="Normal"/>
    <w:link w:val="Ttulo9Car"/>
    <w:uiPriority w:val="9"/>
    <w:unhideWhenUsed/>
    <w:qFormat/>
    <w:rsid w:val="00A912E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A912E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A912EB"/>
  </w:style>
  <w:style w:type="paragraph" w:styleId="Encabezado">
    <w:name w:val="header"/>
    <w:basedOn w:val="Normal"/>
    <w:link w:val="EncabezadoCar"/>
    <w:uiPriority w:val="99"/>
    <w:unhideWhenUsed/>
    <w:rsid w:val="00A912EB"/>
    <w:pPr>
      <w:tabs>
        <w:tab w:val="center" w:pos="4252"/>
        <w:tab w:val="right" w:pos="8504"/>
      </w:tabs>
    </w:pPr>
  </w:style>
  <w:style w:type="character" w:customStyle="1" w:styleId="HeaderChar">
    <w:name w:val="Header Char"/>
    <w:basedOn w:val="Fuentedeprrafopredeter"/>
    <w:uiPriority w:val="99"/>
    <w:rsid w:val="00A912EB"/>
    <w:rPr>
      <w:rFonts w:ascii="Garamond" w:hAnsi="Garamond"/>
      <w:lang w:val="es-ES"/>
    </w:rPr>
  </w:style>
  <w:style w:type="character" w:customStyle="1" w:styleId="FooterChar">
    <w:name w:val="Footer Char"/>
    <w:basedOn w:val="Fuentedeprrafopredeter"/>
    <w:uiPriority w:val="99"/>
    <w:rsid w:val="00A912EB"/>
    <w:rPr>
      <w:rFonts w:ascii="Garamond" w:hAnsi="Garamond"/>
      <w:lang w:val="es-ES"/>
    </w:rPr>
  </w:style>
  <w:style w:type="table" w:styleId="Tablaconcuadrcula">
    <w:name w:val="Table Grid"/>
    <w:basedOn w:val="Tablanormal"/>
    <w:uiPriority w:val="39"/>
    <w:rsid w:val="00A91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A912EB"/>
    <w:rPr>
      <w:color w:val="808080"/>
    </w:rPr>
  </w:style>
  <w:style w:type="paragraph" w:styleId="Ttulo">
    <w:name w:val="Title"/>
    <w:basedOn w:val="Normal"/>
    <w:next w:val="Normal"/>
    <w:link w:val="TtuloCar"/>
    <w:uiPriority w:val="10"/>
    <w:qFormat/>
    <w:rsid w:val="00A912E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A912E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A912E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A912EB"/>
    <w:pPr>
      <w:numPr>
        <w:ilvl w:val="1"/>
        <w:numId w:val="1"/>
      </w:numPr>
      <w:spacing w:after="100"/>
      <w:ind w:left="1049" w:hanging="198"/>
      <w:contextualSpacing/>
    </w:pPr>
  </w:style>
  <w:style w:type="character" w:customStyle="1" w:styleId="Heading2Char">
    <w:name w:val="Heading 2 Char"/>
    <w:basedOn w:val="Fuentedeprrafopredeter"/>
    <w:uiPriority w:val="9"/>
    <w:rsid w:val="00A912E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A912EB"/>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A912E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A912EB"/>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A912EB"/>
    <w:rPr>
      <w:color w:val="0563C1" w:themeColor="hyperlink"/>
      <w:u w:val="single"/>
    </w:rPr>
  </w:style>
  <w:style w:type="character" w:customStyle="1" w:styleId="Heading3Char">
    <w:name w:val="Heading 3 Char"/>
    <w:basedOn w:val="Fuentedeprrafopredeter"/>
    <w:uiPriority w:val="9"/>
    <w:rsid w:val="00A912EB"/>
    <w:rPr>
      <w:rFonts w:ascii="Garamond" w:hAnsi="Garamond"/>
      <w:i/>
      <w:iCs/>
      <w:color w:val="5F2987"/>
      <w:u w:val="single"/>
      <w:lang w:val="es-ES"/>
    </w:rPr>
  </w:style>
  <w:style w:type="paragraph" w:styleId="TDC3">
    <w:name w:val="toc 3"/>
    <w:basedOn w:val="Normal"/>
    <w:next w:val="FinTDC"/>
    <w:autoRedefine/>
    <w:uiPriority w:val="39"/>
    <w:unhideWhenUsed/>
    <w:rsid w:val="00A912E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A912E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A912E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A912EB"/>
    <w:rPr>
      <w:color w:val="FFFFFF" w:themeColor="text1" w:themeTint="80"/>
      <w:sz w:val="16"/>
    </w:rPr>
  </w:style>
  <w:style w:type="character" w:customStyle="1" w:styleId="NocantarChar">
    <w:name w:val="No cantar Char"/>
    <w:basedOn w:val="Fuentedeprrafopredeter"/>
    <w:link w:val="Nocantar"/>
    <w:rsid w:val="00A912EB"/>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A912EB"/>
    <w:pPr>
      <w:numPr>
        <w:numId w:val="0"/>
      </w:numPr>
      <w:ind w:firstLine="142"/>
    </w:pPr>
  </w:style>
  <w:style w:type="character" w:customStyle="1" w:styleId="IntroduccinyconclusinChar">
    <w:name w:val="Introducción y conclusión Char"/>
    <w:basedOn w:val="Ttulo1Car"/>
    <w:link w:val="Introduccinyconclusin"/>
    <w:rsid w:val="00A912EB"/>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A912EB"/>
    <w:pPr>
      <w:numPr>
        <w:numId w:val="3"/>
      </w:numPr>
    </w:pPr>
  </w:style>
  <w:style w:type="paragraph" w:customStyle="1" w:styleId="Nivel1">
    <w:name w:val="Nivel 1"/>
    <w:basedOn w:val="Normal"/>
    <w:qFormat/>
    <w:rsid w:val="00A912EB"/>
    <w:pPr>
      <w:numPr>
        <w:numId w:val="1"/>
      </w:numPr>
      <w:spacing w:before="100" w:after="100"/>
      <w:ind w:left="623" w:hanging="198"/>
    </w:pPr>
  </w:style>
  <w:style w:type="paragraph" w:customStyle="1" w:styleId="Nivel3">
    <w:name w:val="Nivel 3"/>
    <w:basedOn w:val="Nivel2"/>
    <w:link w:val="Nivel3Car"/>
    <w:qFormat/>
    <w:rsid w:val="00A912EB"/>
    <w:pPr>
      <w:numPr>
        <w:ilvl w:val="2"/>
      </w:numPr>
      <w:spacing w:after="0"/>
      <w:ind w:left="1474" w:hanging="198"/>
    </w:pPr>
  </w:style>
  <w:style w:type="paragraph" w:customStyle="1" w:styleId="Letra">
    <w:name w:val="Letra"/>
    <w:basedOn w:val="Nivel1"/>
    <w:qFormat/>
    <w:rsid w:val="00A912EB"/>
    <w:pPr>
      <w:numPr>
        <w:numId w:val="4"/>
      </w:numPr>
      <w:spacing w:before="0" w:after="40"/>
      <w:ind w:left="936" w:hanging="227"/>
    </w:pPr>
  </w:style>
  <w:style w:type="paragraph" w:customStyle="1" w:styleId="Nmero">
    <w:name w:val="Número"/>
    <w:basedOn w:val="Normal"/>
    <w:qFormat/>
    <w:rsid w:val="00A912EB"/>
    <w:pPr>
      <w:numPr>
        <w:numId w:val="5"/>
      </w:numPr>
      <w:spacing w:after="40"/>
      <w:ind w:left="936" w:hanging="227"/>
    </w:pPr>
  </w:style>
  <w:style w:type="paragraph" w:styleId="Textodeglobo">
    <w:name w:val="Balloon Text"/>
    <w:basedOn w:val="Normal"/>
    <w:link w:val="TextodegloboCar"/>
    <w:uiPriority w:val="99"/>
    <w:semiHidden/>
    <w:unhideWhenUsed/>
    <w:rsid w:val="00A912EB"/>
    <w:rPr>
      <w:rFonts w:ascii="Segoe UI" w:hAnsi="Segoe UI" w:cs="Segoe UI"/>
      <w:sz w:val="18"/>
      <w:szCs w:val="18"/>
    </w:rPr>
  </w:style>
  <w:style w:type="character" w:customStyle="1" w:styleId="BalloonTextChar">
    <w:name w:val="Balloon Text Char"/>
    <w:basedOn w:val="Fuentedeprrafopredeter"/>
    <w:uiPriority w:val="99"/>
    <w:semiHidden/>
    <w:rsid w:val="00A912EB"/>
    <w:rPr>
      <w:rFonts w:ascii="Segoe UI" w:hAnsi="Segoe UI" w:cs="Segoe UI"/>
      <w:sz w:val="18"/>
      <w:szCs w:val="18"/>
      <w:lang w:val="es-ES"/>
    </w:rPr>
  </w:style>
  <w:style w:type="paragraph" w:customStyle="1" w:styleId="Notaalopositor">
    <w:name w:val="Nota al opositor"/>
    <w:basedOn w:val="Normal"/>
    <w:link w:val="NotaalopositorChar"/>
    <w:qFormat/>
    <w:rsid w:val="00A912E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A912EB"/>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A912EB"/>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A912EB"/>
    <w:rPr>
      <w:rFonts w:ascii="Garamond" w:hAnsi="Garamond"/>
      <w:sz w:val="16"/>
      <w:szCs w:val="20"/>
      <w:lang w:val="es-ES"/>
    </w:rPr>
  </w:style>
  <w:style w:type="character" w:styleId="Refdenotaalpie">
    <w:name w:val="footnote reference"/>
    <w:basedOn w:val="Fuentedeprrafopredeter"/>
    <w:uiPriority w:val="99"/>
    <w:unhideWhenUsed/>
    <w:rsid w:val="00A912EB"/>
    <w:rPr>
      <w:vertAlign w:val="superscript"/>
    </w:rPr>
  </w:style>
  <w:style w:type="character" w:customStyle="1" w:styleId="Heading6Char">
    <w:name w:val="Heading 6 Char"/>
    <w:basedOn w:val="Fuentedeprrafopredeter"/>
    <w:uiPriority w:val="9"/>
    <w:semiHidden/>
    <w:rsid w:val="00A912E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A912EB"/>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A912EB"/>
    <w:rPr>
      <w:rFonts w:ascii="Garamond" w:eastAsiaTheme="minorEastAsia" w:hAnsi="Garamond"/>
      <w:smallCaps/>
      <w:color w:val="FFFFFF" w:themeColor="text1" w:themeTint="A5"/>
      <w:lang w:val="es-ES"/>
    </w:rPr>
  </w:style>
  <w:style w:type="paragraph" w:customStyle="1" w:styleId="Nivel1SM">
    <w:name w:val="Nivel 1 SM"/>
    <w:basedOn w:val="Nivel1"/>
    <w:qFormat/>
    <w:rsid w:val="00A912EB"/>
    <w:pPr>
      <w:ind w:left="0"/>
    </w:pPr>
  </w:style>
  <w:style w:type="paragraph" w:customStyle="1" w:styleId="Nivel2SM">
    <w:name w:val="Nivel 2 SM"/>
    <w:basedOn w:val="Nivel2"/>
    <w:qFormat/>
    <w:rsid w:val="00A912EB"/>
    <w:pPr>
      <w:ind w:left="567"/>
    </w:pPr>
  </w:style>
  <w:style w:type="paragraph" w:customStyle="1" w:styleId="Nivel3SM">
    <w:name w:val="Nivel 3 SM"/>
    <w:basedOn w:val="Nivel3"/>
    <w:qFormat/>
    <w:rsid w:val="00A912EB"/>
    <w:pPr>
      <w:ind w:left="963"/>
    </w:pPr>
  </w:style>
  <w:style w:type="paragraph" w:styleId="Encabezadodelista">
    <w:name w:val="toa heading"/>
    <w:basedOn w:val="Normal"/>
    <w:next w:val="Normal"/>
    <w:uiPriority w:val="99"/>
    <w:semiHidden/>
    <w:unhideWhenUsed/>
    <w:rsid w:val="00A912E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A912E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A912E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A912EB"/>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A912EB"/>
    <w:rPr>
      <w:rFonts w:ascii="Palatino Linotype" w:hAnsi="Palatino Linotype"/>
      <w:lang w:val="es-ES"/>
    </w:rPr>
  </w:style>
  <w:style w:type="character" w:customStyle="1" w:styleId="TtuloCar">
    <w:name w:val="Título Car"/>
    <w:basedOn w:val="Fuentedeprrafopredeter"/>
    <w:link w:val="Ttulo"/>
    <w:uiPriority w:val="10"/>
    <w:rsid w:val="00A912EB"/>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A912EB"/>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A912EB"/>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A912EB"/>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A912EB"/>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A912EB"/>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A912EB"/>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A912EB"/>
    <w:rPr>
      <w:rFonts w:ascii="Palatino Linotype" w:hAnsi="Palatino Linotype"/>
      <w:sz w:val="16"/>
      <w:szCs w:val="20"/>
      <w:lang w:val="es-ES"/>
    </w:rPr>
  </w:style>
  <w:style w:type="character" w:customStyle="1" w:styleId="Ttulo6Car">
    <w:name w:val="Título 6 Car"/>
    <w:basedOn w:val="Fuentedeprrafopredeter"/>
    <w:link w:val="Ttulo6"/>
    <w:uiPriority w:val="9"/>
    <w:rsid w:val="00A912EB"/>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A912EB"/>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A912EB"/>
    <w:rPr>
      <w:color w:val="605E5C"/>
      <w:shd w:val="clear" w:color="auto" w:fill="E1DFDD"/>
    </w:rPr>
  </w:style>
  <w:style w:type="character" w:customStyle="1" w:styleId="Ttulo7Car">
    <w:name w:val="Título 7 Car"/>
    <w:basedOn w:val="Fuentedeprrafopredeter"/>
    <w:link w:val="Ttulo7"/>
    <w:uiPriority w:val="9"/>
    <w:rsid w:val="00A912EB"/>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A912E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A912E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A912E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A912EB"/>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A912EB"/>
    <w:pPr>
      <w:spacing w:line="240" w:lineRule="auto"/>
      <w:ind w:left="567" w:hanging="567"/>
    </w:pPr>
  </w:style>
  <w:style w:type="character" w:styleId="Hipervnculovisitado">
    <w:name w:val="FollowedHyperlink"/>
    <w:basedOn w:val="Fuentedeprrafopredeter"/>
    <w:uiPriority w:val="99"/>
    <w:semiHidden/>
    <w:unhideWhenUsed/>
    <w:rsid w:val="00A45424"/>
    <w:rPr>
      <w:color w:val="954F72" w:themeColor="followedHyperlink"/>
      <w:u w:val="single"/>
    </w:rPr>
  </w:style>
  <w:style w:type="character" w:styleId="Refdecomentario">
    <w:name w:val="annotation reference"/>
    <w:basedOn w:val="Fuentedeprrafopredeter"/>
    <w:uiPriority w:val="99"/>
    <w:semiHidden/>
    <w:unhideWhenUsed/>
    <w:rsid w:val="00486830"/>
    <w:rPr>
      <w:sz w:val="16"/>
      <w:szCs w:val="16"/>
    </w:rPr>
  </w:style>
  <w:style w:type="paragraph" w:styleId="Textocomentario">
    <w:name w:val="annotation text"/>
    <w:basedOn w:val="Normal"/>
    <w:link w:val="TextocomentarioCar"/>
    <w:uiPriority w:val="99"/>
    <w:semiHidden/>
    <w:unhideWhenUsed/>
    <w:rsid w:val="0048683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86830"/>
    <w:rPr>
      <w:rFonts w:ascii="PalatinoLinotype-Roman" w:hAnsi="PalatinoLinotype-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486830"/>
    <w:rPr>
      <w:b/>
      <w:bCs/>
    </w:rPr>
  </w:style>
  <w:style w:type="character" w:customStyle="1" w:styleId="AsuntodelcomentarioCar">
    <w:name w:val="Asunto del comentario Car"/>
    <w:basedOn w:val="TextocomentarioCar"/>
    <w:link w:val="Asuntodelcomentario"/>
    <w:uiPriority w:val="99"/>
    <w:semiHidden/>
    <w:rsid w:val="00486830"/>
    <w:rPr>
      <w:rFonts w:ascii="PalatinoLinotype-Roman" w:hAnsi="PalatinoLinotype-Roman"/>
      <w:b/>
      <w:bCs/>
      <w:sz w:val="20"/>
      <w:szCs w:val="20"/>
      <w:lang w:val="es-ES"/>
    </w:rPr>
  </w:style>
  <w:style w:type="paragraph" w:customStyle="1" w:styleId="Ttuloimagen">
    <w:name w:val="Título imagen"/>
    <w:basedOn w:val="PiedeImagen"/>
    <w:next w:val="Imagen"/>
    <w:link w:val="TtuloimagenCar"/>
    <w:qFormat/>
    <w:rsid w:val="00A912EB"/>
    <w:pPr>
      <w:keepNext/>
      <w:spacing w:after="0"/>
    </w:pPr>
    <w:rPr>
      <w:i w:val="0"/>
      <w:smallCaps/>
      <w:sz w:val="20"/>
    </w:rPr>
  </w:style>
  <w:style w:type="character" w:customStyle="1" w:styleId="TtuloimagenCar">
    <w:name w:val="Título imagen Car"/>
    <w:basedOn w:val="ImagenCar"/>
    <w:link w:val="Ttuloimagen"/>
    <w:rsid w:val="00A912EB"/>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A912EB"/>
    <w:pPr>
      <w:ind w:left="1100"/>
    </w:pPr>
  </w:style>
  <w:style w:type="character" w:customStyle="1" w:styleId="mwe-math-mathml-inline">
    <w:name w:val="mwe-math-mathml-inline"/>
    <w:basedOn w:val="Fuentedeprrafopredeter"/>
    <w:rsid w:val="00C054AE"/>
  </w:style>
  <w:style w:type="paragraph" w:styleId="Prrafodelista">
    <w:name w:val="List Paragraph"/>
    <w:basedOn w:val="Normal"/>
    <w:uiPriority w:val="34"/>
    <w:rsid w:val="00A912EB"/>
    <w:pPr>
      <w:ind w:left="720"/>
      <w:contextualSpacing/>
    </w:pPr>
  </w:style>
  <w:style w:type="character" w:customStyle="1" w:styleId="Ttulo8Car">
    <w:name w:val="Título 8 Car"/>
    <w:basedOn w:val="Fuentedeprrafopredeter"/>
    <w:link w:val="Ttulo8"/>
    <w:uiPriority w:val="9"/>
    <w:rsid w:val="00A912EB"/>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A912EB"/>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A912EB"/>
    <w:rPr>
      <w:rFonts w:eastAsiaTheme="minorEastAsia"/>
      <w:lang w:val="es-ES" w:eastAsia="es-ES"/>
    </w:rPr>
  </w:style>
  <w:style w:type="paragraph" w:customStyle="1" w:styleId="Nmeroromano">
    <w:name w:val="Número romano"/>
    <w:basedOn w:val="Prrafodelista"/>
    <w:qFormat/>
    <w:rsid w:val="00A912EB"/>
    <w:pPr>
      <w:numPr>
        <w:numId w:val="17"/>
      </w:numPr>
      <w:spacing w:after="100"/>
      <w:ind w:left="567" w:hanging="113"/>
    </w:pPr>
  </w:style>
  <w:style w:type="paragraph" w:customStyle="1" w:styleId="Saltodettulos">
    <w:name w:val="Salto de títulos"/>
    <w:basedOn w:val="Normal"/>
    <w:rsid w:val="00A912EB"/>
    <w:pPr>
      <w:spacing w:after="0" w:line="240" w:lineRule="auto"/>
    </w:pPr>
    <w:rPr>
      <w:color w:val="FFFFFF"/>
      <w:sz w:val="2"/>
    </w:rPr>
  </w:style>
  <w:style w:type="paragraph" w:styleId="TDC7">
    <w:name w:val="toc 7"/>
    <w:basedOn w:val="Normal"/>
    <w:next w:val="FinTDC"/>
    <w:autoRedefine/>
    <w:uiPriority w:val="39"/>
    <w:unhideWhenUsed/>
    <w:rsid w:val="00A912EB"/>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A912EB"/>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A912EB"/>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A912EB"/>
    <w:pPr>
      <w:spacing w:after="0" w:line="240" w:lineRule="auto"/>
      <w:jc w:val="left"/>
    </w:pPr>
    <w:rPr>
      <w:sz w:val="15"/>
    </w:rPr>
  </w:style>
  <w:style w:type="paragraph" w:styleId="TDC9">
    <w:name w:val="toc 9"/>
    <w:basedOn w:val="TDC8"/>
    <w:next w:val="FinTDC"/>
    <w:autoRedefine/>
    <w:uiPriority w:val="39"/>
    <w:semiHidden/>
    <w:unhideWhenUsed/>
    <w:rsid w:val="00A912EB"/>
    <w:pPr>
      <w:ind w:left="1760"/>
    </w:pPr>
  </w:style>
  <w:style w:type="paragraph" w:customStyle="1" w:styleId="Apartado0">
    <w:name w:val="Apartado 0"/>
    <w:basedOn w:val="Ttulo1"/>
    <w:next w:val="Normal"/>
    <w:link w:val="Apartado0Car"/>
    <w:qFormat/>
    <w:rsid w:val="00A912EB"/>
    <w:pPr>
      <w:numPr>
        <w:numId w:val="10"/>
      </w:numPr>
      <w:ind w:left="357" w:hanging="357"/>
    </w:pPr>
  </w:style>
  <w:style w:type="character" w:customStyle="1" w:styleId="Apartado0Car">
    <w:name w:val="Apartado 0 Car"/>
    <w:basedOn w:val="Ttulo1Car"/>
    <w:link w:val="Apartado0"/>
    <w:rsid w:val="00A912EB"/>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A912EB"/>
    <w:pPr>
      <w:numPr>
        <w:ilvl w:val="3"/>
      </w:numPr>
      <w:ind w:left="1899" w:hanging="198"/>
    </w:pPr>
  </w:style>
  <w:style w:type="paragraph" w:customStyle="1" w:styleId="Nivel5">
    <w:name w:val="Nivel 5"/>
    <w:basedOn w:val="Nivel4"/>
    <w:link w:val="Nivel5Car"/>
    <w:qFormat/>
    <w:rsid w:val="00A912EB"/>
    <w:pPr>
      <w:numPr>
        <w:ilvl w:val="4"/>
      </w:numPr>
      <w:ind w:left="2155" w:hanging="170"/>
    </w:pPr>
  </w:style>
  <w:style w:type="character" w:customStyle="1" w:styleId="Nivel2Car">
    <w:name w:val="Nivel 2 Car"/>
    <w:basedOn w:val="Fuentedeprrafopredeter"/>
    <w:link w:val="Nivel2"/>
    <w:rsid w:val="00A912EB"/>
    <w:rPr>
      <w:rFonts w:ascii="Palatino Linotype" w:hAnsi="Palatino Linotype"/>
      <w:lang w:val="es-ES"/>
    </w:rPr>
  </w:style>
  <w:style w:type="character" w:customStyle="1" w:styleId="Nivel3Car">
    <w:name w:val="Nivel 3 Car"/>
    <w:basedOn w:val="Nivel2Car"/>
    <w:link w:val="Nivel3"/>
    <w:rsid w:val="00A912EB"/>
    <w:rPr>
      <w:rFonts w:ascii="Palatino Linotype" w:hAnsi="Palatino Linotype"/>
      <w:lang w:val="es-ES"/>
    </w:rPr>
  </w:style>
  <w:style w:type="character" w:customStyle="1" w:styleId="Nivel4Car">
    <w:name w:val="Nivel 4 Car"/>
    <w:basedOn w:val="Nivel3Car"/>
    <w:link w:val="Nivel4"/>
    <w:rsid w:val="00A912EB"/>
    <w:rPr>
      <w:rFonts w:ascii="Palatino Linotype" w:hAnsi="Palatino Linotype"/>
      <w:lang w:val="es-ES"/>
    </w:rPr>
  </w:style>
  <w:style w:type="paragraph" w:customStyle="1" w:styleId="Nivel6">
    <w:name w:val="Nivel 6"/>
    <w:basedOn w:val="Nivel5"/>
    <w:link w:val="Nivel6Car"/>
    <w:qFormat/>
    <w:rsid w:val="00A912EB"/>
    <w:pPr>
      <w:numPr>
        <w:ilvl w:val="5"/>
      </w:numPr>
      <w:ind w:left="2438" w:hanging="227"/>
    </w:pPr>
  </w:style>
  <w:style w:type="character" w:customStyle="1" w:styleId="Nivel5Car">
    <w:name w:val="Nivel 5 Car"/>
    <w:basedOn w:val="Nivel4Car"/>
    <w:link w:val="Nivel5"/>
    <w:rsid w:val="00A912EB"/>
    <w:rPr>
      <w:rFonts w:ascii="Palatino Linotype" w:hAnsi="Palatino Linotype"/>
      <w:lang w:val="es-ES"/>
    </w:rPr>
  </w:style>
  <w:style w:type="paragraph" w:customStyle="1" w:styleId="Nivel7">
    <w:name w:val="Nivel 7"/>
    <w:basedOn w:val="Nivel5"/>
    <w:link w:val="Nivel7Car"/>
    <w:qFormat/>
    <w:rsid w:val="00A912EB"/>
    <w:pPr>
      <w:numPr>
        <w:ilvl w:val="6"/>
      </w:numPr>
      <w:ind w:left="2722" w:hanging="170"/>
    </w:pPr>
  </w:style>
  <w:style w:type="character" w:customStyle="1" w:styleId="Nivel6Car">
    <w:name w:val="Nivel 6 Car"/>
    <w:basedOn w:val="Nivel5Car"/>
    <w:link w:val="Nivel6"/>
    <w:rsid w:val="00A912EB"/>
    <w:rPr>
      <w:rFonts w:ascii="Palatino Linotype" w:hAnsi="Palatino Linotype"/>
      <w:lang w:val="es-ES"/>
    </w:rPr>
  </w:style>
  <w:style w:type="character" w:customStyle="1" w:styleId="Nivel7Car">
    <w:name w:val="Nivel 7 Car"/>
    <w:basedOn w:val="Nivel5Car"/>
    <w:link w:val="Nivel7"/>
    <w:rsid w:val="00A912EB"/>
    <w:rPr>
      <w:rFonts w:ascii="Palatino Linotype" w:hAnsi="Palatino Linotype"/>
      <w:lang w:val="es-ES"/>
    </w:rPr>
  </w:style>
  <w:style w:type="paragraph" w:styleId="Descripcin">
    <w:name w:val="caption"/>
    <w:basedOn w:val="Normal"/>
    <w:next w:val="Normal"/>
    <w:uiPriority w:val="35"/>
    <w:unhideWhenUsed/>
    <w:qFormat/>
    <w:rsid w:val="00A912EB"/>
    <w:pPr>
      <w:spacing w:after="200" w:line="240" w:lineRule="auto"/>
    </w:pPr>
    <w:rPr>
      <w:i/>
      <w:iCs/>
      <w:color w:val="44546A" w:themeColor="text2"/>
      <w:sz w:val="18"/>
      <w:szCs w:val="18"/>
    </w:rPr>
  </w:style>
  <w:style w:type="paragraph" w:customStyle="1" w:styleId="Ttulo10">
    <w:name w:val="Título 10"/>
    <w:basedOn w:val="Ttulo9"/>
    <w:link w:val="Ttulo10Car"/>
    <w:qFormat/>
    <w:rsid w:val="00A912EB"/>
    <w:pPr>
      <w:ind w:left="1276"/>
    </w:pPr>
    <w:rPr>
      <w:w w:val="97"/>
      <w:sz w:val="20"/>
    </w:rPr>
  </w:style>
  <w:style w:type="character" w:customStyle="1" w:styleId="Ttulo10Car">
    <w:name w:val="Título 10 Car"/>
    <w:basedOn w:val="Ttulo9Car"/>
    <w:link w:val="Ttulo10"/>
    <w:rsid w:val="00A912EB"/>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A912E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A912EB"/>
    <w:pPr>
      <w:numPr>
        <w:ilvl w:val="7"/>
      </w:numPr>
      <w:ind w:left="3005" w:hanging="170"/>
    </w:pPr>
  </w:style>
  <w:style w:type="character" w:customStyle="1" w:styleId="Nivel8Car">
    <w:name w:val="Nivel 8 Car"/>
    <w:basedOn w:val="Nivel7Car"/>
    <w:link w:val="Nivel8"/>
    <w:rsid w:val="00A912EB"/>
    <w:rPr>
      <w:rFonts w:ascii="Palatino Linotype" w:hAnsi="Palatino Linotype"/>
      <w:lang w:val="es-ES"/>
    </w:rPr>
  </w:style>
  <w:style w:type="paragraph" w:customStyle="1" w:styleId="Advertencia">
    <w:name w:val="Advertencia"/>
    <w:basedOn w:val="Normal"/>
    <w:next w:val="Normal"/>
    <w:link w:val="AdvertenciaCar"/>
    <w:qFormat/>
    <w:rsid w:val="00A912E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A912EB"/>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A912E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912EB"/>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A912EB"/>
    <w:rPr>
      <w:vertAlign w:val="superscript"/>
    </w:rPr>
  </w:style>
  <w:style w:type="paragraph" w:styleId="Piedepgina">
    <w:name w:val="footer"/>
    <w:basedOn w:val="Normal"/>
    <w:link w:val="PiedepginaCar"/>
    <w:uiPriority w:val="99"/>
    <w:unhideWhenUsed/>
    <w:qFormat/>
    <w:rsid w:val="00ED5B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5BED"/>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938950">
      <w:bodyDiv w:val="1"/>
      <w:marLeft w:val="0"/>
      <w:marRight w:val="0"/>
      <w:marTop w:val="0"/>
      <w:marBottom w:val="0"/>
      <w:divBdr>
        <w:top w:val="none" w:sz="0" w:space="0" w:color="auto"/>
        <w:left w:val="none" w:sz="0" w:space="0" w:color="auto"/>
        <w:bottom w:val="none" w:sz="0" w:space="0" w:color="auto"/>
        <w:right w:val="none" w:sz="0" w:space="0" w:color="auto"/>
      </w:divBdr>
    </w:div>
    <w:div w:id="129595249">
      <w:bodyDiv w:val="1"/>
      <w:marLeft w:val="0"/>
      <w:marRight w:val="0"/>
      <w:marTop w:val="0"/>
      <w:marBottom w:val="0"/>
      <w:divBdr>
        <w:top w:val="none" w:sz="0" w:space="0" w:color="auto"/>
        <w:left w:val="none" w:sz="0" w:space="0" w:color="auto"/>
        <w:bottom w:val="none" w:sz="0" w:space="0" w:color="auto"/>
        <w:right w:val="none" w:sz="0" w:space="0" w:color="auto"/>
      </w:divBdr>
      <w:divsChild>
        <w:div w:id="50931174">
          <w:marLeft w:val="480"/>
          <w:marRight w:val="0"/>
          <w:marTop w:val="0"/>
          <w:marBottom w:val="0"/>
          <w:divBdr>
            <w:top w:val="none" w:sz="0" w:space="0" w:color="auto"/>
            <w:left w:val="none" w:sz="0" w:space="0" w:color="auto"/>
            <w:bottom w:val="none" w:sz="0" w:space="0" w:color="auto"/>
            <w:right w:val="none" w:sz="0" w:space="0" w:color="auto"/>
          </w:divBdr>
          <w:divsChild>
            <w:div w:id="82208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3838">
      <w:bodyDiv w:val="1"/>
      <w:marLeft w:val="0"/>
      <w:marRight w:val="0"/>
      <w:marTop w:val="0"/>
      <w:marBottom w:val="0"/>
      <w:divBdr>
        <w:top w:val="none" w:sz="0" w:space="0" w:color="auto"/>
        <w:left w:val="none" w:sz="0" w:space="0" w:color="auto"/>
        <w:bottom w:val="none" w:sz="0" w:space="0" w:color="auto"/>
        <w:right w:val="none" w:sz="0" w:space="0" w:color="auto"/>
      </w:divBdr>
    </w:div>
    <w:div w:id="301423329">
      <w:bodyDiv w:val="1"/>
      <w:marLeft w:val="0"/>
      <w:marRight w:val="0"/>
      <w:marTop w:val="0"/>
      <w:marBottom w:val="0"/>
      <w:divBdr>
        <w:top w:val="none" w:sz="0" w:space="0" w:color="auto"/>
        <w:left w:val="none" w:sz="0" w:space="0" w:color="auto"/>
        <w:bottom w:val="none" w:sz="0" w:space="0" w:color="auto"/>
        <w:right w:val="none" w:sz="0" w:space="0" w:color="auto"/>
      </w:divBdr>
    </w:div>
    <w:div w:id="303316877">
      <w:bodyDiv w:val="1"/>
      <w:marLeft w:val="0"/>
      <w:marRight w:val="0"/>
      <w:marTop w:val="0"/>
      <w:marBottom w:val="0"/>
      <w:divBdr>
        <w:top w:val="none" w:sz="0" w:space="0" w:color="auto"/>
        <w:left w:val="none" w:sz="0" w:space="0" w:color="auto"/>
        <w:bottom w:val="none" w:sz="0" w:space="0" w:color="auto"/>
        <w:right w:val="none" w:sz="0" w:space="0" w:color="auto"/>
      </w:divBdr>
      <w:divsChild>
        <w:div w:id="36977672">
          <w:marLeft w:val="480"/>
          <w:marRight w:val="0"/>
          <w:marTop w:val="0"/>
          <w:marBottom w:val="0"/>
          <w:divBdr>
            <w:top w:val="none" w:sz="0" w:space="0" w:color="auto"/>
            <w:left w:val="none" w:sz="0" w:space="0" w:color="auto"/>
            <w:bottom w:val="none" w:sz="0" w:space="0" w:color="auto"/>
            <w:right w:val="none" w:sz="0" w:space="0" w:color="auto"/>
          </w:divBdr>
          <w:divsChild>
            <w:div w:id="93763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32089">
      <w:bodyDiv w:val="1"/>
      <w:marLeft w:val="0"/>
      <w:marRight w:val="0"/>
      <w:marTop w:val="0"/>
      <w:marBottom w:val="0"/>
      <w:divBdr>
        <w:top w:val="none" w:sz="0" w:space="0" w:color="auto"/>
        <w:left w:val="none" w:sz="0" w:space="0" w:color="auto"/>
        <w:bottom w:val="none" w:sz="0" w:space="0" w:color="auto"/>
        <w:right w:val="none" w:sz="0" w:space="0" w:color="auto"/>
      </w:divBdr>
      <w:divsChild>
        <w:div w:id="1868912750">
          <w:blockQuote w:val="1"/>
          <w:marLeft w:val="450"/>
          <w:marRight w:val="720"/>
          <w:marTop w:val="48"/>
          <w:marBottom w:val="96"/>
          <w:divBdr>
            <w:top w:val="none" w:sz="0" w:space="0" w:color="auto"/>
            <w:left w:val="single" w:sz="24" w:space="8" w:color="EAECF0"/>
            <w:bottom w:val="none" w:sz="0" w:space="0" w:color="auto"/>
            <w:right w:val="none" w:sz="0" w:space="0" w:color="auto"/>
          </w:divBdr>
        </w:div>
      </w:divsChild>
    </w:div>
    <w:div w:id="364209148">
      <w:bodyDiv w:val="1"/>
      <w:marLeft w:val="0"/>
      <w:marRight w:val="0"/>
      <w:marTop w:val="0"/>
      <w:marBottom w:val="0"/>
      <w:divBdr>
        <w:top w:val="none" w:sz="0" w:space="0" w:color="auto"/>
        <w:left w:val="none" w:sz="0" w:space="0" w:color="auto"/>
        <w:bottom w:val="none" w:sz="0" w:space="0" w:color="auto"/>
        <w:right w:val="none" w:sz="0" w:space="0" w:color="auto"/>
      </w:divBdr>
      <w:divsChild>
        <w:div w:id="37365596">
          <w:marLeft w:val="480"/>
          <w:marRight w:val="0"/>
          <w:marTop w:val="0"/>
          <w:marBottom w:val="0"/>
          <w:divBdr>
            <w:top w:val="none" w:sz="0" w:space="0" w:color="auto"/>
            <w:left w:val="none" w:sz="0" w:space="0" w:color="auto"/>
            <w:bottom w:val="none" w:sz="0" w:space="0" w:color="auto"/>
            <w:right w:val="none" w:sz="0" w:space="0" w:color="auto"/>
          </w:divBdr>
          <w:divsChild>
            <w:div w:id="17681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33798">
      <w:bodyDiv w:val="1"/>
      <w:marLeft w:val="0"/>
      <w:marRight w:val="0"/>
      <w:marTop w:val="0"/>
      <w:marBottom w:val="0"/>
      <w:divBdr>
        <w:top w:val="none" w:sz="0" w:space="0" w:color="auto"/>
        <w:left w:val="none" w:sz="0" w:space="0" w:color="auto"/>
        <w:bottom w:val="none" w:sz="0" w:space="0" w:color="auto"/>
        <w:right w:val="none" w:sz="0" w:space="0" w:color="auto"/>
      </w:divBdr>
      <w:divsChild>
        <w:div w:id="791706660">
          <w:marLeft w:val="480"/>
          <w:marRight w:val="0"/>
          <w:marTop w:val="0"/>
          <w:marBottom w:val="0"/>
          <w:divBdr>
            <w:top w:val="none" w:sz="0" w:space="0" w:color="auto"/>
            <w:left w:val="none" w:sz="0" w:space="0" w:color="auto"/>
            <w:bottom w:val="none" w:sz="0" w:space="0" w:color="auto"/>
            <w:right w:val="none" w:sz="0" w:space="0" w:color="auto"/>
          </w:divBdr>
          <w:divsChild>
            <w:div w:id="74641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397304">
      <w:bodyDiv w:val="1"/>
      <w:marLeft w:val="0"/>
      <w:marRight w:val="0"/>
      <w:marTop w:val="0"/>
      <w:marBottom w:val="0"/>
      <w:divBdr>
        <w:top w:val="none" w:sz="0" w:space="0" w:color="auto"/>
        <w:left w:val="none" w:sz="0" w:space="0" w:color="auto"/>
        <w:bottom w:val="none" w:sz="0" w:space="0" w:color="auto"/>
        <w:right w:val="none" w:sz="0" w:space="0" w:color="auto"/>
      </w:divBdr>
    </w:div>
    <w:div w:id="610674613">
      <w:bodyDiv w:val="1"/>
      <w:marLeft w:val="0"/>
      <w:marRight w:val="0"/>
      <w:marTop w:val="0"/>
      <w:marBottom w:val="0"/>
      <w:divBdr>
        <w:top w:val="none" w:sz="0" w:space="0" w:color="auto"/>
        <w:left w:val="none" w:sz="0" w:space="0" w:color="auto"/>
        <w:bottom w:val="none" w:sz="0" w:space="0" w:color="auto"/>
        <w:right w:val="none" w:sz="0" w:space="0" w:color="auto"/>
      </w:divBdr>
      <w:divsChild>
        <w:div w:id="1110080808">
          <w:marLeft w:val="480"/>
          <w:marRight w:val="0"/>
          <w:marTop w:val="0"/>
          <w:marBottom w:val="0"/>
          <w:divBdr>
            <w:top w:val="none" w:sz="0" w:space="0" w:color="auto"/>
            <w:left w:val="none" w:sz="0" w:space="0" w:color="auto"/>
            <w:bottom w:val="none" w:sz="0" w:space="0" w:color="auto"/>
            <w:right w:val="none" w:sz="0" w:space="0" w:color="auto"/>
          </w:divBdr>
          <w:divsChild>
            <w:div w:id="125980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47988">
      <w:bodyDiv w:val="1"/>
      <w:marLeft w:val="0"/>
      <w:marRight w:val="0"/>
      <w:marTop w:val="0"/>
      <w:marBottom w:val="0"/>
      <w:divBdr>
        <w:top w:val="none" w:sz="0" w:space="0" w:color="auto"/>
        <w:left w:val="none" w:sz="0" w:space="0" w:color="auto"/>
        <w:bottom w:val="none" w:sz="0" w:space="0" w:color="auto"/>
        <w:right w:val="none" w:sz="0" w:space="0" w:color="auto"/>
      </w:divBdr>
      <w:divsChild>
        <w:div w:id="6173477">
          <w:marLeft w:val="480"/>
          <w:marRight w:val="0"/>
          <w:marTop w:val="0"/>
          <w:marBottom w:val="0"/>
          <w:divBdr>
            <w:top w:val="none" w:sz="0" w:space="0" w:color="auto"/>
            <w:left w:val="none" w:sz="0" w:space="0" w:color="auto"/>
            <w:bottom w:val="none" w:sz="0" w:space="0" w:color="auto"/>
            <w:right w:val="none" w:sz="0" w:space="0" w:color="auto"/>
          </w:divBdr>
          <w:divsChild>
            <w:div w:id="109689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88150">
      <w:bodyDiv w:val="1"/>
      <w:marLeft w:val="0"/>
      <w:marRight w:val="0"/>
      <w:marTop w:val="0"/>
      <w:marBottom w:val="0"/>
      <w:divBdr>
        <w:top w:val="none" w:sz="0" w:space="0" w:color="auto"/>
        <w:left w:val="none" w:sz="0" w:space="0" w:color="auto"/>
        <w:bottom w:val="none" w:sz="0" w:space="0" w:color="auto"/>
        <w:right w:val="none" w:sz="0" w:space="0" w:color="auto"/>
      </w:divBdr>
    </w:div>
    <w:div w:id="864749258">
      <w:bodyDiv w:val="1"/>
      <w:marLeft w:val="0"/>
      <w:marRight w:val="0"/>
      <w:marTop w:val="0"/>
      <w:marBottom w:val="0"/>
      <w:divBdr>
        <w:top w:val="none" w:sz="0" w:space="0" w:color="auto"/>
        <w:left w:val="none" w:sz="0" w:space="0" w:color="auto"/>
        <w:bottom w:val="none" w:sz="0" w:space="0" w:color="auto"/>
        <w:right w:val="none" w:sz="0" w:space="0" w:color="auto"/>
      </w:divBdr>
    </w:div>
    <w:div w:id="909190667">
      <w:bodyDiv w:val="1"/>
      <w:marLeft w:val="0"/>
      <w:marRight w:val="0"/>
      <w:marTop w:val="0"/>
      <w:marBottom w:val="0"/>
      <w:divBdr>
        <w:top w:val="none" w:sz="0" w:space="0" w:color="auto"/>
        <w:left w:val="none" w:sz="0" w:space="0" w:color="auto"/>
        <w:bottom w:val="none" w:sz="0" w:space="0" w:color="auto"/>
        <w:right w:val="none" w:sz="0" w:space="0" w:color="auto"/>
      </w:divBdr>
    </w:div>
    <w:div w:id="935481261">
      <w:bodyDiv w:val="1"/>
      <w:marLeft w:val="0"/>
      <w:marRight w:val="0"/>
      <w:marTop w:val="0"/>
      <w:marBottom w:val="0"/>
      <w:divBdr>
        <w:top w:val="none" w:sz="0" w:space="0" w:color="auto"/>
        <w:left w:val="none" w:sz="0" w:space="0" w:color="auto"/>
        <w:bottom w:val="none" w:sz="0" w:space="0" w:color="auto"/>
        <w:right w:val="none" w:sz="0" w:space="0" w:color="auto"/>
      </w:divBdr>
      <w:divsChild>
        <w:div w:id="578059231">
          <w:marLeft w:val="480"/>
          <w:marRight w:val="0"/>
          <w:marTop w:val="0"/>
          <w:marBottom w:val="0"/>
          <w:divBdr>
            <w:top w:val="none" w:sz="0" w:space="0" w:color="auto"/>
            <w:left w:val="none" w:sz="0" w:space="0" w:color="auto"/>
            <w:bottom w:val="none" w:sz="0" w:space="0" w:color="auto"/>
            <w:right w:val="none" w:sz="0" w:space="0" w:color="auto"/>
          </w:divBdr>
          <w:divsChild>
            <w:div w:id="214670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367092">
      <w:bodyDiv w:val="1"/>
      <w:marLeft w:val="0"/>
      <w:marRight w:val="0"/>
      <w:marTop w:val="0"/>
      <w:marBottom w:val="0"/>
      <w:divBdr>
        <w:top w:val="none" w:sz="0" w:space="0" w:color="auto"/>
        <w:left w:val="none" w:sz="0" w:space="0" w:color="auto"/>
        <w:bottom w:val="none" w:sz="0" w:space="0" w:color="auto"/>
        <w:right w:val="none" w:sz="0" w:space="0" w:color="auto"/>
      </w:divBdr>
    </w:div>
    <w:div w:id="1224103761">
      <w:bodyDiv w:val="1"/>
      <w:marLeft w:val="0"/>
      <w:marRight w:val="0"/>
      <w:marTop w:val="0"/>
      <w:marBottom w:val="0"/>
      <w:divBdr>
        <w:top w:val="none" w:sz="0" w:space="0" w:color="auto"/>
        <w:left w:val="none" w:sz="0" w:space="0" w:color="auto"/>
        <w:bottom w:val="none" w:sz="0" w:space="0" w:color="auto"/>
        <w:right w:val="none" w:sz="0" w:space="0" w:color="auto"/>
      </w:divBdr>
      <w:divsChild>
        <w:div w:id="25376583">
          <w:marLeft w:val="480"/>
          <w:marRight w:val="0"/>
          <w:marTop w:val="0"/>
          <w:marBottom w:val="0"/>
          <w:divBdr>
            <w:top w:val="none" w:sz="0" w:space="0" w:color="auto"/>
            <w:left w:val="none" w:sz="0" w:space="0" w:color="auto"/>
            <w:bottom w:val="none" w:sz="0" w:space="0" w:color="auto"/>
            <w:right w:val="none" w:sz="0" w:space="0" w:color="auto"/>
          </w:divBdr>
          <w:divsChild>
            <w:div w:id="16358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08645">
      <w:bodyDiv w:val="1"/>
      <w:marLeft w:val="0"/>
      <w:marRight w:val="0"/>
      <w:marTop w:val="0"/>
      <w:marBottom w:val="0"/>
      <w:divBdr>
        <w:top w:val="none" w:sz="0" w:space="0" w:color="auto"/>
        <w:left w:val="none" w:sz="0" w:space="0" w:color="auto"/>
        <w:bottom w:val="none" w:sz="0" w:space="0" w:color="auto"/>
        <w:right w:val="none" w:sz="0" w:space="0" w:color="auto"/>
      </w:divBdr>
      <w:divsChild>
        <w:div w:id="1453011603">
          <w:marLeft w:val="480"/>
          <w:marRight w:val="0"/>
          <w:marTop w:val="0"/>
          <w:marBottom w:val="0"/>
          <w:divBdr>
            <w:top w:val="none" w:sz="0" w:space="0" w:color="auto"/>
            <w:left w:val="none" w:sz="0" w:space="0" w:color="auto"/>
            <w:bottom w:val="none" w:sz="0" w:space="0" w:color="auto"/>
            <w:right w:val="none" w:sz="0" w:space="0" w:color="auto"/>
          </w:divBdr>
          <w:divsChild>
            <w:div w:id="4076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15956">
      <w:bodyDiv w:val="1"/>
      <w:marLeft w:val="0"/>
      <w:marRight w:val="0"/>
      <w:marTop w:val="0"/>
      <w:marBottom w:val="0"/>
      <w:divBdr>
        <w:top w:val="none" w:sz="0" w:space="0" w:color="auto"/>
        <w:left w:val="none" w:sz="0" w:space="0" w:color="auto"/>
        <w:bottom w:val="none" w:sz="0" w:space="0" w:color="auto"/>
        <w:right w:val="none" w:sz="0" w:space="0" w:color="auto"/>
      </w:divBdr>
    </w:div>
    <w:div w:id="1286351772">
      <w:bodyDiv w:val="1"/>
      <w:marLeft w:val="0"/>
      <w:marRight w:val="0"/>
      <w:marTop w:val="0"/>
      <w:marBottom w:val="0"/>
      <w:divBdr>
        <w:top w:val="none" w:sz="0" w:space="0" w:color="auto"/>
        <w:left w:val="none" w:sz="0" w:space="0" w:color="auto"/>
        <w:bottom w:val="none" w:sz="0" w:space="0" w:color="auto"/>
        <w:right w:val="none" w:sz="0" w:space="0" w:color="auto"/>
      </w:divBdr>
      <w:divsChild>
        <w:div w:id="449318781">
          <w:marLeft w:val="480"/>
          <w:marRight w:val="0"/>
          <w:marTop w:val="0"/>
          <w:marBottom w:val="0"/>
          <w:divBdr>
            <w:top w:val="none" w:sz="0" w:space="0" w:color="auto"/>
            <w:left w:val="none" w:sz="0" w:space="0" w:color="auto"/>
            <w:bottom w:val="none" w:sz="0" w:space="0" w:color="auto"/>
            <w:right w:val="none" w:sz="0" w:space="0" w:color="auto"/>
          </w:divBdr>
          <w:divsChild>
            <w:div w:id="14495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1467">
      <w:bodyDiv w:val="1"/>
      <w:marLeft w:val="0"/>
      <w:marRight w:val="0"/>
      <w:marTop w:val="0"/>
      <w:marBottom w:val="0"/>
      <w:divBdr>
        <w:top w:val="none" w:sz="0" w:space="0" w:color="auto"/>
        <w:left w:val="none" w:sz="0" w:space="0" w:color="auto"/>
        <w:bottom w:val="none" w:sz="0" w:space="0" w:color="auto"/>
        <w:right w:val="none" w:sz="0" w:space="0" w:color="auto"/>
      </w:divBdr>
      <w:divsChild>
        <w:div w:id="860360327">
          <w:marLeft w:val="480"/>
          <w:marRight w:val="0"/>
          <w:marTop w:val="0"/>
          <w:marBottom w:val="0"/>
          <w:divBdr>
            <w:top w:val="none" w:sz="0" w:space="0" w:color="auto"/>
            <w:left w:val="none" w:sz="0" w:space="0" w:color="auto"/>
            <w:bottom w:val="none" w:sz="0" w:space="0" w:color="auto"/>
            <w:right w:val="none" w:sz="0" w:space="0" w:color="auto"/>
          </w:divBdr>
          <w:divsChild>
            <w:div w:id="208163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78305">
      <w:bodyDiv w:val="1"/>
      <w:marLeft w:val="0"/>
      <w:marRight w:val="0"/>
      <w:marTop w:val="0"/>
      <w:marBottom w:val="0"/>
      <w:divBdr>
        <w:top w:val="none" w:sz="0" w:space="0" w:color="auto"/>
        <w:left w:val="none" w:sz="0" w:space="0" w:color="auto"/>
        <w:bottom w:val="none" w:sz="0" w:space="0" w:color="auto"/>
        <w:right w:val="none" w:sz="0" w:space="0" w:color="auto"/>
      </w:divBdr>
      <w:divsChild>
        <w:div w:id="455677949">
          <w:marLeft w:val="480"/>
          <w:marRight w:val="0"/>
          <w:marTop w:val="0"/>
          <w:marBottom w:val="0"/>
          <w:divBdr>
            <w:top w:val="none" w:sz="0" w:space="0" w:color="auto"/>
            <w:left w:val="none" w:sz="0" w:space="0" w:color="auto"/>
            <w:bottom w:val="none" w:sz="0" w:space="0" w:color="auto"/>
            <w:right w:val="none" w:sz="0" w:space="0" w:color="auto"/>
          </w:divBdr>
          <w:divsChild>
            <w:div w:id="52606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42993">
      <w:bodyDiv w:val="1"/>
      <w:marLeft w:val="0"/>
      <w:marRight w:val="0"/>
      <w:marTop w:val="0"/>
      <w:marBottom w:val="0"/>
      <w:divBdr>
        <w:top w:val="none" w:sz="0" w:space="0" w:color="auto"/>
        <w:left w:val="none" w:sz="0" w:space="0" w:color="auto"/>
        <w:bottom w:val="none" w:sz="0" w:space="0" w:color="auto"/>
        <w:right w:val="none" w:sz="0" w:space="0" w:color="auto"/>
      </w:divBdr>
      <w:divsChild>
        <w:div w:id="1723284123">
          <w:marLeft w:val="480"/>
          <w:marRight w:val="0"/>
          <w:marTop w:val="0"/>
          <w:marBottom w:val="0"/>
          <w:divBdr>
            <w:top w:val="none" w:sz="0" w:space="0" w:color="auto"/>
            <w:left w:val="none" w:sz="0" w:space="0" w:color="auto"/>
            <w:bottom w:val="none" w:sz="0" w:space="0" w:color="auto"/>
            <w:right w:val="none" w:sz="0" w:space="0" w:color="auto"/>
          </w:divBdr>
          <w:divsChild>
            <w:div w:id="2270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8241">
      <w:bodyDiv w:val="1"/>
      <w:marLeft w:val="0"/>
      <w:marRight w:val="0"/>
      <w:marTop w:val="0"/>
      <w:marBottom w:val="0"/>
      <w:divBdr>
        <w:top w:val="none" w:sz="0" w:space="0" w:color="auto"/>
        <w:left w:val="none" w:sz="0" w:space="0" w:color="auto"/>
        <w:bottom w:val="none" w:sz="0" w:space="0" w:color="auto"/>
        <w:right w:val="none" w:sz="0" w:space="0" w:color="auto"/>
      </w:divBdr>
      <w:divsChild>
        <w:div w:id="2127235595">
          <w:marLeft w:val="480"/>
          <w:marRight w:val="0"/>
          <w:marTop w:val="0"/>
          <w:marBottom w:val="0"/>
          <w:divBdr>
            <w:top w:val="none" w:sz="0" w:space="0" w:color="auto"/>
            <w:left w:val="none" w:sz="0" w:space="0" w:color="auto"/>
            <w:bottom w:val="none" w:sz="0" w:space="0" w:color="auto"/>
            <w:right w:val="none" w:sz="0" w:space="0" w:color="auto"/>
          </w:divBdr>
          <w:divsChild>
            <w:div w:id="118656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571746">
      <w:bodyDiv w:val="1"/>
      <w:marLeft w:val="0"/>
      <w:marRight w:val="0"/>
      <w:marTop w:val="0"/>
      <w:marBottom w:val="0"/>
      <w:divBdr>
        <w:top w:val="none" w:sz="0" w:space="0" w:color="auto"/>
        <w:left w:val="none" w:sz="0" w:space="0" w:color="auto"/>
        <w:bottom w:val="none" w:sz="0" w:space="0" w:color="auto"/>
        <w:right w:val="none" w:sz="0" w:space="0" w:color="auto"/>
      </w:divBdr>
    </w:div>
    <w:div w:id="1766414053">
      <w:bodyDiv w:val="1"/>
      <w:marLeft w:val="0"/>
      <w:marRight w:val="0"/>
      <w:marTop w:val="0"/>
      <w:marBottom w:val="0"/>
      <w:divBdr>
        <w:top w:val="none" w:sz="0" w:space="0" w:color="auto"/>
        <w:left w:val="none" w:sz="0" w:space="0" w:color="auto"/>
        <w:bottom w:val="none" w:sz="0" w:space="0" w:color="auto"/>
        <w:right w:val="none" w:sz="0" w:space="0" w:color="auto"/>
      </w:divBdr>
    </w:div>
    <w:div w:id="2033609100">
      <w:bodyDiv w:val="1"/>
      <w:marLeft w:val="0"/>
      <w:marRight w:val="0"/>
      <w:marTop w:val="0"/>
      <w:marBottom w:val="0"/>
      <w:divBdr>
        <w:top w:val="none" w:sz="0" w:space="0" w:color="auto"/>
        <w:left w:val="none" w:sz="0" w:space="0" w:color="auto"/>
        <w:bottom w:val="none" w:sz="0" w:space="0" w:color="auto"/>
        <w:right w:val="none" w:sz="0" w:space="0" w:color="auto"/>
      </w:divBdr>
    </w:div>
    <w:div w:id="2140414846">
      <w:bodyDiv w:val="1"/>
      <w:marLeft w:val="0"/>
      <w:marRight w:val="0"/>
      <w:marTop w:val="0"/>
      <w:marBottom w:val="0"/>
      <w:divBdr>
        <w:top w:val="none" w:sz="0" w:space="0" w:color="auto"/>
        <w:left w:val="none" w:sz="0" w:space="0" w:color="auto"/>
        <w:bottom w:val="none" w:sz="0" w:space="0" w:color="auto"/>
        <w:right w:val="none" w:sz="0" w:space="0" w:color="auto"/>
      </w:divBdr>
      <w:divsChild>
        <w:div w:id="34275455">
          <w:marLeft w:val="480"/>
          <w:marRight w:val="0"/>
          <w:marTop w:val="0"/>
          <w:marBottom w:val="0"/>
          <w:divBdr>
            <w:top w:val="none" w:sz="0" w:space="0" w:color="auto"/>
            <w:left w:val="none" w:sz="0" w:space="0" w:color="auto"/>
            <w:bottom w:val="none" w:sz="0" w:space="0" w:color="auto"/>
            <w:right w:val="none" w:sz="0" w:space="0" w:color="auto"/>
          </w:divBdr>
          <w:divsChild>
            <w:div w:id="7514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g"/><Relationship Id="rId21" Type="http://schemas.openxmlformats.org/officeDocument/2006/relationships/image" Target="media/image16.jpg"/><Relationship Id="rId42" Type="http://schemas.openxmlformats.org/officeDocument/2006/relationships/hyperlink" Target="https://neuroprofiler.com/en/cognitive-bias-the-ellsberg-paradox/" TargetMode="External"/><Relationship Id="rId47" Type="http://schemas.openxmlformats.org/officeDocument/2006/relationships/hyperlink" Target="https://www.sas.upenn.edu/~jesusfv/Uncertainty_Shocks_Business_Cycle.pdf" TargetMode="External"/><Relationship Id="rId63" Type="http://schemas.openxmlformats.org/officeDocument/2006/relationships/footer" Target="footer1.xml"/><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2.png"/><Relationship Id="rId29" Type="http://schemas.openxmlformats.org/officeDocument/2006/relationships/image" Target="media/image24.jpg"/><Relationship Id="rId11" Type="http://schemas.openxmlformats.org/officeDocument/2006/relationships/image" Target="media/image6.png"/><Relationship Id="rId24" Type="http://schemas.openxmlformats.org/officeDocument/2006/relationships/image" Target="media/image19.jpg"/><Relationship Id="rId32" Type="http://schemas.openxmlformats.org/officeDocument/2006/relationships/hyperlink" Target="https://policonomics.com/es/lp-riesgo-incertidumbre2-criticas-teoria-utilidad-esperada/" TargetMode="External"/><Relationship Id="rId37" Type="http://schemas.openxmlformats.org/officeDocument/2006/relationships/image" Target="media/image30.png"/><Relationship Id="rId40" Type="http://schemas.openxmlformats.org/officeDocument/2006/relationships/hyperlink" Target="https://www.nobelprize.org/prizes/economic-sciences/2017/thaler/lecture/" TargetMode="External"/><Relationship Id="rId45" Type="http://schemas.openxmlformats.org/officeDocument/2006/relationships/hyperlink" Target="http://www.hetwebsite.net/het/essays/uncert/choicecont.htm" TargetMode="External"/><Relationship Id="rId53" Type="http://schemas.openxmlformats.org/officeDocument/2006/relationships/image" Target="media/image33.jpg"/><Relationship Id="rId58" Type="http://schemas.openxmlformats.org/officeDocument/2006/relationships/hyperlink" Target="https://www.fundacionareces.es/fundacionareces/es/actividades/premios-nobel-de-economia-2022-crisis-financieras-y-el-papel-de-los-bancos.html" TargetMode="External"/><Relationship Id="rId66"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14.png"/><Relationship Id="rId14" Type="http://schemas.openxmlformats.org/officeDocument/2006/relationships/hyperlink" Target="https://policonomics.com/es/aversion-riesgo/" TargetMode="External"/><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image" Target="media/image29.png"/><Relationship Id="rId43" Type="http://schemas.openxmlformats.org/officeDocument/2006/relationships/hyperlink" Target="https://policonomics.com/es/lp-riesgo-incertidumbre2-riesgo/" TargetMode="External"/><Relationship Id="rId48" Type="http://schemas.openxmlformats.org/officeDocument/2006/relationships/hyperlink" Target="https://www.quia.com/quiz/nnnnnnn.html" TargetMode="External"/><Relationship Id="rId56" Type="http://schemas.openxmlformats.org/officeDocument/2006/relationships/hyperlink" Target="https://www.fundacionareces.es/fundacionareces/es/actividades/premios-nobel-de-economia-2022-crisis-financieras-y-el-papel-de-los-bancos.html" TargetMode="External"/><Relationship Id="rId64" Type="http://schemas.openxmlformats.org/officeDocument/2006/relationships/footer" Target="footer2.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2.jp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hyperlink" Target="https://doi.org/10.3897/neobiota.18.4002" TargetMode="External"/><Relationship Id="rId25" Type="http://schemas.openxmlformats.org/officeDocument/2006/relationships/image" Target="media/image20.jpg"/><Relationship Id="rId33" Type="http://schemas.openxmlformats.org/officeDocument/2006/relationships/image" Target="media/image27.png"/><Relationship Id="rId38" Type="http://schemas.openxmlformats.org/officeDocument/2006/relationships/hyperlink" Target="https://doi.org/10.1057/978-1-349-95189-5" TargetMode="External"/><Relationship Id="rId46" Type="http://schemas.openxmlformats.org/officeDocument/2006/relationships/hyperlink" Target="https://www.nber.org/system/files/working_papers/w26768/w26768.pdf" TargetMode="External"/><Relationship Id="rId59" Type="http://schemas.openxmlformats.org/officeDocument/2006/relationships/hyperlink" Target="https://es.wikipedia.org/wiki/Equilibrio_de_manchas_solares" TargetMode="External"/><Relationship Id="rId67"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1.png"/><Relationship Id="rId54" Type="http://schemas.openxmlformats.org/officeDocument/2006/relationships/hyperlink" Target="https://www.fundacionareces.es/fundacionareces/es/actividades/premios-nobel-de-economia-2022-crisis-financieras-y-el-papel-de-los-bancos.html"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1.pn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hyperlink" Target="https://doi.org/10.1057/978-1-349-95189-5" TargetMode="External"/><Relationship Id="rId49" Type="http://schemas.openxmlformats.org/officeDocument/2006/relationships/hyperlink" Target="https://en.wikipedia.org/wiki/Cardinal_utility" TargetMode="External"/><Relationship Id="rId57" Type="http://schemas.openxmlformats.org/officeDocument/2006/relationships/image" Target="media/image35.jp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hyperlink" Target="http://www.ebooks7-24.com/?il=5820" TargetMode="External"/><Relationship Id="rId52" Type="http://schemas.openxmlformats.org/officeDocument/2006/relationships/hyperlink" Target="https://www.fundacionareces.es/fundacionareces/es/actividades/premios-nobel-de-economia-2022-crisis-financieras-y-el-papel-de-los-bancos.html" TargetMode="External"/><Relationship Id="rId60" Type="http://schemas.openxmlformats.org/officeDocument/2006/relationships/hyperlink" Target="https://en.wikipedia.org/wiki/Great_Contraction" TargetMode="External"/><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4.jp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hyperlink" Target="https://www.nobelprize.org/prizes/economic-sciences/2002/kahneman/lecture/" TargetMode="External"/><Relationship Id="rId34" Type="http://schemas.openxmlformats.org/officeDocument/2006/relationships/hyperlink" Target="https://youtu.be/FMEApkB4vUo" TargetMode="External"/><Relationship Id="rId50" Type="http://schemas.openxmlformats.org/officeDocument/2006/relationships/hyperlink" Target="https://en.wikipedia.org/wiki/Level_of_measurement" TargetMode="External"/><Relationship Id="rId55" Type="http://schemas.openxmlformats.org/officeDocument/2006/relationships/image" Target="media/image34.jpg"/></Relationships>
</file>

<file path=word/_rels/footnotes.xml.rels><?xml version="1.0" encoding="UTF-8" standalone="yes"?>
<Relationships xmlns="http://schemas.openxmlformats.org/package/2006/relationships"><Relationship Id="rId8" Type="http://schemas.openxmlformats.org/officeDocument/2006/relationships/hyperlink" Target="https://doi.org/10.1057/978-1-349-95189-5_2467" TargetMode="External"/><Relationship Id="rId3" Type="http://schemas.openxmlformats.org/officeDocument/2006/relationships/hyperlink" Target="https://doi.org/10.1057/978-1-349-95189-5_127" TargetMode="External"/><Relationship Id="rId7" Type="http://schemas.openxmlformats.org/officeDocument/2006/relationships/image" Target="media/image2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hyperlink" Target="https://www.youtube.com/watch?v=pNmX7g-FRrw" TargetMode="External"/><Relationship Id="rId11" Type="http://schemas.openxmlformats.org/officeDocument/2006/relationships/hyperlink" Target="https://www.fundacionareces.es/fundacionareces/es/actividades/premios-nobel-de-economia-2022-crisis-financieras-y-el-papel-de-los-bancos.html" TargetMode="External"/><Relationship Id="rId5" Type="http://schemas.openxmlformats.org/officeDocument/2006/relationships/image" Target="media/image10.png"/><Relationship Id="rId10" Type="http://schemas.openxmlformats.org/officeDocument/2006/relationships/hyperlink" Target="https://link.springer.com/referenceworkentry/10.1057/978-1-349-95189-5_2467" TargetMode="External"/><Relationship Id="rId4" Type="http://schemas.openxmlformats.org/officeDocument/2006/relationships/image" Target="media/image9.jpeg"/><Relationship Id="rId9" Type="http://schemas.openxmlformats.org/officeDocument/2006/relationships/hyperlink" Target="https://www.hetwebsite.net/het/essays/uncert/subjectiv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514049324E240308FA379A89DFA67FD"/>
        <w:category>
          <w:name w:val="General"/>
          <w:gallery w:val="placeholder"/>
        </w:category>
        <w:types>
          <w:type w:val="bbPlcHdr"/>
        </w:types>
        <w:behaviors>
          <w:behavior w:val="content"/>
        </w:behaviors>
        <w:guid w:val="{886314C4-C55C-4D44-9C43-C21FBB12C25D}"/>
      </w:docPartPr>
      <w:docPartBody>
        <w:p w:rsidR="00A20C00" w:rsidRDefault="00A95D33">
          <w:pPr>
            <w:pStyle w:val="D514049324E240308FA379A89DFA67FD"/>
          </w:pPr>
          <w:r w:rsidRPr="001B5103">
            <w:rPr>
              <w:rStyle w:val="Textodelmarcadordeposicin"/>
            </w:rPr>
            <w:t>[Title]</w:t>
          </w:r>
        </w:p>
      </w:docPartBody>
    </w:docPart>
    <w:docPart>
      <w:docPartPr>
        <w:name w:val="8E4C4AA7F3AC40C28B95B34A543A0EF0"/>
        <w:category>
          <w:name w:val="General"/>
          <w:gallery w:val="placeholder"/>
        </w:category>
        <w:types>
          <w:type w:val="bbPlcHdr"/>
        </w:types>
        <w:behaviors>
          <w:behavior w:val="content"/>
        </w:behaviors>
        <w:guid w:val="{4560A079-E4ED-4516-9D61-39BA220C764B}"/>
      </w:docPartPr>
      <w:docPartBody>
        <w:p w:rsidR="00A20C00" w:rsidRDefault="00A95D33">
          <w:pPr>
            <w:pStyle w:val="8E4C4AA7F3AC40C28B95B34A543A0EF0"/>
          </w:pPr>
          <w:r w:rsidRPr="001B5103">
            <w:rPr>
              <w:rStyle w:val="Textodelmarcadordeposicin"/>
            </w:rPr>
            <w:t>[Subject]</w:t>
          </w:r>
        </w:p>
      </w:docPartBody>
    </w:docPart>
    <w:docPart>
      <w:docPartPr>
        <w:name w:val="DefaultPlaceholder_2098659788"/>
        <w:category>
          <w:name w:val="General"/>
          <w:gallery w:val="placeholder"/>
        </w:category>
        <w:types>
          <w:type w:val="bbPlcHdr"/>
        </w:types>
        <w:behaviors>
          <w:behavior w:val="content"/>
        </w:behaviors>
        <w:guid w:val="{A3E70835-9FBF-48DA-9C83-0BA7AE1C978F}"/>
      </w:docPartPr>
      <w:docPartBody>
        <w:p w:rsidR="00A20C00" w:rsidRDefault="003D0592">
          <w:r w:rsidRPr="00270438">
            <w:rPr>
              <w:rStyle w:val="Textodelmarcadordeposicin"/>
            </w:rPr>
            <w:t>Escriba aquí la ecuación.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592"/>
    <w:rsid w:val="00013BAE"/>
    <w:rsid w:val="00045611"/>
    <w:rsid w:val="000529CA"/>
    <w:rsid w:val="000D5DA8"/>
    <w:rsid w:val="001F5EDD"/>
    <w:rsid w:val="00206D6D"/>
    <w:rsid w:val="002145AD"/>
    <w:rsid w:val="0023343C"/>
    <w:rsid w:val="002A08DB"/>
    <w:rsid w:val="002C00F3"/>
    <w:rsid w:val="0030527B"/>
    <w:rsid w:val="00320609"/>
    <w:rsid w:val="0032285B"/>
    <w:rsid w:val="003302C8"/>
    <w:rsid w:val="00346394"/>
    <w:rsid w:val="003713C3"/>
    <w:rsid w:val="003C6C00"/>
    <w:rsid w:val="003D0592"/>
    <w:rsid w:val="003E3075"/>
    <w:rsid w:val="003F7415"/>
    <w:rsid w:val="004502B2"/>
    <w:rsid w:val="00494D6A"/>
    <w:rsid w:val="0049642D"/>
    <w:rsid w:val="004B6A24"/>
    <w:rsid w:val="005073A8"/>
    <w:rsid w:val="0052554C"/>
    <w:rsid w:val="00556DC9"/>
    <w:rsid w:val="005A07B0"/>
    <w:rsid w:val="005A605D"/>
    <w:rsid w:val="006000ED"/>
    <w:rsid w:val="00616D80"/>
    <w:rsid w:val="00657BAB"/>
    <w:rsid w:val="00710277"/>
    <w:rsid w:val="007318DD"/>
    <w:rsid w:val="007413C3"/>
    <w:rsid w:val="007710C0"/>
    <w:rsid w:val="007A4415"/>
    <w:rsid w:val="007D020C"/>
    <w:rsid w:val="00802C91"/>
    <w:rsid w:val="00806E3C"/>
    <w:rsid w:val="00861594"/>
    <w:rsid w:val="00887101"/>
    <w:rsid w:val="008C6BD0"/>
    <w:rsid w:val="00945B89"/>
    <w:rsid w:val="00954DA8"/>
    <w:rsid w:val="009B14E4"/>
    <w:rsid w:val="009D795A"/>
    <w:rsid w:val="00A12025"/>
    <w:rsid w:val="00A20C00"/>
    <w:rsid w:val="00A41F5C"/>
    <w:rsid w:val="00A93F9C"/>
    <w:rsid w:val="00A95D33"/>
    <w:rsid w:val="00B37F3D"/>
    <w:rsid w:val="00B916DB"/>
    <w:rsid w:val="00BB6C8C"/>
    <w:rsid w:val="00BE7B51"/>
    <w:rsid w:val="00C21CC1"/>
    <w:rsid w:val="00C461B9"/>
    <w:rsid w:val="00C51347"/>
    <w:rsid w:val="00C87AA4"/>
    <w:rsid w:val="00C91BB3"/>
    <w:rsid w:val="00C91ECE"/>
    <w:rsid w:val="00CB66A3"/>
    <w:rsid w:val="00CF4C60"/>
    <w:rsid w:val="00CF75FA"/>
    <w:rsid w:val="00D86DA4"/>
    <w:rsid w:val="00DE36AB"/>
    <w:rsid w:val="00E060D9"/>
    <w:rsid w:val="00E81142"/>
    <w:rsid w:val="00EB1C32"/>
    <w:rsid w:val="00EB32F3"/>
    <w:rsid w:val="00F62939"/>
    <w:rsid w:val="00FA0E47"/>
    <w:rsid w:val="00FA6BAA"/>
    <w:rsid w:val="00FB39FB"/>
    <w:rsid w:val="00FC5552"/>
    <w:rsid w:val="00FE60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D0592"/>
    <w:rPr>
      <w:color w:val="808080"/>
    </w:rPr>
  </w:style>
  <w:style w:type="paragraph" w:customStyle="1" w:styleId="D514049324E240308FA379A89DFA67FD">
    <w:name w:val="D514049324E240308FA379A89DFA67FD"/>
  </w:style>
  <w:style w:type="paragraph" w:customStyle="1" w:styleId="8E4C4AA7F3AC40C28B95B34A543A0EF0">
    <w:name w:val="8E4C4AA7F3AC40C28B95B34A543A0E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55B17D-E0C2-43BE-923F-483D554BE05D}">
  <we:reference id="wa104312191" version="1.2.0.0" store="en-US" storeType="OMEX"/>
  <we:alternateReferences>
    <we:reference id="WA10431219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49</TotalTime>
  <Pages>43</Pages>
  <Words>17618</Words>
  <Characters>96903</Characters>
  <Application>Microsoft Office Word</Application>
  <DocSecurity>0</DocSecurity>
  <Lines>807</Lines>
  <Paragraphs>228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3.A.10</vt:lpstr>
      <vt:lpstr>TEMA E.P.NN</vt:lpstr>
    </vt:vector>
  </TitlesOfParts>
  <Company/>
  <LinksUpToDate>false</LinksUpToDate>
  <CharactersWithSpaces>114293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3.A.10</dc:title>
  <dc:subject>Teoría de la demanda del consumidor (III). Elección del consumidor en situaciones de riesgo e incertidumbre.</dc:subject>
  <dc:creator>Víctor Gutiérrez Marcos</dc:creator>
  <cp:keywords/>
  <dc:description/>
  <cp:lastModifiedBy>Víctor Gutiérrez Marcos</cp:lastModifiedBy>
  <dcterms:created xsi:type="dcterms:W3CDTF">2024-07-17T17:43:00Z</dcterms:created>
  <dcterms:modified xsi:type="dcterms:W3CDTF">2024-08-10T10:09:00Z</dcterms:modified>
</cp:coreProperties>
</file>