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E2DDED" w14:textId="1BBB6B84" w:rsidR="000F4EE8" w:rsidRPr="00025F23" w:rsidRDefault="00000000" w:rsidP="00735D30">
      <w:pPr>
        <w:pStyle w:val="Ttulo"/>
        <w:spacing w:after="0"/>
      </w:pPr>
      <w:sdt>
        <w:sdtPr>
          <w:rPr>
            <w:i/>
            <w:iCs w:val="0"/>
            <w:u w:val="single"/>
          </w:rPr>
          <w:alias w:val="Title"/>
          <w:tag w:val=""/>
          <w:id w:val="-780801520"/>
          <w:placeholder>
            <w:docPart w:val="68D7DA95A738479EB3A47185AA3258D8"/>
          </w:placeholder>
          <w:dataBinding w:prefixMappings="xmlns:ns0='http://purl.org/dc/elements/1.1/' xmlns:ns1='http://schemas.openxmlformats.org/package/2006/metadata/core-properties' " w:xpath="/ns1:coreProperties[1]/ns0:title[1]" w:storeItemID="{6C3C8BC8-F283-45AE-878A-BAB7291924A1}"/>
          <w:text/>
        </w:sdtPr>
        <w:sdtContent>
          <w:r w:rsidR="007269E7" w:rsidRPr="00025F23">
            <w:rPr>
              <w:i/>
              <w:iCs w:val="0"/>
              <w:u w:val="single"/>
            </w:rPr>
            <w:t>Esquema para el ejercicio de dictamen económico</w:t>
          </w:r>
        </w:sdtContent>
      </w:sdt>
    </w:p>
    <w:p w14:paraId="40860AA2" w14:textId="2B792A1B" w:rsidR="00714C62" w:rsidRPr="00025F23" w:rsidRDefault="004A1E54" w:rsidP="004A1E54">
      <w:pPr>
        <w:pStyle w:val="Notaalopositor"/>
        <w:rPr>
          <w:szCs w:val="16"/>
        </w:rPr>
      </w:pPr>
      <w:r w:rsidRPr="00025F23">
        <w:rPr>
          <w:i/>
          <w:iCs/>
          <w:spacing w:val="-4"/>
          <w:sz w:val="19"/>
          <w:szCs w:val="19"/>
        </w:rPr>
        <w:t>Nota al opositor</w:t>
      </w:r>
      <w:r w:rsidRPr="00025F23">
        <w:rPr>
          <w:sz w:val="19"/>
          <w:szCs w:val="19"/>
        </w:rPr>
        <w:t>:</w:t>
      </w:r>
      <w:r w:rsidR="00714C62" w:rsidRPr="00025F23">
        <w:rPr>
          <w:szCs w:val="16"/>
        </w:rPr>
        <w:t xml:space="preserve"> </w:t>
      </w:r>
      <w:r w:rsidR="008D3BCB" w:rsidRPr="00025F23">
        <w:rPr>
          <w:szCs w:val="16"/>
        </w:rPr>
        <w:t>Antes de empezar a preparar este ejercicio es importante conocer cómo funciona.</w:t>
      </w:r>
    </w:p>
    <w:p w14:paraId="03328388" w14:textId="11BD6B19" w:rsidR="008D3BCB" w:rsidRPr="00025F23" w:rsidRDefault="00714C62" w:rsidP="008D3BCB">
      <w:pPr>
        <w:pStyle w:val="Notaalopositor"/>
        <w:spacing w:after="0"/>
        <w:rPr>
          <w:szCs w:val="16"/>
        </w:rPr>
      </w:pPr>
      <w:r w:rsidRPr="00025F23">
        <w:rPr>
          <w:szCs w:val="16"/>
        </w:rPr>
        <w:t>De acuerdo con el BOE</w:t>
      </w:r>
      <w:r w:rsidR="00B2524F">
        <w:rPr>
          <w:szCs w:val="16"/>
        </w:rPr>
        <w:t xml:space="preserve"> del 30 de diciembre de </w:t>
      </w:r>
      <w:r w:rsidRPr="00025F23">
        <w:rPr>
          <w:szCs w:val="16"/>
        </w:rPr>
        <w:t>202</w:t>
      </w:r>
      <w:r w:rsidR="00B2524F">
        <w:rPr>
          <w:szCs w:val="16"/>
        </w:rPr>
        <w:t>4</w:t>
      </w:r>
      <w:r w:rsidRPr="00025F23">
        <w:rPr>
          <w:szCs w:val="16"/>
        </w:rPr>
        <w:t>:</w:t>
      </w:r>
    </w:p>
    <w:p w14:paraId="0C22BBA3" w14:textId="622D2C97" w:rsidR="00714C62" w:rsidRPr="00025F23" w:rsidRDefault="00714C62" w:rsidP="008D3BCB">
      <w:pPr>
        <w:pStyle w:val="Notaalopositor"/>
        <w:spacing w:after="0"/>
        <w:rPr>
          <w:i/>
          <w:iCs/>
          <w:szCs w:val="16"/>
        </w:rPr>
      </w:pPr>
      <w:r w:rsidRPr="00025F23">
        <w:rPr>
          <w:i/>
          <w:iCs/>
          <w:szCs w:val="16"/>
        </w:rPr>
        <w:t xml:space="preserve">“La segunda parte del ejercicio será de carácter práctico y consistirá en la elaboración por escrito de un dictamen sobre un </w:t>
      </w:r>
      <w:r w:rsidR="00C93E47">
        <w:rPr>
          <w:i/>
          <w:iCs/>
          <w:szCs w:val="16"/>
        </w:rPr>
        <w:t>escenario</w:t>
      </w:r>
      <w:r w:rsidRPr="00025F23">
        <w:rPr>
          <w:i/>
          <w:iCs/>
          <w:szCs w:val="16"/>
        </w:rPr>
        <w:t xml:space="preserve"> </w:t>
      </w:r>
      <w:r w:rsidR="00C93E47">
        <w:rPr>
          <w:i/>
          <w:iCs/>
          <w:szCs w:val="16"/>
        </w:rPr>
        <w:t>macro</w:t>
      </w:r>
      <w:r w:rsidRPr="00025F23">
        <w:rPr>
          <w:i/>
          <w:iCs/>
          <w:szCs w:val="16"/>
        </w:rPr>
        <w:t xml:space="preserve">económico con las informaciones o datos que, hayan sido suministrados por el Tribunal. La duración máxima de esta segunda parte será de </w:t>
      </w:r>
      <w:r w:rsidR="00C93E47">
        <w:rPr>
          <w:i/>
          <w:iCs/>
          <w:szCs w:val="16"/>
        </w:rPr>
        <w:t xml:space="preserve">una </w:t>
      </w:r>
      <w:r w:rsidRPr="00025F23">
        <w:rPr>
          <w:i/>
          <w:iCs/>
          <w:szCs w:val="16"/>
        </w:rPr>
        <w:t>hora</w:t>
      </w:r>
      <w:r w:rsidR="00C93E47">
        <w:rPr>
          <w:i/>
          <w:iCs/>
          <w:szCs w:val="16"/>
        </w:rPr>
        <w:t xml:space="preserve"> y cuarenta y cinco minutos</w:t>
      </w:r>
      <w:r w:rsidRPr="00025F23">
        <w:rPr>
          <w:i/>
          <w:iCs/>
          <w:szCs w:val="16"/>
        </w:rPr>
        <w:t>.</w:t>
      </w:r>
    </w:p>
    <w:p w14:paraId="4B3E56FC" w14:textId="1C11CC78" w:rsidR="004A1E54" w:rsidRPr="00025F23" w:rsidRDefault="00714C62" w:rsidP="00A8579B">
      <w:pPr>
        <w:pStyle w:val="Notaalopositor"/>
        <w:rPr>
          <w:i/>
          <w:iCs/>
          <w:szCs w:val="16"/>
        </w:rPr>
      </w:pPr>
      <w:r w:rsidRPr="00025F23">
        <w:rPr>
          <w:i/>
          <w:iCs/>
          <w:szCs w:val="16"/>
        </w:rPr>
        <w:t xml:space="preserve">Los candidatos que hayan superado el test, conforme a lo previsto en el apartado de </w:t>
      </w:r>
      <w:r w:rsidR="00C93E47">
        <w:rPr>
          <w:i/>
          <w:iCs/>
          <w:szCs w:val="16"/>
        </w:rPr>
        <w:t>v</w:t>
      </w:r>
      <w:r w:rsidRPr="00025F23">
        <w:rPr>
          <w:i/>
          <w:iCs/>
          <w:szCs w:val="16"/>
        </w:rPr>
        <w:t xml:space="preserve">aloración, realizarán la lectura pública del texto ante el </w:t>
      </w:r>
      <w:r w:rsidR="00C93E47">
        <w:rPr>
          <w:i/>
          <w:iCs/>
          <w:szCs w:val="16"/>
        </w:rPr>
        <w:t>t</w:t>
      </w:r>
      <w:r w:rsidRPr="00025F23">
        <w:rPr>
          <w:i/>
          <w:iCs/>
          <w:szCs w:val="16"/>
        </w:rPr>
        <w:t>ribunal, el cual podrá formular las preguntas que considere oportunas en relación con el dictamen durante un período máximo de quince minutos. Los candidatos que no superen el test no serán convocados a la lectura del dictamen, quedando eliminados del proceso selectivo.”</w:t>
      </w:r>
    </w:p>
    <w:p w14:paraId="3F71C2F4" w14:textId="483EE4C7" w:rsidR="008D3BCB" w:rsidRPr="00025F23" w:rsidRDefault="008D3BCB" w:rsidP="002353CA">
      <w:pPr>
        <w:pStyle w:val="Notaalopositor"/>
        <w:spacing w:after="20"/>
        <w:rPr>
          <w:szCs w:val="16"/>
        </w:rPr>
      </w:pPr>
      <w:r w:rsidRPr="00025F23">
        <w:rPr>
          <w:szCs w:val="16"/>
        </w:rPr>
        <w:t xml:space="preserve">Por lo tanto, a la hora de planificar el ejercicio hemos de tener en consideración que el examen consta de dos partes: la </w:t>
      </w:r>
      <w:r w:rsidRPr="00025F23">
        <w:rPr>
          <w:i/>
          <w:iCs/>
          <w:szCs w:val="16"/>
        </w:rPr>
        <w:t>escritura</w:t>
      </w:r>
      <w:r w:rsidRPr="00025F23">
        <w:rPr>
          <w:szCs w:val="16"/>
        </w:rPr>
        <w:t xml:space="preserve"> y la </w:t>
      </w:r>
      <w:r w:rsidRPr="00025F23">
        <w:rPr>
          <w:i/>
          <w:iCs/>
          <w:szCs w:val="16"/>
        </w:rPr>
        <w:t>lectura</w:t>
      </w:r>
      <w:r w:rsidRPr="00025F23">
        <w:rPr>
          <w:szCs w:val="16"/>
        </w:rPr>
        <w:t>.</w:t>
      </w:r>
    </w:p>
    <w:p w14:paraId="12128725" w14:textId="54FF1EE0" w:rsidR="00C371D7" w:rsidRPr="00025F23" w:rsidRDefault="008D3BCB" w:rsidP="00A8579B">
      <w:pPr>
        <w:pStyle w:val="Notaalopositor"/>
        <w:spacing w:after="20"/>
        <w:rPr>
          <w:szCs w:val="16"/>
        </w:rPr>
      </w:pPr>
      <w:r w:rsidRPr="00025F23">
        <w:rPr>
          <w:szCs w:val="16"/>
        </w:rPr>
        <w:t xml:space="preserve">     - </w:t>
      </w:r>
      <w:r w:rsidRPr="00025F23">
        <w:rPr>
          <w:i/>
          <w:iCs/>
          <w:szCs w:val="16"/>
        </w:rPr>
        <w:t>Para la escritura</w:t>
      </w:r>
      <w:r w:rsidRPr="00025F23">
        <w:rPr>
          <w:szCs w:val="16"/>
        </w:rPr>
        <w:t xml:space="preserve">: </w:t>
      </w:r>
      <w:r w:rsidR="0015563E" w:rsidRPr="00025F23">
        <w:rPr>
          <w:szCs w:val="16"/>
        </w:rPr>
        <w:t>Debemos tener en cuenta</w:t>
      </w:r>
      <w:r w:rsidR="00A71D0E" w:rsidRPr="00025F23">
        <w:rPr>
          <w:szCs w:val="16"/>
        </w:rPr>
        <w:t xml:space="preserve"> que es necesaria</w:t>
      </w:r>
      <w:r w:rsidR="0015563E" w:rsidRPr="00025F23">
        <w:rPr>
          <w:szCs w:val="16"/>
        </w:rPr>
        <w:t xml:space="preserve"> una buena redacción que permita que se siga el análisis fácilmente el día de la lectura.</w:t>
      </w:r>
    </w:p>
    <w:p w14:paraId="4647860C" w14:textId="1CCD1DA8" w:rsidR="008D3BCB" w:rsidRPr="00025F23" w:rsidRDefault="008D3BCB" w:rsidP="008D3BCB">
      <w:pPr>
        <w:pStyle w:val="Notaalopositor"/>
        <w:spacing w:after="0"/>
        <w:rPr>
          <w:szCs w:val="16"/>
        </w:rPr>
      </w:pPr>
      <w:r w:rsidRPr="00025F23">
        <w:rPr>
          <w:szCs w:val="16"/>
        </w:rPr>
        <w:t xml:space="preserve">     - </w:t>
      </w:r>
      <w:r w:rsidRPr="00025F23">
        <w:rPr>
          <w:i/>
          <w:iCs/>
          <w:szCs w:val="16"/>
        </w:rPr>
        <w:t>Para la lectura</w:t>
      </w:r>
      <w:r w:rsidRPr="00025F23">
        <w:rPr>
          <w:szCs w:val="16"/>
        </w:rPr>
        <w:t xml:space="preserve">: </w:t>
      </w:r>
      <w:r w:rsidR="0015563E" w:rsidRPr="00025F23">
        <w:rPr>
          <w:szCs w:val="16"/>
        </w:rPr>
        <w:t>N</w:t>
      </w:r>
      <w:r w:rsidRPr="00025F23">
        <w:rPr>
          <w:szCs w:val="16"/>
        </w:rPr>
        <w:t>o se puede cambiar nada de lo que hemos hecho, por lo que el único y el mejor consejo para esta parte es defender con la mejor imagen posible lo que está escrito en el papel. Generalmente, no se han venido realizando preguntas en este ejercicio, en cualquier caso, el tribunal podría realizar preguntas.</w:t>
      </w:r>
    </w:p>
    <w:p w14:paraId="226E7BCB" w14:textId="581DBB04" w:rsidR="008D3BCB" w:rsidRPr="00025F23" w:rsidRDefault="008D3BCB" w:rsidP="008D3BCB">
      <w:pPr>
        <w:pStyle w:val="Notaalopositor"/>
        <w:spacing w:after="0"/>
        <w:rPr>
          <w:i/>
          <w:iCs/>
        </w:rPr>
        <w:sectPr w:rsidR="008D3BCB" w:rsidRPr="00025F23" w:rsidSect="009822A5">
          <w:headerReference w:type="even" r:id="rId8"/>
          <w:headerReference w:type="default" r:id="rId9"/>
          <w:footerReference w:type="even" r:id="rId10"/>
          <w:footerReference w:type="default" r:id="rId11"/>
          <w:headerReference w:type="first" r:id="rId12"/>
          <w:footerReference w:type="first" r:id="rId13"/>
          <w:pgSz w:w="11906" w:h="16838"/>
          <w:pgMar w:top="425" w:right="425" w:bottom="425" w:left="425" w:header="57" w:footer="113" w:gutter="0"/>
          <w:cols w:sep="1" w:space="709"/>
          <w:titlePg/>
          <w:docGrid w:linePitch="360"/>
        </w:sectPr>
      </w:pPr>
    </w:p>
    <w:p w14:paraId="7916C66F" w14:textId="5A59ECAC" w:rsidR="002B567C" w:rsidRPr="00025F23" w:rsidRDefault="001044B3" w:rsidP="00100FDB">
      <w:pPr>
        <w:pStyle w:val="Introduccinyconclusin"/>
        <w:ind w:left="142"/>
        <w:jc w:val="center"/>
      </w:pPr>
      <w:r w:rsidRPr="00025F23">
        <w:t>CU</w:t>
      </w:r>
      <w:r w:rsidR="007865F6" w:rsidRPr="00025F23">
        <w:t>E</w:t>
      </w:r>
      <w:r w:rsidRPr="00025F23">
        <w:t>STIONES GENERALES</w:t>
      </w:r>
    </w:p>
    <w:p w14:paraId="46D956DB" w14:textId="2ACAF34D" w:rsidR="00725E6C" w:rsidRPr="00025F23" w:rsidRDefault="00725E6C" w:rsidP="00725E6C">
      <w:pPr>
        <w:pStyle w:val="Imagen"/>
      </w:pPr>
      <w:r w:rsidRPr="00025F23">
        <w:drawing>
          <wp:inline distT="0" distB="0" distL="0" distR="0" wp14:anchorId="04C60083" wp14:editId="22CF2778">
            <wp:extent cx="2836219" cy="3744000"/>
            <wp:effectExtent l="0" t="0" r="2540" b="889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rotWithShape="1">
                    <a:blip r:embed="rId14">
                      <a:extLst>
                        <a:ext uri="{28A0092B-C50C-407E-A947-70E740481C1C}">
                          <a14:useLocalDpi xmlns:a14="http://schemas.microsoft.com/office/drawing/2010/main"/>
                        </a:ext>
                      </a:extLst>
                    </a:blip>
                    <a:srcRect/>
                    <a:stretch/>
                  </pic:blipFill>
                  <pic:spPr bwMode="auto">
                    <a:xfrm>
                      <a:off x="0" y="0"/>
                      <a:ext cx="2836219" cy="3744000"/>
                    </a:xfrm>
                    <a:prstGeom prst="rect">
                      <a:avLst/>
                    </a:prstGeom>
                    <a:ln>
                      <a:noFill/>
                    </a:ln>
                    <a:extLst>
                      <a:ext uri="{53640926-AAD7-44D8-BBD7-CCE9431645EC}">
                        <a14:shadowObscured xmlns:a14="http://schemas.microsoft.com/office/drawing/2010/main"/>
                      </a:ext>
                    </a:extLst>
                  </pic:spPr>
                </pic:pic>
              </a:graphicData>
            </a:graphic>
          </wp:inline>
        </w:drawing>
      </w:r>
    </w:p>
    <w:p w14:paraId="2B3AE1D1" w14:textId="3E6F205A" w:rsidR="00084D4D" w:rsidRPr="00025F23" w:rsidRDefault="00084D4D" w:rsidP="00084D4D">
      <w:pPr>
        <w:pStyle w:val="Piedeimagen"/>
      </w:pPr>
      <w:r w:rsidRPr="00025F23">
        <w:rPr>
          <w:iCs/>
        </w:rPr>
        <w:t>Fuente</w:t>
      </w:r>
      <w:r w:rsidRPr="00025F23">
        <w:t>: Examen oficial 20</w:t>
      </w:r>
      <w:r w:rsidR="00871675" w:rsidRPr="00025F23">
        <w:t>2</w:t>
      </w:r>
      <w:r w:rsidR="006A0199">
        <w:t>1</w:t>
      </w:r>
    </w:p>
    <w:p w14:paraId="3120E976" w14:textId="77777777" w:rsidR="00893A8F" w:rsidRPr="00025F23" w:rsidRDefault="00893A8F" w:rsidP="008143ED">
      <w:pPr>
        <w:pStyle w:val="Nivel1"/>
        <w:keepNext/>
        <w:spacing w:before="80" w:after="0"/>
      </w:pPr>
      <w:r w:rsidRPr="00025F23">
        <w:rPr>
          <w:b/>
          <w:bCs/>
          <w:i/>
          <w:iCs w:val="0"/>
        </w:rPr>
        <w:t>Cuestiones del formato del examen</w:t>
      </w:r>
      <w:r w:rsidRPr="00025F23">
        <w:t>:</w:t>
      </w:r>
    </w:p>
    <w:p w14:paraId="56A92BC2" w14:textId="77777777" w:rsidR="00893A8F" w:rsidRPr="00025F23" w:rsidRDefault="00893A8F" w:rsidP="008143ED">
      <w:pPr>
        <w:pStyle w:val="Nivel2"/>
        <w:keepNext/>
        <w:spacing w:after="0"/>
      </w:pPr>
      <w:r w:rsidRPr="00025F23">
        <w:rPr>
          <w:u w:val="single"/>
        </w:rPr>
        <w:t>Cuidado con el papel autocopiativo</w:t>
      </w:r>
      <w:r w:rsidRPr="00025F23">
        <w:t>:</w:t>
      </w:r>
    </w:p>
    <w:p w14:paraId="33008DCA" w14:textId="77777777" w:rsidR="00893A8F" w:rsidRPr="00025F23" w:rsidRDefault="00893A8F" w:rsidP="00893A8F">
      <w:pPr>
        <w:pStyle w:val="Nivel3"/>
      </w:pPr>
      <w:r w:rsidRPr="00025F23">
        <w:t>Alejar las preguntas ya contestadas para evitar sustos.</w:t>
      </w:r>
    </w:p>
    <w:p w14:paraId="374C4FD5" w14:textId="77777777" w:rsidR="00893A8F" w:rsidRPr="00025F23" w:rsidRDefault="00893A8F" w:rsidP="00893A8F">
      <w:pPr>
        <w:pStyle w:val="Nivel3"/>
      </w:pPr>
      <w:r w:rsidRPr="00025F23">
        <w:t xml:space="preserve">No usar </w:t>
      </w:r>
      <w:proofErr w:type="spellStart"/>
      <w:r w:rsidRPr="00025F23">
        <w:rPr>
          <w:i/>
          <w:iCs/>
        </w:rPr>
        <w:t>Tipp</w:t>
      </w:r>
      <w:proofErr w:type="spellEnd"/>
      <w:r w:rsidRPr="00025F23">
        <w:rPr>
          <w:i/>
          <w:iCs/>
        </w:rPr>
        <w:t>-Ex.</w:t>
      </w:r>
      <w:r w:rsidRPr="00025F23">
        <w:t xml:space="preserve"> Si algo está mal tachar.</w:t>
      </w:r>
    </w:p>
    <w:p w14:paraId="5BD47B1B" w14:textId="77777777" w:rsidR="00EB7AA3" w:rsidRPr="00025F23" w:rsidRDefault="00893A8F" w:rsidP="008143ED">
      <w:pPr>
        <w:pStyle w:val="Nivel3"/>
        <w:keepNext/>
      </w:pPr>
      <w:r w:rsidRPr="00025F23">
        <w:t>Cambiar de papel para cada pregunta</w:t>
      </w:r>
      <w:r w:rsidR="00EB7AA3" w:rsidRPr="00025F23">
        <w:t xml:space="preserve"> y numerar las hojas de respuesta.</w:t>
      </w:r>
    </w:p>
    <w:p w14:paraId="059F62DE" w14:textId="30F15B0D" w:rsidR="00893A8F" w:rsidRPr="00025F23" w:rsidRDefault="00EB7AA3" w:rsidP="00EB7AA3">
      <w:pPr>
        <w:pStyle w:val="Nivel4"/>
      </w:pPr>
      <w:r w:rsidRPr="00025F23">
        <w:t>A cada pregunta le corresponde su propia página (1</w:t>
      </w:r>
      <w:r w:rsidR="00A16FDD" w:rsidRPr="00025F23">
        <w:t> </w:t>
      </w:r>
      <w:r w:rsidRPr="00025F23">
        <w:t>bis en vez de 2 si es la continuación de la 1).</w:t>
      </w:r>
    </w:p>
    <w:p w14:paraId="4EA092DF" w14:textId="77777777" w:rsidR="00893A8F" w:rsidRPr="00025F23" w:rsidRDefault="00893A8F" w:rsidP="00893A8F">
      <w:pPr>
        <w:pStyle w:val="Nivel2"/>
      </w:pPr>
      <w:r w:rsidRPr="00025F23">
        <w:t>Interlineado doble, márgenes grandes.</w:t>
      </w:r>
    </w:p>
    <w:p w14:paraId="012F6602" w14:textId="5157B463" w:rsidR="00893A8F" w:rsidRPr="00025F23" w:rsidRDefault="00893A8F" w:rsidP="00893A8F">
      <w:pPr>
        <w:pStyle w:val="Nivel2"/>
      </w:pPr>
      <w:r w:rsidRPr="00025F23">
        <w:t xml:space="preserve">No usar abreviaturas (salvo </w:t>
      </w:r>
      <w:r w:rsidR="00871675" w:rsidRPr="00025F23">
        <w:t>PIB e IPC</w:t>
      </w:r>
      <w:r w:rsidRPr="00025F23">
        <w:t>).</w:t>
      </w:r>
    </w:p>
    <w:p w14:paraId="34D11148" w14:textId="3A02E616" w:rsidR="00714C62" w:rsidRPr="00025F23" w:rsidRDefault="00714C62" w:rsidP="008143ED">
      <w:pPr>
        <w:pStyle w:val="Nivel1"/>
        <w:keepNext/>
        <w:spacing w:after="0"/>
      </w:pPr>
      <w:r w:rsidRPr="00025F23">
        <w:rPr>
          <w:b/>
          <w:bCs/>
          <w:i/>
          <w:iCs w:val="0"/>
        </w:rPr>
        <w:t>Cuestiones formales</w:t>
      </w:r>
      <w:r w:rsidRPr="00025F23">
        <w:t>:</w:t>
      </w:r>
    </w:p>
    <w:p w14:paraId="048AD775" w14:textId="20EBFFBF" w:rsidR="00FA2847" w:rsidRPr="00FA2847" w:rsidRDefault="00FA2847" w:rsidP="00782BE7">
      <w:pPr>
        <w:pStyle w:val="Nivel2"/>
        <w:rPr>
          <w:spacing w:val="-4"/>
        </w:rPr>
      </w:pPr>
      <w:r w:rsidRPr="00FA2847">
        <w:rPr>
          <w:spacing w:val="-4"/>
        </w:rPr>
        <w:t xml:space="preserve">El objetivo de este ejercicio es demostrar al tribunal que el opositor está familiarizado con el </w:t>
      </w:r>
      <w:r w:rsidRPr="00FA2847">
        <w:rPr>
          <w:i/>
          <w:iCs/>
          <w:spacing w:val="-4"/>
        </w:rPr>
        <w:t>análisis básico de una economía</w:t>
      </w:r>
      <w:r w:rsidRPr="00FA2847">
        <w:rPr>
          <w:spacing w:val="-4"/>
        </w:rPr>
        <w:t>: entiende un cuadro macroeconómico, las relaciones entre las macromagnitudes el impacto de las políticas y la acumulación de riesgos o vulnerabilidades.</w:t>
      </w:r>
    </w:p>
    <w:p w14:paraId="7047DA21" w14:textId="1945758A" w:rsidR="001A7206" w:rsidRDefault="001A7206" w:rsidP="001A7206">
      <w:pPr>
        <w:pStyle w:val="Nivel2"/>
        <w:keepNext/>
        <w:spacing w:after="0"/>
      </w:pPr>
      <w:r>
        <w:t>La solución debe estar guiada por 2 principios básicos:</w:t>
      </w:r>
    </w:p>
    <w:p w14:paraId="5443CFF7" w14:textId="677BDAF9" w:rsidR="001A7206" w:rsidRPr="001A7206" w:rsidRDefault="001A7206">
      <w:pPr>
        <w:pStyle w:val="Prrafodelista"/>
        <w:keepNext/>
        <w:numPr>
          <w:ilvl w:val="0"/>
          <w:numId w:val="33"/>
        </w:numPr>
        <w:spacing w:after="0"/>
        <w:ind w:left="709" w:hanging="57"/>
        <w:rPr>
          <w:i/>
          <w:iCs/>
        </w:rPr>
      </w:pPr>
      <w:r>
        <w:rPr>
          <w:i/>
          <w:iCs/>
        </w:rPr>
        <w:t>Prudencia a la hora de analizar la información recibida</w:t>
      </w:r>
      <w:r>
        <w:t>:</w:t>
      </w:r>
    </w:p>
    <w:p w14:paraId="6C0F295C" w14:textId="77777777" w:rsidR="001A7206" w:rsidRDefault="001A7206" w:rsidP="001A7206">
      <w:pPr>
        <w:pStyle w:val="Nivel4"/>
      </w:pPr>
      <w:r>
        <w:t>Es un ejercicio en el que se exige demasiado para los recursos y el tiempo disponibles.</w:t>
      </w:r>
    </w:p>
    <w:p w14:paraId="4957B467" w14:textId="1CB2A257" w:rsidR="001A7206" w:rsidRDefault="001A7206" w:rsidP="001A7206">
      <w:pPr>
        <w:pStyle w:val="Nivel4"/>
        <w:numPr>
          <w:ilvl w:val="0"/>
          <w:numId w:val="0"/>
        </w:numPr>
        <w:ind w:left="850"/>
        <w:rPr>
          <w:spacing w:val="-3"/>
        </w:rPr>
      </w:pPr>
      <w:r w:rsidRPr="001A7206">
        <w:rPr>
          <w:spacing w:val="-3"/>
        </w:rPr>
        <w:t>[Si no se aprecia una relación es posible que no esté en el cuadro].</w:t>
      </w:r>
    </w:p>
    <w:p w14:paraId="662E0F57" w14:textId="3BA6E12E" w:rsidR="001A7206" w:rsidRPr="001A7206" w:rsidRDefault="001A7206" w:rsidP="001A7206">
      <w:pPr>
        <w:pStyle w:val="Nivel4"/>
      </w:pPr>
      <w:r>
        <w:t>En ocasiones puede ser difícil responder a alguna de las preguntas</w:t>
      </w:r>
      <w:r w:rsidR="00261D74">
        <w:t>,</w:t>
      </w:r>
      <w:r>
        <w:t xml:space="preserve"> al ser difícil discernir entre toda la información o al contrario, por ausencia de datos. En estos casos</w:t>
      </w:r>
      <w:r w:rsidR="00261D74">
        <w:t>,</w:t>
      </w:r>
      <w:r>
        <w:t xml:space="preserve"> hacer un análisis básico pero prudente</w:t>
      </w:r>
      <w:r w:rsidR="00261D74">
        <w:t>,</w:t>
      </w:r>
      <w:r>
        <w:t xml:space="preserve"> sin hacer supuestos innecesarios</w:t>
      </w:r>
      <w:r w:rsidR="00261D74">
        <w:t>,</w:t>
      </w:r>
      <w:r>
        <w:t xml:space="preserve"> no debe ser motivo de penalización.</w:t>
      </w:r>
    </w:p>
    <w:p w14:paraId="1416522A" w14:textId="5A5C03D7" w:rsidR="00782BE7" w:rsidRPr="001A7206" w:rsidRDefault="001A7206">
      <w:pPr>
        <w:pStyle w:val="Prrafodelista"/>
        <w:numPr>
          <w:ilvl w:val="0"/>
          <w:numId w:val="33"/>
        </w:numPr>
        <w:spacing w:after="0"/>
        <w:ind w:left="709" w:hanging="57"/>
        <w:rPr>
          <w:i/>
          <w:iCs/>
        </w:rPr>
      </w:pPr>
      <w:r>
        <w:rPr>
          <w:i/>
          <w:iCs/>
        </w:rPr>
        <w:t>Coherencia entre las respuestas a las distintas preguntas</w:t>
      </w:r>
      <w:r>
        <w:t>:</w:t>
      </w:r>
    </w:p>
    <w:p w14:paraId="033E44E4" w14:textId="12171464" w:rsidR="009E31A0" w:rsidRPr="00025F23" w:rsidRDefault="009E31A0" w:rsidP="009E31A0">
      <w:pPr>
        <w:pStyle w:val="Nivel2"/>
      </w:pPr>
      <w:r w:rsidRPr="00025F23">
        <w:t xml:space="preserve">El análisis suele ser de un país existente (no suelen ser PED por la falta de disponibilidad de datos). Sin embargo, si no dicen el país, no es recomendable intentar averiguar </w:t>
      </w:r>
      <w:r w:rsidR="00AD45FC" w:rsidRPr="00025F23">
        <w:t>cuál</w:t>
      </w:r>
      <w:r w:rsidRPr="00025F23">
        <w:t xml:space="preserve"> es (mejor dejarlo en abstracto), pues un fallo puede perjudicar.</w:t>
      </w:r>
    </w:p>
    <w:p w14:paraId="5D1FF493" w14:textId="7FB0406C" w:rsidR="00EA1D11" w:rsidRPr="00025F23" w:rsidRDefault="003977B7" w:rsidP="00782BE7">
      <w:pPr>
        <w:pStyle w:val="Nivel2"/>
        <w:spacing w:after="0"/>
      </w:pPr>
      <w:r w:rsidRPr="00025F23">
        <w:rPr>
          <w:b/>
          <w:bCs/>
        </w:rPr>
        <w:t>Simplicidad</w:t>
      </w:r>
      <w:r w:rsidRPr="00025F23">
        <w:t xml:space="preserve">, no </w:t>
      </w:r>
      <w:r w:rsidR="008201C2" w:rsidRPr="00025F23">
        <w:t xml:space="preserve">hay </w:t>
      </w:r>
      <w:r w:rsidRPr="00025F23">
        <w:t>necesidad de escribir mucho, no repetirse</w:t>
      </w:r>
    </w:p>
    <w:p w14:paraId="1776E445" w14:textId="622B87E1" w:rsidR="001044B3" w:rsidRPr="00025F23" w:rsidRDefault="003977B7" w:rsidP="00782BE7">
      <w:pPr>
        <w:pStyle w:val="Nivel1"/>
        <w:numPr>
          <w:ilvl w:val="0"/>
          <w:numId w:val="0"/>
        </w:numPr>
        <w:ind w:left="426"/>
        <w:rPr>
          <w:spacing w:val="-4"/>
        </w:rPr>
      </w:pPr>
      <w:r w:rsidRPr="00025F23">
        <w:rPr>
          <w:spacing w:val="-4"/>
        </w:rPr>
        <w:t>(no solapar las respuestas de las preguntas: tratarlas como estancas)</w:t>
      </w:r>
      <w:r w:rsidR="00753580" w:rsidRPr="00025F23">
        <w:rPr>
          <w:spacing w:val="-4"/>
        </w:rPr>
        <w:t>.</w:t>
      </w:r>
    </w:p>
    <w:p w14:paraId="1D791AF3" w14:textId="3D0E2198" w:rsidR="00BE6E4E" w:rsidRPr="00025F23" w:rsidRDefault="00BE6E4E" w:rsidP="00753580">
      <w:pPr>
        <w:pStyle w:val="Nivel2"/>
      </w:pPr>
      <w:r w:rsidRPr="00025F23">
        <w:t>El examen no se valora al peso</w:t>
      </w:r>
      <w:r w:rsidR="00753580" w:rsidRPr="00025F23">
        <w:t>:</w:t>
      </w:r>
      <w:r w:rsidR="00E95D39" w:rsidRPr="00025F23">
        <w:t xml:space="preserve"> </w:t>
      </w:r>
      <w:r w:rsidR="00753580" w:rsidRPr="00025F23">
        <w:t>h</w:t>
      </w:r>
      <w:r w:rsidR="00E95D39" w:rsidRPr="00025F23">
        <w:t>ay que centrarse en la calidad de las respuestas, no en la cantidad.</w:t>
      </w:r>
    </w:p>
    <w:p w14:paraId="2386E154" w14:textId="37E8DDA3" w:rsidR="00714C62" w:rsidRPr="00025F23" w:rsidRDefault="00714C62" w:rsidP="008143ED">
      <w:pPr>
        <w:pStyle w:val="Nivel2"/>
        <w:keepNext/>
        <w:spacing w:after="0"/>
      </w:pPr>
      <w:r w:rsidRPr="00025F23">
        <w:rPr>
          <w:b/>
          <w:bCs/>
        </w:rPr>
        <w:t>Nunca ser demasiado tajante</w:t>
      </w:r>
      <w:r w:rsidRPr="00025F23">
        <w:t>, pues tenemos pocos datos y poco tiempo como para poder llegar a muchas conclusiones rotundas</w:t>
      </w:r>
      <w:r w:rsidR="00753580" w:rsidRPr="00025F23">
        <w:t>. El análisis que podemos hacer es de correlación, no podemos hacer un análisis de causalidad econométrico en el que aislemos el efecto de otras variables para decir con rotundidad qu</w:t>
      </w:r>
      <w:r w:rsidR="00E4773F" w:rsidRPr="00025F23">
        <w:t>é</w:t>
      </w:r>
      <w:r w:rsidR="00753580" w:rsidRPr="00025F23">
        <w:t xml:space="preserve"> es lo que causa la evolución de las variables</w:t>
      </w:r>
      <w:r w:rsidRPr="00025F23">
        <w:t>.</w:t>
      </w:r>
    </w:p>
    <w:p w14:paraId="0C60AC44" w14:textId="1BD71F90" w:rsidR="00EB7AA3" w:rsidRPr="00025F23" w:rsidRDefault="00EB7AA3" w:rsidP="00EB7AA3">
      <w:pPr>
        <w:pStyle w:val="Nivel3"/>
        <w:rPr>
          <w:i/>
          <w:iCs/>
        </w:rPr>
      </w:pPr>
      <w:r w:rsidRPr="00025F23">
        <w:rPr>
          <w:i/>
          <w:iCs/>
        </w:rPr>
        <w:t>Utiliza constantemente condicionales y matices, no te mojes demasiado interpretando relaciones causales y deja opciones abiertas.</w:t>
      </w:r>
    </w:p>
    <w:p w14:paraId="26E292BC" w14:textId="57657780" w:rsidR="005C1D85" w:rsidRPr="00025F23" w:rsidRDefault="005C1D85" w:rsidP="00EB7AA3">
      <w:pPr>
        <w:pStyle w:val="Nivel3"/>
        <w:rPr>
          <w:i/>
          <w:iCs/>
          <w:lang w:val="en-US"/>
        </w:rPr>
      </w:pPr>
      <w:r w:rsidRPr="00025F23">
        <w:rPr>
          <w:i/>
          <w:iCs/>
          <w:lang w:val="en-US"/>
        </w:rPr>
        <w:t>“An economist is an expert who will know tomorrow why the things he predicted yesterday didn’t happen today.”</w:t>
      </w:r>
      <w:r w:rsidRPr="00025F23">
        <w:rPr>
          <w:lang w:val="en-US"/>
        </w:rPr>
        <w:t xml:space="preserve"> (</w:t>
      </w:r>
      <w:r w:rsidRPr="00025F23">
        <w:rPr>
          <w:smallCaps/>
          <w:lang w:val="en-US"/>
        </w:rPr>
        <w:t>Laurence J. Peter</w:t>
      </w:r>
      <w:r w:rsidRPr="00025F23">
        <w:rPr>
          <w:lang w:val="en-US"/>
        </w:rPr>
        <w:t>)</w:t>
      </w:r>
    </w:p>
    <w:p w14:paraId="087F2784" w14:textId="5A7BB9A6" w:rsidR="00714C62" w:rsidRPr="00025F23" w:rsidRDefault="00714C62" w:rsidP="008143ED">
      <w:pPr>
        <w:pStyle w:val="Nivel2"/>
        <w:keepNext/>
        <w:spacing w:after="0"/>
      </w:pPr>
      <w:r w:rsidRPr="00025F23">
        <w:rPr>
          <w:b/>
          <w:bCs/>
        </w:rPr>
        <w:t>Intentar no ser demasiado descriptivo</w:t>
      </w:r>
      <w:r w:rsidRPr="00025F23">
        <w:t xml:space="preserve"> (p.ej. </w:t>
      </w:r>
      <w:r w:rsidRPr="00025F23">
        <w:rPr>
          <w:i/>
          <w:iCs/>
          <w:strike/>
        </w:rPr>
        <w:t>“la contribución al crecimiento de la demanda interna es positiva en 2014, negativa en 2015, y vuelve a ser positiva en 2016”</w:t>
      </w:r>
      <w:r w:rsidRPr="00025F23">
        <w:t>), sino más perspicaz (p.ej. “</w:t>
      </w:r>
      <w:r w:rsidRPr="00025F23">
        <w:rPr>
          <w:i/>
          <w:iCs/>
        </w:rPr>
        <w:t xml:space="preserve">la demanda interna contribuye fuertemente al PIB en épocas de </w:t>
      </w:r>
      <w:r w:rsidR="00FF331B" w:rsidRPr="00025F23">
        <w:rPr>
          <w:i/>
          <w:iCs/>
        </w:rPr>
        <w:t>bonanza,</w:t>
      </w:r>
      <w:r w:rsidRPr="00025F23">
        <w:rPr>
          <w:i/>
          <w:iCs/>
        </w:rPr>
        <w:t xml:space="preserve"> pero se desploma durante las recesiones, siendo la demanda externa la que en esos períodos amortigua en parte la caída del PIB; la demanda interna juega, pues, un papel procíclico, y la externa, uno </w:t>
      </w:r>
      <w:proofErr w:type="spellStart"/>
      <w:r w:rsidRPr="00025F23">
        <w:rPr>
          <w:i/>
          <w:iCs/>
        </w:rPr>
        <w:t>contracíclico</w:t>
      </w:r>
      <w:proofErr w:type="spellEnd"/>
      <w:r w:rsidRPr="00025F23">
        <w:rPr>
          <w:i/>
          <w:iCs/>
        </w:rPr>
        <w:t>”</w:t>
      </w:r>
      <w:r w:rsidRPr="00025F23">
        <w:t xml:space="preserve">). </w:t>
      </w:r>
    </w:p>
    <w:p w14:paraId="1B7FEC33" w14:textId="239BDA63" w:rsidR="00716CB2" w:rsidRPr="00025F23" w:rsidRDefault="00716CB2" w:rsidP="00716CB2">
      <w:pPr>
        <w:pStyle w:val="Nivel3"/>
        <w:rPr>
          <w:spacing w:val="-2"/>
        </w:rPr>
      </w:pPr>
      <w:r w:rsidRPr="00025F23">
        <w:rPr>
          <w:spacing w:val="-2"/>
        </w:rPr>
        <w:t>La escuela estadística se encarga de la descripción de los datos, nosotros como economistas tenemos que analizar lo que subyace.</w:t>
      </w:r>
    </w:p>
    <w:p w14:paraId="2D15D9A3" w14:textId="0EA4542D" w:rsidR="00EB7AA3" w:rsidRPr="00025F23" w:rsidRDefault="00EB7AA3" w:rsidP="00EB7AA3">
      <w:pPr>
        <w:pStyle w:val="Nivel2"/>
      </w:pPr>
      <w:r w:rsidRPr="00025F23">
        <w:rPr>
          <w:rStyle w:val="normaltextrun"/>
          <w:b/>
          <w:bCs/>
          <w:color w:val="000000"/>
          <w:shd w:val="clear" w:color="auto" w:fill="FFFFFF"/>
        </w:rPr>
        <w:t>Evita expresiones estándar</w:t>
      </w:r>
      <w:r w:rsidRPr="00025F23">
        <w:rPr>
          <w:rStyle w:val="normaltextrun"/>
          <w:color w:val="000000"/>
          <w:shd w:val="clear" w:color="auto" w:fill="FFFFFF"/>
        </w:rPr>
        <w:t xml:space="preserve"> tipo </w:t>
      </w:r>
      <w:r w:rsidRPr="00025F23">
        <w:rPr>
          <w:rStyle w:val="normaltextrun"/>
          <w:i/>
          <w:iCs/>
          <w:color w:val="000000"/>
          <w:shd w:val="clear" w:color="auto" w:fill="FFFFFF"/>
        </w:rPr>
        <w:t>el output gap es el mejor indicador de la posición cíclica de la economía.</w:t>
      </w:r>
    </w:p>
    <w:p w14:paraId="20D546FD" w14:textId="078E06C4" w:rsidR="009E31A0" w:rsidRPr="00025F23" w:rsidRDefault="002F4BC1" w:rsidP="00782BE7">
      <w:pPr>
        <w:pStyle w:val="Nivel2"/>
      </w:pPr>
      <w:r w:rsidRPr="00025F23">
        <w:t xml:space="preserve">Si hay varios apartados en una pregunta es importante responder nítidamente a cada uno de ellos (p.ej. </w:t>
      </w:r>
      <w:r w:rsidRPr="00025F23">
        <w:rPr>
          <w:i/>
          <w:iCs/>
        </w:rPr>
        <w:t>“Pasando a la segunda pregunta…”</w:t>
      </w:r>
      <w:r w:rsidRPr="00025F23">
        <w:t>)</w:t>
      </w:r>
      <w:r w:rsidR="00580808">
        <w:t>.</w:t>
      </w:r>
    </w:p>
    <w:p w14:paraId="1A782DB8" w14:textId="30CC1884" w:rsidR="008D3BCB" w:rsidRPr="00025F23" w:rsidRDefault="008D3BCB" w:rsidP="00782BE7">
      <w:pPr>
        <w:pStyle w:val="Nivel2"/>
      </w:pPr>
      <w:r w:rsidRPr="00025F23">
        <w:t>Cribar y mirar los datos relevantes (no hay tiempo para usarlo todo y no es recomendable). En cualquier caso, si hubiera un indicador poco habitual suele ser relevante.</w:t>
      </w:r>
    </w:p>
    <w:p w14:paraId="62220ED8" w14:textId="66646A25" w:rsidR="00C06292" w:rsidRPr="00025F23" w:rsidRDefault="008D3BCB" w:rsidP="00F262DF">
      <w:pPr>
        <w:pStyle w:val="Nivel2"/>
      </w:pPr>
      <w:r w:rsidRPr="00025F23">
        <w:t xml:space="preserve">Es importante tener una </w:t>
      </w:r>
      <w:r w:rsidRPr="00025F23">
        <w:rPr>
          <w:b/>
          <w:bCs/>
        </w:rPr>
        <w:t>visión de conjunto de la serie</w:t>
      </w:r>
      <w:r w:rsidRPr="00025F23">
        <w:t>, no ir al detalle año a año.</w:t>
      </w:r>
    </w:p>
    <w:p w14:paraId="0DAF0CC4" w14:textId="681C0DFB" w:rsidR="002A7A83" w:rsidRPr="00B2524F" w:rsidRDefault="004A6D11" w:rsidP="00FA2847">
      <w:pPr>
        <w:pStyle w:val="Nivel1"/>
        <w:keepNext/>
        <w:spacing w:after="0"/>
      </w:pPr>
      <w:r w:rsidRPr="00B2524F">
        <w:rPr>
          <w:b/>
          <w:bCs/>
          <w:i/>
        </w:rPr>
        <w:t>Administración de tiempos</w:t>
      </w:r>
      <w:r w:rsidRPr="00B2524F">
        <w:t xml:space="preserve">: </w:t>
      </w:r>
      <w:r w:rsidR="002A7A83" w:rsidRPr="00B2524F">
        <w:t xml:space="preserve">Generalmente, </w:t>
      </w:r>
      <w:r w:rsidR="00B2524F" w:rsidRPr="00B2524F">
        <w:rPr>
          <w:b/>
          <w:bCs/>
        </w:rPr>
        <w:t>1</w:t>
      </w:r>
      <w:r w:rsidR="00E4773F" w:rsidRPr="00B2524F">
        <w:rPr>
          <w:b/>
          <w:bCs/>
        </w:rPr>
        <w:t> </w:t>
      </w:r>
      <w:r w:rsidR="002A7A83" w:rsidRPr="00B2524F">
        <w:rPr>
          <w:b/>
          <w:bCs/>
        </w:rPr>
        <w:t>hora</w:t>
      </w:r>
      <w:r w:rsidR="00B2524F" w:rsidRPr="00B2524F">
        <w:rPr>
          <w:b/>
          <w:bCs/>
        </w:rPr>
        <w:t xml:space="preserve"> y 45 minutos</w:t>
      </w:r>
      <w:r w:rsidR="002A7A83" w:rsidRPr="00B2524F">
        <w:t xml:space="preserve"> (1</w:t>
      </w:r>
      <w:r w:rsidR="00B2524F" w:rsidRPr="00B2524F">
        <w:t>05</w:t>
      </w:r>
      <w:r w:rsidR="00E4773F" w:rsidRPr="00B2524F">
        <w:t> </w:t>
      </w:r>
      <w:r w:rsidR="002A7A83" w:rsidRPr="00B2524F">
        <w:t>minutos)</w:t>
      </w:r>
      <w:r w:rsidR="002A7A83" w:rsidRPr="00B2524F">
        <w:rPr>
          <w:rStyle w:val="Refdenotaalpie"/>
          <w:spacing w:val="-3"/>
        </w:rPr>
        <w:footnoteReference w:id="2"/>
      </w:r>
      <w:r w:rsidR="002A7A83" w:rsidRPr="00B2524F">
        <w:t>:</w:t>
      </w:r>
    </w:p>
    <w:p w14:paraId="6CB3CA94" w14:textId="67D00049" w:rsidR="00714C62" w:rsidRPr="00B2524F" w:rsidRDefault="00714C62" w:rsidP="00B0237F">
      <w:pPr>
        <w:pStyle w:val="Nivel1"/>
        <w:keepNext/>
        <w:numPr>
          <w:ilvl w:val="0"/>
          <w:numId w:val="0"/>
        </w:numPr>
        <w:spacing w:after="0"/>
        <w:ind w:left="227"/>
      </w:pPr>
      <w:r w:rsidRPr="00B2524F">
        <w:t>No hay tiempo que perder</w:t>
      </w:r>
      <w:r w:rsidR="007C6F79" w:rsidRPr="00B2524F">
        <w:t>.</w:t>
      </w:r>
      <w:r w:rsidRPr="00B2524F">
        <w:t xml:space="preserve"> </w:t>
      </w:r>
      <w:r w:rsidR="007C6F79" w:rsidRPr="00B2524F">
        <w:t>S</w:t>
      </w:r>
      <w:r w:rsidRPr="00B2524F">
        <w:t>i las preguntas o las tablas están grapadas, arrancar las hojas.</w:t>
      </w:r>
    </w:p>
    <w:p w14:paraId="5686A4F5" w14:textId="19F26824" w:rsidR="002A7A83" w:rsidRPr="00B2524F" w:rsidRDefault="002A7A83" w:rsidP="008143ED">
      <w:pPr>
        <w:pStyle w:val="Nivel2"/>
        <w:keepNext/>
        <w:spacing w:after="0"/>
      </w:pPr>
      <w:r w:rsidRPr="00B2524F">
        <w:rPr>
          <w:b/>
          <w:bCs/>
          <w:spacing w:val="-3"/>
        </w:rPr>
        <w:t>10-15</w:t>
      </w:r>
      <w:r w:rsidR="00E4773F" w:rsidRPr="00B2524F">
        <w:rPr>
          <w:b/>
          <w:bCs/>
          <w:spacing w:val="-3"/>
        </w:rPr>
        <w:t> </w:t>
      </w:r>
      <w:r w:rsidRPr="00B2524F">
        <w:rPr>
          <w:b/>
          <w:bCs/>
          <w:spacing w:val="-3"/>
        </w:rPr>
        <w:t>minutos</w:t>
      </w:r>
      <w:r w:rsidRPr="00B2524F">
        <w:t xml:space="preserve"> para:</w:t>
      </w:r>
    </w:p>
    <w:p w14:paraId="5A3FD681" w14:textId="12DECEB2" w:rsidR="002A7A83" w:rsidRPr="00B2524F" w:rsidRDefault="002A7A83" w:rsidP="008143ED">
      <w:pPr>
        <w:pStyle w:val="Nivel3"/>
        <w:keepNext/>
        <w:rPr>
          <w:spacing w:val="-3"/>
        </w:rPr>
      </w:pPr>
      <w:r w:rsidRPr="00B2524F">
        <w:rPr>
          <w:i/>
          <w:iCs/>
          <w:spacing w:val="-3"/>
        </w:rPr>
        <w:t xml:space="preserve">Leer </w:t>
      </w:r>
      <w:r w:rsidR="00EB7AA3" w:rsidRPr="00B2524F">
        <w:rPr>
          <w:i/>
          <w:iCs/>
          <w:spacing w:val="-3"/>
        </w:rPr>
        <w:t xml:space="preserve">instrucciones y </w:t>
      </w:r>
      <w:r w:rsidRPr="00B2524F">
        <w:rPr>
          <w:i/>
          <w:iCs/>
          <w:spacing w:val="-3"/>
        </w:rPr>
        <w:t>preguntas, subrayar los periodos a los que se refieren las preguntas y determinar dónde poner cada cosa del esquema</w:t>
      </w:r>
      <w:r w:rsidRPr="00B2524F">
        <w:rPr>
          <w:rStyle w:val="Refdenotaalpie"/>
          <w:spacing w:val="-3"/>
        </w:rPr>
        <w:footnoteReference w:id="3"/>
      </w:r>
      <w:r w:rsidRPr="00B2524F">
        <w:rPr>
          <w:spacing w:val="-3"/>
        </w:rPr>
        <w:t>. Mirar cuánto vale cada pregunta y organizar el tiempo. Si el dictamen es libre, comentar la estructura que se va a seguir.</w:t>
      </w:r>
    </w:p>
    <w:p w14:paraId="459DB43A" w14:textId="4FCB9FE2" w:rsidR="00EB7AA3" w:rsidRPr="00B2524F" w:rsidRDefault="00EB7AA3" w:rsidP="00EB7AA3">
      <w:pPr>
        <w:pStyle w:val="Nivel4"/>
        <w:ind w:left="964"/>
      </w:pPr>
      <w:r w:rsidRPr="00B2524F">
        <w:t>Es realmente importante leer bien las instrucciones y las preguntas enteras.</w:t>
      </w:r>
    </w:p>
    <w:p w14:paraId="21DEDB80" w14:textId="0FE3B8DF" w:rsidR="002A7A83" w:rsidRPr="00B2524F" w:rsidRDefault="002A7A83" w:rsidP="004A6D11">
      <w:pPr>
        <w:pStyle w:val="Nivel3"/>
      </w:pPr>
      <w:r w:rsidRPr="00B2524F">
        <w:rPr>
          <w:i/>
          <w:iCs/>
        </w:rPr>
        <w:t>Observar los gráficos</w:t>
      </w:r>
      <w:r w:rsidRPr="00B2524F">
        <w:t>, ya que por lo general no suelen ser gratuitos (p.ej. días de huelga, uso de la capacidad productiva, evolución de los precios de los activos, etc.).</w:t>
      </w:r>
    </w:p>
    <w:p w14:paraId="01935B54" w14:textId="6EF87389" w:rsidR="002A7A83" w:rsidRPr="00B2524F" w:rsidRDefault="002A7A83" w:rsidP="004A6D11">
      <w:pPr>
        <w:pStyle w:val="Nivel3"/>
        <w:rPr>
          <w:spacing w:val="-3"/>
        </w:rPr>
      </w:pPr>
      <w:r w:rsidRPr="00B2524F">
        <w:rPr>
          <w:i/>
          <w:iCs/>
          <w:spacing w:val="-3"/>
        </w:rPr>
        <w:t xml:space="preserve">Cuidado con las unidades en que están expresadas las variables </w:t>
      </w:r>
      <w:r w:rsidRPr="00B2524F">
        <w:rPr>
          <w:spacing w:val="-3"/>
        </w:rPr>
        <w:t>(variación, tasa de variación, porcentaje sobre el PIB, etc.)</w:t>
      </w:r>
      <w:r w:rsidR="002B3863" w:rsidRPr="00B2524F">
        <w:rPr>
          <w:spacing w:val="-3"/>
        </w:rPr>
        <w:t>.</w:t>
      </w:r>
    </w:p>
    <w:p w14:paraId="690CDD70" w14:textId="20E46C30" w:rsidR="00E4773F" w:rsidRPr="00B2524F" w:rsidRDefault="002A7A83" w:rsidP="00E4773F">
      <w:pPr>
        <w:pStyle w:val="Nivel3"/>
      </w:pPr>
      <w:r w:rsidRPr="00B2524F">
        <w:rPr>
          <w:i/>
          <w:iCs/>
        </w:rPr>
        <w:t>Observar datos, dividir en columnas las etapas del ciclo y subrayar datos que llamen la atenció</w:t>
      </w:r>
      <w:r w:rsidR="00E4773F" w:rsidRPr="00B2524F">
        <w:rPr>
          <w:i/>
          <w:iCs/>
        </w:rPr>
        <w:t>n</w:t>
      </w:r>
      <w:r w:rsidR="00E4773F" w:rsidRPr="00B2524F">
        <w:t>.</w:t>
      </w:r>
    </w:p>
    <w:p w14:paraId="3F24C26F" w14:textId="7617264E" w:rsidR="002A7A83" w:rsidRPr="00B2524F" w:rsidRDefault="00E4773F" w:rsidP="00E4773F">
      <w:pPr>
        <w:pStyle w:val="Nivel3"/>
        <w:numPr>
          <w:ilvl w:val="0"/>
          <w:numId w:val="0"/>
        </w:numPr>
        <w:ind w:left="680"/>
      </w:pPr>
      <w:r w:rsidRPr="00B2524F">
        <w:t>[Sí que se pueden hacer anotaciones en las tablas]</w:t>
      </w:r>
    </w:p>
    <w:p w14:paraId="7B606B39" w14:textId="7C49233E" w:rsidR="00E124A2" w:rsidRPr="00B2524F" w:rsidRDefault="002A7A83" w:rsidP="008143ED">
      <w:pPr>
        <w:pStyle w:val="Nivel3"/>
        <w:keepNext/>
        <w:rPr>
          <w:spacing w:val="-6"/>
          <w:sz w:val="13"/>
          <w:szCs w:val="13"/>
        </w:rPr>
      </w:pPr>
      <w:r w:rsidRPr="00B2524F">
        <w:rPr>
          <w:i/>
          <w:iCs/>
          <w:spacing w:val="-3"/>
        </w:rPr>
        <w:lastRenderedPageBreak/>
        <w:t xml:space="preserve">Hacer cálculos </w:t>
      </w:r>
      <w:r w:rsidR="00175377" w:rsidRPr="00B2524F">
        <w:rPr>
          <w:i/>
          <w:iCs/>
          <w:spacing w:val="-3"/>
        </w:rPr>
        <w:t xml:space="preserve">que nos soliciten </w:t>
      </w:r>
      <w:r w:rsidRPr="00B2524F">
        <w:rPr>
          <w:i/>
          <w:iCs/>
          <w:spacing w:val="-3"/>
        </w:rPr>
        <w:t>al principio</w:t>
      </w:r>
      <w:r w:rsidR="00E124A2" w:rsidRPr="00B2524F">
        <w:rPr>
          <w:i/>
          <w:iCs/>
          <w:spacing w:val="-3"/>
        </w:rPr>
        <w:t xml:space="preserve"> por un doble motivo</w:t>
      </w:r>
      <w:r w:rsidR="00E124A2" w:rsidRPr="00B2524F">
        <w:rPr>
          <w:rStyle w:val="Refdenotaalpie"/>
          <w:spacing w:val="-3"/>
        </w:rPr>
        <w:footnoteReference w:id="4"/>
      </w:r>
      <w:r w:rsidR="00E124A2" w:rsidRPr="00B2524F">
        <w:rPr>
          <w:spacing w:val="-3"/>
        </w:rPr>
        <w:t xml:space="preserve"> </w:t>
      </w:r>
      <w:r w:rsidR="00E124A2" w:rsidRPr="00B2524F">
        <w:rPr>
          <w:rStyle w:val="NocantarChar"/>
          <w:spacing w:val="-6"/>
          <w:sz w:val="14"/>
          <w:szCs w:val="14"/>
        </w:rPr>
        <w:t>[</w:t>
      </w:r>
      <w:hyperlink w:anchor="_Anexo_2:_Fórmulas" w:history="1">
        <w:r w:rsidR="008201C2" w:rsidRPr="00B2524F">
          <w:rPr>
            <w:rStyle w:val="Hipervnculo"/>
            <w:color w:val="7F7F7F" w:themeColor="text1" w:themeTint="80"/>
            <w:sz w:val="14"/>
            <w:szCs w:val="14"/>
            <w:u w:val="none"/>
          </w:rPr>
          <w:t>v</w:t>
        </w:r>
        <w:r w:rsidR="00E124A2" w:rsidRPr="00B2524F">
          <w:rPr>
            <w:rStyle w:val="Hipervnculo"/>
            <w:color w:val="7F7F7F" w:themeColor="text1" w:themeTint="80"/>
            <w:sz w:val="14"/>
            <w:szCs w:val="14"/>
            <w:u w:val="none"/>
          </w:rPr>
          <w:t xml:space="preserve">er Anexo </w:t>
        </w:r>
      </w:hyperlink>
      <w:r w:rsidR="00E124A2" w:rsidRPr="00B2524F">
        <w:rPr>
          <w:rStyle w:val="Hipervnculo"/>
          <w:color w:val="7F7F7F" w:themeColor="text1" w:themeTint="80"/>
          <w:sz w:val="14"/>
          <w:szCs w:val="14"/>
          <w:u w:val="none"/>
        </w:rPr>
        <w:fldChar w:fldCharType="begin"/>
      </w:r>
      <w:r w:rsidR="00E124A2" w:rsidRPr="00B2524F">
        <w:rPr>
          <w:rStyle w:val="Hipervnculo"/>
          <w:color w:val="7F7F7F" w:themeColor="text1" w:themeTint="80"/>
          <w:sz w:val="14"/>
          <w:szCs w:val="14"/>
          <w:u w:val="none"/>
        </w:rPr>
        <w:instrText xml:space="preserve"> REF _Ref102036059 \r \h </w:instrText>
      </w:r>
      <w:r w:rsidR="00652EE3" w:rsidRPr="00B2524F">
        <w:rPr>
          <w:rStyle w:val="Hipervnculo"/>
          <w:color w:val="7F7F7F" w:themeColor="text1" w:themeTint="80"/>
          <w:sz w:val="14"/>
          <w:szCs w:val="14"/>
          <w:u w:val="none"/>
        </w:rPr>
        <w:instrText xml:space="preserve"> \* MERGEFORMAT </w:instrText>
      </w:r>
      <w:r w:rsidR="00E124A2" w:rsidRPr="00B2524F">
        <w:rPr>
          <w:rStyle w:val="Hipervnculo"/>
          <w:color w:val="7F7F7F" w:themeColor="text1" w:themeTint="80"/>
          <w:sz w:val="14"/>
          <w:szCs w:val="14"/>
          <w:u w:val="none"/>
        </w:rPr>
      </w:r>
      <w:r w:rsidR="00E124A2" w:rsidRPr="00B2524F">
        <w:rPr>
          <w:rStyle w:val="Hipervnculo"/>
          <w:color w:val="7F7F7F" w:themeColor="text1" w:themeTint="80"/>
          <w:sz w:val="14"/>
          <w:szCs w:val="14"/>
          <w:u w:val="none"/>
        </w:rPr>
        <w:fldChar w:fldCharType="separate"/>
      </w:r>
      <w:r w:rsidR="00903E0C" w:rsidRPr="00B2524F">
        <w:rPr>
          <w:rStyle w:val="Hipervnculo"/>
          <w:color w:val="7F7F7F" w:themeColor="text1" w:themeTint="80"/>
          <w:sz w:val="14"/>
          <w:szCs w:val="14"/>
          <w:u w:val="none"/>
        </w:rPr>
        <w:t>A.5</w:t>
      </w:r>
      <w:r w:rsidR="00E124A2" w:rsidRPr="00B2524F">
        <w:rPr>
          <w:rStyle w:val="Hipervnculo"/>
          <w:color w:val="7F7F7F" w:themeColor="text1" w:themeTint="80"/>
          <w:sz w:val="14"/>
          <w:szCs w:val="14"/>
          <w:u w:val="none"/>
        </w:rPr>
        <w:fldChar w:fldCharType="end"/>
      </w:r>
      <w:r w:rsidR="00E124A2" w:rsidRPr="00B2524F">
        <w:rPr>
          <w:rStyle w:val="NocantarChar"/>
          <w:spacing w:val="-6"/>
          <w:sz w:val="14"/>
          <w:szCs w:val="14"/>
        </w:rPr>
        <w:t>]</w:t>
      </w:r>
      <w:r w:rsidR="00E124A2" w:rsidRPr="00B2524F">
        <w:rPr>
          <w:spacing w:val="-3"/>
        </w:rPr>
        <w:t>:</w:t>
      </w:r>
    </w:p>
    <w:p w14:paraId="593E0569" w14:textId="5764DF6C" w:rsidR="00E124A2" w:rsidRPr="00B2524F" w:rsidRDefault="00E124A2" w:rsidP="00E124A2">
      <w:pPr>
        <w:pStyle w:val="Nivel4"/>
        <w:rPr>
          <w:rStyle w:val="NocantarChar"/>
          <w:color w:val="auto"/>
          <w:spacing w:val="-6"/>
          <w:szCs w:val="16"/>
        </w:rPr>
      </w:pPr>
      <w:r w:rsidRPr="00B2524F">
        <w:rPr>
          <w:spacing w:val="-3"/>
          <w:szCs w:val="16"/>
        </w:rPr>
        <w:t>S</w:t>
      </w:r>
      <w:r w:rsidR="002A7A83" w:rsidRPr="00B2524F">
        <w:rPr>
          <w:spacing w:val="-3"/>
          <w:szCs w:val="16"/>
        </w:rPr>
        <w:t>e está más fresco</w:t>
      </w:r>
      <w:r w:rsidR="00714C62" w:rsidRPr="00B2524F">
        <w:rPr>
          <w:i/>
          <w:iCs/>
          <w:spacing w:val="-3"/>
          <w:szCs w:val="16"/>
        </w:rPr>
        <w:t>.</w:t>
      </w:r>
    </w:p>
    <w:p w14:paraId="19B7933A" w14:textId="6C543E9F" w:rsidR="00862C16" w:rsidRPr="00B2524F" w:rsidRDefault="00E124A2" w:rsidP="00A469C1">
      <w:pPr>
        <w:pStyle w:val="Nivel4"/>
        <w:rPr>
          <w:spacing w:val="-6"/>
          <w:szCs w:val="16"/>
        </w:rPr>
      </w:pPr>
      <w:r w:rsidRPr="00B2524F">
        <w:rPr>
          <w:spacing w:val="-6"/>
          <w:szCs w:val="16"/>
        </w:rPr>
        <w:t>Puede ser útil para no incurrir en contradicciones al redactar la primera pregunta sobre el perfil cíclico.</w:t>
      </w:r>
    </w:p>
    <w:p w14:paraId="36CC513D" w14:textId="106B2F4F" w:rsidR="002B3863" w:rsidRPr="00B2524F" w:rsidRDefault="00B2524F" w:rsidP="004A6D11">
      <w:pPr>
        <w:pStyle w:val="Nivel2"/>
        <w:spacing w:after="0"/>
      </w:pPr>
      <w:r w:rsidRPr="00B2524F">
        <w:rPr>
          <w:b/>
          <w:bCs/>
        </w:rPr>
        <w:t>20-</w:t>
      </w:r>
      <w:r w:rsidR="002B3863" w:rsidRPr="00B2524F">
        <w:rPr>
          <w:b/>
          <w:bCs/>
        </w:rPr>
        <w:t>30</w:t>
      </w:r>
      <w:r w:rsidR="00E4773F" w:rsidRPr="00B2524F">
        <w:rPr>
          <w:b/>
          <w:bCs/>
        </w:rPr>
        <w:t> </w:t>
      </w:r>
      <w:r w:rsidR="002B3863" w:rsidRPr="00B2524F">
        <w:rPr>
          <w:b/>
          <w:bCs/>
        </w:rPr>
        <w:t>minutos</w:t>
      </w:r>
      <w:r w:rsidR="002B3863" w:rsidRPr="00B2524F">
        <w:t xml:space="preserve"> para el </w:t>
      </w:r>
      <w:r w:rsidR="002B3863" w:rsidRPr="00B2524F">
        <w:rPr>
          <w:i/>
          <w:iCs/>
        </w:rPr>
        <w:t>perfil cíclico de la economía y composición del crecimiento desde la óptica de la demanda/oferta</w:t>
      </w:r>
      <w:r w:rsidR="002B3863" w:rsidRPr="00B2524F">
        <w:t>.</w:t>
      </w:r>
    </w:p>
    <w:p w14:paraId="1789ABC6" w14:textId="25C44713" w:rsidR="002B3863" w:rsidRPr="00B2524F" w:rsidRDefault="002B3863" w:rsidP="008143ED">
      <w:pPr>
        <w:pStyle w:val="Nivel2"/>
        <w:keepNext/>
        <w:spacing w:after="0"/>
      </w:pPr>
      <w:r w:rsidRPr="00B2524F">
        <w:rPr>
          <w:b/>
          <w:bCs/>
        </w:rPr>
        <w:t>60</w:t>
      </w:r>
      <w:r w:rsidR="00E4773F" w:rsidRPr="00B2524F">
        <w:rPr>
          <w:b/>
          <w:bCs/>
        </w:rPr>
        <w:t> </w:t>
      </w:r>
      <w:r w:rsidRPr="00B2524F">
        <w:rPr>
          <w:b/>
          <w:bCs/>
        </w:rPr>
        <w:t>minutos</w:t>
      </w:r>
      <w:r w:rsidRPr="00B2524F">
        <w:t xml:space="preserve"> para </w:t>
      </w:r>
      <w:r w:rsidRPr="00B2524F">
        <w:rPr>
          <w:i/>
          <w:iCs/>
        </w:rPr>
        <w:t>el resto</w:t>
      </w:r>
      <w:r w:rsidR="001521F3" w:rsidRPr="00B2524F">
        <w:t>. Aproximadamente</w:t>
      </w:r>
      <w:r w:rsidRPr="00B2524F">
        <w:t>:</w:t>
      </w:r>
    </w:p>
    <w:p w14:paraId="37E36C0A" w14:textId="660453F3" w:rsidR="00DF1CE9" w:rsidRPr="00B2524F" w:rsidRDefault="00DF1CE9" w:rsidP="004A6D11">
      <w:pPr>
        <w:pStyle w:val="Nivel3"/>
      </w:pPr>
      <w:r w:rsidRPr="00B2524F">
        <w:t xml:space="preserve">Si </w:t>
      </w:r>
      <w:r w:rsidRPr="00B2524F">
        <w:rPr>
          <w:i/>
          <w:iCs/>
        </w:rPr>
        <w:t>10</w:t>
      </w:r>
      <w:r w:rsidR="00A16FDD" w:rsidRPr="00B2524F">
        <w:rPr>
          <w:i/>
          <w:iCs/>
        </w:rPr>
        <w:t> </w:t>
      </w:r>
      <w:r w:rsidRPr="00B2524F">
        <w:rPr>
          <w:i/>
          <w:iCs/>
        </w:rPr>
        <w:t>preguntas</w:t>
      </w:r>
      <w:r w:rsidRPr="00B2524F">
        <w:t>: 6</w:t>
      </w:r>
      <w:r w:rsidR="00A16FDD" w:rsidRPr="00B2524F">
        <w:t> </w:t>
      </w:r>
      <w:r w:rsidRPr="00B2524F">
        <w:t>min. por pregunta.</w:t>
      </w:r>
    </w:p>
    <w:p w14:paraId="02845A33" w14:textId="11983F27" w:rsidR="00DF67AC" w:rsidRPr="00B2524F" w:rsidRDefault="00DF67AC" w:rsidP="004A6D11">
      <w:pPr>
        <w:pStyle w:val="Nivel3"/>
      </w:pPr>
      <w:r w:rsidRPr="00B2524F">
        <w:t xml:space="preserve">Si </w:t>
      </w:r>
      <w:r w:rsidRPr="00B2524F">
        <w:rPr>
          <w:i/>
          <w:iCs/>
        </w:rPr>
        <w:t>9</w:t>
      </w:r>
      <w:r w:rsidR="00A16FDD" w:rsidRPr="00B2524F">
        <w:rPr>
          <w:i/>
          <w:iCs/>
        </w:rPr>
        <w:t> </w:t>
      </w:r>
      <w:r w:rsidRPr="00B2524F">
        <w:rPr>
          <w:i/>
          <w:iCs/>
        </w:rPr>
        <w:t>preguntas</w:t>
      </w:r>
      <w:r w:rsidRPr="00B2524F">
        <w:t>: 6</w:t>
      </w:r>
      <w:r w:rsidR="00A16FDD" w:rsidRPr="00B2524F">
        <w:t> </w:t>
      </w:r>
      <w:r w:rsidRPr="00B2524F">
        <w:t xml:space="preserve">min. </w:t>
      </w:r>
      <w:r w:rsidR="003522F3" w:rsidRPr="00B2524F">
        <w:t>30</w:t>
      </w:r>
      <w:r w:rsidR="00A16FDD" w:rsidRPr="00B2524F">
        <w:t> </w:t>
      </w:r>
      <w:r w:rsidR="003522F3" w:rsidRPr="00B2524F">
        <w:t xml:space="preserve">s </w:t>
      </w:r>
      <w:r w:rsidRPr="00B2524F">
        <w:t>por pregunta.</w:t>
      </w:r>
    </w:p>
    <w:p w14:paraId="3E871393" w14:textId="35A9C26B" w:rsidR="002B3863" w:rsidRPr="00B2524F" w:rsidRDefault="002B3863" w:rsidP="004A6D11">
      <w:pPr>
        <w:pStyle w:val="Nivel3"/>
      </w:pPr>
      <w:r w:rsidRPr="00B2524F">
        <w:t xml:space="preserve">Si </w:t>
      </w:r>
      <w:r w:rsidRPr="00B2524F">
        <w:rPr>
          <w:i/>
          <w:iCs/>
        </w:rPr>
        <w:t>8</w:t>
      </w:r>
      <w:r w:rsidR="00A16FDD" w:rsidRPr="00B2524F">
        <w:rPr>
          <w:i/>
          <w:iCs/>
        </w:rPr>
        <w:t> </w:t>
      </w:r>
      <w:r w:rsidRPr="00B2524F">
        <w:rPr>
          <w:i/>
          <w:iCs/>
        </w:rPr>
        <w:t>preguntas</w:t>
      </w:r>
      <w:r w:rsidRPr="00B2524F">
        <w:t>: 7</w:t>
      </w:r>
      <w:r w:rsidR="00A16FDD" w:rsidRPr="00B2524F">
        <w:t> </w:t>
      </w:r>
      <w:r w:rsidRPr="00B2524F">
        <w:t>min.</w:t>
      </w:r>
      <w:r w:rsidR="001521F3" w:rsidRPr="00B2524F">
        <w:t xml:space="preserve"> 30</w:t>
      </w:r>
      <w:r w:rsidR="00A16FDD" w:rsidRPr="00B2524F">
        <w:t> </w:t>
      </w:r>
      <w:r w:rsidR="001521F3" w:rsidRPr="00B2524F">
        <w:t>s</w:t>
      </w:r>
      <w:r w:rsidRPr="00B2524F">
        <w:t xml:space="preserve"> por pregunta.</w:t>
      </w:r>
    </w:p>
    <w:p w14:paraId="5980ACCE" w14:textId="1179FC04" w:rsidR="001521F3" w:rsidRPr="00B2524F" w:rsidRDefault="001521F3" w:rsidP="004A6D11">
      <w:pPr>
        <w:pStyle w:val="Nivel3"/>
      </w:pPr>
      <w:r w:rsidRPr="00B2524F">
        <w:t xml:space="preserve">Si </w:t>
      </w:r>
      <w:r w:rsidRPr="00B2524F">
        <w:rPr>
          <w:i/>
          <w:iCs/>
        </w:rPr>
        <w:t>7</w:t>
      </w:r>
      <w:r w:rsidR="00A16FDD" w:rsidRPr="00B2524F">
        <w:rPr>
          <w:i/>
          <w:iCs/>
        </w:rPr>
        <w:t> </w:t>
      </w:r>
      <w:r w:rsidRPr="00B2524F">
        <w:rPr>
          <w:i/>
          <w:iCs/>
        </w:rPr>
        <w:t>preguntas</w:t>
      </w:r>
      <w:r w:rsidRPr="00B2524F">
        <w:t>: 8</w:t>
      </w:r>
      <w:r w:rsidR="00A16FDD" w:rsidRPr="00B2524F">
        <w:t> </w:t>
      </w:r>
      <w:r w:rsidRPr="00B2524F">
        <w:t>min. 30</w:t>
      </w:r>
      <w:r w:rsidR="00A16FDD" w:rsidRPr="00B2524F">
        <w:t> </w:t>
      </w:r>
      <w:r w:rsidRPr="00B2524F">
        <w:t>s por pregunta.</w:t>
      </w:r>
    </w:p>
    <w:p w14:paraId="6F1B18C3" w14:textId="659F925F" w:rsidR="001521F3" w:rsidRPr="00B2524F" w:rsidRDefault="001521F3" w:rsidP="001521F3">
      <w:pPr>
        <w:pStyle w:val="Nivel3"/>
      </w:pPr>
      <w:r w:rsidRPr="00B2524F">
        <w:t xml:space="preserve">Si </w:t>
      </w:r>
      <w:r w:rsidRPr="00B2524F">
        <w:rPr>
          <w:i/>
          <w:iCs/>
        </w:rPr>
        <w:t>6</w:t>
      </w:r>
      <w:r w:rsidR="00A16FDD" w:rsidRPr="00B2524F">
        <w:rPr>
          <w:i/>
          <w:iCs/>
        </w:rPr>
        <w:t> </w:t>
      </w:r>
      <w:r w:rsidRPr="00B2524F">
        <w:rPr>
          <w:i/>
          <w:iCs/>
        </w:rPr>
        <w:t>preguntas</w:t>
      </w:r>
      <w:r w:rsidRPr="00B2524F">
        <w:t>: 10</w:t>
      </w:r>
      <w:r w:rsidR="00A16FDD" w:rsidRPr="00B2524F">
        <w:t> </w:t>
      </w:r>
      <w:r w:rsidRPr="00B2524F">
        <w:t>min. por pregunta.</w:t>
      </w:r>
    </w:p>
    <w:p w14:paraId="4A45F445" w14:textId="03C12669" w:rsidR="002B3863" w:rsidRPr="00B2524F" w:rsidRDefault="002B3863" w:rsidP="004A6D11">
      <w:pPr>
        <w:pStyle w:val="Nivel3"/>
      </w:pPr>
      <w:r w:rsidRPr="00B2524F">
        <w:t xml:space="preserve">Si </w:t>
      </w:r>
      <w:r w:rsidRPr="00B2524F">
        <w:rPr>
          <w:i/>
          <w:iCs/>
        </w:rPr>
        <w:t>5</w:t>
      </w:r>
      <w:r w:rsidR="00A16FDD" w:rsidRPr="00B2524F">
        <w:rPr>
          <w:i/>
          <w:iCs/>
        </w:rPr>
        <w:t> </w:t>
      </w:r>
      <w:r w:rsidRPr="00B2524F">
        <w:rPr>
          <w:i/>
          <w:iCs/>
        </w:rPr>
        <w:t>preguntas</w:t>
      </w:r>
      <w:r w:rsidRPr="00B2524F">
        <w:t>: 12</w:t>
      </w:r>
      <w:r w:rsidR="00A16FDD" w:rsidRPr="00B2524F">
        <w:t> </w:t>
      </w:r>
      <w:r w:rsidRPr="00B2524F">
        <w:t>min. por pregunta.</w:t>
      </w:r>
    </w:p>
    <w:p w14:paraId="4F0BEF9B" w14:textId="0AF66286" w:rsidR="002B3863" w:rsidRPr="00B2524F" w:rsidRDefault="002B3863" w:rsidP="00782BE7">
      <w:pPr>
        <w:pStyle w:val="Nivel2"/>
      </w:pPr>
      <w:r w:rsidRPr="00B2524F">
        <w:t>Repasar/releer cada pregunta después de redactarla.</w:t>
      </w:r>
    </w:p>
    <w:p w14:paraId="089F7982" w14:textId="006444C4" w:rsidR="00A42628" w:rsidRPr="00025F23" w:rsidRDefault="00B905A1" w:rsidP="00283623">
      <w:pPr>
        <w:pStyle w:val="Nivel1"/>
        <w:keepNext/>
        <w:spacing w:before="80" w:after="20"/>
      </w:pPr>
      <w:r w:rsidRPr="00025F23">
        <w:rPr>
          <w:b/>
          <w:bCs/>
          <w:i/>
          <w:iCs w:val="0"/>
        </w:rPr>
        <w:t>Estructura</w:t>
      </w:r>
      <w:r w:rsidR="00B77C0F" w:rsidRPr="00025F23">
        <w:t>:</w:t>
      </w:r>
    </w:p>
    <w:tbl>
      <w:tblPr>
        <w:tblStyle w:val="Tablaconcuadrcula"/>
        <w:tblW w:w="5529" w:type="dxa"/>
        <w:tblInd w:w="-147" w:type="dxa"/>
        <w:tblBorders>
          <w:top w:val="single" w:sz="4" w:space="0" w:color="800000"/>
          <w:left w:val="none" w:sz="0" w:space="0" w:color="auto"/>
          <w:bottom w:val="single" w:sz="24" w:space="0" w:color="800000"/>
          <w:right w:val="none" w:sz="0" w:space="0" w:color="auto"/>
          <w:insideH w:val="single" w:sz="24" w:space="0" w:color="800000"/>
          <w:insideV w:val="single" w:sz="24" w:space="0" w:color="800000"/>
        </w:tblBorders>
        <w:tblLook w:val="04A0" w:firstRow="1" w:lastRow="0" w:firstColumn="1" w:lastColumn="0" w:noHBand="0" w:noVBand="1"/>
      </w:tblPr>
      <w:tblGrid>
        <w:gridCol w:w="5529"/>
      </w:tblGrid>
      <w:tr w:rsidR="00EB7AA3" w:rsidRPr="00025F23" w14:paraId="62DACC02" w14:textId="77777777" w:rsidTr="00EB7AA3">
        <w:trPr>
          <w:trHeight w:val="113"/>
        </w:trPr>
        <w:tc>
          <w:tcPr>
            <w:tcW w:w="5529" w:type="dxa"/>
            <w:tcBorders>
              <w:top w:val="nil"/>
            </w:tcBorders>
            <w:shd w:val="clear" w:color="auto" w:fill="FFF2CC" w:themeFill="accent4" w:themeFillTint="33"/>
            <w:vAlign w:val="center"/>
          </w:tcPr>
          <w:p w14:paraId="43710BB4" w14:textId="5D59E504" w:rsidR="00EB7AA3" w:rsidRPr="00025F23" w:rsidRDefault="00000000" w:rsidP="00376ADB">
            <w:pPr>
              <w:pStyle w:val="Ttulo4"/>
              <w:rPr>
                <w:bCs/>
                <w:sz w:val="18"/>
                <w:szCs w:val="24"/>
              </w:rPr>
            </w:pPr>
            <w:sdt>
              <w:sdtPr>
                <w:rPr>
                  <w:bCs/>
                  <w:caps/>
                  <w:sz w:val="18"/>
                  <w:szCs w:val="24"/>
                </w:rPr>
                <w:alias w:val="Title"/>
                <w:tag w:val=""/>
                <w:id w:val="-941995089"/>
                <w:placeholder>
                  <w:docPart w:val="F232D3E067704B75AE1A36B336C4D5EE"/>
                </w:placeholder>
                <w:dataBinding w:prefixMappings="xmlns:ns0='http://purl.org/dc/elements/1.1/' xmlns:ns1='http://schemas.openxmlformats.org/package/2006/metadata/core-properties' " w:xpath="/ns1:coreProperties[1]/ns0:title[1]" w:storeItemID="{6C3C8BC8-F283-45AE-878A-BAB7291924A1}"/>
                <w:text/>
              </w:sdtPr>
              <w:sdtEndPr>
                <w:rPr>
                  <w:bCs w:val="0"/>
                  <w:caps w:val="0"/>
                  <w:sz w:val="16"/>
                  <w:szCs w:val="22"/>
                </w:rPr>
              </w:sdtEndPr>
              <w:sdtContent>
                <w:r w:rsidR="007269E7" w:rsidRPr="00025F23">
                  <w:rPr>
                    <w:bCs/>
                    <w:caps/>
                    <w:sz w:val="18"/>
                    <w:szCs w:val="24"/>
                  </w:rPr>
                  <w:t>Esquema para el ejercicio de dictamen económico</w:t>
                </w:r>
              </w:sdtContent>
            </w:sdt>
          </w:p>
        </w:tc>
      </w:tr>
      <w:tr w:rsidR="0021774E" w:rsidRPr="00025F23" w14:paraId="194E1D9F" w14:textId="77777777" w:rsidTr="00EB7AA3">
        <w:trPr>
          <w:trHeight w:val="113"/>
          <w:hidden/>
        </w:trPr>
        <w:tc>
          <w:tcPr>
            <w:tcW w:w="5529" w:type="dxa"/>
            <w:shd w:val="clear" w:color="auto" w:fill="FFF2CC" w:themeFill="accent4" w:themeFillTint="33"/>
            <w:vAlign w:val="center"/>
          </w:tcPr>
        </w:tc>
      </w:tr>
    </w:tbl>
    <w:p w14:paraId="7CE44A81" w14:textId="77777777" w:rsidR="00283623" w:rsidRDefault="00283623" w:rsidP="00283623">
      <w:pPr>
        <w:spacing w:after="0"/>
        <w:rPr>
          <w:sz w:val="6"/>
          <w:szCs w:val="6"/>
        </w:rPr>
      </w:pPr>
    </w:p>
    <w:p w14:paraId="63DB90F7" w14:textId="77777777" w:rsidR="00A11027" w:rsidRDefault="00A11027" w:rsidP="00283623">
      <w:pPr>
        <w:spacing w:after="0"/>
        <w:rPr>
          <w:sz w:val="6"/>
          <w:szCs w:val="6"/>
        </w:rPr>
      </w:pPr>
    </w:p>
    <w:p w14:paraId="3256BFBB" w14:textId="77777777" w:rsidR="00A11027" w:rsidRDefault="00A11027" w:rsidP="00283623">
      <w:pPr>
        <w:spacing w:after="0"/>
        <w:rPr>
          <w:sz w:val="6"/>
          <w:szCs w:val="6"/>
        </w:rPr>
      </w:pPr>
    </w:p>
    <w:p w14:paraId="1CEEAF96" w14:textId="77777777" w:rsidR="00A11027" w:rsidRPr="00025F23" w:rsidRDefault="00A11027" w:rsidP="00283623">
      <w:pPr>
        <w:spacing w:after="0"/>
        <w:rPr>
          <w:sz w:val="6"/>
          <w:szCs w:val="6"/>
        </w:rPr>
      </w:pPr>
    </w:p>
    <w:p w14:paraId="6DEF4B95" w14:textId="76D48DCE" w:rsidR="00A469C1" w:rsidRPr="00025F23" w:rsidRDefault="007868B4" w:rsidP="003C29B6">
      <w:pPr>
        <w:pStyle w:val="Nivel1SM"/>
      </w:pPr>
      <w:r w:rsidRPr="00025F23">
        <w:t xml:space="preserve">El análisis de coyuntura supone el estudio de la situación actual de una economía determinada, de los factores que la han originado y de su evolución posible a corto plazo. No se busca únicamente describir cómo </w:t>
      </w:r>
      <w:r w:rsidRPr="003C29B6">
        <w:t>aumentan</w:t>
      </w:r>
      <w:r w:rsidRPr="00025F23">
        <w:t xml:space="preserve"> o disminuyen ciertas macromagnitudes. El principal objetivo del inform</w:t>
      </w:r>
      <w:r w:rsidR="001F2D3A" w:rsidRPr="00025F23">
        <w:t>e</w:t>
      </w:r>
      <w:r w:rsidRPr="00025F23">
        <w:t xml:space="preserve"> es interpretar la evolución de los agregados, establecer relaciones de causalidad y destacar su relevancia en el contexto </w:t>
      </w:r>
      <w:r w:rsidRPr="00025F23">
        <w:lastRenderedPageBreak/>
        <w:t>económico del país que se analiza. De ahí la importancia de conocer en profundidad estos agregados y los nexos que existen entre ellos.</w:t>
      </w:r>
    </w:p>
    <w:tbl>
      <w:tblPr>
        <w:tblStyle w:val="Tablaconcuadrcula"/>
        <w:tblW w:w="5842" w:type="dxa"/>
        <w:tblInd w:w="-289" w:type="dxa"/>
        <w:tblLayout w:type="fixed"/>
        <w:tblCellMar>
          <w:top w:w="28" w:type="dxa"/>
          <w:left w:w="28" w:type="dxa"/>
          <w:bottom w:w="28" w:type="dxa"/>
          <w:right w:w="28" w:type="dxa"/>
        </w:tblCellMar>
        <w:tblLook w:val="04A0" w:firstRow="1" w:lastRow="0" w:firstColumn="1" w:lastColumn="0" w:noHBand="0" w:noVBand="1"/>
      </w:tblPr>
      <w:tblGrid>
        <w:gridCol w:w="567"/>
        <w:gridCol w:w="709"/>
        <w:gridCol w:w="737"/>
        <w:gridCol w:w="539"/>
        <w:gridCol w:w="709"/>
        <w:gridCol w:w="737"/>
        <w:gridCol w:w="539"/>
        <w:gridCol w:w="454"/>
        <w:gridCol w:w="801"/>
        <w:gridCol w:w="50"/>
      </w:tblGrid>
      <w:tr w:rsidR="00AC0A14" w:rsidRPr="00025F23" w14:paraId="4CB28971" w14:textId="77777777" w:rsidTr="000275E3">
        <w:trPr>
          <w:gridAfter w:val="1"/>
          <w:wAfter w:w="50" w:type="dxa"/>
          <w:trHeight w:val="45"/>
          <w:tblHeader/>
        </w:trPr>
        <w:tc>
          <w:tcPr>
            <w:tcW w:w="5792" w:type="dxa"/>
            <w:gridSpan w:val="9"/>
            <w:tcBorders>
              <w:top w:val="nil"/>
              <w:left w:val="nil"/>
              <w:bottom w:val="nil"/>
              <w:right w:val="nil"/>
            </w:tcBorders>
            <w:vAlign w:val="center"/>
          </w:tcPr>
          <w:p w14:paraId="26B468BF" w14:textId="77777777" w:rsidR="00AC0A14" w:rsidRPr="00025F23" w:rsidRDefault="00AC0A14" w:rsidP="00A469C1">
            <w:pPr>
              <w:keepNext/>
              <w:spacing w:after="0"/>
              <w:jc w:val="center"/>
              <w:rPr>
                <w:b/>
                <w:bCs/>
                <w:i/>
                <w:iCs/>
                <w:spacing w:val="-2"/>
                <w:sz w:val="10"/>
                <w:szCs w:val="10"/>
              </w:rPr>
            </w:pPr>
            <w:r w:rsidRPr="00025F23">
              <w:rPr>
                <w:b/>
                <w:bCs/>
                <w:i/>
                <w:iCs/>
                <w:color w:val="800000"/>
                <w:spacing w:val="-2"/>
                <w:sz w:val="10"/>
                <w:szCs w:val="10"/>
              </w:rPr>
              <w:t>Matriz de fortalezas y debilidades</w:t>
            </w:r>
          </w:p>
        </w:tc>
      </w:tr>
      <w:tr w:rsidR="00E43F52" w:rsidRPr="00025F23" w14:paraId="63BC8242" w14:textId="77777777" w:rsidTr="000275E3">
        <w:trPr>
          <w:trHeight w:val="283"/>
          <w:tblHeader/>
        </w:trPr>
        <w:tc>
          <w:tcPr>
            <w:tcW w:w="567" w:type="dxa"/>
            <w:tcBorders>
              <w:top w:val="nil"/>
              <w:left w:val="nil"/>
              <w:bottom w:val="single" w:sz="8" w:space="0" w:color="800000"/>
              <w:right w:val="single" w:sz="8" w:space="0" w:color="800000"/>
            </w:tcBorders>
            <w:vAlign w:val="center"/>
          </w:tcPr>
          <w:p w14:paraId="784F8FAF" w14:textId="77777777" w:rsidR="00A469C1" w:rsidRPr="00025F23" w:rsidRDefault="00A469C1" w:rsidP="00A469C1">
            <w:pPr>
              <w:keepNext/>
              <w:spacing w:after="0"/>
              <w:jc w:val="left"/>
              <w:rPr>
                <w:i/>
                <w:iCs/>
                <w:sz w:val="12"/>
                <w:szCs w:val="12"/>
              </w:rPr>
            </w:pPr>
          </w:p>
        </w:tc>
        <w:tc>
          <w:tcPr>
            <w:tcW w:w="709" w:type="dxa"/>
            <w:tcBorders>
              <w:top w:val="single" w:sz="8" w:space="0" w:color="800000"/>
              <w:left w:val="single" w:sz="8" w:space="0" w:color="800000"/>
              <w:bottom w:val="single" w:sz="8" w:space="0" w:color="800000"/>
              <w:right w:val="dashed" w:sz="2" w:space="0" w:color="auto"/>
            </w:tcBorders>
            <w:shd w:val="clear" w:color="auto" w:fill="FFF2CC" w:themeFill="accent4" w:themeFillTint="33"/>
            <w:vAlign w:val="center"/>
          </w:tcPr>
          <w:p w14:paraId="1F483266" w14:textId="0DEEF86C" w:rsidR="00A469C1" w:rsidRPr="00025F23" w:rsidRDefault="00A469C1" w:rsidP="00A469C1">
            <w:pPr>
              <w:keepNext/>
              <w:spacing w:after="0"/>
              <w:jc w:val="center"/>
              <w:rPr>
                <w:b/>
                <w:bCs/>
                <w:i/>
                <w:iCs/>
                <w:color w:val="800000"/>
                <w:spacing w:val="-2"/>
                <w:sz w:val="10"/>
                <w:szCs w:val="10"/>
              </w:rPr>
            </w:pPr>
            <w:r w:rsidRPr="00025F23">
              <w:rPr>
                <w:b/>
                <w:bCs/>
                <w:i/>
                <w:iCs/>
                <w:color w:val="800000"/>
                <w:spacing w:val="-2"/>
                <w:sz w:val="10"/>
                <w:szCs w:val="10"/>
              </w:rPr>
              <w:t>Fortalezas</w:t>
            </w:r>
            <w:r w:rsidR="00B705C1" w:rsidRPr="00025F23">
              <w:rPr>
                <w:b/>
                <w:bCs/>
                <w:i/>
                <w:iCs/>
                <w:color w:val="800000"/>
                <w:spacing w:val="-2"/>
                <w:sz w:val="10"/>
                <w:szCs w:val="10"/>
              </w:rPr>
              <w:t xml:space="preserve"> y</w:t>
            </w:r>
            <w:r w:rsidR="00E43F52" w:rsidRPr="00025F23">
              <w:rPr>
                <w:b/>
                <w:bCs/>
                <w:i/>
                <w:iCs/>
                <w:color w:val="800000"/>
                <w:spacing w:val="-2"/>
                <w:sz w:val="10"/>
                <w:szCs w:val="10"/>
              </w:rPr>
              <w:br/>
              <w:t>Oportunidades</w:t>
            </w:r>
          </w:p>
        </w:tc>
        <w:tc>
          <w:tcPr>
            <w:tcW w:w="737" w:type="dxa"/>
            <w:tcBorders>
              <w:top w:val="single" w:sz="8" w:space="0" w:color="800000"/>
              <w:left w:val="dashed" w:sz="2" w:space="0" w:color="auto"/>
              <w:bottom w:val="single" w:sz="8" w:space="0" w:color="800000"/>
              <w:right w:val="dashed" w:sz="2" w:space="0" w:color="auto"/>
            </w:tcBorders>
            <w:vAlign w:val="center"/>
          </w:tcPr>
          <w:p w14:paraId="2FC2366B" w14:textId="77777777" w:rsidR="00A469C1" w:rsidRPr="00025F23" w:rsidRDefault="00A469C1" w:rsidP="00A469C1">
            <w:pPr>
              <w:keepNext/>
              <w:spacing w:after="0"/>
              <w:jc w:val="center"/>
              <w:rPr>
                <w:i/>
                <w:iCs/>
                <w:spacing w:val="-2"/>
                <w:sz w:val="10"/>
                <w:szCs w:val="10"/>
              </w:rPr>
            </w:pPr>
            <w:r w:rsidRPr="00025F23">
              <w:rPr>
                <w:i/>
                <w:iCs/>
                <w:spacing w:val="-2"/>
                <w:sz w:val="10"/>
                <w:szCs w:val="10"/>
              </w:rPr>
              <w:t>Indicadores</w:t>
            </w:r>
          </w:p>
        </w:tc>
        <w:tc>
          <w:tcPr>
            <w:tcW w:w="539" w:type="dxa"/>
            <w:tcBorders>
              <w:top w:val="single" w:sz="8" w:space="0" w:color="800000"/>
              <w:left w:val="dashed" w:sz="2" w:space="0" w:color="auto"/>
              <w:bottom w:val="single" w:sz="8" w:space="0" w:color="800000"/>
              <w:right w:val="single" w:sz="8" w:space="0" w:color="800000"/>
            </w:tcBorders>
            <w:vAlign w:val="center"/>
          </w:tcPr>
          <w:p w14:paraId="48AE65A9" w14:textId="77777777" w:rsidR="00A469C1" w:rsidRPr="00025F23" w:rsidRDefault="00A469C1" w:rsidP="00A469C1">
            <w:pPr>
              <w:keepNext/>
              <w:spacing w:after="0"/>
              <w:jc w:val="center"/>
              <w:rPr>
                <w:i/>
                <w:iCs/>
                <w:spacing w:val="-2"/>
                <w:sz w:val="10"/>
                <w:szCs w:val="10"/>
              </w:rPr>
            </w:pPr>
            <w:r w:rsidRPr="00025F23">
              <w:rPr>
                <w:i/>
                <w:iCs/>
                <w:spacing w:val="-2"/>
                <w:sz w:val="10"/>
                <w:szCs w:val="10"/>
              </w:rPr>
              <w:t>Grado de importancia</w:t>
            </w:r>
          </w:p>
        </w:tc>
        <w:tc>
          <w:tcPr>
            <w:tcW w:w="709" w:type="dxa"/>
            <w:tcBorders>
              <w:top w:val="single" w:sz="8" w:space="0" w:color="800000"/>
              <w:left w:val="single" w:sz="8" w:space="0" w:color="800000"/>
              <w:bottom w:val="single" w:sz="8" w:space="0" w:color="800000"/>
              <w:right w:val="dashed" w:sz="2" w:space="0" w:color="auto"/>
            </w:tcBorders>
            <w:shd w:val="clear" w:color="auto" w:fill="FFF2CC" w:themeFill="accent4" w:themeFillTint="33"/>
            <w:vAlign w:val="center"/>
          </w:tcPr>
          <w:p w14:paraId="657EE679" w14:textId="1F946C4B" w:rsidR="00B705C1" w:rsidRPr="00025F23" w:rsidRDefault="00A469C1" w:rsidP="00B705C1">
            <w:pPr>
              <w:keepNext/>
              <w:spacing w:after="0"/>
              <w:jc w:val="center"/>
              <w:rPr>
                <w:b/>
                <w:bCs/>
                <w:i/>
                <w:iCs/>
                <w:color w:val="800000"/>
                <w:spacing w:val="-2"/>
                <w:sz w:val="10"/>
                <w:szCs w:val="10"/>
              </w:rPr>
            </w:pPr>
            <w:r w:rsidRPr="00025F23">
              <w:rPr>
                <w:b/>
                <w:bCs/>
                <w:i/>
                <w:iCs/>
                <w:color w:val="800000"/>
                <w:spacing w:val="-2"/>
                <w:sz w:val="10"/>
                <w:szCs w:val="10"/>
              </w:rPr>
              <w:t>Debilidades</w:t>
            </w:r>
            <w:r w:rsidR="00B705C1" w:rsidRPr="00025F23">
              <w:rPr>
                <w:b/>
                <w:bCs/>
                <w:i/>
                <w:iCs/>
                <w:color w:val="800000"/>
                <w:spacing w:val="-2"/>
                <w:sz w:val="10"/>
                <w:szCs w:val="10"/>
              </w:rPr>
              <w:br/>
              <w:t>y Amenazas</w:t>
            </w:r>
          </w:p>
        </w:tc>
        <w:tc>
          <w:tcPr>
            <w:tcW w:w="737" w:type="dxa"/>
            <w:tcBorders>
              <w:top w:val="single" w:sz="8" w:space="0" w:color="800000"/>
              <w:left w:val="dashed" w:sz="2" w:space="0" w:color="auto"/>
              <w:bottom w:val="single" w:sz="8" w:space="0" w:color="800000"/>
              <w:right w:val="dashed" w:sz="2" w:space="0" w:color="auto"/>
            </w:tcBorders>
            <w:vAlign w:val="center"/>
          </w:tcPr>
          <w:p w14:paraId="505CA73E" w14:textId="77777777" w:rsidR="00A469C1" w:rsidRPr="00025F23" w:rsidRDefault="00A469C1" w:rsidP="00A469C1">
            <w:pPr>
              <w:keepNext/>
              <w:spacing w:after="0"/>
              <w:jc w:val="center"/>
              <w:rPr>
                <w:i/>
                <w:iCs/>
                <w:spacing w:val="-2"/>
                <w:sz w:val="10"/>
                <w:szCs w:val="10"/>
              </w:rPr>
            </w:pPr>
            <w:r w:rsidRPr="00025F23">
              <w:rPr>
                <w:i/>
                <w:iCs/>
                <w:spacing w:val="-2"/>
                <w:sz w:val="10"/>
                <w:szCs w:val="10"/>
              </w:rPr>
              <w:t>Indicadores</w:t>
            </w:r>
          </w:p>
        </w:tc>
        <w:tc>
          <w:tcPr>
            <w:tcW w:w="539" w:type="dxa"/>
            <w:tcBorders>
              <w:top w:val="single" w:sz="8" w:space="0" w:color="800000"/>
              <w:left w:val="dashed" w:sz="2" w:space="0" w:color="auto"/>
              <w:bottom w:val="single" w:sz="8" w:space="0" w:color="800000"/>
              <w:right w:val="dashed" w:sz="2" w:space="0" w:color="auto"/>
            </w:tcBorders>
            <w:vAlign w:val="center"/>
          </w:tcPr>
          <w:p w14:paraId="0D88D5F6" w14:textId="77777777" w:rsidR="00A469C1" w:rsidRPr="00025F23" w:rsidRDefault="00A469C1" w:rsidP="00A469C1">
            <w:pPr>
              <w:keepNext/>
              <w:spacing w:after="0"/>
              <w:jc w:val="center"/>
              <w:rPr>
                <w:i/>
                <w:iCs/>
                <w:spacing w:val="-2"/>
                <w:sz w:val="10"/>
                <w:szCs w:val="10"/>
              </w:rPr>
            </w:pPr>
            <w:r w:rsidRPr="00025F23">
              <w:rPr>
                <w:i/>
                <w:iCs/>
                <w:spacing w:val="-2"/>
                <w:sz w:val="10"/>
                <w:szCs w:val="10"/>
              </w:rPr>
              <w:t>Grado de importancia</w:t>
            </w:r>
          </w:p>
        </w:tc>
        <w:tc>
          <w:tcPr>
            <w:tcW w:w="454" w:type="dxa"/>
            <w:tcBorders>
              <w:top w:val="single" w:sz="8" w:space="0" w:color="800000"/>
              <w:left w:val="dashed" w:sz="2" w:space="0" w:color="auto"/>
              <w:bottom w:val="single" w:sz="8" w:space="0" w:color="800000"/>
              <w:right w:val="single" w:sz="8" w:space="0" w:color="800000"/>
            </w:tcBorders>
            <w:vAlign w:val="center"/>
          </w:tcPr>
          <w:p w14:paraId="5584E913" w14:textId="77777777" w:rsidR="00A469C1" w:rsidRPr="00025F23" w:rsidRDefault="00A469C1" w:rsidP="00A469C1">
            <w:pPr>
              <w:keepNext/>
              <w:spacing w:after="0"/>
              <w:jc w:val="center"/>
              <w:rPr>
                <w:i/>
                <w:iCs/>
                <w:spacing w:val="-2"/>
                <w:sz w:val="10"/>
                <w:szCs w:val="10"/>
              </w:rPr>
            </w:pPr>
            <w:r w:rsidRPr="00025F23">
              <w:rPr>
                <w:i/>
                <w:iCs/>
                <w:spacing w:val="-2"/>
                <w:sz w:val="10"/>
                <w:szCs w:val="10"/>
              </w:rPr>
              <w:t>Tendencia</w:t>
            </w:r>
          </w:p>
        </w:tc>
        <w:tc>
          <w:tcPr>
            <w:tcW w:w="851" w:type="dxa"/>
            <w:gridSpan w:val="2"/>
            <w:tcBorders>
              <w:top w:val="single" w:sz="8" w:space="0" w:color="800000"/>
              <w:left w:val="single" w:sz="8" w:space="0" w:color="800000"/>
              <w:bottom w:val="single" w:sz="8" w:space="0" w:color="800000"/>
              <w:right w:val="single" w:sz="8" w:space="0" w:color="800000"/>
            </w:tcBorders>
          </w:tcPr>
          <w:p w14:paraId="66EE6C45" w14:textId="77777777" w:rsidR="00A469C1" w:rsidRPr="00025F23" w:rsidRDefault="00A469C1" w:rsidP="00A469C1">
            <w:pPr>
              <w:keepNext/>
              <w:spacing w:after="0"/>
              <w:jc w:val="center"/>
              <w:rPr>
                <w:b/>
                <w:bCs/>
                <w:i/>
                <w:iCs/>
                <w:spacing w:val="-2"/>
                <w:sz w:val="10"/>
                <w:szCs w:val="10"/>
              </w:rPr>
            </w:pPr>
            <w:r w:rsidRPr="00025F23">
              <w:rPr>
                <w:b/>
                <w:bCs/>
                <w:i/>
                <w:iCs/>
                <w:spacing w:val="-2"/>
                <w:sz w:val="10"/>
                <w:szCs w:val="10"/>
              </w:rPr>
              <w:t>Recomendaciones de política económica</w:t>
            </w:r>
          </w:p>
        </w:tc>
      </w:tr>
      <w:tr w:rsidR="006A1D23" w:rsidRPr="00025F23" w14:paraId="2E446082" w14:textId="77777777" w:rsidTr="00F100FE">
        <w:trPr>
          <w:trHeight w:val="174"/>
        </w:trPr>
        <w:tc>
          <w:tcPr>
            <w:tcW w:w="567" w:type="dxa"/>
            <w:vMerge w:val="restart"/>
            <w:tcBorders>
              <w:top w:val="single" w:sz="8" w:space="0" w:color="800000"/>
              <w:left w:val="single" w:sz="8" w:space="0" w:color="800000"/>
              <w:right w:val="single" w:sz="8" w:space="0" w:color="800000"/>
            </w:tcBorders>
            <w:vAlign w:val="center"/>
          </w:tcPr>
          <w:p w14:paraId="51DE0D18" w14:textId="77777777" w:rsidR="006A1D23" w:rsidRPr="00025F23" w:rsidRDefault="006A1D23" w:rsidP="00D41B98">
            <w:pPr>
              <w:keepNext/>
              <w:spacing w:after="0"/>
              <w:jc w:val="left"/>
              <w:rPr>
                <w:i/>
                <w:iCs/>
                <w:sz w:val="11"/>
                <w:szCs w:val="11"/>
              </w:rPr>
            </w:pPr>
            <w:r w:rsidRPr="00025F23">
              <w:rPr>
                <w:i/>
                <w:iCs/>
                <w:sz w:val="11"/>
                <w:szCs w:val="11"/>
              </w:rPr>
              <w:t>Perfil cíclico</w:t>
            </w:r>
          </w:p>
        </w:tc>
        <w:tc>
          <w:tcPr>
            <w:tcW w:w="709" w:type="dxa"/>
            <w:tcBorders>
              <w:top w:val="single" w:sz="8" w:space="0" w:color="800000"/>
              <w:left w:val="single" w:sz="8" w:space="0" w:color="800000"/>
              <w:bottom w:val="dashed" w:sz="2" w:space="0" w:color="auto"/>
              <w:right w:val="dashed" w:sz="2" w:space="0" w:color="auto"/>
            </w:tcBorders>
            <w:vAlign w:val="center"/>
          </w:tcPr>
          <w:p w14:paraId="631EEA42" w14:textId="3FA7F1CB" w:rsidR="006A1D23" w:rsidRPr="00025F23" w:rsidRDefault="006A1D23" w:rsidP="00D41B98">
            <w:pPr>
              <w:keepNext/>
              <w:spacing w:after="0"/>
              <w:jc w:val="center"/>
              <w:rPr>
                <w:sz w:val="8"/>
                <w:szCs w:val="8"/>
              </w:rPr>
            </w:pPr>
          </w:p>
        </w:tc>
        <w:tc>
          <w:tcPr>
            <w:tcW w:w="737" w:type="dxa"/>
            <w:tcBorders>
              <w:top w:val="single" w:sz="8" w:space="0" w:color="800000"/>
              <w:left w:val="dashed" w:sz="2" w:space="0" w:color="auto"/>
              <w:bottom w:val="dashed" w:sz="2" w:space="0" w:color="auto"/>
              <w:right w:val="dashed" w:sz="2" w:space="0" w:color="auto"/>
            </w:tcBorders>
            <w:vAlign w:val="center"/>
          </w:tcPr>
          <w:p w14:paraId="01AFEB9E" w14:textId="6166CBDE" w:rsidR="006A1D23" w:rsidRPr="00025F23" w:rsidRDefault="006A1D23" w:rsidP="00D41B98">
            <w:pPr>
              <w:keepNext/>
              <w:spacing w:after="0"/>
              <w:jc w:val="center"/>
              <w:rPr>
                <w:sz w:val="8"/>
                <w:szCs w:val="8"/>
              </w:rPr>
            </w:pPr>
          </w:p>
        </w:tc>
        <w:tc>
          <w:tcPr>
            <w:tcW w:w="539" w:type="dxa"/>
            <w:tcBorders>
              <w:top w:val="single" w:sz="8" w:space="0" w:color="800000"/>
              <w:left w:val="dashed" w:sz="2" w:space="0" w:color="auto"/>
              <w:bottom w:val="dashed" w:sz="2" w:space="0" w:color="auto"/>
              <w:right w:val="single" w:sz="8" w:space="0" w:color="800000"/>
            </w:tcBorders>
            <w:vAlign w:val="center"/>
          </w:tcPr>
          <w:p w14:paraId="179BF09A" w14:textId="296D4E6F" w:rsidR="006A1D23" w:rsidRPr="00025F23" w:rsidRDefault="006A1D23" w:rsidP="00D41B98">
            <w:pPr>
              <w:keepNext/>
              <w:spacing w:after="0"/>
              <w:jc w:val="center"/>
              <w:rPr>
                <w:sz w:val="8"/>
                <w:szCs w:val="8"/>
              </w:rPr>
            </w:pPr>
          </w:p>
        </w:tc>
        <w:tc>
          <w:tcPr>
            <w:tcW w:w="709" w:type="dxa"/>
            <w:tcBorders>
              <w:top w:val="single" w:sz="8" w:space="0" w:color="800000"/>
              <w:left w:val="single" w:sz="8" w:space="0" w:color="800000"/>
              <w:bottom w:val="dashed" w:sz="2" w:space="0" w:color="auto"/>
              <w:right w:val="dashed" w:sz="2" w:space="0" w:color="auto"/>
            </w:tcBorders>
            <w:vAlign w:val="center"/>
          </w:tcPr>
          <w:p w14:paraId="1C3CF53A" w14:textId="0DE6A16D" w:rsidR="006A1D23" w:rsidRPr="00025F23" w:rsidRDefault="006A1D23" w:rsidP="00D41B98">
            <w:pPr>
              <w:keepNext/>
              <w:spacing w:after="0"/>
              <w:jc w:val="center"/>
              <w:rPr>
                <w:sz w:val="8"/>
                <w:szCs w:val="8"/>
              </w:rPr>
            </w:pPr>
            <w:r w:rsidRPr="00025F23">
              <w:rPr>
                <w:sz w:val="8"/>
                <w:szCs w:val="8"/>
              </w:rPr>
              <w:t>Débil crecimiento</w:t>
            </w:r>
          </w:p>
        </w:tc>
        <w:tc>
          <w:tcPr>
            <w:tcW w:w="737" w:type="dxa"/>
            <w:tcBorders>
              <w:top w:val="single" w:sz="8" w:space="0" w:color="800000"/>
              <w:left w:val="dashed" w:sz="2" w:space="0" w:color="auto"/>
              <w:bottom w:val="dashed" w:sz="2" w:space="0" w:color="auto"/>
              <w:right w:val="dashed" w:sz="2" w:space="0" w:color="auto"/>
            </w:tcBorders>
            <w:vAlign w:val="center"/>
          </w:tcPr>
          <w:p w14:paraId="1ABF46D8" w14:textId="2EB42B4D" w:rsidR="006A1D23" w:rsidRPr="00025F23" w:rsidRDefault="006A1D23" w:rsidP="00D41B98">
            <w:pPr>
              <w:keepNext/>
              <w:spacing w:after="0"/>
              <w:jc w:val="center"/>
              <w:rPr>
                <w:sz w:val="8"/>
                <w:szCs w:val="8"/>
              </w:rPr>
            </w:pPr>
            <w:r w:rsidRPr="00025F23">
              <w:rPr>
                <w:sz w:val="8"/>
                <w:szCs w:val="8"/>
              </w:rPr>
              <w:t>Crecimiento del PIB real reducido o negativo (recesión)</w:t>
            </w:r>
          </w:p>
        </w:tc>
        <w:tc>
          <w:tcPr>
            <w:tcW w:w="539" w:type="dxa"/>
            <w:tcBorders>
              <w:top w:val="single" w:sz="8" w:space="0" w:color="800000"/>
              <w:left w:val="dashed" w:sz="2" w:space="0" w:color="auto"/>
              <w:bottom w:val="dashed" w:sz="2" w:space="0" w:color="auto"/>
              <w:right w:val="dashed" w:sz="2" w:space="0" w:color="auto"/>
            </w:tcBorders>
            <w:vAlign w:val="center"/>
          </w:tcPr>
          <w:p w14:paraId="18DA9E58" w14:textId="10736922" w:rsidR="006A1D23" w:rsidRPr="00025F23" w:rsidRDefault="006A1D23" w:rsidP="00D41B98">
            <w:pPr>
              <w:keepNext/>
              <w:spacing w:after="0"/>
              <w:jc w:val="center"/>
              <w:rPr>
                <w:sz w:val="8"/>
                <w:szCs w:val="8"/>
              </w:rPr>
            </w:pPr>
            <w:r w:rsidRPr="00025F23">
              <w:rPr>
                <w:sz w:val="8"/>
                <w:szCs w:val="8"/>
              </w:rPr>
              <w:t>***</w:t>
            </w:r>
          </w:p>
        </w:tc>
        <w:tc>
          <w:tcPr>
            <w:tcW w:w="454" w:type="dxa"/>
            <w:tcBorders>
              <w:top w:val="single" w:sz="8" w:space="0" w:color="800000"/>
              <w:left w:val="dashed" w:sz="2" w:space="0" w:color="auto"/>
              <w:bottom w:val="dashed" w:sz="2" w:space="0" w:color="auto"/>
              <w:right w:val="single" w:sz="8" w:space="0" w:color="800000"/>
            </w:tcBorders>
            <w:vAlign w:val="center"/>
          </w:tcPr>
          <w:p w14:paraId="4153C0DA" w14:textId="7C249024" w:rsidR="006A1D23" w:rsidRPr="00025F23" w:rsidRDefault="006A1D23" w:rsidP="00D41B98">
            <w:pPr>
              <w:keepNext/>
              <w:spacing w:after="0"/>
              <w:jc w:val="center"/>
              <w:rPr>
                <w:sz w:val="8"/>
                <w:szCs w:val="8"/>
              </w:rPr>
            </w:pPr>
          </w:p>
        </w:tc>
        <w:tc>
          <w:tcPr>
            <w:tcW w:w="851" w:type="dxa"/>
            <w:gridSpan w:val="2"/>
            <w:tcBorders>
              <w:top w:val="single" w:sz="8" w:space="0" w:color="800000"/>
              <w:left w:val="single" w:sz="8" w:space="0" w:color="800000"/>
              <w:bottom w:val="dashed" w:sz="2" w:space="0" w:color="auto"/>
              <w:right w:val="single" w:sz="8" w:space="0" w:color="800000"/>
            </w:tcBorders>
            <w:vAlign w:val="center"/>
          </w:tcPr>
          <w:p w14:paraId="347CAEA3" w14:textId="4932EA4F" w:rsidR="006A1D23" w:rsidRPr="00025F23" w:rsidRDefault="006A1D23" w:rsidP="00D41B98">
            <w:pPr>
              <w:keepNext/>
              <w:spacing w:after="0"/>
              <w:jc w:val="center"/>
              <w:rPr>
                <w:sz w:val="8"/>
                <w:szCs w:val="8"/>
              </w:rPr>
            </w:pPr>
          </w:p>
        </w:tc>
      </w:tr>
      <w:tr w:rsidR="006A1D23" w:rsidRPr="00025F23" w14:paraId="342AFC70" w14:textId="77777777" w:rsidTr="00F100FE">
        <w:trPr>
          <w:trHeight w:val="174"/>
        </w:trPr>
        <w:tc>
          <w:tcPr>
            <w:tcW w:w="567" w:type="dxa"/>
            <w:vMerge/>
            <w:tcBorders>
              <w:left w:val="single" w:sz="8" w:space="0" w:color="800000"/>
              <w:right w:val="single" w:sz="8" w:space="0" w:color="800000"/>
            </w:tcBorders>
            <w:vAlign w:val="center"/>
          </w:tcPr>
          <w:p w14:paraId="0619E411" w14:textId="77777777" w:rsidR="006A1D23" w:rsidRPr="00025F23" w:rsidRDefault="006A1D23" w:rsidP="00544C8A">
            <w:pPr>
              <w:keepNext/>
              <w:spacing w:after="0"/>
              <w:jc w:val="left"/>
              <w:rPr>
                <w:i/>
                <w:iCs/>
                <w:sz w:val="11"/>
                <w:szCs w:val="11"/>
              </w:rPr>
            </w:pPr>
          </w:p>
        </w:tc>
        <w:tc>
          <w:tcPr>
            <w:tcW w:w="709" w:type="dxa"/>
            <w:tcBorders>
              <w:top w:val="dashed" w:sz="2" w:space="0" w:color="auto"/>
              <w:left w:val="single" w:sz="8" w:space="0" w:color="800000"/>
              <w:bottom w:val="dashed" w:sz="2" w:space="0" w:color="auto"/>
              <w:right w:val="dashed" w:sz="2" w:space="0" w:color="auto"/>
            </w:tcBorders>
            <w:vAlign w:val="center"/>
          </w:tcPr>
          <w:p w14:paraId="6A9A53C4" w14:textId="37088EF3" w:rsidR="006A1D23" w:rsidRPr="00025F23" w:rsidRDefault="006A1D23" w:rsidP="00544C8A">
            <w:pPr>
              <w:keepNext/>
              <w:spacing w:after="0"/>
              <w:jc w:val="center"/>
              <w:rPr>
                <w:sz w:val="8"/>
                <w:szCs w:val="8"/>
              </w:rPr>
            </w:pPr>
          </w:p>
        </w:tc>
        <w:tc>
          <w:tcPr>
            <w:tcW w:w="737" w:type="dxa"/>
            <w:tcBorders>
              <w:top w:val="dashed" w:sz="2" w:space="0" w:color="auto"/>
              <w:left w:val="dashed" w:sz="2" w:space="0" w:color="auto"/>
              <w:bottom w:val="dashed" w:sz="2" w:space="0" w:color="auto"/>
              <w:right w:val="dashed" w:sz="2" w:space="0" w:color="auto"/>
            </w:tcBorders>
            <w:vAlign w:val="center"/>
          </w:tcPr>
          <w:p w14:paraId="3D8C6849" w14:textId="65C0F875" w:rsidR="006A1D23" w:rsidRPr="00025F23" w:rsidRDefault="006A1D23" w:rsidP="00544C8A">
            <w:pPr>
              <w:keepNext/>
              <w:spacing w:after="0"/>
              <w:jc w:val="center"/>
              <w:rPr>
                <w:sz w:val="8"/>
                <w:szCs w:val="8"/>
              </w:rPr>
            </w:pPr>
          </w:p>
        </w:tc>
        <w:tc>
          <w:tcPr>
            <w:tcW w:w="539" w:type="dxa"/>
            <w:tcBorders>
              <w:top w:val="dashed" w:sz="2" w:space="0" w:color="auto"/>
              <w:left w:val="dashed" w:sz="2" w:space="0" w:color="auto"/>
              <w:bottom w:val="dashed" w:sz="2" w:space="0" w:color="auto"/>
              <w:right w:val="single" w:sz="8" w:space="0" w:color="800000"/>
            </w:tcBorders>
            <w:vAlign w:val="center"/>
          </w:tcPr>
          <w:p w14:paraId="4E898971" w14:textId="1F04EF13" w:rsidR="006A1D23" w:rsidRPr="00025F23" w:rsidRDefault="006A1D23" w:rsidP="00544C8A">
            <w:pPr>
              <w:keepNext/>
              <w:spacing w:after="0"/>
              <w:jc w:val="center"/>
              <w:rPr>
                <w:sz w:val="8"/>
                <w:szCs w:val="8"/>
              </w:rPr>
            </w:pPr>
          </w:p>
        </w:tc>
        <w:tc>
          <w:tcPr>
            <w:tcW w:w="709" w:type="dxa"/>
            <w:tcBorders>
              <w:top w:val="dashed" w:sz="2" w:space="0" w:color="auto"/>
              <w:left w:val="single" w:sz="8" w:space="0" w:color="800000"/>
              <w:bottom w:val="dashed" w:sz="2" w:space="0" w:color="auto"/>
              <w:right w:val="dashed" w:sz="2" w:space="0" w:color="auto"/>
            </w:tcBorders>
            <w:vAlign w:val="center"/>
          </w:tcPr>
          <w:p w14:paraId="0D6A947D" w14:textId="47237CDA" w:rsidR="006A1D23" w:rsidRPr="00025F23" w:rsidRDefault="006A1D23" w:rsidP="00544C8A">
            <w:pPr>
              <w:keepNext/>
              <w:spacing w:after="0"/>
              <w:jc w:val="center"/>
              <w:rPr>
                <w:sz w:val="8"/>
                <w:szCs w:val="8"/>
              </w:rPr>
            </w:pPr>
            <w:r w:rsidRPr="00025F23">
              <w:rPr>
                <w:sz w:val="8"/>
                <w:szCs w:val="8"/>
              </w:rPr>
              <w:t>Consumo interno anémico</w:t>
            </w:r>
          </w:p>
        </w:tc>
        <w:tc>
          <w:tcPr>
            <w:tcW w:w="737" w:type="dxa"/>
            <w:tcBorders>
              <w:top w:val="dashed" w:sz="2" w:space="0" w:color="auto"/>
              <w:left w:val="dashed" w:sz="2" w:space="0" w:color="auto"/>
              <w:bottom w:val="dashed" w:sz="2" w:space="0" w:color="auto"/>
              <w:right w:val="dashed" w:sz="2" w:space="0" w:color="auto"/>
            </w:tcBorders>
            <w:vAlign w:val="center"/>
          </w:tcPr>
          <w:p w14:paraId="4CCF2A1E" w14:textId="6E4E4185" w:rsidR="006A1D23" w:rsidRPr="00025F23" w:rsidRDefault="006A1D23" w:rsidP="00544C8A">
            <w:pPr>
              <w:keepNext/>
              <w:spacing w:after="0"/>
              <w:jc w:val="center"/>
              <w:rPr>
                <w:sz w:val="8"/>
                <w:szCs w:val="8"/>
              </w:rPr>
            </w:pPr>
            <w:r w:rsidRPr="00025F23">
              <w:rPr>
                <w:sz w:val="8"/>
                <w:szCs w:val="8"/>
              </w:rPr>
              <w:t>Aumento del consumo privado muy bajo</w:t>
            </w:r>
          </w:p>
        </w:tc>
        <w:tc>
          <w:tcPr>
            <w:tcW w:w="539" w:type="dxa"/>
            <w:tcBorders>
              <w:top w:val="dashed" w:sz="2" w:space="0" w:color="auto"/>
              <w:left w:val="dashed" w:sz="2" w:space="0" w:color="auto"/>
              <w:bottom w:val="dashed" w:sz="2" w:space="0" w:color="auto"/>
              <w:right w:val="dashed" w:sz="2" w:space="0" w:color="auto"/>
            </w:tcBorders>
            <w:vAlign w:val="center"/>
          </w:tcPr>
          <w:p w14:paraId="428FAF45" w14:textId="77777777" w:rsidR="006A1D23" w:rsidRPr="00025F23" w:rsidRDefault="006A1D23" w:rsidP="00544C8A">
            <w:pPr>
              <w:keepNext/>
              <w:spacing w:after="0"/>
              <w:jc w:val="center"/>
              <w:rPr>
                <w:sz w:val="8"/>
                <w:szCs w:val="8"/>
              </w:rPr>
            </w:pPr>
          </w:p>
        </w:tc>
        <w:tc>
          <w:tcPr>
            <w:tcW w:w="454" w:type="dxa"/>
            <w:tcBorders>
              <w:top w:val="dashed" w:sz="2" w:space="0" w:color="auto"/>
              <w:left w:val="dashed" w:sz="2" w:space="0" w:color="auto"/>
              <w:bottom w:val="dashed" w:sz="2" w:space="0" w:color="auto"/>
              <w:right w:val="single" w:sz="8" w:space="0" w:color="800000"/>
            </w:tcBorders>
            <w:vAlign w:val="center"/>
          </w:tcPr>
          <w:p w14:paraId="1D43B2E6" w14:textId="77777777" w:rsidR="006A1D23" w:rsidRPr="00025F23" w:rsidRDefault="006A1D23" w:rsidP="00544C8A">
            <w:pPr>
              <w:keepNext/>
              <w:spacing w:after="0"/>
              <w:jc w:val="center"/>
              <w:rPr>
                <w:sz w:val="8"/>
                <w:szCs w:val="8"/>
              </w:rPr>
            </w:pPr>
          </w:p>
        </w:tc>
        <w:tc>
          <w:tcPr>
            <w:tcW w:w="851" w:type="dxa"/>
            <w:gridSpan w:val="2"/>
            <w:tcBorders>
              <w:top w:val="dashed" w:sz="2" w:space="0" w:color="auto"/>
              <w:left w:val="single" w:sz="8" w:space="0" w:color="800000"/>
              <w:bottom w:val="dashed" w:sz="2" w:space="0" w:color="auto"/>
              <w:right w:val="single" w:sz="8" w:space="0" w:color="800000"/>
            </w:tcBorders>
            <w:vAlign w:val="center"/>
          </w:tcPr>
          <w:p w14:paraId="2A4F02CB" w14:textId="59D56541" w:rsidR="006A1D23" w:rsidRPr="00025F23" w:rsidRDefault="006A1D23" w:rsidP="00544C8A">
            <w:pPr>
              <w:keepNext/>
              <w:spacing w:after="0"/>
              <w:jc w:val="center"/>
              <w:rPr>
                <w:sz w:val="8"/>
                <w:szCs w:val="8"/>
              </w:rPr>
            </w:pPr>
          </w:p>
        </w:tc>
      </w:tr>
      <w:tr w:rsidR="006A1D23" w:rsidRPr="00025F23" w14:paraId="33D1C128" w14:textId="77777777" w:rsidTr="00F100FE">
        <w:trPr>
          <w:trHeight w:val="174"/>
        </w:trPr>
        <w:tc>
          <w:tcPr>
            <w:tcW w:w="567" w:type="dxa"/>
            <w:vMerge/>
            <w:tcBorders>
              <w:left w:val="single" w:sz="8" w:space="0" w:color="800000"/>
              <w:bottom w:val="single" w:sz="2" w:space="0" w:color="auto"/>
              <w:right w:val="single" w:sz="8" w:space="0" w:color="800000"/>
            </w:tcBorders>
            <w:vAlign w:val="center"/>
          </w:tcPr>
          <w:p w14:paraId="10042DDF" w14:textId="77777777" w:rsidR="006A1D23" w:rsidRPr="00025F23" w:rsidRDefault="006A1D23" w:rsidP="00544C8A">
            <w:pPr>
              <w:keepNext/>
              <w:spacing w:after="0"/>
              <w:jc w:val="left"/>
              <w:rPr>
                <w:i/>
                <w:iCs/>
                <w:sz w:val="11"/>
                <w:szCs w:val="11"/>
              </w:rPr>
            </w:pPr>
          </w:p>
        </w:tc>
        <w:tc>
          <w:tcPr>
            <w:tcW w:w="709" w:type="dxa"/>
            <w:tcBorders>
              <w:top w:val="dashed" w:sz="2" w:space="0" w:color="auto"/>
              <w:left w:val="single" w:sz="8" w:space="0" w:color="800000"/>
              <w:bottom w:val="single" w:sz="2" w:space="0" w:color="auto"/>
              <w:right w:val="dashed" w:sz="2" w:space="0" w:color="auto"/>
            </w:tcBorders>
            <w:vAlign w:val="center"/>
          </w:tcPr>
          <w:p w14:paraId="0B606FB3" w14:textId="77777777" w:rsidR="006A1D23" w:rsidRPr="00025F23" w:rsidRDefault="006A1D23" w:rsidP="00544C8A">
            <w:pPr>
              <w:keepNext/>
              <w:spacing w:after="0"/>
              <w:jc w:val="center"/>
              <w:rPr>
                <w:sz w:val="8"/>
                <w:szCs w:val="8"/>
              </w:rPr>
            </w:pPr>
          </w:p>
        </w:tc>
        <w:tc>
          <w:tcPr>
            <w:tcW w:w="737" w:type="dxa"/>
            <w:tcBorders>
              <w:top w:val="dashed" w:sz="2" w:space="0" w:color="auto"/>
              <w:left w:val="dashed" w:sz="2" w:space="0" w:color="auto"/>
              <w:bottom w:val="single" w:sz="2" w:space="0" w:color="auto"/>
              <w:right w:val="dashed" w:sz="2" w:space="0" w:color="auto"/>
            </w:tcBorders>
            <w:vAlign w:val="center"/>
          </w:tcPr>
          <w:p w14:paraId="0DA9D589" w14:textId="77777777" w:rsidR="006A1D23" w:rsidRPr="00025F23" w:rsidRDefault="006A1D23" w:rsidP="00544C8A">
            <w:pPr>
              <w:keepNext/>
              <w:spacing w:after="0"/>
              <w:jc w:val="center"/>
              <w:rPr>
                <w:sz w:val="8"/>
                <w:szCs w:val="8"/>
              </w:rPr>
            </w:pPr>
          </w:p>
        </w:tc>
        <w:tc>
          <w:tcPr>
            <w:tcW w:w="539" w:type="dxa"/>
            <w:tcBorders>
              <w:top w:val="dashed" w:sz="2" w:space="0" w:color="auto"/>
              <w:left w:val="dashed" w:sz="2" w:space="0" w:color="auto"/>
              <w:bottom w:val="single" w:sz="2" w:space="0" w:color="auto"/>
              <w:right w:val="single" w:sz="8" w:space="0" w:color="800000"/>
            </w:tcBorders>
            <w:vAlign w:val="center"/>
          </w:tcPr>
          <w:p w14:paraId="4771A264" w14:textId="77777777" w:rsidR="006A1D23" w:rsidRPr="00025F23" w:rsidRDefault="006A1D23" w:rsidP="00544C8A">
            <w:pPr>
              <w:keepNext/>
              <w:spacing w:after="0"/>
              <w:jc w:val="center"/>
              <w:rPr>
                <w:sz w:val="8"/>
                <w:szCs w:val="8"/>
              </w:rPr>
            </w:pPr>
          </w:p>
        </w:tc>
        <w:tc>
          <w:tcPr>
            <w:tcW w:w="709" w:type="dxa"/>
            <w:tcBorders>
              <w:top w:val="dashed" w:sz="2" w:space="0" w:color="auto"/>
              <w:left w:val="single" w:sz="8" w:space="0" w:color="800000"/>
              <w:bottom w:val="single" w:sz="2" w:space="0" w:color="auto"/>
              <w:right w:val="dashed" w:sz="2" w:space="0" w:color="auto"/>
            </w:tcBorders>
            <w:vAlign w:val="center"/>
          </w:tcPr>
          <w:p w14:paraId="6D6FA3F4" w14:textId="100528FB" w:rsidR="006A1D23" w:rsidRPr="00025F23" w:rsidRDefault="006A1D23" w:rsidP="00544C8A">
            <w:pPr>
              <w:keepNext/>
              <w:spacing w:after="0"/>
              <w:jc w:val="center"/>
              <w:rPr>
                <w:sz w:val="8"/>
                <w:szCs w:val="8"/>
              </w:rPr>
            </w:pPr>
            <w:r w:rsidRPr="00025F23">
              <w:rPr>
                <w:sz w:val="8"/>
                <w:szCs w:val="8"/>
              </w:rPr>
              <w:t>Estructura sectorial desequilibrada de la economía</w:t>
            </w:r>
          </w:p>
        </w:tc>
        <w:tc>
          <w:tcPr>
            <w:tcW w:w="737" w:type="dxa"/>
            <w:tcBorders>
              <w:top w:val="dashed" w:sz="2" w:space="0" w:color="auto"/>
              <w:left w:val="dashed" w:sz="2" w:space="0" w:color="auto"/>
              <w:bottom w:val="single" w:sz="2" w:space="0" w:color="auto"/>
              <w:right w:val="dashed" w:sz="2" w:space="0" w:color="auto"/>
            </w:tcBorders>
            <w:vAlign w:val="center"/>
          </w:tcPr>
          <w:p w14:paraId="6EF1A85F" w14:textId="0943CE6B" w:rsidR="006A1D23" w:rsidRPr="00025F23" w:rsidRDefault="006A1D23" w:rsidP="00544C8A">
            <w:pPr>
              <w:keepNext/>
              <w:spacing w:after="0"/>
              <w:jc w:val="center"/>
              <w:rPr>
                <w:sz w:val="8"/>
                <w:szCs w:val="8"/>
              </w:rPr>
            </w:pPr>
            <w:r w:rsidRPr="00025F23">
              <w:rPr>
                <w:sz w:val="8"/>
                <w:szCs w:val="8"/>
              </w:rPr>
              <w:t xml:space="preserve">Excesiva dependencia de un sector (p.ej. inmobiliario, energético, de </w:t>
            </w:r>
            <w:proofErr w:type="spellStart"/>
            <w:r w:rsidRPr="00025F23">
              <w:rPr>
                <w:i/>
                <w:iCs/>
                <w:sz w:val="8"/>
                <w:szCs w:val="8"/>
              </w:rPr>
              <w:t>commodities</w:t>
            </w:r>
            <w:proofErr w:type="spellEnd"/>
            <w:r w:rsidRPr="00025F23">
              <w:rPr>
                <w:sz w:val="8"/>
                <w:szCs w:val="8"/>
              </w:rPr>
              <w:t>, etc.)</w:t>
            </w:r>
          </w:p>
        </w:tc>
        <w:tc>
          <w:tcPr>
            <w:tcW w:w="539" w:type="dxa"/>
            <w:tcBorders>
              <w:top w:val="dashed" w:sz="2" w:space="0" w:color="auto"/>
              <w:left w:val="dashed" w:sz="2" w:space="0" w:color="auto"/>
              <w:bottom w:val="single" w:sz="2" w:space="0" w:color="auto"/>
              <w:right w:val="dashed" w:sz="2" w:space="0" w:color="auto"/>
            </w:tcBorders>
            <w:vAlign w:val="center"/>
          </w:tcPr>
          <w:p w14:paraId="47D53188" w14:textId="77777777" w:rsidR="006A1D23" w:rsidRPr="00025F23" w:rsidRDefault="006A1D23" w:rsidP="00544C8A">
            <w:pPr>
              <w:keepNext/>
              <w:spacing w:after="0"/>
              <w:jc w:val="center"/>
              <w:rPr>
                <w:sz w:val="8"/>
                <w:szCs w:val="8"/>
              </w:rPr>
            </w:pPr>
          </w:p>
        </w:tc>
        <w:tc>
          <w:tcPr>
            <w:tcW w:w="454" w:type="dxa"/>
            <w:tcBorders>
              <w:top w:val="dashed" w:sz="2" w:space="0" w:color="auto"/>
              <w:left w:val="dashed" w:sz="2" w:space="0" w:color="auto"/>
              <w:bottom w:val="single" w:sz="2" w:space="0" w:color="auto"/>
              <w:right w:val="single" w:sz="8" w:space="0" w:color="800000"/>
            </w:tcBorders>
            <w:vAlign w:val="center"/>
          </w:tcPr>
          <w:p w14:paraId="58DA1355" w14:textId="77777777" w:rsidR="006A1D23" w:rsidRPr="00025F23" w:rsidRDefault="006A1D23" w:rsidP="00544C8A">
            <w:pPr>
              <w:keepNext/>
              <w:spacing w:after="0"/>
              <w:jc w:val="center"/>
              <w:rPr>
                <w:sz w:val="8"/>
                <w:szCs w:val="8"/>
              </w:rPr>
            </w:pPr>
          </w:p>
        </w:tc>
        <w:tc>
          <w:tcPr>
            <w:tcW w:w="851" w:type="dxa"/>
            <w:gridSpan w:val="2"/>
            <w:tcBorders>
              <w:top w:val="dashed" w:sz="2" w:space="0" w:color="auto"/>
              <w:left w:val="single" w:sz="8" w:space="0" w:color="800000"/>
              <w:bottom w:val="single" w:sz="2" w:space="0" w:color="auto"/>
              <w:right w:val="single" w:sz="8" w:space="0" w:color="800000"/>
            </w:tcBorders>
            <w:vAlign w:val="center"/>
          </w:tcPr>
          <w:p w14:paraId="4124976B" w14:textId="1FDC2AE6" w:rsidR="006A1D23" w:rsidRPr="00025F23" w:rsidRDefault="00B5073B" w:rsidP="00544C8A">
            <w:pPr>
              <w:keepNext/>
              <w:spacing w:after="0"/>
              <w:jc w:val="center"/>
              <w:rPr>
                <w:sz w:val="8"/>
                <w:szCs w:val="8"/>
              </w:rPr>
            </w:pPr>
            <w:r w:rsidRPr="00025F23">
              <w:rPr>
                <w:sz w:val="8"/>
                <w:szCs w:val="8"/>
              </w:rPr>
              <w:t>Medidas encaminadas a reducir la excesiva dependencia de un sector.</w:t>
            </w:r>
          </w:p>
        </w:tc>
      </w:tr>
      <w:tr w:rsidR="00544C8A" w:rsidRPr="00025F23" w14:paraId="4453683D" w14:textId="77777777" w:rsidTr="000275E3">
        <w:trPr>
          <w:trHeight w:val="283"/>
        </w:trPr>
        <w:tc>
          <w:tcPr>
            <w:tcW w:w="567" w:type="dxa"/>
            <w:tcBorders>
              <w:top w:val="single" w:sz="2" w:space="0" w:color="auto"/>
              <w:left w:val="single" w:sz="8" w:space="0" w:color="800000"/>
              <w:bottom w:val="single" w:sz="2" w:space="0" w:color="auto"/>
              <w:right w:val="single" w:sz="8" w:space="0" w:color="800000"/>
            </w:tcBorders>
            <w:vAlign w:val="center"/>
          </w:tcPr>
          <w:p w14:paraId="10372509" w14:textId="77777777" w:rsidR="00544C8A" w:rsidRPr="00025F23" w:rsidRDefault="00544C8A" w:rsidP="00544C8A">
            <w:pPr>
              <w:keepNext/>
              <w:spacing w:after="0"/>
              <w:jc w:val="left"/>
              <w:rPr>
                <w:i/>
                <w:iCs/>
                <w:sz w:val="11"/>
                <w:szCs w:val="11"/>
              </w:rPr>
            </w:pPr>
            <w:r w:rsidRPr="00025F23">
              <w:rPr>
                <w:i/>
                <w:iCs/>
                <w:sz w:val="11"/>
                <w:szCs w:val="11"/>
              </w:rPr>
              <w:t>Mercado de trabajo</w:t>
            </w:r>
          </w:p>
        </w:tc>
        <w:tc>
          <w:tcPr>
            <w:tcW w:w="709" w:type="dxa"/>
            <w:tcBorders>
              <w:top w:val="single" w:sz="2" w:space="0" w:color="auto"/>
              <w:left w:val="single" w:sz="8" w:space="0" w:color="800000"/>
              <w:bottom w:val="single" w:sz="2" w:space="0" w:color="auto"/>
              <w:right w:val="dashed" w:sz="2" w:space="0" w:color="auto"/>
            </w:tcBorders>
            <w:vAlign w:val="center"/>
          </w:tcPr>
          <w:p w14:paraId="2E947A86" w14:textId="77777777" w:rsidR="00544C8A" w:rsidRPr="00025F23" w:rsidRDefault="00544C8A" w:rsidP="00544C8A">
            <w:pPr>
              <w:keepNext/>
              <w:spacing w:after="0"/>
              <w:jc w:val="center"/>
              <w:rPr>
                <w:sz w:val="8"/>
                <w:szCs w:val="8"/>
              </w:rPr>
            </w:pPr>
          </w:p>
        </w:tc>
        <w:tc>
          <w:tcPr>
            <w:tcW w:w="737" w:type="dxa"/>
            <w:tcBorders>
              <w:top w:val="single" w:sz="2" w:space="0" w:color="auto"/>
              <w:left w:val="dashed" w:sz="2" w:space="0" w:color="auto"/>
              <w:bottom w:val="single" w:sz="2" w:space="0" w:color="auto"/>
              <w:right w:val="dashed" w:sz="2" w:space="0" w:color="auto"/>
            </w:tcBorders>
            <w:vAlign w:val="center"/>
          </w:tcPr>
          <w:p w14:paraId="112D3F9F" w14:textId="77777777" w:rsidR="00544C8A" w:rsidRPr="00025F23" w:rsidRDefault="00544C8A" w:rsidP="00544C8A">
            <w:pPr>
              <w:keepNext/>
              <w:spacing w:after="0"/>
              <w:jc w:val="center"/>
              <w:rPr>
                <w:sz w:val="8"/>
                <w:szCs w:val="8"/>
              </w:rPr>
            </w:pPr>
          </w:p>
        </w:tc>
        <w:tc>
          <w:tcPr>
            <w:tcW w:w="539" w:type="dxa"/>
            <w:tcBorders>
              <w:top w:val="single" w:sz="2" w:space="0" w:color="auto"/>
              <w:left w:val="dashed" w:sz="2" w:space="0" w:color="auto"/>
              <w:bottom w:val="single" w:sz="2" w:space="0" w:color="auto"/>
              <w:right w:val="single" w:sz="8" w:space="0" w:color="800000"/>
            </w:tcBorders>
            <w:vAlign w:val="center"/>
          </w:tcPr>
          <w:p w14:paraId="0FEE818B" w14:textId="77777777" w:rsidR="00544C8A" w:rsidRPr="00025F23" w:rsidRDefault="00544C8A" w:rsidP="00544C8A">
            <w:pPr>
              <w:keepNext/>
              <w:spacing w:after="0"/>
              <w:jc w:val="center"/>
              <w:rPr>
                <w:sz w:val="8"/>
                <w:szCs w:val="8"/>
              </w:rPr>
            </w:pPr>
          </w:p>
        </w:tc>
        <w:tc>
          <w:tcPr>
            <w:tcW w:w="709" w:type="dxa"/>
            <w:tcBorders>
              <w:top w:val="single" w:sz="2" w:space="0" w:color="auto"/>
              <w:left w:val="single" w:sz="8" w:space="0" w:color="800000"/>
              <w:bottom w:val="single" w:sz="2" w:space="0" w:color="auto"/>
              <w:right w:val="dashed" w:sz="2" w:space="0" w:color="auto"/>
            </w:tcBorders>
            <w:vAlign w:val="center"/>
          </w:tcPr>
          <w:p w14:paraId="4BEC6F9C" w14:textId="281C3C27" w:rsidR="00544C8A" w:rsidRPr="00025F23" w:rsidRDefault="00544C8A" w:rsidP="00544C8A">
            <w:pPr>
              <w:keepNext/>
              <w:spacing w:after="0"/>
              <w:jc w:val="center"/>
              <w:rPr>
                <w:sz w:val="8"/>
                <w:szCs w:val="8"/>
              </w:rPr>
            </w:pPr>
            <w:r w:rsidRPr="00025F23">
              <w:rPr>
                <w:sz w:val="8"/>
                <w:szCs w:val="8"/>
              </w:rPr>
              <w:t>Mercado de trabajo deficiente</w:t>
            </w:r>
          </w:p>
        </w:tc>
        <w:tc>
          <w:tcPr>
            <w:tcW w:w="737" w:type="dxa"/>
            <w:tcBorders>
              <w:top w:val="single" w:sz="2" w:space="0" w:color="auto"/>
              <w:left w:val="dashed" w:sz="2" w:space="0" w:color="auto"/>
              <w:bottom w:val="single" w:sz="2" w:space="0" w:color="auto"/>
              <w:right w:val="dashed" w:sz="2" w:space="0" w:color="auto"/>
            </w:tcBorders>
            <w:vAlign w:val="center"/>
          </w:tcPr>
          <w:p w14:paraId="4882A3C4" w14:textId="5B4513FC" w:rsidR="00544C8A" w:rsidRPr="00025F23" w:rsidRDefault="0012042A" w:rsidP="00544C8A">
            <w:pPr>
              <w:keepNext/>
              <w:spacing w:after="0"/>
              <w:jc w:val="center"/>
              <w:rPr>
                <w:sz w:val="8"/>
                <w:szCs w:val="8"/>
              </w:rPr>
            </w:pPr>
            <w:r w:rsidRPr="00025F23">
              <w:rPr>
                <w:sz w:val="8"/>
                <w:szCs w:val="8"/>
              </w:rPr>
              <w:t xml:space="preserve">Altas y persistentes tasas de desempleo y </w:t>
            </w:r>
            <w:proofErr w:type="spellStart"/>
            <w:r w:rsidRPr="00025F23">
              <w:rPr>
                <w:sz w:val="8"/>
                <w:szCs w:val="8"/>
              </w:rPr>
              <w:t>CLUs</w:t>
            </w:r>
            <w:proofErr w:type="spellEnd"/>
            <w:r w:rsidRPr="00025F23">
              <w:rPr>
                <w:sz w:val="8"/>
                <w:szCs w:val="8"/>
              </w:rPr>
              <w:t xml:space="preserve"> crecientes</w:t>
            </w:r>
          </w:p>
        </w:tc>
        <w:tc>
          <w:tcPr>
            <w:tcW w:w="539" w:type="dxa"/>
            <w:tcBorders>
              <w:top w:val="single" w:sz="2" w:space="0" w:color="auto"/>
              <w:left w:val="dashed" w:sz="2" w:space="0" w:color="auto"/>
              <w:bottom w:val="single" w:sz="2" w:space="0" w:color="auto"/>
              <w:right w:val="dashed" w:sz="2" w:space="0" w:color="auto"/>
            </w:tcBorders>
            <w:vAlign w:val="center"/>
          </w:tcPr>
          <w:p w14:paraId="56D165DA" w14:textId="13CA945D" w:rsidR="00544C8A" w:rsidRPr="00025F23" w:rsidRDefault="008F055C" w:rsidP="00544C8A">
            <w:pPr>
              <w:keepNext/>
              <w:spacing w:after="0"/>
              <w:jc w:val="center"/>
              <w:rPr>
                <w:sz w:val="8"/>
                <w:szCs w:val="8"/>
              </w:rPr>
            </w:pPr>
            <w:r w:rsidRPr="00025F23">
              <w:rPr>
                <w:sz w:val="8"/>
                <w:szCs w:val="8"/>
              </w:rPr>
              <w:t>***</w:t>
            </w:r>
          </w:p>
        </w:tc>
        <w:tc>
          <w:tcPr>
            <w:tcW w:w="454" w:type="dxa"/>
            <w:tcBorders>
              <w:top w:val="single" w:sz="2" w:space="0" w:color="auto"/>
              <w:left w:val="dashed" w:sz="2" w:space="0" w:color="auto"/>
              <w:bottom w:val="single" w:sz="2" w:space="0" w:color="auto"/>
              <w:right w:val="single" w:sz="8" w:space="0" w:color="800000"/>
            </w:tcBorders>
            <w:vAlign w:val="center"/>
          </w:tcPr>
          <w:p w14:paraId="3A3D3942" w14:textId="77777777" w:rsidR="00544C8A" w:rsidRPr="00025F23" w:rsidRDefault="00544C8A" w:rsidP="00544C8A">
            <w:pPr>
              <w:keepNext/>
              <w:spacing w:after="0"/>
              <w:jc w:val="center"/>
              <w:rPr>
                <w:sz w:val="8"/>
                <w:szCs w:val="8"/>
              </w:rPr>
            </w:pPr>
          </w:p>
        </w:tc>
        <w:tc>
          <w:tcPr>
            <w:tcW w:w="851" w:type="dxa"/>
            <w:gridSpan w:val="2"/>
            <w:tcBorders>
              <w:top w:val="single" w:sz="2" w:space="0" w:color="auto"/>
              <w:left w:val="single" w:sz="8" w:space="0" w:color="800000"/>
              <w:bottom w:val="single" w:sz="2" w:space="0" w:color="auto"/>
              <w:right w:val="single" w:sz="8" w:space="0" w:color="800000"/>
            </w:tcBorders>
            <w:vAlign w:val="center"/>
          </w:tcPr>
          <w:p w14:paraId="37AB604E" w14:textId="77777777" w:rsidR="00544C8A" w:rsidRPr="00025F23" w:rsidRDefault="00B5073B" w:rsidP="00544C8A">
            <w:pPr>
              <w:keepNext/>
              <w:spacing w:after="0"/>
              <w:jc w:val="center"/>
              <w:rPr>
                <w:sz w:val="8"/>
                <w:szCs w:val="8"/>
              </w:rPr>
            </w:pPr>
            <w:r w:rsidRPr="00025F23">
              <w:rPr>
                <w:sz w:val="8"/>
                <w:szCs w:val="8"/>
              </w:rPr>
              <w:t>Políticas de oferta</w:t>
            </w:r>
          </w:p>
          <w:p w14:paraId="59CA6361" w14:textId="21191239" w:rsidR="00083A56" w:rsidRPr="00025F23" w:rsidRDefault="00083A56" w:rsidP="00544C8A">
            <w:pPr>
              <w:keepNext/>
              <w:spacing w:after="0"/>
              <w:jc w:val="center"/>
              <w:rPr>
                <w:sz w:val="8"/>
                <w:szCs w:val="8"/>
              </w:rPr>
            </w:pPr>
            <w:r w:rsidRPr="00025F23">
              <w:rPr>
                <w:sz w:val="8"/>
                <w:szCs w:val="8"/>
              </w:rPr>
              <w:t>Flexibilización del mercado laboral</w:t>
            </w:r>
          </w:p>
        </w:tc>
      </w:tr>
      <w:tr w:rsidR="003771AA" w:rsidRPr="00025F23" w14:paraId="2EA11D9A" w14:textId="77777777" w:rsidTr="000275E3">
        <w:trPr>
          <w:trHeight w:val="283"/>
        </w:trPr>
        <w:tc>
          <w:tcPr>
            <w:tcW w:w="567" w:type="dxa"/>
            <w:tcBorders>
              <w:top w:val="single" w:sz="2" w:space="0" w:color="auto"/>
              <w:left w:val="single" w:sz="8" w:space="0" w:color="800000"/>
              <w:bottom w:val="single" w:sz="2" w:space="0" w:color="auto"/>
              <w:right w:val="single" w:sz="8" w:space="0" w:color="800000"/>
            </w:tcBorders>
            <w:vAlign w:val="center"/>
          </w:tcPr>
          <w:p w14:paraId="4ED2CA7F" w14:textId="42522FFF" w:rsidR="003771AA" w:rsidRPr="00025F23" w:rsidRDefault="003771AA" w:rsidP="003771AA">
            <w:pPr>
              <w:keepNext/>
              <w:spacing w:after="0"/>
              <w:jc w:val="left"/>
              <w:rPr>
                <w:i/>
                <w:iCs/>
                <w:sz w:val="11"/>
                <w:szCs w:val="11"/>
              </w:rPr>
            </w:pPr>
            <w:r w:rsidRPr="00025F23">
              <w:rPr>
                <w:i/>
                <w:iCs/>
                <w:sz w:val="11"/>
                <w:szCs w:val="11"/>
              </w:rPr>
              <w:t>Sector financiero</w:t>
            </w:r>
          </w:p>
        </w:tc>
        <w:tc>
          <w:tcPr>
            <w:tcW w:w="709" w:type="dxa"/>
            <w:tcBorders>
              <w:top w:val="single" w:sz="2" w:space="0" w:color="auto"/>
              <w:left w:val="single" w:sz="8" w:space="0" w:color="800000"/>
              <w:bottom w:val="single" w:sz="2" w:space="0" w:color="auto"/>
              <w:right w:val="dashed" w:sz="2" w:space="0" w:color="auto"/>
            </w:tcBorders>
            <w:vAlign w:val="center"/>
          </w:tcPr>
          <w:p w14:paraId="07AF37EB" w14:textId="77777777" w:rsidR="003771AA" w:rsidRPr="00025F23" w:rsidRDefault="003771AA" w:rsidP="003771AA">
            <w:pPr>
              <w:keepNext/>
              <w:spacing w:after="0"/>
              <w:jc w:val="center"/>
              <w:rPr>
                <w:sz w:val="8"/>
                <w:szCs w:val="8"/>
              </w:rPr>
            </w:pPr>
          </w:p>
        </w:tc>
        <w:tc>
          <w:tcPr>
            <w:tcW w:w="737" w:type="dxa"/>
            <w:tcBorders>
              <w:top w:val="single" w:sz="2" w:space="0" w:color="auto"/>
              <w:left w:val="dashed" w:sz="2" w:space="0" w:color="auto"/>
              <w:bottom w:val="single" w:sz="2" w:space="0" w:color="auto"/>
              <w:right w:val="dashed" w:sz="2" w:space="0" w:color="auto"/>
            </w:tcBorders>
            <w:vAlign w:val="center"/>
          </w:tcPr>
          <w:p w14:paraId="6800D450" w14:textId="77777777" w:rsidR="003771AA" w:rsidRPr="00025F23" w:rsidRDefault="003771AA" w:rsidP="003771AA">
            <w:pPr>
              <w:keepNext/>
              <w:spacing w:after="0"/>
              <w:jc w:val="center"/>
              <w:rPr>
                <w:sz w:val="8"/>
                <w:szCs w:val="8"/>
              </w:rPr>
            </w:pPr>
          </w:p>
        </w:tc>
        <w:tc>
          <w:tcPr>
            <w:tcW w:w="539" w:type="dxa"/>
            <w:tcBorders>
              <w:top w:val="single" w:sz="2" w:space="0" w:color="auto"/>
              <w:left w:val="dashed" w:sz="2" w:space="0" w:color="auto"/>
              <w:bottom w:val="single" w:sz="2" w:space="0" w:color="auto"/>
              <w:right w:val="single" w:sz="8" w:space="0" w:color="800000"/>
            </w:tcBorders>
            <w:vAlign w:val="center"/>
          </w:tcPr>
          <w:p w14:paraId="02DDE5C5" w14:textId="77777777" w:rsidR="003771AA" w:rsidRPr="00025F23" w:rsidRDefault="003771AA" w:rsidP="003771AA">
            <w:pPr>
              <w:keepNext/>
              <w:spacing w:after="0"/>
              <w:jc w:val="center"/>
              <w:rPr>
                <w:sz w:val="8"/>
                <w:szCs w:val="8"/>
              </w:rPr>
            </w:pPr>
          </w:p>
        </w:tc>
        <w:tc>
          <w:tcPr>
            <w:tcW w:w="709" w:type="dxa"/>
            <w:tcBorders>
              <w:top w:val="single" w:sz="2" w:space="0" w:color="auto"/>
              <w:left w:val="single" w:sz="8" w:space="0" w:color="800000"/>
              <w:bottom w:val="single" w:sz="2" w:space="0" w:color="auto"/>
              <w:right w:val="dashed" w:sz="2" w:space="0" w:color="auto"/>
            </w:tcBorders>
            <w:vAlign w:val="center"/>
          </w:tcPr>
          <w:p w14:paraId="15C46ED7" w14:textId="660832FC" w:rsidR="003771AA" w:rsidRPr="00025F23" w:rsidRDefault="003771AA" w:rsidP="003771AA">
            <w:pPr>
              <w:keepNext/>
              <w:spacing w:after="0"/>
              <w:jc w:val="center"/>
              <w:rPr>
                <w:sz w:val="8"/>
                <w:szCs w:val="8"/>
              </w:rPr>
            </w:pPr>
            <w:r w:rsidRPr="00025F23">
              <w:rPr>
                <w:sz w:val="8"/>
                <w:szCs w:val="8"/>
              </w:rPr>
              <w:t>Riesgos en el sistema financiero</w:t>
            </w:r>
          </w:p>
        </w:tc>
        <w:tc>
          <w:tcPr>
            <w:tcW w:w="737" w:type="dxa"/>
            <w:tcBorders>
              <w:top w:val="single" w:sz="2" w:space="0" w:color="auto"/>
              <w:left w:val="dashed" w:sz="2" w:space="0" w:color="auto"/>
              <w:bottom w:val="single" w:sz="2" w:space="0" w:color="auto"/>
              <w:right w:val="dashed" w:sz="2" w:space="0" w:color="auto"/>
            </w:tcBorders>
            <w:vAlign w:val="center"/>
          </w:tcPr>
          <w:p w14:paraId="2BDCF165" w14:textId="6398D638" w:rsidR="003771AA" w:rsidRPr="00025F23" w:rsidRDefault="003771AA" w:rsidP="003771AA">
            <w:pPr>
              <w:keepNext/>
              <w:spacing w:after="0"/>
              <w:jc w:val="center"/>
              <w:rPr>
                <w:sz w:val="8"/>
                <w:szCs w:val="8"/>
              </w:rPr>
            </w:pPr>
            <w:r w:rsidRPr="00025F23">
              <w:rPr>
                <w:sz w:val="8"/>
                <w:szCs w:val="8"/>
              </w:rPr>
              <w:t>Alta prima de riesgo, alto endeudamiento privado y público, elevadas tasas de morosidad, racionamiento del crédito, etc.</w:t>
            </w:r>
          </w:p>
        </w:tc>
        <w:tc>
          <w:tcPr>
            <w:tcW w:w="539" w:type="dxa"/>
            <w:tcBorders>
              <w:top w:val="single" w:sz="2" w:space="0" w:color="auto"/>
              <w:left w:val="dashed" w:sz="2" w:space="0" w:color="auto"/>
              <w:bottom w:val="single" w:sz="2" w:space="0" w:color="auto"/>
              <w:right w:val="dashed" w:sz="2" w:space="0" w:color="auto"/>
            </w:tcBorders>
            <w:vAlign w:val="center"/>
          </w:tcPr>
          <w:p w14:paraId="56257E84" w14:textId="77777777" w:rsidR="003771AA" w:rsidRPr="00025F23" w:rsidRDefault="003771AA" w:rsidP="003771AA">
            <w:pPr>
              <w:keepNext/>
              <w:spacing w:after="0"/>
              <w:jc w:val="center"/>
              <w:rPr>
                <w:sz w:val="8"/>
                <w:szCs w:val="8"/>
              </w:rPr>
            </w:pPr>
          </w:p>
        </w:tc>
        <w:tc>
          <w:tcPr>
            <w:tcW w:w="454" w:type="dxa"/>
            <w:tcBorders>
              <w:top w:val="single" w:sz="2" w:space="0" w:color="auto"/>
              <w:left w:val="dashed" w:sz="2" w:space="0" w:color="auto"/>
              <w:bottom w:val="single" w:sz="2" w:space="0" w:color="auto"/>
              <w:right w:val="single" w:sz="8" w:space="0" w:color="800000"/>
            </w:tcBorders>
            <w:vAlign w:val="center"/>
          </w:tcPr>
          <w:p w14:paraId="77736B16" w14:textId="77777777" w:rsidR="003771AA" w:rsidRPr="00025F23" w:rsidRDefault="003771AA" w:rsidP="003771AA">
            <w:pPr>
              <w:keepNext/>
              <w:spacing w:after="0"/>
              <w:jc w:val="center"/>
              <w:rPr>
                <w:sz w:val="8"/>
                <w:szCs w:val="8"/>
              </w:rPr>
            </w:pPr>
          </w:p>
        </w:tc>
        <w:tc>
          <w:tcPr>
            <w:tcW w:w="851" w:type="dxa"/>
            <w:gridSpan w:val="2"/>
            <w:tcBorders>
              <w:top w:val="single" w:sz="2" w:space="0" w:color="auto"/>
              <w:left w:val="single" w:sz="8" w:space="0" w:color="800000"/>
              <w:bottom w:val="single" w:sz="2" w:space="0" w:color="auto"/>
              <w:right w:val="single" w:sz="8" w:space="0" w:color="800000"/>
            </w:tcBorders>
            <w:vAlign w:val="center"/>
          </w:tcPr>
          <w:p w14:paraId="21E022BB" w14:textId="795E2D5B" w:rsidR="003771AA" w:rsidRPr="00025F23" w:rsidRDefault="003771AA" w:rsidP="003771AA">
            <w:pPr>
              <w:keepNext/>
              <w:spacing w:after="0"/>
              <w:jc w:val="center"/>
              <w:rPr>
                <w:sz w:val="8"/>
                <w:szCs w:val="8"/>
              </w:rPr>
            </w:pPr>
            <w:r w:rsidRPr="00025F23">
              <w:rPr>
                <w:sz w:val="8"/>
                <w:szCs w:val="8"/>
              </w:rPr>
              <w:t xml:space="preserve">El objetivo es lograr un sistema financiero que </w:t>
            </w:r>
            <w:r w:rsidR="00083A56" w:rsidRPr="00025F23">
              <w:rPr>
                <w:sz w:val="8"/>
                <w:szCs w:val="8"/>
              </w:rPr>
              <w:t>consiga</w:t>
            </w:r>
            <w:r w:rsidRPr="00025F23">
              <w:rPr>
                <w:sz w:val="8"/>
                <w:szCs w:val="8"/>
              </w:rPr>
              <w:t xml:space="preserve"> efectivamente canalizar el ahorro hacia actividades de inversión. Para ello, se requiere una gran cantidad de activos disponibles (que se ajusten a las preferencias de los inversores), un gran número de operaciones que dote de liquidez al sistema, y una completa supervisión del mercado financiero en su totalidad que asegure a los inversores y ahorradores ante los posibles riesgos existentes.</w:t>
            </w:r>
          </w:p>
        </w:tc>
      </w:tr>
      <w:tr w:rsidR="00083A56" w:rsidRPr="00025F23" w14:paraId="6378776E" w14:textId="77777777" w:rsidTr="00083A56">
        <w:trPr>
          <w:trHeight w:val="283"/>
        </w:trPr>
        <w:tc>
          <w:tcPr>
            <w:tcW w:w="567" w:type="dxa"/>
            <w:vMerge w:val="restart"/>
            <w:tcBorders>
              <w:top w:val="single" w:sz="2" w:space="0" w:color="auto"/>
              <w:left w:val="single" w:sz="8" w:space="0" w:color="800000"/>
              <w:right w:val="single" w:sz="8" w:space="0" w:color="800000"/>
            </w:tcBorders>
            <w:vAlign w:val="center"/>
          </w:tcPr>
          <w:p w14:paraId="12EAA1A6" w14:textId="601CF235" w:rsidR="00083A56" w:rsidRPr="00025F23" w:rsidRDefault="00083A56" w:rsidP="003771AA">
            <w:pPr>
              <w:keepNext/>
              <w:spacing w:after="0"/>
              <w:jc w:val="left"/>
              <w:rPr>
                <w:i/>
                <w:iCs/>
                <w:sz w:val="11"/>
                <w:szCs w:val="11"/>
              </w:rPr>
            </w:pPr>
            <w:r w:rsidRPr="00025F23">
              <w:rPr>
                <w:i/>
                <w:iCs/>
                <w:sz w:val="11"/>
                <w:szCs w:val="11"/>
              </w:rPr>
              <w:t>Sector exterior</w:t>
            </w:r>
          </w:p>
        </w:tc>
        <w:tc>
          <w:tcPr>
            <w:tcW w:w="709" w:type="dxa"/>
            <w:tcBorders>
              <w:top w:val="single" w:sz="2" w:space="0" w:color="auto"/>
              <w:left w:val="single" w:sz="8" w:space="0" w:color="800000"/>
              <w:bottom w:val="dashed" w:sz="2" w:space="0" w:color="auto"/>
              <w:right w:val="dashed" w:sz="2" w:space="0" w:color="auto"/>
            </w:tcBorders>
            <w:vAlign w:val="center"/>
          </w:tcPr>
          <w:p w14:paraId="4E481DAB" w14:textId="77777777" w:rsidR="00083A56" w:rsidRPr="00025F23" w:rsidRDefault="00083A56" w:rsidP="003771AA">
            <w:pPr>
              <w:keepNext/>
              <w:spacing w:after="0"/>
              <w:jc w:val="center"/>
              <w:rPr>
                <w:sz w:val="8"/>
                <w:szCs w:val="8"/>
              </w:rPr>
            </w:pPr>
          </w:p>
        </w:tc>
        <w:tc>
          <w:tcPr>
            <w:tcW w:w="737" w:type="dxa"/>
            <w:tcBorders>
              <w:top w:val="single" w:sz="2" w:space="0" w:color="auto"/>
              <w:left w:val="dashed" w:sz="2" w:space="0" w:color="auto"/>
              <w:bottom w:val="dashed" w:sz="2" w:space="0" w:color="auto"/>
              <w:right w:val="dashed" w:sz="2" w:space="0" w:color="auto"/>
            </w:tcBorders>
            <w:vAlign w:val="center"/>
          </w:tcPr>
          <w:p w14:paraId="3FA70416" w14:textId="77777777" w:rsidR="00083A56" w:rsidRPr="00025F23" w:rsidRDefault="00083A56" w:rsidP="003771AA">
            <w:pPr>
              <w:keepNext/>
              <w:spacing w:after="0"/>
              <w:jc w:val="center"/>
              <w:rPr>
                <w:sz w:val="8"/>
                <w:szCs w:val="8"/>
              </w:rPr>
            </w:pPr>
          </w:p>
        </w:tc>
        <w:tc>
          <w:tcPr>
            <w:tcW w:w="539" w:type="dxa"/>
            <w:tcBorders>
              <w:top w:val="single" w:sz="2" w:space="0" w:color="auto"/>
              <w:left w:val="dashed" w:sz="2" w:space="0" w:color="auto"/>
              <w:bottom w:val="dashed" w:sz="2" w:space="0" w:color="auto"/>
              <w:right w:val="single" w:sz="8" w:space="0" w:color="800000"/>
            </w:tcBorders>
            <w:vAlign w:val="center"/>
          </w:tcPr>
          <w:p w14:paraId="0554871A" w14:textId="77777777" w:rsidR="00083A56" w:rsidRPr="00025F23" w:rsidRDefault="00083A56" w:rsidP="003771AA">
            <w:pPr>
              <w:keepNext/>
              <w:spacing w:after="0"/>
              <w:jc w:val="center"/>
              <w:rPr>
                <w:sz w:val="8"/>
                <w:szCs w:val="8"/>
              </w:rPr>
            </w:pPr>
          </w:p>
        </w:tc>
        <w:tc>
          <w:tcPr>
            <w:tcW w:w="709" w:type="dxa"/>
            <w:tcBorders>
              <w:top w:val="single" w:sz="2" w:space="0" w:color="auto"/>
              <w:left w:val="single" w:sz="8" w:space="0" w:color="800000"/>
              <w:bottom w:val="dashed" w:sz="2" w:space="0" w:color="auto"/>
              <w:right w:val="dashed" w:sz="2" w:space="0" w:color="auto"/>
            </w:tcBorders>
            <w:vAlign w:val="center"/>
          </w:tcPr>
          <w:p w14:paraId="16CFB263" w14:textId="5184BD1C" w:rsidR="00083A56" w:rsidRPr="00025F23" w:rsidRDefault="00083A56" w:rsidP="003771AA">
            <w:pPr>
              <w:keepNext/>
              <w:spacing w:after="0"/>
              <w:jc w:val="center"/>
              <w:rPr>
                <w:sz w:val="8"/>
                <w:szCs w:val="8"/>
              </w:rPr>
            </w:pPr>
            <w:r w:rsidRPr="00025F23">
              <w:rPr>
                <w:sz w:val="8"/>
                <w:szCs w:val="8"/>
              </w:rPr>
              <w:t>Déficit por cuenta corriente y deuda externa</w:t>
            </w:r>
          </w:p>
        </w:tc>
        <w:tc>
          <w:tcPr>
            <w:tcW w:w="737" w:type="dxa"/>
            <w:tcBorders>
              <w:top w:val="single" w:sz="2" w:space="0" w:color="auto"/>
              <w:left w:val="dashed" w:sz="2" w:space="0" w:color="auto"/>
              <w:bottom w:val="dashed" w:sz="2" w:space="0" w:color="auto"/>
              <w:right w:val="dashed" w:sz="2" w:space="0" w:color="auto"/>
            </w:tcBorders>
            <w:vAlign w:val="center"/>
          </w:tcPr>
          <w:p w14:paraId="38FB2D72" w14:textId="6C57BD8D" w:rsidR="00083A56" w:rsidRPr="00025F23" w:rsidRDefault="00083A56" w:rsidP="003771AA">
            <w:pPr>
              <w:keepNext/>
              <w:spacing w:after="0"/>
              <w:jc w:val="center"/>
              <w:rPr>
                <w:sz w:val="8"/>
                <w:szCs w:val="8"/>
              </w:rPr>
            </w:pPr>
            <w:r w:rsidRPr="00025F23">
              <w:rPr>
                <w:sz w:val="8"/>
                <w:szCs w:val="8"/>
              </w:rPr>
              <w:t>Altos y persistentes niveles de déficit por cuenta corriente y deuda externa, pérdida de competitividad exterior, elevada absorción, escasez de ahorro, exceso de inversión y déficits públicos.</w:t>
            </w:r>
          </w:p>
        </w:tc>
        <w:tc>
          <w:tcPr>
            <w:tcW w:w="539" w:type="dxa"/>
            <w:tcBorders>
              <w:top w:val="single" w:sz="2" w:space="0" w:color="auto"/>
              <w:left w:val="dashed" w:sz="2" w:space="0" w:color="auto"/>
              <w:bottom w:val="dashed" w:sz="2" w:space="0" w:color="auto"/>
              <w:right w:val="dashed" w:sz="2" w:space="0" w:color="auto"/>
            </w:tcBorders>
            <w:vAlign w:val="center"/>
          </w:tcPr>
          <w:p w14:paraId="170B5212" w14:textId="5DAA8215" w:rsidR="00083A56" w:rsidRPr="00025F23" w:rsidRDefault="008F055C" w:rsidP="003771AA">
            <w:pPr>
              <w:keepNext/>
              <w:spacing w:after="0"/>
              <w:jc w:val="center"/>
              <w:rPr>
                <w:sz w:val="8"/>
                <w:szCs w:val="8"/>
              </w:rPr>
            </w:pPr>
            <w:r w:rsidRPr="00025F23">
              <w:rPr>
                <w:sz w:val="8"/>
                <w:szCs w:val="8"/>
              </w:rPr>
              <w:t>***</w:t>
            </w:r>
          </w:p>
        </w:tc>
        <w:tc>
          <w:tcPr>
            <w:tcW w:w="454" w:type="dxa"/>
            <w:tcBorders>
              <w:top w:val="single" w:sz="2" w:space="0" w:color="auto"/>
              <w:left w:val="dashed" w:sz="2" w:space="0" w:color="auto"/>
              <w:bottom w:val="dashed" w:sz="2" w:space="0" w:color="auto"/>
              <w:right w:val="single" w:sz="8" w:space="0" w:color="800000"/>
            </w:tcBorders>
            <w:vAlign w:val="center"/>
          </w:tcPr>
          <w:p w14:paraId="28584658" w14:textId="77777777" w:rsidR="00083A56" w:rsidRPr="00025F23" w:rsidRDefault="00083A56" w:rsidP="003771AA">
            <w:pPr>
              <w:keepNext/>
              <w:spacing w:after="0"/>
              <w:jc w:val="center"/>
              <w:rPr>
                <w:sz w:val="8"/>
                <w:szCs w:val="8"/>
              </w:rPr>
            </w:pPr>
          </w:p>
        </w:tc>
        <w:tc>
          <w:tcPr>
            <w:tcW w:w="851" w:type="dxa"/>
            <w:gridSpan w:val="2"/>
            <w:tcBorders>
              <w:top w:val="single" w:sz="2" w:space="0" w:color="auto"/>
              <w:left w:val="single" w:sz="8" w:space="0" w:color="800000"/>
              <w:bottom w:val="dashed" w:sz="2" w:space="0" w:color="auto"/>
              <w:right w:val="single" w:sz="8" w:space="0" w:color="800000"/>
            </w:tcBorders>
            <w:vAlign w:val="center"/>
          </w:tcPr>
          <w:p w14:paraId="5D8F7496" w14:textId="77777777" w:rsidR="00083A56" w:rsidRPr="00025F23" w:rsidRDefault="00083A56" w:rsidP="003771AA">
            <w:pPr>
              <w:keepNext/>
              <w:spacing w:after="0"/>
              <w:jc w:val="center"/>
              <w:rPr>
                <w:sz w:val="8"/>
                <w:szCs w:val="8"/>
              </w:rPr>
            </w:pPr>
          </w:p>
        </w:tc>
      </w:tr>
      <w:tr w:rsidR="00083A56" w:rsidRPr="00025F23" w14:paraId="280D0B20" w14:textId="77777777" w:rsidTr="00083A56">
        <w:trPr>
          <w:trHeight w:val="283"/>
        </w:trPr>
        <w:tc>
          <w:tcPr>
            <w:tcW w:w="567" w:type="dxa"/>
            <w:vMerge/>
            <w:tcBorders>
              <w:top w:val="single" w:sz="2" w:space="0" w:color="auto"/>
              <w:left w:val="single" w:sz="8" w:space="0" w:color="800000"/>
              <w:right w:val="single" w:sz="8" w:space="0" w:color="800000"/>
            </w:tcBorders>
            <w:vAlign w:val="center"/>
          </w:tcPr>
          <w:p w14:paraId="72E2257A" w14:textId="77777777" w:rsidR="00083A56" w:rsidRPr="00025F23" w:rsidRDefault="00083A56" w:rsidP="003771AA">
            <w:pPr>
              <w:keepNext/>
              <w:spacing w:after="0"/>
              <w:jc w:val="left"/>
              <w:rPr>
                <w:i/>
                <w:iCs/>
                <w:sz w:val="11"/>
                <w:szCs w:val="11"/>
              </w:rPr>
            </w:pPr>
          </w:p>
        </w:tc>
        <w:tc>
          <w:tcPr>
            <w:tcW w:w="709" w:type="dxa"/>
            <w:tcBorders>
              <w:top w:val="dashed" w:sz="2" w:space="0" w:color="auto"/>
              <w:left w:val="single" w:sz="8" w:space="0" w:color="800000"/>
              <w:bottom w:val="dashed" w:sz="2" w:space="0" w:color="auto"/>
              <w:right w:val="dashed" w:sz="2" w:space="0" w:color="auto"/>
            </w:tcBorders>
            <w:vAlign w:val="center"/>
          </w:tcPr>
          <w:p w14:paraId="68C4AB5C" w14:textId="77777777" w:rsidR="00083A56" w:rsidRPr="00025F23" w:rsidRDefault="00083A56" w:rsidP="003771AA">
            <w:pPr>
              <w:keepNext/>
              <w:spacing w:after="0"/>
              <w:jc w:val="center"/>
              <w:rPr>
                <w:sz w:val="8"/>
                <w:szCs w:val="8"/>
              </w:rPr>
            </w:pPr>
          </w:p>
        </w:tc>
        <w:tc>
          <w:tcPr>
            <w:tcW w:w="737" w:type="dxa"/>
            <w:tcBorders>
              <w:top w:val="dashed" w:sz="2" w:space="0" w:color="auto"/>
              <w:left w:val="dashed" w:sz="2" w:space="0" w:color="auto"/>
              <w:bottom w:val="dashed" w:sz="2" w:space="0" w:color="auto"/>
              <w:right w:val="dashed" w:sz="2" w:space="0" w:color="auto"/>
            </w:tcBorders>
            <w:vAlign w:val="center"/>
          </w:tcPr>
          <w:p w14:paraId="5BEED3F1" w14:textId="77777777" w:rsidR="00083A56" w:rsidRPr="00025F23" w:rsidRDefault="00083A56" w:rsidP="003771AA">
            <w:pPr>
              <w:keepNext/>
              <w:spacing w:after="0"/>
              <w:jc w:val="center"/>
              <w:rPr>
                <w:sz w:val="8"/>
                <w:szCs w:val="8"/>
              </w:rPr>
            </w:pPr>
          </w:p>
        </w:tc>
        <w:tc>
          <w:tcPr>
            <w:tcW w:w="539" w:type="dxa"/>
            <w:tcBorders>
              <w:top w:val="dashed" w:sz="2" w:space="0" w:color="auto"/>
              <w:left w:val="dashed" w:sz="2" w:space="0" w:color="auto"/>
              <w:bottom w:val="dashed" w:sz="2" w:space="0" w:color="auto"/>
              <w:right w:val="single" w:sz="8" w:space="0" w:color="800000"/>
            </w:tcBorders>
            <w:vAlign w:val="center"/>
          </w:tcPr>
          <w:p w14:paraId="7445B77D" w14:textId="77777777" w:rsidR="00083A56" w:rsidRPr="00025F23" w:rsidRDefault="00083A56" w:rsidP="003771AA">
            <w:pPr>
              <w:keepNext/>
              <w:spacing w:after="0"/>
              <w:jc w:val="center"/>
              <w:rPr>
                <w:sz w:val="8"/>
                <w:szCs w:val="8"/>
              </w:rPr>
            </w:pPr>
          </w:p>
        </w:tc>
        <w:tc>
          <w:tcPr>
            <w:tcW w:w="709" w:type="dxa"/>
            <w:tcBorders>
              <w:top w:val="dashed" w:sz="2" w:space="0" w:color="auto"/>
              <w:left w:val="single" w:sz="8" w:space="0" w:color="800000"/>
              <w:bottom w:val="dashed" w:sz="2" w:space="0" w:color="auto"/>
              <w:right w:val="dashed" w:sz="2" w:space="0" w:color="auto"/>
            </w:tcBorders>
            <w:vAlign w:val="center"/>
          </w:tcPr>
          <w:p w14:paraId="319D28AD" w14:textId="663EC213" w:rsidR="00083A56" w:rsidRPr="00025F23" w:rsidRDefault="00083A56" w:rsidP="003771AA">
            <w:pPr>
              <w:keepNext/>
              <w:spacing w:after="0"/>
              <w:jc w:val="center"/>
              <w:rPr>
                <w:sz w:val="8"/>
                <w:szCs w:val="8"/>
              </w:rPr>
            </w:pPr>
            <w:r w:rsidRPr="00025F23">
              <w:rPr>
                <w:sz w:val="8"/>
                <w:szCs w:val="8"/>
              </w:rPr>
              <w:t>Competitividad precio reducida</w:t>
            </w:r>
          </w:p>
        </w:tc>
        <w:tc>
          <w:tcPr>
            <w:tcW w:w="737" w:type="dxa"/>
            <w:tcBorders>
              <w:top w:val="dashed" w:sz="2" w:space="0" w:color="auto"/>
              <w:left w:val="dashed" w:sz="2" w:space="0" w:color="auto"/>
              <w:bottom w:val="dashed" w:sz="2" w:space="0" w:color="auto"/>
              <w:right w:val="dashed" w:sz="2" w:space="0" w:color="auto"/>
            </w:tcBorders>
            <w:vAlign w:val="center"/>
          </w:tcPr>
          <w:p w14:paraId="752E4ED5" w14:textId="77777777" w:rsidR="00083A56" w:rsidRPr="00025F23" w:rsidRDefault="00083A56" w:rsidP="003771AA">
            <w:pPr>
              <w:keepNext/>
              <w:spacing w:after="0"/>
              <w:jc w:val="center"/>
              <w:rPr>
                <w:sz w:val="8"/>
                <w:szCs w:val="8"/>
              </w:rPr>
            </w:pPr>
          </w:p>
        </w:tc>
        <w:tc>
          <w:tcPr>
            <w:tcW w:w="539" w:type="dxa"/>
            <w:tcBorders>
              <w:top w:val="dashed" w:sz="2" w:space="0" w:color="auto"/>
              <w:left w:val="dashed" w:sz="2" w:space="0" w:color="auto"/>
              <w:bottom w:val="dashed" w:sz="2" w:space="0" w:color="auto"/>
              <w:right w:val="dashed" w:sz="2" w:space="0" w:color="auto"/>
            </w:tcBorders>
            <w:vAlign w:val="center"/>
          </w:tcPr>
          <w:p w14:paraId="0C93475B" w14:textId="77777777" w:rsidR="00083A56" w:rsidRPr="00025F23" w:rsidRDefault="00083A56" w:rsidP="003771AA">
            <w:pPr>
              <w:keepNext/>
              <w:spacing w:after="0"/>
              <w:jc w:val="center"/>
              <w:rPr>
                <w:sz w:val="8"/>
                <w:szCs w:val="8"/>
              </w:rPr>
            </w:pPr>
          </w:p>
        </w:tc>
        <w:tc>
          <w:tcPr>
            <w:tcW w:w="454" w:type="dxa"/>
            <w:tcBorders>
              <w:top w:val="dashed" w:sz="2" w:space="0" w:color="auto"/>
              <w:left w:val="dashed" w:sz="2" w:space="0" w:color="auto"/>
              <w:bottom w:val="dashed" w:sz="2" w:space="0" w:color="auto"/>
              <w:right w:val="single" w:sz="8" w:space="0" w:color="800000"/>
            </w:tcBorders>
            <w:vAlign w:val="center"/>
          </w:tcPr>
          <w:p w14:paraId="092518D9" w14:textId="77777777" w:rsidR="00083A56" w:rsidRPr="00025F23" w:rsidRDefault="00083A56" w:rsidP="003771AA">
            <w:pPr>
              <w:keepNext/>
              <w:spacing w:after="0"/>
              <w:jc w:val="center"/>
              <w:rPr>
                <w:sz w:val="8"/>
                <w:szCs w:val="8"/>
              </w:rPr>
            </w:pPr>
          </w:p>
        </w:tc>
        <w:tc>
          <w:tcPr>
            <w:tcW w:w="851" w:type="dxa"/>
            <w:gridSpan w:val="2"/>
            <w:tcBorders>
              <w:top w:val="dashed" w:sz="2" w:space="0" w:color="auto"/>
              <w:left w:val="single" w:sz="8" w:space="0" w:color="800000"/>
              <w:bottom w:val="dashed" w:sz="2" w:space="0" w:color="auto"/>
              <w:right w:val="single" w:sz="8" w:space="0" w:color="800000"/>
            </w:tcBorders>
            <w:vAlign w:val="center"/>
          </w:tcPr>
          <w:p w14:paraId="6F36E571" w14:textId="15B4E3E9" w:rsidR="00083A56" w:rsidRPr="00025F23" w:rsidRDefault="00083A56" w:rsidP="003771AA">
            <w:pPr>
              <w:keepNext/>
              <w:spacing w:after="0"/>
              <w:jc w:val="center"/>
              <w:rPr>
                <w:sz w:val="8"/>
                <w:szCs w:val="8"/>
              </w:rPr>
            </w:pPr>
            <w:r w:rsidRPr="00025F23">
              <w:rPr>
                <w:sz w:val="8"/>
                <w:szCs w:val="8"/>
              </w:rPr>
              <w:t>Competencia en mercados de bienes y factores y medidas de aumento de la productividad marginal</w:t>
            </w:r>
          </w:p>
        </w:tc>
      </w:tr>
      <w:tr w:rsidR="00083A56" w:rsidRPr="00025F23" w14:paraId="00C5126C" w14:textId="77777777" w:rsidTr="00083A56">
        <w:trPr>
          <w:trHeight w:val="283"/>
        </w:trPr>
        <w:tc>
          <w:tcPr>
            <w:tcW w:w="567" w:type="dxa"/>
            <w:vMerge/>
            <w:tcBorders>
              <w:left w:val="single" w:sz="8" w:space="0" w:color="800000"/>
              <w:bottom w:val="single" w:sz="2" w:space="0" w:color="auto"/>
              <w:right w:val="single" w:sz="8" w:space="0" w:color="800000"/>
            </w:tcBorders>
            <w:vAlign w:val="center"/>
          </w:tcPr>
          <w:p w14:paraId="16BD0E43" w14:textId="77777777" w:rsidR="00083A56" w:rsidRPr="00025F23" w:rsidRDefault="00083A56" w:rsidP="003771AA">
            <w:pPr>
              <w:keepNext/>
              <w:spacing w:after="0"/>
              <w:jc w:val="left"/>
              <w:rPr>
                <w:i/>
                <w:iCs/>
                <w:sz w:val="11"/>
                <w:szCs w:val="11"/>
              </w:rPr>
            </w:pPr>
          </w:p>
        </w:tc>
        <w:tc>
          <w:tcPr>
            <w:tcW w:w="709" w:type="dxa"/>
            <w:tcBorders>
              <w:top w:val="dashed" w:sz="2" w:space="0" w:color="auto"/>
              <w:left w:val="single" w:sz="8" w:space="0" w:color="800000"/>
              <w:bottom w:val="single" w:sz="2" w:space="0" w:color="auto"/>
              <w:right w:val="dashed" w:sz="2" w:space="0" w:color="auto"/>
            </w:tcBorders>
            <w:vAlign w:val="center"/>
          </w:tcPr>
          <w:p w14:paraId="6DD8D576" w14:textId="77777777" w:rsidR="00083A56" w:rsidRPr="00025F23" w:rsidRDefault="00083A56" w:rsidP="003771AA">
            <w:pPr>
              <w:keepNext/>
              <w:spacing w:after="0"/>
              <w:jc w:val="center"/>
              <w:rPr>
                <w:sz w:val="8"/>
                <w:szCs w:val="8"/>
              </w:rPr>
            </w:pPr>
          </w:p>
        </w:tc>
        <w:tc>
          <w:tcPr>
            <w:tcW w:w="737" w:type="dxa"/>
            <w:tcBorders>
              <w:top w:val="dashed" w:sz="2" w:space="0" w:color="auto"/>
              <w:left w:val="dashed" w:sz="2" w:space="0" w:color="auto"/>
              <w:bottom w:val="single" w:sz="2" w:space="0" w:color="auto"/>
              <w:right w:val="dashed" w:sz="2" w:space="0" w:color="auto"/>
            </w:tcBorders>
            <w:vAlign w:val="center"/>
          </w:tcPr>
          <w:p w14:paraId="328207C1" w14:textId="77777777" w:rsidR="00083A56" w:rsidRPr="00025F23" w:rsidRDefault="00083A56" w:rsidP="003771AA">
            <w:pPr>
              <w:keepNext/>
              <w:spacing w:after="0"/>
              <w:jc w:val="center"/>
              <w:rPr>
                <w:sz w:val="8"/>
                <w:szCs w:val="8"/>
              </w:rPr>
            </w:pPr>
          </w:p>
        </w:tc>
        <w:tc>
          <w:tcPr>
            <w:tcW w:w="539" w:type="dxa"/>
            <w:tcBorders>
              <w:top w:val="dashed" w:sz="2" w:space="0" w:color="auto"/>
              <w:left w:val="dashed" w:sz="2" w:space="0" w:color="auto"/>
              <w:bottom w:val="single" w:sz="2" w:space="0" w:color="auto"/>
              <w:right w:val="single" w:sz="8" w:space="0" w:color="800000"/>
            </w:tcBorders>
            <w:vAlign w:val="center"/>
          </w:tcPr>
          <w:p w14:paraId="41704291" w14:textId="77777777" w:rsidR="00083A56" w:rsidRPr="00025F23" w:rsidRDefault="00083A56" w:rsidP="003771AA">
            <w:pPr>
              <w:keepNext/>
              <w:spacing w:after="0"/>
              <w:jc w:val="center"/>
              <w:rPr>
                <w:sz w:val="8"/>
                <w:szCs w:val="8"/>
              </w:rPr>
            </w:pPr>
          </w:p>
        </w:tc>
        <w:tc>
          <w:tcPr>
            <w:tcW w:w="709" w:type="dxa"/>
            <w:tcBorders>
              <w:top w:val="dashed" w:sz="2" w:space="0" w:color="auto"/>
              <w:left w:val="single" w:sz="8" w:space="0" w:color="800000"/>
              <w:bottom w:val="single" w:sz="2" w:space="0" w:color="auto"/>
              <w:right w:val="dashed" w:sz="2" w:space="0" w:color="auto"/>
            </w:tcBorders>
            <w:vAlign w:val="center"/>
          </w:tcPr>
          <w:p w14:paraId="0AB68B26" w14:textId="795E22EA" w:rsidR="00083A56" w:rsidRPr="00025F23" w:rsidRDefault="00083A56" w:rsidP="003771AA">
            <w:pPr>
              <w:keepNext/>
              <w:spacing w:after="0"/>
              <w:jc w:val="center"/>
              <w:rPr>
                <w:sz w:val="8"/>
                <w:szCs w:val="8"/>
              </w:rPr>
            </w:pPr>
            <w:r w:rsidRPr="00025F23">
              <w:rPr>
                <w:sz w:val="8"/>
                <w:szCs w:val="8"/>
              </w:rPr>
              <w:t>Competitividad no precio reducida</w:t>
            </w:r>
          </w:p>
        </w:tc>
        <w:tc>
          <w:tcPr>
            <w:tcW w:w="737" w:type="dxa"/>
            <w:tcBorders>
              <w:top w:val="dashed" w:sz="2" w:space="0" w:color="auto"/>
              <w:left w:val="dashed" w:sz="2" w:space="0" w:color="auto"/>
              <w:bottom w:val="single" w:sz="2" w:space="0" w:color="auto"/>
              <w:right w:val="dashed" w:sz="2" w:space="0" w:color="auto"/>
            </w:tcBorders>
            <w:vAlign w:val="center"/>
          </w:tcPr>
          <w:p w14:paraId="1804D573" w14:textId="77777777" w:rsidR="00083A56" w:rsidRPr="00025F23" w:rsidRDefault="00083A56" w:rsidP="003771AA">
            <w:pPr>
              <w:keepNext/>
              <w:spacing w:after="0"/>
              <w:jc w:val="center"/>
              <w:rPr>
                <w:sz w:val="8"/>
                <w:szCs w:val="8"/>
              </w:rPr>
            </w:pPr>
          </w:p>
        </w:tc>
        <w:tc>
          <w:tcPr>
            <w:tcW w:w="539" w:type="dxa"/>
            <w:tcBorders>
              <w:top w:val="dashed" w:sz="2" w:space="0" w:color="auto"/>
              <w:left w:val="dashed" w:sz="2" w:space="0" w:color="auto"/>
              <w:bottom w:val="single" w:sz="2" w:space="0" w:color="auto"/>
              <w:right w:val="dashed" w:sz="2" w:space="0" w:color="auto"/>
            </w:tcBorders>
            <w:vAlign w:val="center"/>
          </w:tcPr>
          <w:p w14:paraId="0C7D4970" w14:textId="77777777" w:rsidR="00083A56" w:rsidRPr="00025F23" w:rsidRDefault="00083A56" w:rsidP="003771AA">
            <w:pPr>
              <w:keepNext/>
              <w:spacing w:after="0"/>
              <w:jc w:val="center"/>
              <w:rPr>
                <w:sz w:val="8"/>
                <w:szCs w:val="8"/>
              </w:rPr>
            </w:pPr>
          </w:p>
        </w:tc>
        <w:tc>
          <w:tcPr>
            <w:tcW w:w="454" w:type="dxa"/>
            <w:tcBorders>
              <w:top w:val="dashed" w:sz="2" w:space="0" w:color="auto"/>
              <w:left w:val="dashed" w:sz="2" w:space="0" w:color="auto"/>
              <w:bottom w:val="single" w:sz="2" w:space="0" w:color="auto"/>
              <w:right w:val="single" w:sz="8" w:space="0" w:color="800000"/>
            </w:tcBorders>
            <w:vAlign w:val="center"/>
          </w:tcPr>
          <w:p w14:paraId="3D770B0E" w14:textId="77777777" w:rsidR="00083A56" w:rsidRPr="00025F23" w:rsidRDefault="00083A56" w:rsidP="003771AA">
            <w:pPr>
              <w:keepNext/>
              <w:spacing w:after="0"/>
              <w:jc w:val="center"/>
              <w:rPr>
                <w:sz w:val="8"/>
                <w:szCs w:val="8"/>
              </w:rPr>
            </w:pPr>
          </w:p>
        </w:tc>
        <w:tc>
          <w:tcPr>
            <w:tcW w:w="851" w:type="dxa"/>
            <w:gridSpan w:val="2"/>
            <w:tcBorders>
              <w:top w:val="dashed" w:sz="2" w:space="0" w:color="auto"/>
              <w:left w:val="single" w:sz="8" w:space="0" w:color="800000"/>
              <w:bottom w:val="single" w:sz="2" w:space="0" w:color="auto"/>
              <w:right w:val="single" w:sz="8" w:space="0" w:color="800000"/>
            </w:tcBorders>
            <w:vAlign w:val="center"/>
          </w:tcPr>
          <w:p w14:paraId="1AEFE8DC" w14:textId="64E5C6D5" w:rsidR="00083A56" w:rsidRPr="00025F23" w:rsidRDefault="00083A56" w:rsidP="003771AA">
            <w:pPr>
              <w:keepNext/>
              <w:spacing w:after="0"/>
              <w:jc w:val="center"/>
              <w:rPr>
                <w:sz w:val="8"/>
                <w:szCs w:val="8"/>
              </w:rPr>
            </w:pPr>
            <w:r w:rsidRPr="00025F23">
              <w:rPr>
                <w:sz w:val="8"/>
                <w:szCs w:val="8"/>
              </w:rPr>
              <w:t>Actividades de promoción exterior (red de oficinas, agencia de exportación, etc.)</w:t>
            </w:r>
          </w:p>
        </w:tc>
      </w:tr>
      <w:tr w:rsidR="003771AA" w:rsidRPr="00025F23" w14:paraId="00281DFC" w14:textId="77777777" w:rsidTr="000275E3">
        <w:trPr>
          <w:trHeight w:val="283"/>
        </w:trPr>
        <w:tc>
          <w:tcPr>
            <w:tcW w:w="567" w:type="dxa"/>
            <w:tcBorders>
              <w:top w:val="single" w:sz="2" w:space="0" w:color="auto"/>
              <w:left w:val="single" w:sz="8" w:space="0" w:color="800000"/>
              <w:bottom w:val="single" w:sz="2" w:space="0" w:color="auto"/>
              <w:right w:val="single" w:sz="8" w:space="0" w:color="800000"/>
            </w:tcBorders>
            <w:vAlign w:val="center"/>
          </w:tcPr>
          <w:p w14:paraId="020826FF" w14:textId="488B28BA" w:rsidR="003771AA" w:rsidRPr="00025F23" w:rsidRDefault="003771AA" w:rsidP="003771AA">
            <w:pPr>
              <w:keepNext/>
              <w:spacing w:after="0"/>
              <w:jc w:val="left"/>
              <w:rPr>
                <w:i/>
                <w:iCs/>
                <w:sz w:val="11"/>
                <w:szCs w:val="11"/>
              </w:rPr>
            </w:pPr>
            <w:r w:rsidRPr="00025F23">
              <w:rPr>
                <w:i/>
                <w:iCs/>
                <w:sz w:val="11"/>
                <w:szCs w:val="11"/>
              </w:rPr>
              <w:t>Política monetaria</w:t>
            </w:r>
          </w:p>
        </w:tc>
        <w:tc>
          <w:tcPr>
            <w:tcW w:w="709" w:type="dxa"/>
            <w:tcBorders>
              <w:top w:val="single" w:sz="2" w:space="0" w:color="auto"/>
              <w:left w:val="single" w:sz="8" w:space="0" w:color="800000"/>
              <w:bottom w:val="single" w:sz="2" w:space="0" w:color="auto"/>
              <w:right w:val="dashed" w:sz="2" w:space="0" w:color="auto"/>
            </w:tcBorders>
            <w:vAlign w:val="center"/>
          </w:tcPr>
          <w:p w14:paraId="0DCCAA08" w14:textId="77777777" w:rsidR="003771AA" w:rsidRPr="00025F23" w:rsidRDefault="003771AA" w:rsidP="003771AA">
            <w:pPr>
              <w:keepNext/>
              <w:spacing w:after="0"/>
              <w:jc w:val="center"/>
              <w:rPr>
                <w:sz w:val="8"/>
                <w:szCs w:val="8"/>
              </w:rPr>
            </w:pPr>
          </w:p>
        </w:tc>
        <w:tc>
          <w:tcPr>
            <w:tcW w:w="737" w:type="dxa"/>
            <w:tcBorders>
              <w:top w:val="single" w:sz="2" w:space="0" w:color="auto"/>
              <w:left w:val="dashed" w:sz="2" w:space="0" w:color="auto"/>
              <w:bottom w:val="single" w:sz="2" w:space="0" w:color="auto"/>
              <w:right w:val="dashed" w:sz="2" w:space="0" w:color="auto"/>
            </w:tcBorders>
            <w:vAlign w:val="center"/>
          </w:tcPr>
          <w:p w14:paraId="7FA39A85" w14:textId="77777777" w:rsidR="003771AA" w:rsidRPr="00025F23" w:rsidRDefault="003771AA" w:rsidP="003771AA">
            <w:pPr>
              <w:keepNext/>
              <w:spacing w:after="0"/>
              <w:jc w:val="center"/>
              <w:rPr>
                <w:sz w:val="8"/>
                <w:szCs w:val="8"/>
              </w:rPr>
            </w:pPr>
          </w:p>
        </w:tc>
        <w:tc>
          <w:tcPr>
            <w:tcW w:w="539" w:type="dxa"/>
            <w:tcBorders>
              <w:top w:val="single" w:sz="2" w:space="0" w:color="auto"/>
              <w:left w:val="dashed" w:sz="2" w:space="0" w:color="auto"/>
              <w:bottom w:val="single" w:sz="2" w:space="0" w:color="auto"/>
              <w:right w:val="single" w:sz="8" w:space="0" w:color="800000"/>
            </w:tcBorders>
            <w:vAlign w:val="center"/>
          </w:tcPr>
          <w:p w14:paraId="426BD834" w14:textId="77777777" w:rsidR="003771AA" w:rsidRPr="00025F23" w:rsidRDefault="003771AA" w:rsidP="003771AA">
            <w:pPr>
              <w:keepNext/>
              <w:spacing w:after="0"/>
              <w:jc w:val="center"/>
              <w:rPr>
                <w:sz w:val="8"/>
                <w:szCs w:val="8"/>
              </w:rPr>
            </w:pPr>
          </w:p>
        </w:tc>
        <w:tc>
          <w:tcPr>
            <w:tcW w:w="709" w:type="dxa"/>
            <w:tcBorders>
              <w:top w:val="single" w:sz="2" w:space="0" w:color="auto"/>
              <w:left w:val="single" w:sz="8" w:space="0" w:color="800000"/>
              <w:bottom w:val="single" w:sz="2" w:space="0" w:color="auto"/>
              <w:right w:val="dashed" w:sz="2" w:space="0" w:color="auto"/>
            </w:tcBorders>
            <w:vAlign w:val="center"/>
          </w:tcPr>
          <w:p w14:paraId="3E520E58" w14:textId="4FF5EF4E" w:rsidR="003771AA" w:rsidRPr="00025F23" w:rsidRDefault="003771AA" w:rsidP="003771AA">
            <w:pPr>
              <w:keepNext/>
              <w:spacing w:after="0"/>
              <w:jc w:val="center"/>
              <w:rPr>
                <w:spacing w:val="-3"/>
                <w:sz w:val="8"/>
                <w:szCs w:val="8"/>
              </w:rPr>
            </w:pPr>
            <w:r w:rsidRPr="00025F23">
              <w:rPr>
                <w:spacing w:val="-3"/>
                <w:sz w:val="8"/>
                <w:szCs w:val="8"/>
              </w:rPr>
              <w:t>Inflación y sobrecalentamiento</w:t>
            </w:r>
          </w:p>
        </w:tc>
        <w:tc>
          <w:tcPr>
            <w:tcW w:w="737" w:type="dxa"/>
            <w:tcBorders>
              <w:top w:val="single" w:sz="2" w:space="0" w:color="auto"/>
              <w:left w:val="dashed" w:sz="2" w:space="0" w:color="auto"/>
              <w:bottom w:val="single" w:sz="2" w:space="0" w:color="auto"/>
              <w:right w:val="dashed" w:sz="2" w:space="0" w:color="auto"/>
            </w:tcBorders>
            <w:vAlign w:val="center"/>
          </w:tcPr>
          <w:p w14:paraId="6CFD1C6F" w14:textId="19EAA960" w:rsidR="003771AA" w:rsidRPr="00025F23" w:rsidRDefault="003771AA" w:rsidP="003771AA">
            <w:pPr>
              <w:keepNext/>
              <w:spacing w:after="0"/>
              <w:jc w:val="center"/>
              <w:rPr>
                <w:sz w:val="8"/>
                <w:szCs w:val="8"/>
              </w:rPr>
            </w:pPr>
            <w:r w:rsidRPr="00025F23">
              <w:rPr>
                <w:sz w:val="8"/>
                <w:szCs w:val="8"/>
              </w:rPr>
              <w:t>Output gap sistemáticamente positivo, altas tasas de inflación y de crecimiento del consumo privado, reducciones drásticas de existencias, e incrementos drásticos de la penetración de importaciones.</w:t>
            </w:r>
          </w:p>
        </w:tc>
        <w:tc>
          <w:tcPr>
            <w:tcW w:w="539" w:type="dxa"/>
            <w:tcBorders>
              <w:top w:val="single" w:sz="2" w:space="0" w:color="auto"/>
              <w:left w:val="dashed" w:sz="2" w:space="0" w:color="auto"/>
              <w:bottom w:val="single" w:sz="2" w:space="0" w:color="auto"/>
              <w:right w:val="dashed" w:sz="2" w:space="0" w:color="auto"/>
            </w:tcBorders>
            <w:vAlign w:val="center"/>
          </w:tcPr>
          <w:p w14:paraId="4538BFB1" w14:textId="77777777" w:rsidR="003771AA" w:rsidRPr="00025F23" w:rsidRDefault="003771AA" w:rsidP="003771AA">
            <w:pPr>
              <w:keepNext/>
              <w:spacing w:after="0"/>
              <w:jc w:val="center"/>
              <w:rPr>
                <w:sz w:val="8"/>
                <w:szCs w:val="8"/>
              </w:rPr>
            </w:pPr>
          </w:p>
        </w:tc>
        <w:tc>
          <w:tcPr>
            <w:tcW w:w="454" w:type="dxa"/>
            <w:tcBorders>
              <w:top w:val="single" w:sz="2" w:space="0" w:color="auto"/>
              <w:left w:val="dashed" w:sz="2" w:space="0" w:color="auto"/>
              <w:bottom w:val="single" w:sz="2" w:space="0" w:color="auto"/>
              <w:right w:val="single" w:sz="8" w:space="0" w:color="800000"/>
            </w:tcBorders>
            <w:vAlign w:val="center"/>
          </w:tcPr>
          <w:p w14:paraId="2D1EBC66" w14:textId="77777777" w:rsidR="003771AA" w:rsidRPr="00025F23" w:rsidRDefault="003771AA" w:rsidP="003771AA">
            <w:pPr>
              <w:keepNext/>
              <w:spacing w:after="0"/>
              <w:jc w:val="center"/>
              <w:rPr>
                <w:sz w:val="8"/>
                <w:szCs w:val="8"/>
              </w:rPr>
            </w:pPr>
          </w:p>
        </w:tc>
        <w:tc>
          <w:tcPr>
            <w:tcW w:w="851" w:type="dxa"/>
            <w:gridSpan w:val="2"/>
            <w:tcBorders>
              <w:top w:val="single" w:sz="2" w:space="0" w:color="auto"/>
              <w:left w:val="single" w:sz="8" w:space="0" w:color="800000"/>
              <w:bottom w:val="single" w:sz="2" w:space="0" w:color="auto"/>
              <w:right w:val="single" w:sz="8" w:space="0" w:color="800000"/>
            </w:tcBorders>
            <w:vAlign w:val="center"/>
          </w:tcPr>
          <w:p w14:paraId="0F2E5965" w14:textId="77777777" w:rsidR="003771AA" w:rsidRPr="00025F23" w:rsidRDefault="003771AA" w:rsidP="003771AA">
            <w:pPr>
              <w:keepNext/>
              <w:spacing w:after="0"/>
              <w:jc w:val="center"/>
              <w:rPr>
                <w:sz w:val="8"/>
                <w:szCs w:val="8"/>
              </w:rPr>
            </w:pPr>
          </w:p>
        </w:tc>
      </w:tr>
      <w:tr w:rsidR="003771AA" w:rsidRPr="00025F23" w14:paraId="4B8AF78C" w14:textId="77777777" w:rsidTr="000275E3">
        <w:trPr>
          <w:trHeight w:val="283"/>
        </w:trPr>
        <w:tc>
          <w:tcPr>
            <w:tcW w:w="567" w:type="dxa"/>
            <w:tcBorders>
              <w:top w:val="single" w:sz="2" w:space="0" w:color="auto"/>
              <w:left w:val="single" w:sz="8" w:space="0" w:color="800000"/>
              <w:bottom w:val="single" w:sz="8" w:space="0" w:color="800000"/>
              <w:right w:val="single" w:sz="8" w:space="0" w:color="800000"/>
            </w:tcBorders>
            <w:vAlign w:val="center"/>
          </w:tcPr>
          <w:p w14:paraId="71DF0631" w14:textId="77777777" w:rsidR="003771AA" w:rsidRPr="00025F23" w:rsidRDefault="003771AA" w:rsidP="003771AA">
            <w:pPr>
              <w:spacing w:after="0"/>
              <w:jc w:val="left"/>
              <w:rPr>
                <w:i/>
                <w:iCs/>
                <w:sz w:val="11"/>
                <w:szCs w:val="11"/>
              </w:rPr>
            </w:pPr>
            <w:r w:rsidRPr="00025F23">
              <w:rPr>
                <w:i/>
                <w:iCs/>
                <w:sz w:val="11"/>
                <w:szCs w:val="11"/>
              </w:rPr>
              <w:t>Cuentas públicas</w:t>
            </w:r>
          </w:p>
        </w:tc>
        <w:tc>
          <w:tcPr>
            <w:tcW w:w="709" w:type="dxa"/>
            <w:tcBorders>
              <w:top w:val="single" w:sz="2" w:space="0" w:color="auto"/>
              <w:left w:val="single" w:sz="8" w:space="0" w:color="800000"/>
              <w:bottom w:val="single" w:sz="8" w:space="0" w:color="800000"/>
              <w:right w:val="dashed" w:sz="2" w:space="0" w:color="auto"/>
            </w:tcBorders>
            <w:vAlign w:val="center"/>
          </w:tcPr>
          <w:p w14:paraId="13FD705A" w14:textId="77777777" w:rsidR="003771AA" w:rsidRPr="00025F23" w:rsidRDefault="003771AA" w:rsidP="003771AA">
            <w:pPr>
              <w:spacing w:after="0"/>
              <w:jc w:val="center"/>
              <w:rPr>
                <w:sz w:val="8"/>
                <w:szCs w:val="8"/>
              </w:rPr>
            </w:pPr>
          </w:p>
        </w:tc>
        <w:tc>
          <w:tcPr>
            <w:tcW w:w="737" w:type="dxa"/>
            <w:tcBorders>
              <w:top w:val="single" w:sz="2" w:space="0" w:color="auto"/>
              <w:left w:val="dashed" w:sz="2" w:space="0" w:color="auto"/>
              <w:bottom w:val="single" w:sz="8" w:space="0" w:color="800000"/>
              <w:right w:val="dashed" w:sz="2" w:space="0" w:color="auto"/>
            </w:tcBorders>
            <w:vAlign w:val="center"/>
          </w:tcPr>
          <w:p w14:paraId="7CCBEB8F" w14:textId="77777777" w:rsidR="003771AA" w:rsidRPr="00025F23" w:rsidRDefault="003771AA" w:rsidP="003771AA">
            <w:pPr>
              <w:spacing w:after="0"/>
              <w:jc w:val="center"/>
              <w:rPr>
                <w:sz w:val="8"/>
                <w:szCs w:val="8"/>
              </w:rPr>
            </w:pPr>
          </w:p>
        </w:tc>
        <w:tc>
          <w:tcPr>
            <w:tcW w:w="539" w:type="dxa"/>
            <w:tcBorders>
              <w:top w:val="single" w:sz="2" w:space="0" w:color="auto"/>
              <w:left w:val="dashed" w:sz="2" w:space="0" w:color="auto"/>
              <w:bottom w:val="single" w:sz="8" w:space="0" w:color="800000"/>
              <w:right w:val="single" w:sz="8" w:space="0" w:color="800000"/>
            </w:tcBorders>
            <w:vAlign w:val="center"/>
          </w:tcPr>
          <w:p w14:paraId="3618B600" w14:textId="77777777" w:rsidR="003771AA" w:rsidRPr="00025F23" w:rsidRDefault="003771AA" w:rsidP="003771AA">
            <w:pPr>
              <w:spacing w:after="0"/>
              <w:jc w:val="center"/>
              <w:rPr>
                <w:sz w:val="8"/>
                <w:szCs w:val="8"/>
              </w:rPr>
            </w:pPr>
          </w:p>
        </w:tc>
        <w:tc>
          <w:tcPr>
            <w:tcW w:w="709" w:type="dxa"/>
            <w:tcBorders>
              <w:top w:val="single" w:sz="2" w:space="0" w:color="auto"/>
              <w:left w:val="single" w:sz="8" w:space="0" w:color="800000"/>
              <w:bottom w:val="single" w:sz="8" w:space="0" w:color="800000"/>
              <w:right w:val="dashed" w:sz="2" w:space="0" w:color="auto"/>
            </w:tcBorders>
            <w:vAlign w:val="center"/>
          </w:tcPr>
          <w:p w14:paraId="6D0AEAF3" w14:textId="4CB91EC3" w:rsidR="003771AA" w:rsidRPr="00025F23" w:rsidRDefault="003771AA" w:rsidP="003771AA">
            <w:pPr>
              <w:spacing w:after="0"/>
              <w:jc w:val="center"/>
              <w:rPr>
                <w:sz w:val="8"/>
                <w:szCs w:val="8"/>
              </w:rPr>
            </w:pPr>
            <w:proofErr w:type="gramStart"/>
            <w:r w:rsidRPr="00025F23">
              <w:rPr>
                <w:sz w:val="8"/>
                <w:szCs w:val="8"/>
              </w:rPr>
              <w:t>Déficit público y deuda pública</w:t>
            </w:r>
            <w:proofErr w:type="gramEnd"/>
          </w:p>
        </w:tc>
        <w:tc>
          <w:tcPr>
            <w:tcW w:w="737" w:type="dxa"/>
            <w:tcBorders>
              <w:top w:val="single" w:sz="2" w:space="0" w:color="auto"/>
              <w:left w:val="dashed" w:sz="2" w:space="0" w:color="auto"/>
              <w:bottom w:val="single" w:sz="8" w:space="0" w:color="800000"/>
              <w:right w:val="dashed" w:sz="2" w:space="0" w:color="auto"/>
            </w:tcBorders>
            <w:vAlign w:val="center"/>
          </w:tcPr>
          <w:p w14:paraId="56E45B05" w14:textId="00AC6740" w:rsidR="003771AA" w:rsidRPr="00025F23" w:rsidRDefault="003771AA" w:rsidP="003771AA">
            <w:pPr>
              <w:spacing w:after="0"/>
              <w:jc w:val="center"/>
              <w:rPr>
                <w:sz w:val="8"/>
                <w:szCs w:val="8"/>
              </w:rPr>
            </w:pPr>
            <w:r w:rsidRPr="00025F23">
              <w:rPr>
                <w:sz w:val="8"/>
                <w:szCs w:val="8"/>
              </w:rPr>
              <w:t>Altos y persistentes niveles de déficit y deuda pública, insostenibilidad del déficit.</w:t>
            </w:r>
          </w:p>
        </w:tc>
        <w:tc>
          <w:tcPr>
            <w:tcW w:w="539" w:type="dxa"/>
            <w:tcBorders>
              <w:top w:val="single" w:sz="2" w:space="0" w:color="auto"/>
              <w:left w:val="dashed" w:sz="2" w:space="0" w:color="auto"/>
              <w:bottom w:val="single" w:sz="8" w:space="0" w:color="800000"/>
              <w:right w:val="dashed" w:sz="2" w:space="0" w:color="auto"/>
            </w:tcBorders>
            <w:vAlign w:val="center"/>
          </w:tcPr>
          <w:p w14:paraId="1184BAA4" w14:textId="77777777" w:rsidR="003771AA" w:rsidRPr="00025F23" w:rsidRDefault="003771AA" w:rsidP="003771AA">
            <w:pPr>
              <w:spacing w:after="0"/>
              <w:jc w:val="center"/>
              <w:rPr>
                <w:sz w:val="8"/>
                <w:szCs w:val="8"/>
              </w:rPr>
            </w:pPr>
          </w:p>
        </w:tc>
        <w:tc>
          <w:tcPr>
            <w:tcW w:w="454" w:type="dxa"/>
            <w:tcBorders>
              <w:top w:val="single" w:sz="2" w:space="0" w:color="auto"/>
              <w:left w:val="dashed" w:sz="2" w:space="0" w:color="auto"/>
              <w:bottom w:val="single" w:sz="8" w:space="0" w:color="800000"/>
              <w:right w:val="single" w:sz="8" w:space="0" w:color="800000"/>
            </w:tcBorders>
            <w:vAlign w:val="center"/>
          </w:tcPr>
          <w:p w14:paraId="2BF8E7AB" w14:textId="77777777" w:rsidR="003771AA" w:rsidRPr="00025F23" w:rsidRDefault="003771AA" w:rsidP="003771AA">
            <w:pPr>
              <w:spacing w:after="0"/>
              <w:jc w:val="center"/>
              <w:rPr>
                <w:sz w:val="8"/>
                <w:szCs w:val="8"/>
              </w:rPr>
            </w:pPr>
          </w:p>
        </w:tc>
        <w:tc>
          <w:tcPr>
            <w:tcW w:w="851" w:type="dxa"/>
            <w:gridSpan w:val="2"/>
            <w:tcBorders>
              <w:top w:val="single" w:sz="2" w:space="0" w:color="auto"/>
              <w:left w:val="single" w:sz="8" w:space="0" w:color="800000"/>
              <w:bottom w:val="single" w:sz="8" w:space="0" w:color="800000"/>
              <w:right w:val="single" w:sz="8" w:space="0" w:color="800000"/>
            </w:tcBorders>
            <w:vAlign w:val="center"/>
          </w:tcPr>
          <w:p w14:paraId="06DC468B" w14:textId="55402A6F" w:rsidR="003771AA" w:rsidRPr="00025F23" w:rsidRDefault="00083A56" w:rsidP="003771AA">
            <w:pPr>
              <w:spacing w:after="0"/>
              <w:jc w:val="center"/>
              <w:rPr>
                <w:sz w:val="8"/>
                <w:szCs w:val="8"/>
              </w:rPr>
            </w:pPr>
            <w:r w:rsidRPr="00025F23">
              <w:rPr>
                <w:sz w:val="8"/>
                <w:szCs w:val="8"/>
              </w:rPr>
              <w:t>Estrategia de consolidación de la deuda pública para asegurar márgenes fiscales.</w:t>
            </w:r>
          </w:p>
        </w:tc>
      </w:tr>
    </w:tbl>
    <w:p w14:paraId="1F2C6824" w14:textId="103386BF" w:rsidR="007868B4" w:rsidRPr="00025F23" w:rsidRDefault="007868B4" w:rsidP="00A11027">
      <w:pPr>
        <w:pStyle w:val="Nivel1SM"/>
        <w:keepNext/>
        <w:spacing w:after="0"/>
      </w:pPr>
      <w:r w:rsidRPr="00025F23">
        <w:t>Un análisis completo de la situación económica de un país incluirá:</w:t>
      </w:r>
    </w:p>
    <w:p w14:paraId="76A584E1" w14:textId="5AE53E22" w:rsidR="007868B4" w:rsidRPr="00025F23" w:rsidRDefault="007868B4" w:rsidP="00A11027">
      <w:pPr>
        <w:pStyle w:val="Nivel2SM"/>
      </w:pPr>
      <w:r w:rsidRPr="00025F23">
        <w:t>Una idea de conjunto sobre el estado actual de la economía, de sus principales fortalezas y debilidades;</w:t>
      </w:r>
    </w:p>
    <w:p w14:paraId="278D9809" w14:textId="6FF880EC" w:rsidR="007868B4" w:rsidRPr="00025F23" w:rsidRDefault="007868B4" w:rsidP="00A11027">
      <w:pPr>
        <w:pStyle w:val="Nivel2SM"/>
      </w:pPr>
      <w:r w:rsidRPr="00025F23">
        <w:t>Una identificación de los factores que han conducido a la economía a esa situación. Para ello, es clave dominar las interrelaciones teóricas macroeconómica</w:t>
      </w:r>
      <w:r w:rsidR="001F2D3A" w:rsidRPr="00025F23">
        <w:t>s</w:t>
      </w:r>
      <w:r w:rsidRPr="00025F23">
        <w:t>, armonizando las informaciones parciales que los diversos sectores y macromagnitudes ofrecen. Su conocimiento, con todas las reservas teóricas que se consideren necesarias, es un instrumento imprescindible para llevar a cabo un estudio consistente de la coyuntura. No obstante, estas relaciones ni son siempre evidentes ni siempre aparecen en las distintas economías. Además, los agregados de un país son dinámicos, con cambios simultáneos que solapan esas interrelaciones en todo momento. Nuestra labor consiste en descubrir cuáles son las que funcionan en la economía concreta que se analice, y qué papel juegan en el conjunto de la economía. Esta es la esencia de nuestro análisis: describir qué agregados y condiciones son claves para el crecimiento de un país específico;</w:t>
      </w:r>
    </w:p>
    <w:p w14:paraId="6EBF0014" w14:textId="27226898" w:rsidR="007868B4" w:rsidRPr="00025F23" w:rsidRDefault="007868B4" w:rsidP="00A11027">
      <w:pPr>
        <w:pStyle w:val="Nivel2SM"/>
      </w:pPr>
      <w:r w:rsidRPr="00025F23">
        <w:t>Un esbozo de la posible evolución futura y las políticas adecuadas para resolver los principales desequilibrios existentes.</w:t>
      </w:r>
    </w:p>
    <w:p w14:paraId="51B86154" w14:textId="4248BCE3" w:rsidR="00791A89" w:rsidRPr="00025F23" w:rsidRDefault="007868B4" w:rsidP="00A11027">
      <w:pPr>
        <w:pStyle w:val="Nivel1SM"/>
      </w:pPr>
      <w:r w:rsidRPr="00025F23">
        <w:t>A continuación, analizaremos de forma más específica cada uno de estos elementos. Veremos los agregados y sus principales determinantes, así como las políticas económicas que inciden en la coyuntura económica de un país y aquellas que siempre deben considerarse garante de esa actividad económica a largo plazo.</w:t>
      </w:r>
    </w:p>
    <w:p w14:paraId="3031346D" w14:textId="4EAD7D07" w:rsidR="00B77C0F" w:rsidRPr="00025F23" w:rsidRDefault="001044B3" w:rsidP="006962D7">
      <w:pPr>
        <w:pStyle w:val="Ttulo1"/>
      </w:pPr>
      <w:bookmarkStart w:id="0" w:name="_Toc88565966"/>
      <w:bookmarkStart w:id="1" w:name="_Toc88566110"/>
      <w:bookmarkStart w:id="2" w:name="_Toc173446227"/>
      <w:bookmarkStart w:id="3" w:name="_Toc189085768"/>
      <w:r w:rsidRPr="00025F23">
        <w:t>PERFIL CÍCLICO DE LA ECONOMÍA</w:t>
      </w:r>
      <w:bookmarkEnd w:id="0"/>
      <w:bookmarkEnd w:id="1"/>
      <w:bookmarkEnd w:id="2"/>
      <w:bookmarkEnd w:id="3"/>
    </w:p>
    <w:p w14:paraId="01A09FEB" w14:textId="7BC1A775" w:rsidR="00674899" w:rsidRPr="00025F23" w:rsidRDefault="000C2D6C" w:rsidP="00B272BE">
      <w:pPr>
        <w:pStyle w:val="Notaalopositor"/>
        <w:spacing w:after="0"/>
        <w:rPr>
          <w:spacing w:val="-4"/>
          <w:sz w:val="16"/>
          <w:szCs w:val="16"/>
        </w:rPr>
      </w:pPr>
      <w:r w:rsidRPr="00025F23">
        <w:rPr>
          <w:spacing w:val="-4"/>
          <w:sz w:val="16"/>
          <w:szCs w:val="16"/>
        </w:rPr>
        <w:t>Est</w:t>
      </w:r>
      <w:r w:rsidR="008201C2" w:rsidRPr="00025F23">
        <w:rPr>
          <w:spacing w:val="-4"/>
          <w:sz w:val="16"/>
          <w:szCs w:val="16"/>
        </w:rPr>
        <w:t>a</w:t>
      </w:r>
      <w:r w:rsidRPr="00025F23">
        <w:rPr>
          <w:spacing w:val="-4"/>
          <w:sz w:val="16"/>
          <w:szCs w:val="16"/>
        </w:rPr>
        <w:t xml:space="preserve"> pregunta es la más larga y siempre aparece, por lo que es importante llevarla bien preparada y que no consuma mucho más tiempo del necesario.</w:t>
      </w:r>
    </w:p>
    <w:p w14:paraId="4860558B" w14:textId="0E219667" w:rsidR="000C2D6C" w:rsidRPr="00025F23" w:rsidRDefault="00716CB2" w:rsidP="00674899">
      <w:pPr>
        <w:pStyle w:val="Notaalopositor"/>
        <w:jc w:val="center"/>
        <w:rPr>
          <w:sz w:val="16"/>
          <w:szCs w:val="18"/>
        </w:rPr>
      </w:pPr>
      <w:r w:rsidRPr="00025F23">
        <w:rPr>
          <w:sz w:val="16"/>
          <w:szCs w:val="18"/>
        </w:rPr>
        <w:t xml:space="preserve">– </w:t>
      </w:r>
      <w:r w:rsidR="00674899" w:rsidRPr="00025F23">
        <w:rPr>
          <w:sz w:val="16"/>
          <w:szCs w:val="18"/>
        </w:rPr>
        <w:t>Hay preparadores que recomiendan hacerla la primera pregunta y</w:t>
      </w:r>
      <w:r w:rsidRPr="00025F23">
        <w:rPr>
          <w:sz w:val="16"/>
          <w:szCs w:val="18"/>
        </w:rPr>
        <w:t xml:space="preserve"> </w:t>
      </w:r>
      <w:r w:rsidR="00674899" w:rsidRPr="00025F23">
        <w:rPr>
          <w:sz w:val="16"/>
          <w:szCs w:val="18"/>
        </w:rPr>
        <w:t>preparadores que recomiendan dejarla para el final (quizás antes de la</w:t>
      </w:r>
      <w:r w:rsidRPr="00025F23">
        <w:rPr>
          <w:sz w:val="16"/>
          <w:szCs w:val="18"/>
        </w:rPr>
        <w:t xml:space="preserve"> </w:t>
      </w:r>
      <w:r w:rsidR="00674899" w:rsidRPr="00025F23">
        <w:rPr>
          <w:sz w:val="16"/>
          <w:szCs w:val="18"/>
        </w:rPr>
        <w:t xml:space="preserve">de </w:t>
      </w:r>
      <w:r w:rsidR="00674899" w:rsidRPr="00025F23">
        <w:rPr>
          <w:i/>
          <w:iCs/>
          <w:sz w:val="16"/>
          <w:szCs w:val="18"/>
        </w:rPr>
        <w:t>“Recomendaciones de política económica”</w:t>
      </w:r>
      <w:r w:rsidR="00674899" w:rsidRPr="00025F23">
        <w:rPr>
          <w:sz w:val="16"/>
          <w:szCs w:val="18"/>
        </w:rPr>
        <w:t xml:space="preserve"> en caso de que la hubiera)</w:t>
      </w:r>
      <w:r w:rsidR="00B272BE">
        <w:rPr>
          <w:sz w:val="16"/>
          <w:szCs w:val="18"/>
        </w:rPr>
        <w:t>.</w:t>
      </w:r>
    </w:p>
    <w:p w14:paraId="5F41FC28" w14:textId="4E41D826" w:rsidR="00E536BC" w:rsidRPr="00025F23" w:rsidRDefault="00E536BC" w:rsidP="00E536BC">
      <w:pPr>
        <w:pStyle w:val="Cajadeanotaciones"/>
        <w:jc w:val="center"/>
        <w:rPr>
          <w:sz w:val="18"/>
          <w:szCs w:val="18"/>
        </w:rPr>
      </w:pPr>
      <w:r w:rsidRPr="00025F23">
        <w:rPr>
          <w:sz w:val="18"/>
          <w:szCs w:val="18"/>
        </w:rPr>
        <w:t>¿?</w:t>
      </w:r>
    </w:p>
    <w:p w14:paraId="5F51F3D8" w14:textId="2AD1A59D" w:rsidR="006D1B9D" w:rsidRPr="00B272BE" w:rsidRDefault="006D1B9D" w:rsidP="006962D7">
      <w:pPr>
        <w:pStyle w:val="Ttulo2"/>
        <w:rPr>
          <w:spacing w:val="-6"/>
        </w:rPr>
      </w:pPr>
      <w:bookmarkStart w:id="4" w:name="_Toc173446228"/>
      <w:bookmarkStart w:id="5" w:name="_Toc88565967"/>
      <w:bookmarkStart w:id="6" w:name="_Toc88566111"/>
      <w:bookmarkStart w:id="7" w:name="_Toc189085769"/>
      <w:r w:rsidRPr="00B272BE">
        <w:rPr>
          <w:spacing w:val="-6"/>
        </w:rPr>
        <w:t>Frase ejecutiva</w:t>
      </w:r>
      <w:r w:rsidR="00B272BE" w:rsidRPr="00B272BE">
        <w:rPr>
          <w:spacing w:val="-6"/>
        </w:rPr>
        <w:t xml:space="preserve"> que resuma el estado actual de la economía</w:t>
      </w:r>
      <w:bookmarkEnd w:id="4"/>
      <w:bookmarkEnd w:id="7"/>
    </w:p>
    <w:p w14:paraId="66B836C1" w14:textId="0D626C73" w:rsidR="006D1B9D" w:rsidRDefault="006D1B9D" w:rsidP="006D1B9D">
      <w:pPr>
        <w:pStyle w:val="Nivel1SM"/>
        <w:keepNext/>
        <w:spacing w:after="0"/>
      </w:pPr>
      <w:r>
        <w:t xml:space="preserve">En sus informes, el FMI (p.ej. en el </w:t>
      </w:r>
      <w:r>
        <w:rPr>
          <w:i/>
        </w:rPr>
        <w:t xml:space="preserve">staff </w:t>
      </w:r>
      <w:proofErr w:type="spellStart"/>
      <w:r>
        <w:rPr>
          <w:i/>
        </w:rPr>
        <w:t>report</w:t>
      </w:r>
      <w:proofErr w:type="spellEnd"/>
      <w:r w:rsidRPr="006D1B9D">
        <w:rPr>
          <w:i/>
        </w:rPr>
        <w:t xml:space="preserve"> de la consulta al artículo IV</w:t>
      </w:r>
      <w:r>
        <w:t xml:space="preserve">) y el </w:t>
      </w:r>
      <w:proofErr w:type="spellStart"/>
      <w:r>
        <w:t>BdE</w:t>
      </w:r>
      <w:proofErr w:type="spellEnd"/>
      <w:r>
        <w:t xml:space="preserve"> (p.ej. en su </w:t>
      </w:r>
      <w:r w:rsidRPr="006D1B9D">
        <w:rPr>
          <w:i/>
        </w:rPr>
        <w:t>Informe Anual</w:t>
      </w:r>
      <w:r>
        <w:t>) comienzan con una frase que resuma el estado actual de la economía.</w:t>
      </w:r>
    </w:p>
    <w:p w14:paraId="1DF50DD7" w14:textId="7E72D727" w:rsidR="006D1B9D" w:rsidRDefault="006D1B9D" w:rsidP="006D1B9D">
      <w:pPr>
        <w:pStyle w:val="Nivel2SM"/>
      </w:pPr>
      <w:r>
        <w:t>Una manera interesante de comenzar el ejercicio de dictamen es con una frase que resuma la situación de la economía en el presente</w:t>
      </w:r>
      <w:r w:rsidR="00A851BA">
        <w:t xml:space="preserve"> (en caso de haber proyecciones en futuros ejercicios se puede hacer una mención, pero limitarnos a la situación actual de la economía)</w:t>
      </w:r>
      <w:r>
        <w:t>.</w:t>
      </w:r>
    </w:p>
    <w:p w14:paraId="320B402E" w14:textId="4FD58687" w:rsidR="006D1B9D" w:rsidRDefault="006D1B9D" w:rsidP="006D1B9D">
      <w:pPr>
        <w:pStyle w:val="Nivel2SM"/>
      </w:pPr>
      <w:r>
        <w:t xml:space="preserve">Para ello, lo mejor sería dejar un hueco en blanco antes de comenzar con la primera pregunta del examen y en el último minuto redactar esta frase (cuando ya conozcamos bien </w:t>
      </w:r>
      <w:r w:rsidR="00A851BA">
        <w:t>cuál</w:t>
      </w:r>
      <w:r>
        <w:t xml:space="preserve"> es la situación de la economía).</w:t>
      </w:r>
    </w:p>
    <w:p w14:paraId="10CC36AE" w14:textId="6C584FC2" w:rsidR="006D1B9D" w:rsidRPr="006D1B9D" w:rsidRDefault="006D1B9D" w:rsidP="006D1B9D">
      <w:pPr>
        <w:pStyle w:val="Nivel2SM"/>
      </w:pPr>
      <w:r>
        <w:t xml:space="preserve">A modo de ejemplo, el </w:t>
      </w:r>
      <w:r>
        <w:rPr>
          <w:i/>
          <w:iCs/>
        </w:rPr>
        <w:t xml:space="preserve">staff </w:t>
      </w:r>
      <w:proofErr w:type="spellStart"/>
      <w:r>
        <w:rPr>
          <w:i/>
          <w:iCs/>
        </w:rPr>
        <w:t>report</w:t>
      </w:r>
      <w:proofErr w:type="spellEnd"/>
      <w:r w:rsidRPr="006D1B9D">
        <w:t xml:space="preserve"> de la consulta al artículo IV de España de 2022</w:t>
      </w:r>
      <w:r>
        <w:t xml:space="preserve"> (publicado en febrero de 2023) reza como sigue:</w:t>
      </w:r>
    </w:p>
    <w:p w14:paraId="51B89663" w14:textId="048A9346" w:rsidR="006D1B9D" w:rsidRPr="006D1B9D" w:rsidRDefault="006D1B9D" w:rsidP="006D1B9D">
      <w:pPr>
        <w:pStyle w:val="Desarrollocoyuntura"/>
      </w:pPr>
      <w:bookmarkStart w:id="8" w:name="_Toc173446229"/>
      <w:r>
        <w:t xml:space="preserve">“Dos años después de la pandemia, la economía española se enfrenta a nuevos obstáculos debido a la invasión de Ucrania por parte de Rusia. La actividad económica ha sido resistente hasta ahora, apoyada por un fuerte rebote del turismo y de otros servicios, así como por medidas de apoyo oportunas. Sin embargo, los precios elevados de la energía y los alimentos a nivel global, la menor demanda de los socios comerciales, la disminución de la confianza de los consumidores y empresas, y el aumento de los tipos de interés han ralentizado la recuperación de la producción. </w:t>
      </w:r>
      <w:r w:rsidRPr="006D1B9D">
        <w:t>Se proyecta que el crecimiento se moderará hasta el 1,1</w:t>
      </w:r>
      <w:r>
        <w:t> %</w:t>
      </w:r>
      <w:r w:rsidRPr="006D1B9D">
        <w:t>en 2023. Los riesgos para las perspectivas incluyen condiciones financieras más ajustadas de lo esperado, una demanda global más débil y mayores aumentos en los precios de la energía europeos.</w:t>
      </w:r>
      <w:r>
        <w:t>”</w:t>
      </w:r>
      <w:bookmarkEnd w:id="8"/>
    </w:p>
    <w:p w14:paraId="7DD4CA46" w14:textId="14AD819C" w:rsidR="001044B3" w:rsidRPr="00025F23" w:rsidRDefault="001044B3" w:rsidP="006962D7">
      <w:pPr>
        <w:pStyle w:val="Ttulo2"/>
      </w:pPr>
      <w:bookmarkStart w:id="9" w:name="_Toc173446230"/>
      <w:bookmarkStart w:id="10" w:name="_Toc189085770"/>
      <w:r w:rsidRPr="00025F23">
        <w:t>Perfil cíclico</w:t>
      </w:r>
      <w:bookmarkEnd w:id="5"/>
      <w:bookmarkEnd w:id="6"/>
      <w:bookmarkEnd w:id="9"/>
      <w:bookmarkEnd w:id="10"/>
    </w:p>
    <w:p w14:paraId="7D41F757" w14:textId="5BC371E4" w:rsidR="00811301" w:rsidRPr="00025F23" w:rsidRDefault="00811301" w:rsidP="008877D5">
      <w:pPr>
        <w:pStyle w:val="Desarrollocoyuntura"/>
        <w:keepLines/>
        <w:rPr>
          <w:spacing w:val="-1"/>
        </w:rPr>
      </w:pPr>
      <w:bookmarkStart w:id="11" w:name="_Toc173446231"/>
      <w:r w:rsidRPr="00025F23">
        <w:rPr>
          <w:spacing w:val="-1"/>
        </w:rPr>
        <w:t>“Nos encontramos ante un cuadro macroeconómico que podría estar recogiendo</w:t>
      </w:r>
      <w:r w:rsidRPr="00025F23">
        <w:rPr>
          <w:b/>
          <w:bCs/>
          <w:spacing w:val="-1"/>
        </w:rPr>
        <w:t xml:space="preserve"> más de un ciclo económico</w:t>
      </w:r>
      <w:r w:rsidRPr="00025F23">
        <w:rPr>
          <w:spacing w:val="-1"/>
        </w:rPr>
        <w:t>, en la medida en que refleja el considerable impacto tanto de la anterior crisis financiera como la de la actual crisis sanitaria.”</w:t>
      </w:r>
      <w:bookmarkEnd w:id="11"/>
    </w:p>
    <w:p w14:paraId="05DCBC5C" w14:textId="0A947B11" w:rsidR="008877D5" w:rsidRPr="00025F23" w:rsidRDefault="008877D5" w:rsidP="008877D5">
      <w:pPr>
        <w:pStyle w:val="Desarrollocoyuntura"/>
        <w:keepLines/>
      </w:pPr>
      <w:bookmarkStart w:id="12" w:name="_Toc173446232"/>
      <w:r w:rsidRPr="00025F23">
        <w:t xml:space="preserve">“La economía de este país estaba operando a plena operatividad en el año 2019. El shock ocasionado por la crisis de la COVID-19 ha supuesto un freno al crecimiento de esta economía. De este modo, </w:t>
      </w:r>
      <w:r w:rsidR="00BB2680" w:rsidRPr="00025F23">
        <w:t xml:space="preserve">podemos </w:t>
      </w:r>
      <w:r w:rsidRPr="00025F23">
        <w:t>distinguir en nuestro análisis dos etapas:</w:t>
      </w:r>
      <w:bookmarkEnd w:id="12"/>
    </w:p>
    <w:p w14:paraId="576E8DAE" w14:textId="68E1F26C" w:rsidR="008877D5" w:rsidRPr="00025F23" w:rsidRDefault="008877D5" w:rsidP="008877D5">
      <w:pPr>
        <w:pStyle w:val="Desarrollocoyuntura"/>
        <w:keepLines/>
      </w:pPr>
      <w:bookmarkStart w:id="13" w:name="_Toc173446233"/>
      <w:r w:rsidRPr="00025F23">
        <w:t>- En primer lugar, una etapa prepandémica, que a su vez puede ser dividida en x fases haciendo uso de la tasa de variación del PIB real y complementando el análisis con el output gap:</w:t>
      </w:r>
      <w:bookmarkEnd w:id="13"/>
    </w:p>
    <w:p w14:paraId="3F1DF818" w14:textId="1AED0C66" w:rsidR="008877D5" w:rsidRPr="00025F23" w:rsidRDefault="008877D5" w:rsidP="008877D5">
      <w:pPr>
        <w:pStyle w:val="Desarrollocoyuntura"/>
        <w:keepLines/>
      </w:pPr>
      <w:r w:rsidRPr="00025F23">
        <w:t xml:space="preserve"> </w:t>
      </w:r>
      <w:r w:rsidR="00BB2680" w:rsidRPr="00025F23">
        <w:t xml:space="preserve">   </w:t>
      </w:r>
      <w:r w:rsidRPr="00025F23">
        <w:t xml:space="preserve"> </w:t>
      </w:r>
      <w:bookmarkStart w:id="14" w:name="_Toc173446234"/>
      <w:r w:rsidRPr="00025F23">
        <w:t>· Una primera fase</w:t>
      </w:r>
      <w:r w:rsidR="00BB2680" w:rsidRPr="00025F23">
        <w:t xml:space="preserve"> </w:t>
      </w:r>
      <w:r w:rsidRPr="00025F23">
        <w:t>de expansión económica,</w:t>
      </w:r>
      <w:r w:rsidR="00BB2680" w:rsidRPr="00025F23">
        <w:t xml:space="preserve"> comprendida entre 20xx y 20xx,</w:t>
      </w:r>
      <w:r w:rsidRPr="00025F23">
        <w:t xml:space="preserve"> en la que la economía crece de forma sostenida</w:t>
      </w:r>
      <w:r w:rsidR="00F976D1" w:rsidRPr="00025F23">
        <w:t xml:space="preserve"> y muestra un output gap positivo, por lo produce por encima de su nivel potencial.</w:t>
      </w:r>
      <w:bookmarkEnd w:id="14"/>
    </w:p>
    <w:p w14:paraId="71F3E4F1" w14:textId="009623EE" w:rsidR="008877D5" w:rsidRPr="00025F23" w:rsidRDefault="008877D5" w:rsidP="008877D5">
      <w:pPr>
        <w:pStyle w:val="Desarrollocoyuntura"/>
        <w:keepLines/>
      </w:pPr>
      <w:r w:rsidRPr="00025F23">
        <w:t xml:space="preserve">  </w:t>
      </w:r>
      <w:r w:rsidR="00BB2680" w:rsidRPr="00025F23">
        <w:t xml:space="preserve">   </w:t>
      </w:r>
      <w:bookmarkStart w:id="15" w:name="_Toc173446235"/>
      <w:r w:rsidRPr="00025F23">
        <w:t>· Una segunda fase</w:t>
      </w:r>
      <w:r w:rsidR="00BB2680" w:rsidRPr="00025F23">
        <w:t xml:space="preserve"> </w:t>
      </w:r>
      <w:r w:rsidRPr="00025F23">
        <w:t>de desaceleración económica,</w:t>
      </w:r>
      <w:r w:rsidR="00BB2680" w:rsidRPr="00025F23">
        <w:t xml:space="preserve"> , entre los años 20xx y 20xx,</w:t>
      </w:r>
      <w:r w:rsidRPr="00025F23">
        <w:t xml:space="preserve"> en</w:t>
      </w:r>
      <w:r w:rsidR="00F976D1" w:rsidRPr="00025F23">
        <w:t xml:space="preserve"> la que la economía continúa creciendo, pero de forma más moderada y en la que su output gap se cierra.</w:t>
      </w:r>
      <w:bookmarkEnd w:id="15"/>
    </w:p>
    <w:p w14:paraId="2A7D419B" w14:textId="5E60D013" w:rsidR="008877D5" w:rsidRPr="00025F23" w:rsidRDefault="008877D5" w:rsidP="008877D5">
      <w:pPr>
        <w:pStyle w:val="Desarrollocoyuntura"/>
        <w:keepLines/>
      </w:pPr>
      <w:bookmarkStart w:id="16" w:name="_Toc173446236"/>
      <w:r w:rsidRPr="00025F23">
        <w:t xml:space="preserve">- </w:t>
      </w:r>
      <w:r w:rsidR="00F976D1" w:rsidRPr="00025F23">
        <w:t>En segundo lugar, una etapa de pandemia, iniciada en 2020, que supone una ruptura del ciclo económico.</w:t>
      </w:r>
      <w:r w:rsidRPr="00025F23">
        <w:t>”</w:t>
      </w:r>
      <w:bookmarkEnd w:id="16"/>
    </w:p>
    <w:p w14:paraId="431B53E6" w14:textId="46778CB3" w:rsidR="008F055C" w:rsidRPr="00025F23" w:rsidRDefault="008F055C" w:rsidP="008877D5">
      <w:pPr>
        <w:pStyle w:val="Desarrollocoyuntura"/>
        <w:keepLines/>
      </w:pPr>
      <w:bookmarkStart w:id="17" w:name="_Toc173446237"/>
      <w:r w:rsidRPr="00025F23">
        <w:t xml:space="preserve">“El </w:t>
      </w:r>
      <w:r w:rsidRPr="00025F23">
        <w:rPr>
          <w:b/>
          <w:bCs/>
        </w:rPr>
        <w:t>output gap</w:t>
      </w:r>
      <w:r w:rsidRPr="00025F23">
        <w:t xml:space="preserve"> es un indicador complementario idóneo en esta economía. Comprobamos que, si bien apenas varía entre 2012 y 2013, la variación del P</w:t>
      </w:r>
      <w:r w:rsidR="00106EF9" w:rsidRPr="00025F23">
        <w:t>I</w:t>
      </w:r>
      <w:r w:rsidRPr="00025F23">
        <w:t>B aumenta en 3,5</w:t>
      </w:r>
      <w:r w:rsidR="00F33857" w:rsidRPr="00025F23">
        <w:t> </w:t>
      </w:r>
      <w:r w:rsidRPr="00025F23">
        <w:t xml:space="preserve">puntos porcentuales entre esos ejercicios: el nivel de crecimiento potencial ha aumentado por tanto sensiblemente entre esos ejercicios. Éste es un </w:t>
      </w:r>
      <w:r w:rsidRPr="00025F23">
        <w:rPr>
          <w:b/>
          <w:bCs/>
        </w:rPr>
        <w:t xml:space="preserve">punto de </w:t>
      </w:r>
      <w:r w:rsidR="00D30FB6" w:rsidRPr="00025F23">
        <w:rPr>
          <w:b/>
          <w:bCs/>
        </w:rPr>
        <w:t>inflexión</w:t>
      </w:r>
      <w:r w:rsidRPr="00025F23">
        <w:t xml:space="preserve"> muy relevante en la serie, como se verá con más detalle a lo largo del estudio.”</w:t>
      </w:r>
      <w:bookmarkEnd w:id="17"/>
    </w:p>
    <w:p w14:paraId="23B25F43" w14:textId="11AA50DC" w:rsidR="007A108F" w:rsidRPr="00025F23" w:rsidRDefault="007A108F" w:rsidP="00BF3FDC">
      <w:pPr>
        <w:pStyle w:val="Nivel1SM"/>
        <w:keepNext/>
        <w:spacing w:after="0"/>
      </w:pPr>
      <w:r w:rsidRPr="00025F23">
        <w:t xml:space="preserve">En este apartado, nos centraremos en </w:t>
      </w:r>
      <w:r w:rsidR="00106EF9" w:rsidRPr="00025F23">
        <w:rPr>
          <w:b/>
          <w:bCs/>
        </w:rPr>
        <w:t>3 </w:t>
      </w:r>
      <w:r w:rsidR="00674899" w:rsidRPr="00025F23">
        <w:rPr>
          <w:b/>
          <w:bCs/>
        </w:rPr>
        <w:t>objetivo</w:t>
      </w:r>
      <w:r w:rsidRPr="00025F23">
        <w:rPr>
          <w:b/>
          <w:bCs/>
        </w:rPr>
        <w:t>s</w:t>
      </w:r>
      <w:r w:rsidRPr="00025F23">
        <w:t>:</w:t>
      </w:r>
    </w:p>
    <w:p w14:paraId="114B4B6B" w14:textId="77777777" w:rsidR="00B272BE" w:rsidRDefault="007A108F">
      <w:pPr>
        <w:pStyle w:val="Prrafodelista"/>
        <w:numPr>
          <w:ilvl w:val="0"/>
          <w:numId w:val="31"/>
        </w:numPr>
        <w:ind w:left="284" w:hanging="57"/>
      </w:pPr>
      <w:r w:rsidRPr="00025F23">
        <w:t xml:space="preserve">Comentario muy general del crecimiento del PIB real, </w:t>
      </w:r>
      <w:r w:rsidRPr="00B272BE">
        <w:rPr>
          <w:i/>
        </w:rPr>
        <w:t>dividiendo la serie en las etapas del ciclo</w:t>
      </w:r>
      <w:r w:rsidRPr="00025F23">
        <w:t xml:space="preserve"> que aparezcan </w:t>
      </w:r>
      <w:r w:rsidR="00017D4E" w:rsidRPr="00025F23">
        <w:t>(recuperación, expansión, desaceleración, recesión…)</w:t>
      </w:r>
      <w:r w:rsidR="00674899" w:rsidRPr="00025F23">
        <w:t>.</w:t>
      </w:r>
    </w:p>
    <w:p w14:paraId="59559D6F" w14:textId="77777777" w:rsidR="00B272BE" w:rsidRDefault="007A108F">
      <w:pPr>
        <w:pStyle w:val="Prrafodelista"/>
        <w:numPr>
          <w:ilvl w:val="0"/>
          <w:numId w:val="31"/>
        </w:numPr>
        <w:ind w:left="284" w:hanging="57"/>
      </w:pPr>
      <w:r w:rsidRPr="00B272BE">
        <w:rPr>
          <w:i/>
        </w:rPr>
        <w:t>Posición cíclica</w:t>
      </w:r>
      <w:r w:rsidRPr="00025F23">
        <w:t xml:space="preserve"> (hablar del output gap si procede –lo piden, lo dan o es muy evidente–).</w:t>
      </w:r>
    </w:p>
    <w:p w14:paraId="68D868F1" w14:textId="3368DF91" w:rsidR="007A108F" w:rsidRPr="00025F23" w:rsidRDefault="007A108F">
      <w:pPr>
        <w:pStyle w:val="Prrafodelista"/>
        <w:numPr>
          <w:ilvl w:val="0"/>
          <w:numId w:val="31"/>
        </w:numPr>
        <w:ind w:left="284" w:hanging="57"/>
      </w:pPr>
      <w:r w:rsidRPr="00025F23">
        <w:t xml:space="preserve">Anticipar </w:t>
      </w:r>
      <w:r w:rsidRPr="00B272BE">
        <w:rPr>
          <w:i/>
        </w:rPr>
        <w:t>diagnóstico de la economía</w:t>
      </w:r>
      <w:r w:rsidRPr="00025F23">
        <w:t>, con desequilibrios y fortalezas (dejar huego al final de esta pregunta y hacerlo al final del examen si diera tiempo).</w:t>
      </w:r>
    </w:p>
    <w:p w14:paraId="4BA8966C" w14:textId="64895152" w:rsidR="00CB2D91" w:rsidRPr="00025F23" w:rsidRDefault="009175DF" w:rsidP="00AD1AFB">
      <w:pPr>
        <w:pStyle w:val="Ttulo3"/>
      </w:pPr>
      <w:bookmarkStart w:id="18" w:name="_Toc173446239"/>
      <w:bookmarkStart w:id="19" w:name="_Toc189085771"/>
      <w:r w:rsidRPr="00025F23">
        <w:t>Medidores</w:t>
      </w:r>
      <w:bookmarkEnd w:id="18"/>
      <w:bookmarkEnd w:id="19"/>
    </w:p>
    <w:p w14:paraId="09220955" w14:textId="4A5CAF1F" w:rsidR="00E264F3" w:rsidRPr="00BF3FDC" w:rsidRDefault="00E264F3" w:rsidP="00BF3FDC">
      <w:pPr>
        <w:pStyle w:val="Nivel1SM"/>
        <w:rPr>
          <w:spacing w:val="-2"/>
        </w:rPr>
      </w:pPr>
      <w:r w:rsidRPr="00BF3FDC">
        <w:rPr>
          <w:spacing w:val="-2"/>
        </w:rPr>
        <w:t>Para dividir la serie de datos en fases económicas, se suele utilizar la tasa de variación del PIB real o el output gap (es recomendable utilizar aquella variable que permita dividir la serie de manera más clara en fases)</w:t>
      </w:r>
      <w:r w:rsidR="009D3671" w:rsidRPr="00BF3FDC">
        <w:rPr>
          <w:rStyle w:val="Refdenotaalpie"/>
          <w:spacing w:val="-2"/>
        </w:rPr>
        <w:footnoteReference w:id="5"/>
      </w:r>
      <w:r w:rsidRPr="00BF3FDC">
        <w:rPr>
          <w:spacing w:val="-2"/>
        </w:rPr>
        <w:t>.</w:t>
      </w:r>
    </w:p>
    <w:p w14:paraId="1C9C6C0F" w14:textId="7630F2A3" w:rsidR="00017D4E" w:rsidRPr="00025F23" w:rsidRDefault="00017D4E" w:rsidP="00017D4E">
      <w:pPr>
        <w:pStyle w:val="Notaalopositor"/>
        <w:jc w:val="center"/>
      </w:pPr>
      <w:r w:rsidRPr="00025F23">
        <w:lastRenderedPageBreak/>
        <w:t>¡A veces pueden parecer contradictorios!</w:t>
      </w:r>
    </w:p>
    <w:p w14:paraId="657CADC4" w14:textId="6D0ECA2D" w:rsidR="00CB2D91" w:rsidRPr="00025F23" w:rsidRDefault="00A07020" w:rsidP="00CB2D91">
      <w:pPr>
        <w:pStyle w:val="Ttulo6"/>
        <w:rPr>
          <w:lang w:val="en-US"/>
        </w:rPr>
      </w:pPr>
      <w:bookmarkStart w:id="20" w:name="_Toc88566113"/>
      <w:bookmarkStart w:id="21" w:name="_Toc173446240"/>
      <w:bookmarkStart w:id="22" w:name="_Toc189085772"/>
      <w:r w:rsidRPr="00025F23">
        <w:rPr>
          <w:i/>
          <w:iCs/>
          <w:spacing w:val="-6"/>
          <w:szCs w:val="16"/>
        </w:rPr>
        <w:t>γ</w:t>
      </w:r>
      <w:r w:rsidRPr="00025F23">
        <w:rPr>
          <w:spacing w:val="-6"/>
          <w:szCs w:val="16"/>
          <w:lang w:val="en-US"/>
        </w:rPr>
        <w:t xml:space="preserve"> </w:t>
      </w:r>
      <w:r w:rsidR="00CB2D91" w:rsidRPr="00025F23">
        <w:rPr>
          <w:lang w:val="en-US"/>
        </w:rPr>
        <w:t>PIB real</w:t>
      </w:r>
      <w:bookmarkEnd w:id="20"/>
      <w:bookmarkEnd w:id="21"/>
      <w:bookmarkEnd w:id="22"/>
    </w:p>
    <w:p w14:paraId="6B6F1648" w14:textId="16911006" w:rsidR="00990E73" w:rsidRPr="00025F23" w:rsidRDefault="00990E73" w:rsidP="00990E73">
      <w:pPr>
        <w:rPr>
          <w:rFonts w:eastAsiaTheme="minorEastAsia"/>
          <w:iCs/>
          <w:lang w:val="en-US"/>
        </w:rPr>
      </w:pPr>
      <m:oMathPara>
        <m:oMath>
          <m:r>
            <m:rPr>
              <m:nor/>
            </m:rPr>
            <w:rPr>
              <w:i/>
            </w:rPr>
            <m:t>γ</m:t>
          </m:r>
          <m:r>
            <m:rPr>
              <m:nor/>
            </m:rPr>
            <w:rPr>
              <w:i/>
              <w:lang w:val="en-US"/>
            </w:rPr>
            <m:t xml:space="preserve"> </m:t>
          </m:r>
          <m:sSubSup>
            <m:sSubSupPr>
              <m:ctrlPr>
                <w:rPr>
                  <w:rFonts w:ascii="Cambria Math" w:hAnsi="Cambria Math"/>
                  <w:i/>
                </w:rPr>
              </m:ctrlPr>
            </m:sSubSupPr>
            <m:e>
              <m:r>
                <m:rPr>
                  <m:nor/>
                </m:rPr>
                <w:rPr>
                  <w:i/>
                  <w:iCs/>
                  <w:lang w:val="en-US"/>
                </w:rPr>
                <m:t>PIB</m:t>
              </m:r>
            </m:e>
            <m:sub>
              <m:r>
                <m:rPr>
                  <m:nor/>
                </m:rPr>
                <w:rPr>
                  <w:i/>
                  <w:iCs/>
                  <w:lang w:val="en-US"/>
                </w:rPr>
                <m:t>t</m:t>
              </m:r>
            </m:sub>
            <m:sup>
              <m:r>
                <m:rPr>
                  <m:nor/>
                </m:rPr>
                <w:rPr>
                  <w:i/>
                  <w:iCs/>
                  <w:lang w:val="en-US"/>
                </w:rPr>
                <m:t>Real</m:t>
              </m:r>
            </m:sup>
          </m:sSubSup>
          <m:r>
            <w:rPr>
              <w:rFonts w:ascii="Cambria Math" w:hAnsi="Cambria Math"/>
              <w:lang w:val="en-US"/>
            </w:rPr>
            <m:t>=</m:t>
          </m:r>
          <m:f>
            <m:fPr>
              <m:ctrlPr>
                <w:rPr>
                  <w:rFonts w:ascii="Cambria Math" w:hAnsi="Cambria Math"/>
                  <w:i/>
                </w:rPr>
              </m:ctrlPr>
            </m:fPr>
            <m:num>
              <m:sSubSup>
                <m:sSubSupPr>
                  <m:ctrlPr>
                    <w:rPr>
                      <w:rFonts w:ascii="Cambria Math" w:hAnsi="Cambria Math"/>
                      <w:i/>
                    </w:rPr>
                  </m:ctrlPr>
                </m:sSubSupPr>
                <m:e>
                  <m:r>
                    <m:rPr>
                      <m:nor/>
                    </m:rPr>
                    <w:rPr>
                      <w:i/>
                      <w:iCs/>
                      <w:lang w:val="en-US"/>
                    </w:rPr>
                    <m:t>PIB</m:t>
                  </m:r>
                </m:e>
                <m:sub>
                  <m:r>
                    <m:rPr>
                      <m:nor/>
                    </m:rPr>
                    <w:rPr>
                      <w:i/>
                      <w:iCs/>
                      <w:lang w:val="en-US"/>
                    </w:rPr>
                    <m:t>t</m:t>
                  </m:r>
                </m:sub>
                <m:sup>
                  <m:r>
                    <m:rPr>
                      <m:nor/>
                    </m:rPr>
                    <w:rPr>
                      <w:i/>
                      <w:iCs/>
                      <w:lang w:val="en-US"/>
                    </w:rPr>
                    <m:t>Real</m:t>
                  </m:r>
                </m:sup>
              </m:sSubSup>
              <m:r>
                <w:rPr>
                  <w:rFonts w:ascii="Cambria Math" w:hAnsi="Cambria Math"/>
                  <w:lang w:val="en-US"/>
                </w:rPr>
                <m:t>-</m:t>
              </m:r>
              <m:sSubSup>
                <m:sSubSupPr>
                  <m:ctrlPr>
                    <w:rPr>
                      <w:rFonts w:ascii="Cambria Math" w:hAnsi="Cambria Math"/>
                      <w:i/>
                    </w:rPr>
                  </m:ctrlPr>
                </m:sSubSupPr>
                <m:e>
                  <m:r>
                    <m:rPr>
                      <m:nor/>
                    </m:rPr>
                    <w:rPr>
                      <w:i/>
                      <w:iCs/>
                      <w:lang w:val="en-US"/>
                    </w:rPr>
                    <m:t>PIB</m:t>
                  </m:r>
                </m:e>
                <m:sub>
                  <m:r>
                    <m:rPr>
                      <m:nor/>
                    </m:rPr>
                    <w:rPr>
                      <w:i/>
                      <w:iCs/>
                      <w:lang w:val="en-US"/>
                    </w:rPr>
                    <m:t>t</m:t>
                  </m:r>
                  <m:r>
                    <w:rPr>
                      <w:rFonts w:ascii="Cambria Math" w:hAnsi="Cambria Math"/>
                      <w:lang w:val="en-US"/>
                    </w:rPr>
                    <m:t>-</m:t>
                  </m:r>
                  <m:r>
                    <m:rPr>
                      <m:nor/>
                    </m:rPr>
                    <w:rPr>
                      <w:i/>
                      <w:iCs/>
                      <w:lang w:val="en-US"/>
                    </w:rPr>
                    <m:t>1</m:t>
                  </m:r>
                </m:sub>
                <m:sup>
                  <m:r>
                    <m:rPr>
                      <m:nor/>
                    </m:rPr>
                    <w:rPr>
                      <w:i/>
                      <w:iCs/>
                      <w:lang w:val="en-US"/>
                    </w:rPr>
                    <m:t>Real</m:t>
                  </m:r>
                </m:sup>
              </m:sSubSup>
            </m:num>
            <m:den>
              <m:sSubSup>
                <m:sSubSupPr>
                  <m:ctrlPr>
                    <w:rPr>
                      <w:rFonts w:ascii="Cambria Math" w:hAnsi="Cambria Math"/>
                      <w:i/>
                    </w:rPr>
                  </m:ctrlPr>
                </m:sSubSupPr>
                <m:e>
                  <m:r>
                    <m:rPr>
                      <m:nor/>
                    </m:rPr>
                    <w:rPr>
                      <w:i/>
                      <w:iCs/>
                      <w:lang w:val="en-US"/>
                    </w:rPr>
                    <m:t>PIB</m:t>
                  </m:r>
                </m:e>
                <m:sub>
                  <m:r>
                    <m:rPr>
                      <m:nor/>
                    </m:rPr>
                    <w:rPr>
                      <w:i/>
                      <w:iCs/>
                      <w:lang w:val="en-US"/>
                    </w:rPr>
                    <m:t>t</m:t>
                  </m:r>
                  <m:r>
                    <w:rPr>
                      <w:rFonts w:ascii="Cambria Math" w:hAnsi="Cambria Math"/>
                      <w:lang w:val="en-US"/>
                    </w:rPr>
                    <m:t>-</m:t>
                  </m:r>
                  <m:r>
                    <m:rPr>
                      <m:nor/>
                    </m:rPr>
                    <w:rPr>
                      <w:i/>
                      <w:iCs/>
                      <w:lang w:val="en-US"/>
                    </w:rPr>
                    <m:t>1</m:t>
                  </m:r>
                </m:sub>
                <m:sup>
                  <m:r>
                    <m:rPr>
                      <m:nor/>
                    </m:rPr>
                    <w:rPr>
                      <w:i/>
                      <w:iCs/>
                      <w:lang w:val="en-US"/>
                    </w:rPr>
                    <m:t>Real</m:t>
                  </m:r>
                </m:sup>
              </m:sSubSup>
            </m:den>
          </m:f>
          <m:r>
            <w:rPr>
              <w:rFonts w:ascii="Cambria Math" w:hAnsi="Cambria Math"/>
              <w:lang w:val="en-US"/>
            </w:rPr>
            <m:t>×</m:t>
          </m:r>
          <m:r>
            <m:rPr>
              <m:nor/>
            </m:rPr>
            <w:rPr>
              <w:i/>
              <w:iCs/>
              <w:lang w:val="en-US"/>
            </w:rPr>
            <m:t>100</m:t>
          </m:r>
        </m:oMath>
      </m:oMathPara>
    </w:p>
    <w:p w14:paraId="655AEFF9" w14:textId="77777777" w:rsidR="00990E73" w:rsidRPr="00025F23" w:rsidRDefault="00990E73" w:rsidP="00990E73">
      <w:pPr>
        <w:keepNext/>
        <w:spacing w:after="0"/>
        <w:rPr>
          <w:rFonts w:eastAsiaTheme="minorEastAsia"/>
        </w:rPr>
      </w:pPr>
      <w:r w:rsidRPr="00025F23">
        <w:rPr>
          <w:rFonts w:eastAsiaTheme="minorEastAsia"/>
          <w:i/>
          <w:iCs/>
          <w:u w:val="single"/>
        </w:rPr>
        <w:t>Interpretación</w:t>
      </w:r>
      <w:r w:rsidRPr="00025F23">
        <w:rPr>
          <w:rFonts w:eastAsiaTheme="minorEastAsia"/>
        </w:rPr>
        <w:t>:</w:t>
      </w:r>
    </w:p>
    <w:p w14:paraId="14097B53" w14:textId="4C61F192" w:rsidR="00990E73" w:rsidRPr="00025F23" w:rsidRDefault="00990E73" w:rsidP="00BF3FDC">
      <w:pPr>
        <w:pStyle w:val="Nivel2SM"/>
        <w:keepNext/>
        <w:spacing w:after="0"/>
      </w:pPr>
      <w:r w:rsidRPr="00025F23">
        <w:t xml:space="preserve">Analizar el </w:t>
      </w:r>
      <w:r w:rsidRPr="00025F23">
        <w:rPr>
          <w:b/>
          <w:bCs/>
        </w:rPr>
        <w:t>signo</w:t>
      </w:r>
      <w:r w:rsidRPr="00025F23">
        <w:t xml:space="preserve">: </w:t>
      </w:r>
    </w:p>
    <w:p w14:paraId="295DD9AB" w14:textId="77777777" w:rsidR="00990E73" w:rsidRPr="00025F23" w:rsidRDefault="00990E73" w:rsidP="00BF3FDC">
      <w:pPr>
        <w:pStyle w:val="Nivel3SM"/>
        <w:keepNext/>
      </w:pPr>
      <w:r w:rsidRPr="00025F23">
        <w:t>P</w:t>
      </w:r>
      <w:r w:rsidRPr="00025F23">
        <w:rPr>
          <w:rStyle w:val="Nivel3Char"/>
          <w:i/>
          <w:iCs/>
        </w:rPr>
        <w:t>aí</w:t>
      </w:r>
      <w:r w:rsidRPr="00025F23">
        <w:t>s desarrollado:</w:t>
      </w:r>
    </w:p>
    <w:p w14:paraId="107440CD" w14:textId="3E45D634" w:rsidR="00990E73" w:rsidRPr="00025F23" w:rsidRDefault="00990E73" w:rsidP="00F30E78">
      <w:pPr>
        <w:pStyle w:val="Nivel4"/>
      </w:pPr>
      <w:r w:rsidRPr="00025F23">
        <w:t>&lt; 0</w:t>
      </w:r>
      <w:r w:rsidR="003E7C8C" w:rsidRPr="00025F23">
        <w:t> </w:t>
      </w:r>
      <w:r w:rsidRPr="00025F23">
        <w:t xml:space="preserve">%: </w:t>
      </w:r>
      <w:r w:rsidR="006C4890">
        <w:t>C</w:t>
      </w:r>
      <w:r w:rsidRPr="00025F23">
        <w:t>ontracción</w:t>
      </w:r>
      <w:r w:rsidR="007A108F" w:rsidRPr="00025F23">
        <w:rPr>
          <w:rStyle w:val="Refdenotaalpie"/>
        </w:rPr>
        <w:footnoteReference w:id="6"/>
      </w:r>
    </w:p>
    <w:p w14:paraId="56E6BD7B" w14:textId="1E01C68F" w:rsidR="00990E73" w:rsidRPr="00025F23" w:rsidRDefault="00990E73" w:rsidP="00F30E78">
      <w:pPr>
        <w:pStyle w:val="Nivel4"/>
      </w:pPr>
      <w:r w:rsidRPr="00025F23">
        <w:t>0</w:t>
      </w:r>
      <w:r w:rsidR="003E7C8C" w:rsidRPr="00025F23">
        <w:t> </w:t>
      </w:r>
      <w:r w:rsidRPr="00025F23">
        <w:t>% - 1</w:t>
      </w:r>
      <w:r w:rsidR="003E7C8C" w:rsidRPr="00025F23">
        <w:t> </w:t>
      </w:r>
      <w:r w:rsidRPr="00025F23">
        <w:t xml:space="preserve">%: </w:t>
      </w:r>
      <w:r w:rsidR="006C4890">
        <w:t>E</w:t>
      </w:r>
      <w:r w:rsidRPr="00025F23">
        <w:t>stancamiento</w:t>
      </w:r>
    </w:p>
    <w:p w14:paraId="6CFFFCAF" w14:textId="3A875948" w:rsidR="00990E73" w:rsidRPr="00025F23" w:rsidRDefault="00990E73" w:rsidP="00F30E78">
      <w:pPr>
        <w:pStyle w:val="Nivel4"/>
      </w:pPr>
      <w:r w:rsidRPr="00025F23">
        <w:t>1</w:t>
      </w:r>
      <w:r w:rsidR="003E7C8C" w:rsidRPr="00025F23">
        <w:t> </w:t>
      </w:r>
      <w:r w:rsidRPr="00025F23">
        <w:t>% - 1,5</w:t>
      </w:r>
      <w:r w:rsidR="003E7C8C" w:rsidRPr="00025F23">
        <w:t> </w:t>
      </w:r>
      <w:r w:rsidRPr="00025F23">
        <w:t xml:space="preserve">%: </w:t>
      </w:r>
      <w:r w:rsidR="006C4890">
        <w:t>C</w:t>
      </w:r>
      <w:r w:rsidRPr="00025F23">
        <w:t>recimiento débil</w:t>
      </w:r>
    </w:p>
    <w:p w14:paraId="338DC015" w14:textId="3E878E34" w:rsidR="00990E73" w:rsidRPr="00025F23" w:rsidRDefault="00990E73" w:rsidP="00F30E78">
      <w:pPr>
        <w:pStyle w:val="Nivel4"/>
      </w:pPr>
      <w:r w:rsidRPr="00025F23">
        <w:t>1,5</w:t>
      </w:r>
      <w:r w:rsidR="003E7C8C" w:rsidRPr="00025F23">
        <w:t> </w:t>
      </w:r>
      <w:r w:rsidRPr="00025F23">
        <w:t>% - 3,5</w:t>
      </w:r>
      <w:r w:rsidR="003E7C8C" w:rsidRPr="00025F23">
        <w:t> </w:t>
      </w:r>
      <w:r w:rsidRPr="00025F23">
        <w:t xml:space="preserve">%: </w:t>
      </w:r>
      <w:r w:rsidR="006C4890">
        <w:t>C</w:t>
      </w:r>
      <w:r w:rsidRPr="00025F23">
        <w:t>recimiento sostenido</w:t>
      </w:r>
    </w:p>
    <w:p w14:paraId="600EBEDE" w14:textId="1FFFECB6" w:rsidR="00990E73" w:rsidRPr="00025F23" w:rsidRDefault="00990E73" w:rsidP="00F30E78">
      <w:pPr>
        <w:pStyle w:val="Nivel4"/>
      </w:pPr>
      <w:r w:rsidRPr="00025F23">
        <w:t>&gt; 3,5</w:t>
      </w:r>
      <w:r w:rsidR="003E7C8C" w:rsidRPr="00025F23">
        <w:t> </w:t>
      </w:r>
      <w:r w:rsidRPr="00025F23">
        <w:t xml:space="preserve">%: </w:t>
      </w:r>
      <w:r w:rsidR="006C4890">
        <w:t>C</w:t>
      </w:r>
      <w:r w:rsidRPr="00025F23">
        <w:t>recimiento fuerte</w:t>
      </w:r>
    </w:p>
    <w:p w14:paraId="30BD314D" w14:textId="4DECC729" w:rsidR="00990E73" w:rsidRPr="00025F23" w:rsidRDefault="00990E73" w:rsidP="00BF3FDC">
      <w:pPr>
        <w:pStyle w:val="Nivel3SM"/>
      </w:pPr>
      <w:r w:rsidRPr="00025F23">
        <w:rPr>
          <w:i/>
        </w:rPr>
        <w:t>P</w:t>
      </w:r>
      <w:r w:rsidRPr="00025F23">
        <w:rPr>
          <w:rStyle w:val="Nivel3Char"/>
          <w:i/>
        </w:rPr>
        <w:t>aíses</w:t>
      </w:r>
      <w:r w:rsidRPr="00025F23">
        <w:rPr>
          <w:i/>
        </w:rPr>
        <w:t xml:space="preserve"> en vías de desarrollo</w:t>
      </w:r>
      <w:r w:rsidRPr="00025F23">
        <w:t>: Las tasas de crecimiento suelen ser más volátiles porque no gozan de los mismos instrumentos de estabilización que los países desarrollados (un crecimiento del 4</w:t>
      </w:r>
      <w:r w:rsidR="00106EF9" w:rsidRPr="00025F23">
        <w:t> </w:t>
      </w:r>
      <w:r w:rsidRPr="00025F23">
        <w:t>% en un país en vías de desarrollo puede ser débil).</w:t>
      </w:r>
    </w:p>
    <w:p w14:paraId="65192AF7" w14:textId="70272C2E" w:rsidR="00990E73" w:rsidRPr="00025F23" w:rsidRDefault="00990E73" w:rsidP="00BF3FDC">
      <w:pPr>
        <w:pStyle w:val="Nivel3SM"/>
      </w:pPr>
      <w:r w:rsidRPr="00025F23">
        <w:t xml:space="preserve">Si hay datos atípicos, remarcarlo, p. ej.: </w:t>
      </w:r>
      <w:r w:rsidRPr="00025F23">
        <w:rPr>
          <w:i/>
          <w:iCs/>
        </w:rPr>
        <w:t>“se observa un crecimiento sostenido en la etapa de 20xx a 20xy, con excepción del año 20xz en el que hay una ligera desaceleración”</w:t>
      </w:r>
      <w:r w:rsidRPr="00025F23">
        <w:t>.</w:t>
      </w:r>
    </w:p>
    <w:p w14:paraId="32B32BDD" w14:textId="73FB5C75" w:rsidR="00F30E78" w:rsidRPr="00025F23" w:rsidRDefault="00F30E78" w:rsidP="00BF3FDC">
      <w:pPr>
        <w:pStyle w:val="Nivel3SM"/>
      </w:pPr>
      <w:r w:rsidRPr="00025F23">
        <w:t xml:space="preserve">Si pasamos de crecimiento negativo del </w:t>
      </w:r>
      <w:r w:rsidRPr="00025F23">
        <w:rPr>
          <w:rFonts w:cs="Times New Roman"/>
        </w:rPr>
        <w:t>−</w:t>
      </w:r>
      <w:r w:rsidRPr="00025F23">
        <w:t>7</w:t>
      </w:r>
      <w:r w:rsidR="003E7C8C" w:rsidRPr="00025F23">
        <w:t> </w:t>
      </w:r>
      <w:r w:rsidRPr="00025F23">
        <w:t xml:space="preserve">% en un año a </w:t>
      </w:r>
      <w:r w:rsidRPr="00025F23">
        <w:rPr>
          <w:rFonts w:cs="Times New Roman"/>
        </w:rPr>
        <w:t>−</w:t>
      </w:r>
      <w:r w:rsidRPr="00025F23">
        <w:t>1</w:t>
      </w:r>
      <w:r w:rsidR="003E7C8C" w:rsidRPr="00025F23">
        <w:t> </w:t>
      </w:r>
      <w:r w:rsidRPr="00025F23">
        <w:t>% en el siguiente, no se puede hablar de recuperación, aunque se decrezca menos. Para eso hay que esperar a tasas de crecimiento reales positivas.</w:t>
      </w:r>
    </w:p>
    <w:p w14:paraId="5E0A18C7" w14:textId="523A052F" w:rsidR="00990E73" w:rsidRPr="00025F23" w:rsidRDefault="00990E73" w:rsidP="00BF3FDC">
      <w:pPr>
        <w:pStyle w:val="Nivel2SM"/>
        <w:keepNext/>
        <w:spacing w:after="0"/>
      </w:pPr>
      <w:r w:rsidRPr="00025F23">
        <w:t xml:space="preserve">Analizar la </w:t>
      </w:r>
      <w:r w:rsidRPr="00025F23">
        <w:rPr>
          <w:b/>
          <w:bCs/>
        </w:rPr>
        <w:t>variación</w:t>
      </w:r>
      <w:r w:rsidRPr="00025F23">
        <w:t>:</w:t>
      </w:r>
    </w:p>
    <w:p w14:paraId="0AD68666" w14:textId="08025DEA" w:rsidR="003F50C8" w:rsidRPr="00025F23" w:rsidRDefault="003F50C8" w:rsidP="00BF3FDC">
      <w:pPr>
        <w:pStyle w:val="Nivel3SM"/>
      </w:pPr>
      <w:r w:rsidRPr="00025F23">
        <w:t>Mencionar la segunda derivada, es decir, si estamos en un período de aceleración, desaceleración, ralentización.</w:t>
      </w:r>
    </w:p>
    <w:p w14:paraId="05AA9E06" w14:textId="0EA7820C" w:rsidR="00CB2D91" w:rsidRPr="00025F23" w:rsidRDefault="00CB2D91" w:rsidP="00CB2D91">
      <w:pPr>
        <w:pStyle w:val="Ttulo6"/>
      </w:pPr>
      <w:bookmarkStart w:id="23" w:name="_Toc88566114"/>
      <w:bookmarkStart w:id="24" w:name="_Toc173446241"/>
      <w:bookmarkStart w:id="25" w:name="_Toc189085773"/>
      <w:r w:rsidRPr="00025F23">
        <w:t>Output gap</w:t>
      </w:r>
      <w:bookmarkEnd w:id="23"/>
      <w:bookmarkEnd w:id="24"/>
      <w:bookmarkEnd w:id="25"/>
    </w:p>
    <w:p w14:paraId="715BA447" w14:textId="7AA14715" w:rsidR="00017D4E" w:rsidRPr="00025F23" w:rsidRDefault="00017D4E" w:rsidP="00E52CC6">
      <w:pPr>
        <w:keepNext/>
      </w:pPr>
      <w:r w:rsidRPr="00025F23">
        <w:t xml:space="preserve">El </w:t>
      </w:r>
      <w:r w:rsidRPr="00025F23">
        <w:rPr>
          <w:i/>
          <w:iCs/>
        </w:rPr>
        <w:t>output gap</w:t>
      </w:r>
      <w:r w:rsidRPr="00025F23">
        <w:t xml:space="preserve"> (o brecha de producción)</w:t>
      </w:r>
      <w:r w:rsidR="00EB7AA3" w:rsidRPr="00025F23">
        <w:t xml:space="preserve"> también se puede usar como apoyo. El </w:t>
      </w:r>
      <w:r w:rsidR="00EB7AA3" w:rsidRPr="00025F23">
        <w:rPr>
          <w:i/>
          <w:iCs/>
        </w:rPr>
        <w:t>output gap</w:t>
      </w:r>
      <w:r w:rsidRPr="00025F23">
        <w:t xml:space="preserve"> es una medida de la diferencia entre el PIB observado y el PIB potencial</w:t>
      </w:r>
      <w:r w:rsidR="00EE17A5" w:rsidRPr="00025F23">
        <w:t xml:space="preserve"> (OCDE)</w:t>
      </w:r>
      <w:r w:rsidR="00B84C21" w:rsidRPr="00025F23">
        <w:rPr>
          <w:rStyle w:val="Refdenotaalpie"/>
        </w:rPr>
        <w:footnoteReference w:id="7"/>
      </w:r>
      <w:r w:rsidR="00EB7AA3" w:rsidRPr="00025F23">
        <w:t xml:space="preserve"> o el PIB tendencial</w:t>
      </w:r>
      <w:r w:rsidR="00EE17A5" w:rsidRPr="00025F23">
        <w:t xml:space="preserve"> (FMI)</w:t>
      </w:r>
      <w:r w:rsidR="00EB7AA3" w:rsidRPr="00025F23">
        <w:rPr>
          <w:rStyle w:val="Refdenotaalpie"/>
        </w:rPr>
        <w:footnoteReference w:id="8"/>
      </w:r>
      <w:r w:rsidRPr="00025F23">
        <w:t>:</w:t>
      </w:r>
    </w:p>
    <w:p w14:paraId="3897A506" w14:textId="347605AC" w:rsidR="00674899" w:rsidRPr="00025F23" w:rsidRDefault="002E2B92" w:rsidP="002958A9">
      <w:pPr>
        <w:spacing w:line="360" w:lineRule="auto"/>
        <w:rPr>
          <w:rFonts w:eastAsiaTheme="minorEastAsia"/>
        </w:rPr>
      </w:pPr>
      <m:oMathPara>
        <m:oMath>
          <m:r>
            <m:rPr>
              <m:nor/>
            </m:rPr>
            <w:rPr>
              <w:rFonts w:eastAsiaTheme="minorEastAsia"/>
              <w:i/>
            </w:rPr>
            <m:t xml:space="preserve">OCDE: </m:t>
          </m:r>
          <m:r>
            <m:rPr>
              <m:nor/>
            </m:rPr>
            <w:rPr>
              <w:i/>
              <w:iCs/>
            </w:rPr>
            <m:t xml:space="preserve">  Output gap</m:t>
          </m:r>
          <m:r>
            <w:rPr>
              <w:rFonts w:ascii="Cambria Math" w:hAnsi="Cambria Math"/>
            </w:rPr>
            <m:t>=</m:t>
          </m:r>
          <m:f>
            <m:fPr>
              <m:ctrlPr>
                <w:rPr>
                  <w:rFonts w:ascii="Cambria Math" w:hAnsi="Cambria Math"/>
                  <w:i/>
                </w:rPr>
              </m:ctrlPr>
            </m:fPr>
            <m:num>
              <m:sSub>
                <m:sSubPr>
                  <m:ctrlPr>
                    <w:rPr>
                      <w:rFonts w:ascii="Cambria Math" w:hAnsi="Cambria Math"/>
                      <w:i/>
                      <w:iCs/>
                    </w:rPr>
                  </m:ctrlPr>
                </m:sSubPr>
                <m:e>
                  <m:r>
                    <m:rPr>
                      <m:nor/>
                    </m:rPr>
                    <w:rPr>
                      <w:i/>
                      <w:iCs/>
                    </w:rPr>
                    <m:t>PIB</m:t>
                  </m:r>
                </m:e>
                <m:sub>
                  <m:r>
                    <m:rPr>
                      <m:nor/>
                    </m:rPr>
                    <w:rPr>
                      <w:i/>
                      <w:iCs/>
                    </w:rPr>
                    <m:t>Observado</m:t>
                  </m:r>
                </m:sub>
              </m:sSub>
              <m:r>
                <w:rPr>
                  <w:rFonts w:ascii="Cambria Math" w:hAnsi="Cambria Math"/>
                </w:rPr>
                <m:t>-</m:t>
              </m:r>
              <m:sSub>
                <m:sSubPr>
                  <m:ctrlPr>
                    <w:rPr>
                      <w:rFonts w:ascii="Cambria Math" w:hAnsi="Cambria Math"/>
                      <w:i/>
                      <w:iCs/>
                    </w:rPr>
                  </m:ctrlPr>
                </m:sSubPr>
                <m:e>
                  <m:r>
                    <m:rPr>
                      <m:nor/>
                    </m:rPr>
                    <w:rPr>
                      <w:i/>
                      <w:iCs/>
                    </w:rPr>
                    <m:t>PIB</m:t>
                  </m:r>
                </m:e>
                <m:sub>
                  <m:r>
                    <m:rPr>
                      <m:nor/>
                    </m:rPr>
                    <w:rPr>
                      <w:i/>
                      <w:iCs/>
                    </w:rPr>
                    <m:t>Potencial</m:t>
                  </m:r>
                </m:sub>
              </m:sSub>
            </m:num>
            <m:den>
              <m:sSub>
                <m:sSubPr>
                  <m:ctrlPr>
                    <w:rPr>
                      <w:rFonts w:ascii="Cambria Math" w:hAnsi="Cambria Math"/>
                      <w:i/>
                      <w:iCs/>
                    </w:rPr>
                  </m:ctrlPr>
                </m:sSubPr>
                <m:e>
                  <m:r>
                    <m:rPr>
                      <m:nor/>
                    </m:rPr>
                    <w:rPr>
                      <w:i/>
                      <w:iCs/>
                    </w:rPr>
                    <m:t>PIB</m:t>
                  </m:r>
                </m:e>
                <m:sub>
                  <m:r>
                    <m:rPr>
                      <m:nor/>
                    </m:rPr>
                    <w:rPr>
                      <w:i/>
                      <w:iCs/>
                    </w:rPr>
                    <m:t>Potencial</m:t>
                  </m:r>
                </m:sub>
              </m:sSub>
            </m:den>
          </m:f>
          <m:r>
            <w:rPr>
              <w:rFonts w:ascii="Cambria Math" w:hAnsi="Cambria Math"/>
            </w:rPr>
            <m:t>×</m:t>
          </m:r>
          <m:r>
            <m:rPr>
              <m:nor/>
            </m:rPr>
            <w:rPr>
              <w:i/>
              <w:iCs/>
            </w:rPr>
            <m:t>100</m:t>
          </m:r>
          <m:r>
            <m:rPr>
              <m:nor/>
            </m:rPr>
            <w:rPr>
              <w:i/>
              <w:iCs/>
            </w:rPr>
            <w:br/>
          </m:r>
        </m:oMath>
        <m:oMath>
          <m:r>
            <m:rPr>
              <m:nor/>
            </m:rPr>
            <w:rPr>
              <w:rFonts w:eastAsiaTheme="minorEastAsia"/>
              <w:i/>
            </w:rPr>
            <m:t xml:space="preserve">FMI: </m:t>
          </m:r>
          <m:r>
            <m:rPr>
              <m:nor/>
            </m:rPr>
            <w:rPr>
              <w:i/>
              <w:iCs/>
            </w:rPr>
            <m:t xml:space="preserve">  Output gap</m:t>
          </m:r>
          <m:r>
            <w:rPr>
              <w:rFonts w:ascii="Cambria Math" w:hAnsi="Cambria Math"/>
            </w:rPr>
            <m:t>=</m:t>
          </m:r>
          <m:f>
            <m:fPr>
              <m:ctrlPr>
                <w:rPr>
                  <w:rFonts w:ascii="Cambria Math" w:hAnsi="Cambria Math"/>
                  <w:i/>
                </w:rPr>
              </m:ctrlPr>
            </m:fPr>
            <m:num>
              <m:sSub>
                <m:sSubPr>
                  <m:ctrlPr>
                    <w:rPr>
                      <w:rFonts w:ascii="Cambria Math" w:hAnsi="Cambria Math"/>
                      <w:i/>
                      <w:iCs/>
                    </w:rPr>
                  </m:ctrlPr>
                </m:sSubPr>
                <m:e>
                  <m:r>
                    <m:rPr>
                      <m:nor/>
                    </m:rPr>
                    <w:rPr>
                      <w:i/>
                      <w:iCs/>
                    </w:rPr>
                    <m:t>PIB</m:t>
                  </m:r>
                </m:e>
                <m:sub>
                  <m:r>
                    <m:rPr>
                      <m:nor/>
                    </m:rPr>
                    <w:rPr>
                      <w:i/>
                      <w:iCs/>
                    </w:rPr>
                    <m:t>Observado</m:t>
                  </m:r>
                </m:sub>
              </m:sSub>
              <m:r>
                <w:rPr>
                  <w:rFonts w:ascii="Cambria Math" w:hAnsi="Cambria Math"/>
                </w:rPr>
                <m:t>-</m:t>
              </m:r>
              <m:sSub>
                <m:sSubPr>
                  <m:ctrlPr>
                    <w:rPr>
                      <w:rFonts w:ascii="Cambria Math" w:hAnsi="Cambria Math"/>
                      <w:i/>
                      <w:iCs/>
                    </w:rPr>
                  </m:ctrlPr>
                </m:sSubPr>
                <m:e>
                  <m:r>
                    <m:rPr>
                      <m:nor/>
                    </m:rPr>
                    <w:rPr>
                      <w:i/>
                      <w:iCs/>
                    </w:rPr>
                    <m:t>PIB</m:t>
                  </m:r>
                </m:e>
                <m:sub>
                  <m:r>
                    <m:rPr>
                      <m:nor/>
                    </m:rPr>
                    <w:rPr>
                      <w:i/>
                      <w:iCs/>
                    </w:rPr>
                    <m:t>Tendencial</m:t>
                  </m:r>
                </m:sub>
              </m:sSub>
            </m:num>
            <m:den>
              <m:sSub>
                <m:sSubPr>
                  <m:ctrlPr>
                    <w:rPr>
                      <w:rFonts w:ascii="Cambria Math" w:hAnsi="Cambria Math"/>
                      <w:i/>
                      <w:iCs/>
                    </w:rPr>
                  </m:ctrlPr>
                </m:sSubPr>
                <m:e>
                  <m:r>
                    <m:rPr>
                      <m:nor/>
                    </m:rPr>
                    <w:rPr>
                      <w:i/>
                      <w:iCs/>
                    </w:rPr>
                    <m:t>PIB</m:t>
                  </m:r>
                </m:e>
                <m:sub>
                  <m:r>
                    <m:rPr>
                      <m:nor/>
                    </m:rPr>
                    <w:rPr>
                      <w:i/>
                      <w:iCs/>
                    </w:rPr>
                    <m:t>Tendencial</m:t>
                  </m:r>
                </m:sub>
              </m:sSub>
            </m:den>
          </m:f>
          <m:r>
            <w:rPr>
              <w:rFonts w:ascii="Cambria Math" w:hAnsi="Cambria Math"/>
            </w:rPr>
            <m:t>×</m:t>
          </m:r>
          <m:r>
            <m:rPr>
              <m:nor/>
            </m:rPr>
            <w:rPr>
              <w:i/>
              <w:iCs/>
            </w:rPr>
            <m:t>100</m:t>
          </m:r>
        </m:oMath>
      </m:oMathPara>
    </w:p>
    <w:p w14:paraId="3DECFA0B" w14:textId="272D9107" w:rsidR="00017D4E" w:rsidRPr="00025F23" w:rsidRDefault="00017D4E" w:rsidP="00EB7AA3">
      <w:pPr>
        <w:keepNext/>
        <w:spacing w:after="0"/>
        <w:rPr>
          <w:rFonts w:eastAsiaTheme="minorEastAsia"/>
        </w:rPr>
      </w:pPr>
      <w:r w:rsidRPr="00025F23">
        <w:rPr>
          <w:rFonts w:eastAsiaTheme="minorEastAsia"/>
          <w:i/>
          <w:iCs/>
          <w:u w:val="single"/>
        </w:rPr>
        <w:t>Interpretación</w:t>
      </w:r>
      <w:r w:rsidRPr="00025F23">
        <w:rPr>
          <w:rFonts w:eastAsiaTheme="minorEastAsia"/>
        </w:rPr>
        <w:t>:</w:t>
      </w:r>
    </w:p>
    <w:p w14:paraId="3E4CE3E5" w14:textId="3ED49411" w:rsidR="00EB7AA3" w:rsidRPr="00025F23" w:rsidRDefault="00EB7AA3" w:rsidP="00BF3FDC">
      <w:pPr>
        <w:pStyle w:val="Nivel2SM"/>
        <w:keepNext/>
        <w:spacing w:after="0"/>
      </w:pPr>
      <w:r w:rsidRPr="00025F23">
        <w:t xml:space="preserve">Analizar el </w:t>
      </w:r>
      <w:r w:rsidRPr="00025F23">
        <w:rPr>
          <w:b/>
          <w:bCs/>
        </w:rPr>
        <w:t>signo</w:t>
      </w:r>
      <w:r w:rsidRPr="00025F23">
        <w:t>:</w:t>
      </w:r>
    </w:p>
    <w:p w14:paraId="3ED88223" w14:textId="0EF9E4C5" w:rsidR="00EB7AA3" w:rsidRPr="00025F23" w:rsidRDefault="00EB7AA3" w:rsidP="00BF3FDC">
      <w:pPr>
        <w:pStyle w:val="Nivel3SM"/>
      </w:pPr>
      <w:r w:rsidRPr="00025F23">
        <w:rPr>
          <w:i/>
          <w:iCs/>
        </w:rPr>
        <w:t>Negativo</w:t>
      </w:r>
      <w:r w:rsidR="0058567F">
        <w:t>: I</w:t>
      </w:r>
      <w:r w:rsidRPr="00025F23">
        <w:t>mplica output por debajo del potencial, lo cual podría estar reflejando una infrautilización de los recursos;</w:t>
      </w:r>
    </w:p>
    <w:p w14:paraId="32F2EF0D" w14:textId="6F6C8E8B" w:rsidR="00EB7AA3" w:rsidRPr="00025F23" w:rsidRDefault="00EB7AA3" w:rsidP="00BF3FDC">
      <w:pPr>
        <w:pStyle w:val="Nivel3SM"/>
      </w:pPr>
      <w:r w:rsidRPr="00025F23">
        <w:rPr>
          <w:i/>
          <w:iCs/>
        </w:rPr>
        <w:t>Positivo</w:t>
      </w:r>
      <w:r w:rsidR="0058567F">
        <w:t>: S</w:t>
      </w:r>
      <w:r w:rsidRPr="00025F23">
        <w:t>ucedería lo contrario</w:t>
      </w:r>
      <w:r w:rsidR="00A26FB6" w:rsidRPr="00025F23">
        <w:t>. En períodos de demanda muy fuerte, los factores productivos pueden ser empleados en cantidades superiores a su intensidad normal</w:t>
      </w:r>
      <w:r w:rsidRPr="00025F23">
        <w:t>. Un output gap muy positivo es perjudicial, pues se producen cuellos de botella y existe riesgo de sobrecalentamiento</w:t>
      </w:r>
      <w:r w:rsidR="00F2424D" w:rsidRPr="00025F23">
        <w:t xml:space="preserve"> y de inflación</w:t>
      </w:r>
      <w:r w:rsidRPr="00025F23">
        <w:t>.</w:t>
      </w:r>
    </w:p>
    <w:p w14:paraId="3EAE37F5" w14:textId="00C4E912" w:rsidR="00EB7AA3" w:rsidRPr="00025F23" w:rsidRDefault="00EB7AA3" w:rsidP="00BF3FDC">
      <w:pPr>
        <w:pStyle w:val="Nivel3SM"/>
      </w:pPr>
      <w:r w:rsidRPr="00025F23">
        <w:t>Lo ideal es crecer sobre el PIB potencial y que el output gap se mantenga cercano a 0.</w:t>
      </w:r>
      <w:r w:rsidR="00A31B9B" w:rsidRPr="00025F23">
        <w:t xml:space="preserve"> En esta situación, como el nivel de desempleo o </w:t>
      </w:r>
      <w:r w:rsidR="00A26FB6" w:rsidRPr="00025F23">
        <w:t>la intensidad de utilización del capital están en sus niveles naturales, la inflación debería ser estable en este caso.</w:t>
      </w:r>
    </w:p>
    <w:p w14:paraId="1A218CF1" w14:textId="686738A2" w:rsidR="00EB7AA3" w:rsidRPr="00025F23" w:rsidRDefault="00EB7AA3" w:rsidP="00BF3FDC">
      <w:pPr>
        <w:pStyle w:val="Nivel2SM"/>
        <w:keepNext/>
        <w:spacing w:after="0"/>
      </w:pPr>
      <w:r w:rsidRPr="00025F23">
        <w:t xml:space="preserve">Analizar la </w:t>
      </w:r>
      <w:r w:rsidRPr="00025F23">
        <w:rPr>
          <w:b/>
          <w:bCs/>
        </w:rPr>
        <w:t>variación</w:t>
      </w:r>
      <w:r w:rsidRPr="00025F23">
        <w:t xml:space="preserve"> (nos dice si el PIB real crece más o menos que el potencial):</w:t>
      </w:r>
    </w:p>
    <w:p w14:paraId="2A94DB17" w14:textId="77777777" w:rsidR="0073402E" w:rsidRPr="00025F23" w:rsidRDefault="0073402E" w:rsidP="0073402E">
      <w:pPr>
        <w:pStyle w:val="Prrafodelista"/>
        <w:keepNext/>
        <w:ind w:left="340"/>
        <w:rPr>
          <w:rFonts w:eastAsiaTheme="minorEastAsia"/>
        </w:rPr>
      </w:pPr>
      <m:oMathPara>
        <m:oMath>
          <m:r>
            <m:rPr>
              <m:nor/>
            </m:rPr>
            <w:rPr>
              <w:i/>
            </w:rPr>
            <m:t xml:space="preserve">γ </m:t>
          </m:r>
          <m:r>
            <m:rPr>
              <m:nor/>
            </m:rPr>
            <w:rPr>
              <w:i/>
              <w:iCs/>
            </w:rPr>
            <m:t>Output gap</m:t>
          </m:r>
          <m:r>
            <w:rPr>
              <w:rFonts w:ascii="Cambria Math" w:hAnsi="Cambria Math"/>
            </w:rPr>
            <m:t>=</m:t>
          </m:r>
          <m:r>
            <m:rPr>
              <m:nor/>
            </m:rPr>
            <w:rPr>
              <w:i/>
            </w:rPr>
            <m:t xml:space="preserve">γ </m:t>
          </m:r>
          <m:sSub>
            <m:sSubPr>
              <m:ctrlPr>
                <w:rPr>
                  <w:rFonts w:ascii="Cambria Math" w:hAnsi="Cambria Math"/>
                  <w:i/>
                  <w:iCs/>
                </w:rPr>
              </m:ctrlPr>
            </m:sSubPr>
            <m:e>
              <m:r>
                <m:rPr>
                  <m:nor/>
                </m:rPr>
                <w:rPr>
                  <w:i/>
                  <w:iCs/>
                </w:rPr>
                <m:t>PIB</m:t>
              </m:r>
            </m:e>
            <m:sub>
              <m:r>
                <m:rPr>
                  <m:nor/>
                </m:rPr>
                <w:rPr>
                  <w:i/>
                  <w:iCs/>
                </w:rPr>
                <m:t>Observado</m:t>
              </m:r>
            </m:sub>
          </m:sSub>
          <m:r>
            <w:rPr>
              <w:rFonts w:ascii="Cambria Math" w:hAnsi="Cambria Math"/>
            </w:rPr>
            <m:t>-</m:t>
          </m:r>
          <m:r>
            <m:rPr>
              <m:nor/>
            </m:rPr>
            <w:rPr>
              <w:i/>
            </w:rPr>
            <m:t xml:space="preserve">γ </m:t>
          </m:r>
          <m:sSub>
            <m:sSubPr>
              <m:ctrlPr>
                <w:rPr>
                  <w:rFonts w:ascii="Cambria Math" w:hAnsi="Cambria Math"/>
                  <w:i/>
                  <w:iCs/>
                </w:rPr>
              </m:ctrlPr>
            </m:sSubPr>
            <m:e>
              <m:r>
                <m:rPr>
                  <m:nor/>
                </m:rPr>
                <w:rPr>
                  <w:i/>
                  <w:iCs/>
                </w:rPr>
                <m:t>PIB</m:t>
              </m:r>
            </m:e>
            <m:sub>
              <m:r>
                <m:rPr>
                  <m:nor/>
                </m:rPr>
                <w:rPr>
                  <w:i/>
                  <w:iCs/>
                </w:rPr>
                <m:t>Potencial</m:t>
              </m:r>
            </m:sub>
          </m:sSub>
        </m:oMath>
      </m:oMathPara>
    </w:p>
    <w:tbl>
      <w:tblPr>
        <w:tblStyle w:val="Tablaconcuadrcula"/>
        <w:tblW w:w="4522"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0"/>
        <w:gridCol w:w="1309"/>
        <w:gridCol w:w="618"/>
        <w:gridCol w:w="1315"/>
        <w:gridCol w:w="640"/>
      </w:tblGrid>
      <w:tr w:rsidR="0073402E" w:rsidRPr="00025F23" w14:paraId="521D405E" w14:textId="77777777" w:rsidTr="005C1D85">
        <w:tc>
          <w:tcPr>
            <w:tcW w:w="688" w:type="dxa"/>
            <w:vAlign w:val="center"/>
          </w:tcPr>
          <w:p w14:paraId="2BA5D3EE" w14:textId="77777777" w:rsidR="0073402E" w:rsidRPr="00025F23" w:rsidRDefault="0073402E" w:rsidP="005C1D85">
            <w:pPr>
              <w:keepNext/>
              <w:spacing w:after="0"/>
              <w:jc w:val="center"/>
              <w:rPr>
                <w:rFonts w:eastAsiaTheme="minorEastAsia"/>
              </w:rPr>
            </w:pPr>
          </w:p>
        </w:tc>
        <w:tc>
          <w:tcPr>
            <w:tcW w:w="1200" w:type="dxa"/>
            <w:vAlign w:val="center"/>
          </w:tcPr>
          <w:p w14:paraId="13C00B62" w14:textId="77777777" w:rsidR="0073402E" w:rsidRPr="00025F23" w:rsidRDefault="00000000" w:rsidP="005C1D85">
            <w:pPr>
              <w:keepNext/>
              <w:spacing w:after="0"/>
              <w:jc w:val="center"/>
              <w:rPr>
                <w:rFonts w:eastAsiaTheme="minorEastAsia"/>
                <w:sz w:val="15"/>
                <w:szCs w:val="15"/>
              </w:rPr>
            </w:pPr>
            <m:oMathPara>
              <m:oMath>
                <m:box>
                  <m:boxPr>
                    <m:opEmu m:val="1"/>
                    <m:ctrlPr>
                      <w:rPr>
                        <w:rFonts w:ascii="Cambria Math" w:eastAsiaTheme="minorEastAsia" w:hAnsi="Cambria Math"/>
                        <w:i/>
                        <w:sz w:val="15"/>
                        <w:szCs w:val="15"/>
                      </w:rPr>
                    </m:ctrlPr>
                  </m:boxPr>
                  <m:e>
                    <m:groupChr>
                      <m:groupChrPr>
                        <m:chr m:val="→"/>
                        <m:vertJc m:val="bot"/>
                        <m:ctrlPr>
                          <w:rPr>
                            <w:rFonts w:ascii="Cambria Math" w:eastAsiaTheme="minorEastAsia" w:hAnsi="Cambria Math"/>
                            <w:i/>
                            <w:sz w:val="15"/>
                            <w:szCs w:val="15"/>
                          </w:rPr>
                        </m:ctrlPr>
                      </m:groupChrPr>
                      <m:e>
                        <m:r>
                          <m:rPr>
                            <m:nor/>
                          </m:rPr>
                          <w:rPr>
                            <w:rFonts w:eastAsiaTheme="minorEastAsia"/>
                            <w:i/>
                            <w:iCs/>
                            <w:sz w:val="15"/>
                            <w:szCs w:val="15"/>
                          </w:rPr>
                          <m:t xml:space="preserve">           Recuperación           </m:t>
                        </m:r>
                      </m:e>
                    </m:groupChr>
                  </m:e>
                </m:box>
              </m:oMath>
            </m:oMathPara>
          </w:p>
        </w:tc>
        <w:tc>
          <w:tcPr>
            <w:tcW w:w="669" w:type="dxa"/>
            <w:vAlign w:val="center"/>
          </w:tcPr>
          <w:p w14:paraId="498171BD" w14:textId="77777777" w:rsidR="0073402E" w:rsidRPr="00025F23" w:rsidRDefault="0073402E" w:rsidP="005C1D85">
            <w:pPr>
              <w:keepNext/>
              <w:spacing w:after="0"/>
              <w:jc w:val="center"/>
              <w:rPr>
                <w:rFonts w:eastAsiaTheme="minorEastAsia"/>
                <w:sz w:val="15"/>
                <w:szCs w:val="15"/>
              </w:rPr>
            </w:pPr>
          </w:p>
        </w:tc>
        <w:tc>
          <w:tcPr>
            <w:tcW w:w="1277" w:type="dxa"/>
            <w:vAlign w:val="center"/>
          </w:tcPr>
          <w:p w14:paraId="05F52FEA" w14:textId="77777777" w:rsidR="0073402E" w:rsidRPr="00025F23" w:rsidRDefault="00000000" w:rsidP="005C1D85">
            <w:pPr>
              <w:keepNext/>
              <w:spacing w:after="0"/>
              <w:jc w:val="center"/>
              <w:rPr>
                <w:rFonts w:eastAsiaTheme="minorEastAsia"/>
                <w:sz w:val="15"/>
                <w:szCs w:val="15"/>
              </w:rPr>
            </w:pPr>
            <m:oMathPara>
              <m:oMath>
                <m:groupChr>
                  <m:groupChrPr>
                    <m:chr m:val="→"/>
                    <m:vertJc m:val="bot"/>
                    <m:ctrlPr>
                      <w:rPr>
                        <w:rFonts w:ascii="Cambria Math" w:eastAsiaTheme="minorEastAsia" w:hAnsi="Cambria Math"/>
                        <w:i/>
                        <w:sz w:val="15"/>
                        <w:szCs w:val="15"/>
                      </w:rPr>
                    </m:ctrlPr>
                  </m:groupChrPr>
                  <m:e>
                    <m:r>
                      <m:rPr>
                        <m:nor/>
                      </m:rPr>
                      <w:rPr>
                        <w:rFonts w:eastAsiaTheme="minorEastAsia"/>
                        <w:i/>
                        <w:iCs/>
                        <w:sz w:val="15"/>
                        <w:szCs w:val="15"/>
                      </w:rPr>
                      <m:t xml:space="preserve">             Expansión             </m:t>
                    </m:r>
                  </m:e>
                </m:groupChr>
              </m:oMath>
            </m:oMathPara>
          </w:p>
        </w:tc>
        <w:tc>
          <w:tcPr>
            <w:tcW w:w="688" w:type="dxa"/>
            <w:vAlign w:val="center"/>
          </w:tcPr>
          <w:p w14:paraId="2A3BC5BA" w14:textId="77777777" w:rsidR="0073402E" w:rsidRPr="00025F23" w:rsidRDefault="0073402E" w:rsidP="005C1D85">
            <w:pPr>
              <w:keepNext/>
              <w:spacing w:after="0"/>
              <w:jc w:val="center"/>
              <w:rPr>
                <w:rFonts w:eastAsiaTheme="minorEastAsia"/>
              </w:rPr>
            </w:pPr>
          </w:p>
        </w:tc>
      </w:tr>
      <w:tr w:rsidR="0073402E" w:rsidRPr="00025F23" w14:paraId="64D507CD" w14:textId="77777777" w:rsidTr="005C1D85">
        <w:trPr>
          <w:trHeight w:val="113"/>
        </w:trPr>
        <w:tc>
          <w:tcPr>
            <w:tcW w:w="688" w:type="dxa"/>
            <w:vAlign w:val="center"/>
          </w:tcPr>
          <w:p w14:paraId="473B4125" w14:textId="77777777" w:rsidR="0073402E" w:rsidRPr="00025F23" w:rsidRDefault="0073402E" w:rsidP="005C1D85">
            <w:pPr>
              <w:keepNext/>
              <w:spacing w:after="0"/>
              <w:jc w:val="center"/>
              <w:rPr>
                <w:rFonts w:eastAsiaTheme="minorEastAsia"/>
              </w:rPr>
            </w:pPr>
            <m:oMathPara>
              <m:oMath>
                <m:r>
                  <w:rPr>
                    <w:rFonts w:ascii="Cambria Math" w:eastAsiaTheme="minorEastAsia" w:hAnsi="Cambria Math"/>
                  </w:rPr>
                  <m:t>-</m:t>
                </m:r>
              </m:oMath>
            </m:oMathPara>
          </w:p>
        </w:tc>
        <w:tc>
          <w:tcPr>
            <w:tcW w:w="1200" w:type="dxa"/>
            <w:vAlign w:val="center"/>
          </w:tcPr>
          <w:p w14:paraId="473F10F7" w14:textId="77777777" w:rsidR="0073402E" w:rsidRPr="00025F23" w:rsidRDefault="0073402E" w:rsidP="005C1D85">
            <w:pPr>
              <w:keepNext/>
              <w:spacing w:after="0"/>
              <w:jc w:val="center"/>
              <w:rPr>
                <w:rFonts w:eastAsiaTheme="minorEastAsia"/>
                <w:sz w:val="15"/>
                <w:szCs w:val="15"/>
              </w:rPr>
            </w:pPr>
          </w:p>
        </w:tc>
        <w:tc>
          <w:tcPr>
            <w:tcW w:w="669" w:type="dxa"/>
            <w:vAlign w:val="center"/>
          </w:tcPr>
          <w:p w14:paraId="597ABC7B" w14:textId="77777777" w:rsidR="0073402E" w:rsidRPr="00025F23" w:rsidRDefault="0073402E" w:rsidP="005C1D85">
            <w:pPr>
              <w:keepNext/>
              <w:spacing w:after="0"/>
              <w:jc w:val="center"/>
              <w:rPr>
                <w:rFonts w:eastAsiaTheme="minorEastAsia"/>
                <w:i/>
                <w:iCs/>
                <w:szCs w:val="16"/>
              </w:rPr>
            </w:pPr>
            <m:oMathPara>
              <m:oMath>
                <m:r>
                  <m:rPr>
                    <m:nor/>
                  </m:rPr>
                  <w:rPr>
                    <w:rFonts w:eastAsiaTheme="minorEastAsia"/>
                    <w:i/>
                    <w:iCs/>
                    <w:szCs w:val="16"/>
                  </w:rPr>
                  <m:t>0</m:t>
                </m:r>
              </m:oMath>
            </m:oMathPara>
          </w:p>
        </w:tc>
        <w:tc>
          <w:tcPr>
            <w:tcW w:w="1277" w:type="dxa"/>
            <w:vAlign w:val="center"/>
          </w:tcPr>
          <w:p w14:paraId="549D91F9" w14:textId="77777777" w:rsidR="0073402E" w:rsidRPr="00025F23" w:rsidRDefault="0073402E" w:rsidP="005C1D85">
            <w:pPr>
              <w:keepNext/>
              <w:spacing w:after="0"/>
              <w:jc w:val="center"/>
              <w:rPr>
                <w:rFonts w:eastAsiaTheme="minorEastAsia"/>
                <w:sz w:val="15"/>
                <w:szCs w:val="15"/>
              </w:rPr>
            </w:pPr>
          </w:p>
        </w:tc>
        <w:tc>
          <w:tcPr>
            <w:tcW w:w="688" w:type="dxa"/>
            <w:vAlign w:val="center"/>
          </w:tcPr>
          <w:p w14:paraId="3BF5EEC0" w14:textId="77777777" w:rsidR="0073402E" w:rsidRPr="00025F23" w:rsidRDefault="0073402E" w:rsidP="005C1D85">
            <w:pPr>
              <w:keepNext/>
              <w:spacing w:after="0"/>
              <w:jc w:val="center"/>
              <w:rPr>
                <w:rFonts w:eastAsiaTheme="minorEastAsia"/>
              </w:rPr>
            </w:pPr>
            <m:oMathPara>
              <m:oMath>
                <m:r>
                  <w:rPr>
                    <w:rFonts w:ascii="Cambria Math" w:eastAsiaTheme="minorEastAsia" w:hAnsi="Cambria Math"/>
                  </w:rPr>
                  <m:t>+</m:t>
                </m:r>
              </m:oMath>
            </m:oMathPara>
          </w:p>
        </w:tc>
      </w:tr>
      <w:tr w:rsidR="0073402E" w:rsidRPr="00025F23" w14:paraId="3AB5B792" w14:textId="77777777" w:rsidTr="005C1D85">
        <w:tc>
          <w:tcPr>
            <w:tcW w:w="688" w:type="dxa"/>
            <w:vAlign w:val="center"/>
          </w:tcPr>
          <w:p w14:paraId="5B992B52" w14:textId="77777777" w:rsidR="0073402E" w:rsidRPr="00025F23" w:rsidRDefault="0073402E" w:rsidP="005C1D85">
            <w:pPr>
              <w:keepNext/>
              <w:spacing w:after="0"/>
              <w:jc w:val="center"/>
              <w:rPr>
                <w:rFonts w:eastAsiaTheme="minorEastAsia"/>
              </w:rPr>
            </w:pPr>
          </w:p>
        </w:tc>
        <w:tc>
          <w:tcPr>
            <w:tcW w:w="1200" w:type="dxa"/>
            <w:vAlign w:val="center"/>
          </w:tcPr>
          <w:p w14:paraId="1E1FDF8E" w14:textId="77777777" w:rsidR="0073402E" w:rsidRPr="00025F23" w:rsidRDefault="00000000" w:rsidP="005C1D85">
            <w:pPr>
              <w:keepNext/>
              <w:spacing w:after="60"/>
              <w:jc w:val="center"/>
              <w:rPr>
                <w:rFonts w:eastAsiaTheme="minorEastAsia"/>
                <w:sz w:val="15"/>
                <w:szCs w:val="15"/>
              </w:rPr>
            </w:pPr>
            <m:oMathPara>
              <m:oMath>
                <m:box>
                  <m:boxPr>
                    <m:opEmu m:val="1"/>
                    <m:ctrlPr>
                      <w:rPr>
                        <w:rFonts w:ascii="Cambria Math" w:eastAsiaTheme="minorEastAsia" w:hAnsi="Cambria Math"/>
                        <w:i/>
                        <w:sz w:val="15"/>
                        <w:szCs w:val="15"/>
                      </w:rPr>
                    </m:ctrlPr>
                  </m:boxPr>
                  <m:e>
                    <m:box>
                      <m:boxPr>
                        <m:opEmu m:val="1"/>
                        <m:ctrlPr>
                          <w:rPr>
                            <w:rFonts w:ascii="Cambria Math" w:eastAsiaTheme="minorEastAsia" w:hAnsi="Cambria Math"/>
                            <w:i/>
                            <w:sz w:val="15"/>
                            <w:szCs w:val="15"/>
                          </w:rPr>
                        </m:ctrlPr>
                      </m:boxPr>
                      <m:e>
                        <m:groupChr>
                          <m:groupChrPr>
                            <m:chr m:val="←"/>
                            <m:pos m:val="top"/>
                            <m:ctrlPr>
                              <w:rPr>
                                <w:rFonts w:ascii="Cambria Math" w:eastAsiaTheme="minorEastAsia" w:hAnsi="Cambria Math"/>
                                <w:i/>
                                <w:sz w:val="15"/>
                                <w:szCs w:val="15"/>
                              </w:rPr>
                            </m:ctrlPr>
                          </m:groupChrPr>
                          <m:e>
                            <m:r>
                              <m:rPr>
                                <m:nor/>
                              </m:rPr>
                              <w:rPr>
                                <w:rFonts w:eastAsiaTheme="minorEastAsia"/>
                                <w:i/>
                                <w:iCs/>
                                <w:sz w:val="15"/>
                                <w:szCs w:val="15"/>
                              </w:rPr>
                              <m:t xml:space="preserve">              Recesión              </m:t>
                            </m:r>
                          </m:e>
                        </m:groupChr>
                      </m:e>
                    </m:box>
                  </m:e>
                </m:box>
              </m:oMath>
            </m:oMathPara>
          </w:p>
        </w:tc>
        <w:tc>
          <w:tcPr>
            <w:tcW w:w="669" w:type="dxa"/>
            <w:vAlign w:val="center"/>
          </w:tcPr>
          <w:p w14:paraId="47CFFA3D" w14:textId="77777777" w:rsidR="0073402E" w:rsidRPr="00025F23" w:rsidRDefault="0073402E" w:rsidP="005C1D85">
            <w:pPr>
              <w:keepNext/>
              <w:spacing w:after="60"/>
              <w:jc w:val="center"/>
              <w:rPr>
                <w:rFonts w:eastAsiaTheme="minorEastAsia"/>
                <w:sz w:val="15"/>
                <w:szCs w:val="15"/>
              </w:rPr>
            </w:pPr>
          </w:p>
        </w:tc>
        <w:tc>
          <w:tcPr>
            <w:tcW w:w="1277" w:type="dxa"/>
            <w:vAlign w:val="center"/>
          </w:tcPr>
          <w:p w14:paraId="10BFE415" w14:textId="77777777" w:rsidR="0073402E" w:rsidRPr="00025F23" w:rsidRDefault="00000000" w:rsidP="005C1D85">
            <w:pPr>
              <w:keepNext/>
              <w:spacing w:after="60"/>
              <w:jc w:val="center"/>
              <w:rPr>
                <w:rFonts w:eastAsiaTheme="minorEastAsia"/>
                <w:sz w:val="15"/>
                <w:szCs w:val="15"/>
              </w:rPr>
            </w:pPr>
            <m:oMathPara>
              <m:oMath>
                <m:box>
                  <m:boxPr>
                    <m:opEmu m:val="1"/>
                    <m:ctrlPr>
                      <w:rPr>
                        <w:rFonts w:ascii="Cambria Math" w:eastAsiaTheme="minorEastAsia" w:hAnsi="Cambria Math"/>
                        <w:i/>
                        <w:sz w:val="15"/>
                        <w:szCs w:val="15"/>
                      </w:rPr>
                    </m:ctrlPr>
                  </m:boxPr>
                  <m:e>
                    <m:box>
                      <m:boxPr>
                        <m:opEmu m:val="1"/>
                        <m:ctrlPr>
                          <w:rPr>
                            <w:rFonts w:ascii="Cambria Math" w:eastAsiaTheme="minorEastAsia" w:hAnsi="Cambria Math"/>
                            <w:i/>
                            <w:sz w:val="15"/>
                            <w:szCs w:val="15"/>
                          </w:rPr>
                        </m:ctrlPr>
                      </m:boxPr>
                      <m:e>
                        <m:groupChr>
                          <m:groupChrPr>
                            <m:chr m:val="←"/>
                            <m:pos m:val="top"/>
                            <m:ctrlPr>
                              <w:rPr>
                                <w:rFonts w:ascii="Cambria Math" w:eastAsiaTheme="minorEastAsia" w:hAnsi="Cambria Math"/>
                                <w:i/>
                                <w:sz w:val="15"/>
                                <w:szCs w:val="15"/>
                              </w:rPr>
                            </m:ctrlPr>
                          </m:groupChrPr>
                          <m:e>
                            <m:r>
                              <m:rPr>
                                <m:nor/>
                              </m:rPr>
                              <w:rPr>
                                <w:rFonts w:eastAsiaTheme="minorEastAsia"/>
                                <w:i/>
                                <w:iCs/>
                                <w:sz w:val="15"/>
                                <w:szCs w:val="15"/>
                              </w:rPr>
                              <m:t xml:space="preserve">          Desaceleración          </m:t>
                            </m:r>
                          </m:e>
                        </m:groupChr>
                      </m:e>
                    </m:box>
                  </m:e>
                </m:box>
              </m:oMath>
            </m:oMathPara>
          </w:p>
        </w:tc>
        <w:tc>
          <w:tcPr>
            <w:tcW w:w="688" w:type="dxa"/>
            <w:vAlign w:val="center"/>
          </w:tcPr>
          <w:p w14:paraId="2C9DBF04" w14:textId="77777777" w:rsidR="0073402E" w:rsidRPr="00025F23" w:rsidRDefault="0073402E" w:rsidP="005C1D85">
            <w:pPr>
              <w:keepNext/>
              <w:spacing w:after="0"/>
              <w:jc w:val="center"/>
              <w:rPr>
                <w:rFonts w:eastAsiaTheme="minorEastAsia"/>
              </w:rPr>
            </w:pPr>
          </w:p>
        </w:tc>
      </w:tr>
    </w:tbl>
    <w:p w14:paraId="685041F0" w14:textId="77777777" w:rsidR="0073402E" w:rsidRPr="00025F23" w:rsidRDefault="0073402E" w:rsidP="0073402E">
      <w:pPr>
        <w:pStyle w:val="Nivel3"/>
        <w:spacing w:before="40" w:after="20"/>
      </w:pPr>
      <w:r w:rsidRPr="00025F23">
        <w:t xml:space="preserve">Decir si la recesión es de tipo V, U, W </w:t>
      </w:r>
      <w:proofErr w:type="spellStart"/>
      <w:r w:rsidRPr="00025F23">
        <w:t>ó</w:t>
      </w:r>
      <w:proofErr w:type="spellEnd"/>
      <w:r w:rsidRPr="00025F23">
        <w:t xml:space="preserve"> L.</w:t>
      </w:r>
    </w:p>
    <w:p w14:paraId="5AF48F8B" w14:textId="02B3C4E3" w:rsidR="0073402E" w:rsidRPr="00025F23" w:rsidRDefault="0073402E" w:rsidP="00AD13B3">
      <w:pPr>
        <w:pStyle w:val="Cajadeanotaciones"/>
      </w:pPr>
      <w:r w:rsidRPr="00025F23">
        <w:rPr>
          <w:iCs/>
        </w:rPr>
        <w:t xml:space="preserve">Terminología: </w:t>
      </w:r>
      <w:r w:rsidRPr="00025F23">
        <w:rPr>
          <w:i/>
          <w:iCs/>
        </w:rPr>
        <w:t>“el output-gap se cierra/se abre.”</w:t>
      </w:r>
    </w:p>
    <w:p w14:paraId="0A9099C1" w14:textId="3F05141C" w:rsidR="0073402E" w:rsidRPr="00BF3FDC" w:rsidRDefault="0073402E" w:rsidP="00BF3FDC">
      <w:pPr>
        <w:pStyle w:val="Nivel2SM"/>
        <w:keepNext/>
        <w:spacing w:after="0"/>
        <w:rPr>
          <w:spacing w:val="-1"/>
        </w:rPr>
      </w:pPr>
      <w:r w:rsidRPr="00BF3FDC">
        <w:rPr>
          <w:spacing w:val="-1"/>
        </w:rPr>
        <w:t xml:space="preserve">De este modo, además, será interesante conocer la </w:t>
      </w:r>
      <w:r w:rsidRPr="00BF3FDC">
        <w:rPr>
          <w:b/>
          <w:bCs/>
          <w:spacing w:val="-1"/>
        </w:rPr>
        <w:t>variación del PIB potencial</w:t>
      </w:r>
      <w:r w:rsidRPr="00BF3FDC">
        <w:rPr>
          <w:spacing w:val="-1"/>
        </w:rPr>
        <w:t xml:space="preserve">, ya que a menudo tendremos los valores del output gap en </w:t>
      </w:r>
      <w:r w:rsidRPr="00BF3FDC">
        <w:rPr>
          <w:spacing w:val="-1"/>
        </w:rPr>
        <w:t>diferentes períodos y la variación del PIB real. Por lo tanto, podremos calcular la variación del PIB potencial a través de la siguiente fórmula</w:t>
      </w:r>
      <w:r w:rsidR="00372F88" w:rsidRPr="00BF3FDC">
        <w:rPr>
          <w:rStyle w:val="Refdenotaalpie"/>
          <w:rFonts w:eastAsiaTheme="minorEastAsia"/>
          <w:spacing w:val="-1"/>
        </w:rPr>
        <w:footnoteReference w:id="9"/>
      </w:r>
      <w:r w:rsidRPr="00BF3FDC">
        <w:rPr>
          <w:spacing w:val="-1"/>
        </w:rPr>
        <w:t>:</w:t>
      </w:r>
    </w:p>
    <w:p w14:paraId="18EC7D30" w14:textId="095916A6" w:rsidR="0073402E" w:rsidRPr="00025F23" w:rsidRDefault="005D1A74" w:rsidP="0073402E">
      <w:pPr>
        <w:pStyle w:val="Prrafodelista"/>
        <w:keepNext/>
        <w:ind w:left="340"/>
        <w:rPr>
          <w:rFonts w:eastAsiaTheme="minorEastAsia"/>
        </w:rPr>
      </w:pPr>
      <m:oMathPara>
        <m:oMath>
          <m:r>
            <m:rPr>
              <m:nor/>
            </m:rPr>
            <w:rPr>
              <w:iCs/>
            </w:rPr>
            <m:t xml:space="preserve"> </m:t>
          </m:r>
          <m:r>
            <m:rPr>
              <m:nor/>
            </m:rPr>
            <w:rPr>
              <w:i/>
            </w:rPr>
            <m:t xml:space="preserve">γ </m:t>
          </m:r>
          <m:sSub>
            <m:sSubPr>
              <m:ctrlPr>
                <w:rPr>
                  <w:rFonts w:ascii="Cambria Math" w:hAnsi="Cambria Math"/>
                  <w:i/>
                  <w:iCs/>
                </w:rPr>
              </m:ctrlPr>
            </m:sSubPr>
            <m:e>
              <m:r>
                <m:rPr>
                  <m:nor/>
                </m:rPr>
                <w:rPr>
                  <w:i/>
                  <w:iCs/>
                </w:rPr>
                <m:t>PIB</m:t>
              </m:r>
            </m:e>
            <m:sub>
              <m:r>
                <m:rPr>
                  <m:nor/>
                </m:rPr>
                <w:rPr>
                  <w:i/>
                  <w:iCs/>
                </w:rPr>
                <m:t>Potencial</m:t>
              </m:r>
            </m:sub>
          </m:sSub>
          <m:r>
            <w:rPr>
              <w:rFonts w:ascii="Cambria Math" w:hAnsi="Cambria Math"/>
            </w:rPr>
            <m:t>=</m:t>
          </m:r>
          <m:r>
            <m:rPr>
              <m:nor/>
            </m:rPr>
            <w:rPr>
              <w:i/>
            </w:rPr>
            <m:t xml:space="preserve">γ </m:t>
          </m:r>
          <m:sSub>
            <m:sSubPr>
              <m:ctrlPr>
                <w:rPr>
                  <w:rFonts w:ascii="Cambria Math" w:hAnsi="Cambria Math"/>
                  <w:i/>
                  <w:iCs/>
                </w:rPr>
              </m:ctrlPr>
            </m:sSubPr>
            <m:e>
              <m:r>
                <m:rPr>
                  <m:nor/>
                </m:rPr>
                <w:rPr>
                  <w:i/>
                  <w:iCs/>
                </w:rPr>
                <m:t>PIB</m:t>
              </m:r>
            </m:e>
            <m:sub>
              <m:r>
                <m:rPr>
                  <m:nor/>
                </m:rPr>
                <w:rPr>
                  <w:i/>
                  <w:iCs/>
                </w:rPr>
                <m:t>Observado</m:t>
              </m:r>
            </m:sub>
          </m:sSub>
          <m:r>
            <w:rPr>
              <w:rFonts w:ascii="Cambria Math" w:hAnsi="Cambria Math"/>
            </w:rPr>
            <m:t>-</m:t>
          </m:r>
          <m:limUpp>
            <m:limUppPr>
              <m:ctrlPr>
                <w:rPr>
                  <w:rFonts w:ascii="Cambria Math" w:hAnsi="Cambria Math"/>
                  <w:i/>
                </w:rPr>
              </m:ctrlPr>
            </m:limUppPr>
            <m:e>
              <m:groupChr>
                <m:groupChrPr>
                  <m:chr m:val="⏞"/>
                  <m:pos m:val="top"/>
                  <m:vertJc m:val="bot"/>
                  <m:ctrlPr>
                    <w:rPr>
                      <w:rFonts w:ascii="Cambria Math" w:hAnsi="Cambria Math"/>
                      <w:i/>
                    </w:rPr>
                  </m:ctrlPr>
                </m:groupChrPr>
                <m:e>
                  <m:d>
                    <m:dPr>
                      <m:ctrlPr>
                        <w:rPr>
                          <w:rFonts w:ascii="Cambria Math" w:hAnsi="Cambria Math"/>
                          <w:i/>
                        </w:rPr>
                      </m:ctrlPr>
                    </m:dPr>
                    <m:e>
                      <m:sSub>
                        <m:sSubPr>
                          <m:ctrlPr>
                            <w:rPr>
                              <w:rFonts w:ascii="Cambria Math" w:hAnsi="Cambria Math"/>
                              <w:i/>
                              <w:iCs/>
                              <w:lang w:val="en-US"/>
                            </w:rPr>
                          </m:ctrlPr>
                        </m:sSubPr>
                        <m:e>
                          <m:r>
                            <m:rPr>
                              <m:nor/>
                            </m:rPr>
                            <w:rPr>
                              <w:i/>
                              <w:iCs/>
                            </w:rPr>
                            <m:t>Output gap</m:t>
                          </m:r>
                        </m:e>
                        <m:sub>
                          <m:r>
                            <m:rPr>
                              <m:nor/>
                            </m:rPr>
                            <w:rPr>
                              <w:i/>
                              <w:iCs/>
                            </w:rPr>
                            <m:t>t</m:t>
                          </m:r>
                        </m:sub>
                      </m:sSub>
                      <m:r>
                        <w:rPr>
                          <w:rFonts w:ascii="Cambria Math" w:hAnsi="Cambria Math"/>
                        </w:rPr>
                        <m:t>-</m:t>
                      </m:r>
                      <m:sSub>
                        <m:sSubPr>
                          <m:ctrlPr>
                            <w:rPr>
                              <w:rFonts w:ascii="Cambria Math" w:hAnsi="Cambria Math"/>
                              <w:i/>
                              <w:iCs/>
                              <w:lang w:val="en-US"/>
                            </w:rPr>
                          </m:ctrlPr>
                        </m:sSubPr>
                        <m:e>
                          <m:r>
                            <m:rPr>
                              <m:nor/>
                            </m:rPr>
                            <w:rPr>
                              <w:i/>
                              <w:iCs/>
                            </w:rPr>
                            <m:t>Output gap</m:t>
                          </m:r>
                        </m:e>
                        <m:sub>
                          <m:r>
                            <m:rPr>
                              <m:nor/>
                            </m:rPr>
                            <w:rPr>
                              <w:i/>
                              <w:iCs/>
                            </w:rPr>
                            <m:t>t</m:t>
                          </m:r>
                          <m:r>
                            <w:rPr>
                              <w:rFonts w:ascii="Cambria Math" w:hAnsi="Cambria Math"/>
                            </w:rPr>
                            <m:t>-</m:t>
                          </m:r>
                          <m:r>
                            <m:rPr>
                              <m:nor/>
                            </m:rPr>
                            <w:rPr>
                              <w:i/>
                              <w:iCs/>
                            </w:rPr>
                            <m:t>1</m:t>
                          </m:r>
                        </m:sub>
                      </m:sSub>
                    </m:e>
                  </m:d>
                </m:e>
              </m:groupChr>
            </m:e>
            <m:lim>
              <m:r>
                <m:rPr>
                  <m:nor/>
                </m:rPr>
                <w:rPr>
                  <w:i/>
                </w:rPr>
                <m:t xml:space="preserve">γ </m:t>
              </m:r>
              <m:r>
                <m:rPr>
                  <m:nor/>
                </m:rPr>
                <w:rPr>
                  <w:i/>
                  <w:iCs/>
                </w:rPr>
                <m:t>Output gap</m:t>
              </m:r>
            </m:lim>
          </m:limUpp>
        </m:oMath>
      </m:oMathPara>
    </w:p>
    <w:p w14:paraId="50E99972" w14:textId="74C04D61" w:rsidR="00926B1A" w:rsidRPr="00025F23" w:rsidRDefault="00252ECE" w:rsidP="00E5213A">
      <w:pPr>
        <w:pStyle w:val="Nivel1SM"/>
      </w:pPr>
      <w:r w:rsidRPr="00025F23">
        <w:t>En cualquier caso, es necesario tener en cuenta que todos los enfoques descansan sobre un análisis económico que usa el crecimiento pasado para evaluar el crecimiento futuro. Por lo tanto, este enfoque podría no ser muy satisfactorio para economías que se enfrenten un cambio estructural rápido.</w:t>
      </w:r>
    </w:p>
    <w:p w14:paraId="62B2399C" w14:textId="5D700A4A" w:rsidR="00CB2D91" w:rsidRPr="00025F23" w:rsidRDefault="00CB2D91" w:rsidP="00AD1AFB">
      <w:pPr>
        <w:pStyle w:val="Ttulo2"/>
      </w:pPr>
      <w:bookmarkStart w:id="26" w:name="_Toc88565972"/>
      <w:bookmarkStart w:id="27" w:name="_Toc88566116"/>
      <w:bookmarkStart w:id="28" w:name="_Toc173446242"/>
      <w:bookmarkStart w:id="29" w:name="_Toc189085774"/>
      <w:r w:rsidRPr="00025F23">
        <w:t>Demanda</w:t>
      </w:r>
      <w:bookmarkEnd w:id="26"/>
      <w:bookmarkEnd w:id="27"/>
      <w:bookmarkEnd w:id="28"/>
      <w:bookmarkEnd w:id="29"/>
    </w:p>
    <w:p w14:paraId="070D46A0" w14:textId="7F28D4AF" w:rsidR="00A1660E" w:rsidRPr="00025F23" w:rsidRDefault="00FF1585" w:rsidP="00E5213A">
      <w:pPr>
        <w:pStyle w:val="Nivel1SM"/>
        <w:keepNext/>
        <w:spacing w:after="0"/>
      </w:pPr>
      <w:r w:rsidRPr="00025F23">
        <w:t xml:space="preserve">El </w:t>
      </w:r>
      <w:r w:rsidRPr="00025F23">
        <w:rPr>
          <w:b/>
          <w:bCs/>
        </w:rPr>
        <w:t>objetivo</w:t>
      </w:r>
      <w:r w:rsidRPr="00025F23">
        <w:t xml:space="preserve"> de este apartado es explicar la evolución económica a través del enfoque del gasto del PIB.</w:t>
      </w:r>
    </w:p>
    <w:p w14:paraId="5C743C5A" w14:textId="6CAF062D" w:rsidR="00A1660E" w:rsidRPr="00025F23" w:rsidRDefault="00000000" w:rsidP="00FF1585">
      <w:pPr>
        <w:rPr>
          <w:rFonts w:eastAsiaTheme="minorEastAsia"/>
          <w:i/>
          <w:iCs/>
          <w:szCs w:val="16"/>
          <w:lang w:val="fr-FR"/>
        </w:rPr>
      </w:pPr>
      <m:oMathPara>
        <m:oMath>
          <m:sSub>
            <m:sSubPr>
              <m:ctrlPr>
                <w:rPr>
                  <w:rFonts w:ascii="Cambria Math" w:eastAsiaTheme="minorEastAsia" w:hAnsi="Cambria Math"/>
                  <w:i/>
                  <w:iCs/>
                  <w:szCs w:val="16"/>
                </w:rPr>
              </m:ctrlPr>
            </m:sSubPr>
            <m:e>
              <m:r>
                <m:rPr>
                  <m:nor/>
                </m:rPr>
                <w:rPr>
                  <w:rFonts w:eastAsiaTheme="minorEastAsia"/>
                  <w:i/>
                  <w:iCs/>
                  <w:szCs w:val="16"/>
                  <w:lang w:val="fr-FR"/>
                </w:rPr>
                <m:t>Demanda</m:t>
              </m:r>
            </m:e>
            <m:sub>
              <m:r>
                <m:rPr>
                  <m:nor/>
                </m:rPr>
                <w:rPr>
                  <w:rFonts w:eastAsiaTheme="minorEastAsia"/>
                  <w:i/>
                  <w:iCs/>
                  <w:szCs w:val="16"/>
                  <w:lang w:val="fr-FR"/>
                </w:rPr>
                <m:t>t</m:t>
              </m:r>
            </m:sub>
          </m:sSub>
          <m:r>
            <w:rPr>
              <w:rFonts w:ascii="Cambria Math" w:eastAsiaTheme="minorEastAsia" w:hAnsi="Cambria Math"/>
              <w:szCs w:val="16"/>
              <w:lang w:val="fr-FR"/>
            </w:rPr>
            <m:t>=</m:t>
          </m:r>
          <m:sSub>
            <m:sSubPr>
              <m:ctrlPr>
                <w:rPr>
                  <w:rFonts w:ascii="Cambria Math" w:eastAsiaTheme="minorEastAsia" w:hAnsi="Cambria Math"/>
                  <w:i/>
                  <w:szCs w:val="16"/>
                </w:rPr>
              </m:ctrlPr>
            </m:sSubPr>
            <m:e>
              <m:r>
                <m:rPr>
                  <m:nor/>
                </m:rPr>
                <w:rPr>
                  <w:rFonts w:eastAsiaTheme="minorEastAsia"/>
                  <w:i/>
                  <w:szCs w:val="16"/>
                  <w:lang w:val="fr-FR"/>
                </w:rPr>
                <m:t>Y</m:t>
              </m:r>
            </m:e>
            <m:sub>
              <m:r>
                <m:rPr>
                  <m:nor/>
                </m:rPr>
                <w:rPr>
                  <w:rFonts w:eastAsiaTheme="minorEastAsia"/>
                  <w:i/>
                  <w:szCs w:val="16"/>
                  <w:lang w:val="fr-FR"/>
                </w:rPr>
                <m:t>t</m:t>
              </m:r>
            </m:sub>
          </m:sSub>
          <m:r>
            <w:rPr>
              <w:rFonts w:ascii="Cambria Math" w:eastAsiaTheme="minorEastAsia" w:hAnsi="Cambria Math"/>
              <w:szCs w:val="16"/>
              <w:lang w:val="fr-FR"/>
            </w:rPr>
            <m:t>=</m:t>
          </m:r>
          <m:limLow>
            <m:limLowPr>
              <m:ctrlPr>
                <w:rPr>
                  <w:rFonts w:ascii="Cambria Math" w:hAnsi="Cambria Math"/>
                  <w:i/>
                  <w:iCs/>
                  <w:szCs w:val="16"/>
                </w:rPr>
              </m:ctrlPr>
            </m:limLowPr>
            <m:e>
              <m:groupChr>
                <m:groupChrPr>
                  <m:ctrlPr>
                    <w:rPr>
                      <w:rFonts w:ascii="Cambria Math" w:hAnsi="Cambria Math"/>
                      <w:i/>
                      <w:iCs/>
                      <w:szCs w:val="16"/>
                    </w:rPr>
                  </m:ctrlPr>
                </m:groupChrPr>
                <m:e>
                  <m:sSub>
                    <m:sSubPr>
                      <m:ctrlPr>
                        <w:rPr>
                          <w:rFonts w:ascii="Cambria Math" w:eastAsiaTheme="minorEastAsia" w:hAnsi="Cambria Math"/>
                          <w:i/>
                          <w:szCs w:val="16"/>
                        </w:rPr>
                      </m:ctrlPr>
                    </m:sSubPr>
                    <m:e>
                      <m:r>
                        <m:rPr>
                          <m:nor/>
                        </m:rPr>
                        <w:rPr>
                          <w:rFonts w:eastAsiaTheme="minorEastAsia"/>
                          <w:i/>
                          <w:szCs w:val="16"/>
                          <w:lang w:val="fr-FR"/>
                        </w:rPr>
                        <m:t>C</m:t>
                      </m:r>
                    </m:e>
                    <m:sub>
                      <m:r>
                        <m:rPr>
                          <m:nor/>
                        </m:rPr>
                        <w:rPr>
                          <w:rFonts w:eastAsiaTheme="minorEastAsia"/>
                          <w:i/>
                          <w:szCs w:val="16"/>
                          <w:lang w:val="fr-FR"/>
                        </w:rPr>
                        <m:t>t</m:t>
                      </m:r>
                    </m:sub>
                  </m:sSub>
                  <m:r>
                    <w:rPr>
                      <w:rFonts w:ascii="Cambria Math" w:hAnsi="Cambria Math"/>
                      <w:szCs w:val="16"/>
                      <w:lang w:val="fr-FR"/>
                    </w:rPr>
                    <m:t>+</m:t>
                  </m:r>
                  <m:sSub>
                    <m:sSubPr>
                      <m:ctrlPr>
                        <w:rPr>
                          <w:rFonts w:ascii="Cambria Math" w:eastAsiaTheme="minorEastAsia" w:hAnsi="Cambria Math"/>
                          <w:i/>
                          <w:szCs w:val="16"/>
                        </w:rPr>
                      </m:ctrlPr>
                    </m:sSubPr>
                    <m:e>
                      <m:r>
                        <m:rPr>
                          <m:nor/>
                        </m:rPr>
                        <w:rPr>
                          <w:rFonts w:eastAsiaTheme="minorEastAsia"/>
                          <w:i/>
                          <w:szCs w:val="16"/>
                          <w:lang w:val="fr-FR"/>
                        </w:rPr>
                        <m:t>I</m:t>
                      </m:r>
                    </m:e>
                    <m:sub>
                      <m:r>
                        <m:rPr>
                          <m:nor/>
                        </m:rPr>
                        <w:rPr>
                          <w:rFonts w:eastAsiaTheme="minorEastAsia"/>
                          <w:i/>
                          <w:szCs w:val="16"/>
                          <w:lang w:val="fr-FR"/>
                        </w:rPr>
                        <m:t>t</m:t>
                      </m:r>
                    </m:sub>
                  </m:sSub>
                  <m:r>
                    <w:rPr>
                      <w:rFonts w:ascii="Cambria Math" w:hAnsi="Cambria Math"/>
                      <w:szCs w:val="16"/>
                      <w:lang w:val="fr-FR"/>
                    </w:rPr>
                    <m:t>+</m:t>
                  </m:r>
                  <m:sSub>
                    <m:sSubPr>
                      <m:ctrlPr>
                        <w:rPr>
                          <w:rFonts w:ascii="Cambria Math" w:eastAsiaTheme="minorEastAsia" w:hAnsi="Cambria Math"/>
                          <w:i/>
                          <w:szCs w:val="16"/>
                        </w:rPr>
                      </m:ctrlPr>
                    </m:sSubPr>
                    <m:e>
                      <m:r>
                        <m:rPr>
                          <m:nor/>
                        </m:rPr>
                        <w:rPr>
                          <w:rFonts w:eastAsiaTheme="minorEastAsia"/>
                          <w:i/>
                          <w:szCs w:val="16"/>
                          <w:lang w:val="fr-FR"/>
                        </w:rPr>
                        <m:t>G</m:t>
                      </m:r>
                    </m:e>
                    <m:sub>
                      <m:r>
                        <m:rPr>
                          <m:nor/>
                        </m:rPr>
                        <w:rPr>
                          <w:rFonts w:eastAsiaTheme="minorEastAsia"/>
                          <w:i/>
                          <w:szCs w:val="16"/>
                          <w:lang w:val="fr-FR"/>
                        </w:rPr>
                        <m:t>t</m:t>
                      </m:r>
                    </m:sub>
                  </m:sSub>
                </m:e>
              </m:groupChr>
            </m:e>
            <m:lim>
              <m:r>
                <m:rPr>
                  <m:nor/>
                </m:rPr>
                <w:rPr>
                  <w:i/>
                  <w:iCs/>
                  <w:szCs w:val="16"/>
                  <w:lang w:val="fr-FR"/>
                </w:rPr>
                <m:t>Demanda interna</m:t>
              </m:r>
            </m:lim>
          </m:limLow>
          <m:r>
            <w:rPr>
              <w:rFonts w:ascii="Cambria Math" w:hAnsi="Cambria Math"/>
              <w:szCs w:val="16"/>
              <w:lang w:val="fr-FR"/>
            </w:rPr>
            <m:t>+</m:t>
          </m:r>
          <m:limLow>
            <m:limLowPr>
              <m:ctrlPr>
                <w:rPr>
                  <w:rFonts w:ascii="Cambria Math" w:hAnsi="Cambria Math"/>
                  <w:i/>
                  <w:iCs/>
                  <w:szCs w:val="16"/>
                </w:rPr>
              </m:ctrlPr>
            </m:limLowPr>
            <m:e>
              <m:groupChr>
                <m:groupChrPr>
                  <m:ctrlPr>
                    <w:rPr>
                      <w:rFonts w:ascii="Cambria Math" w:hAnsi="Cambria Math"/>
                      <w:i/>
                      <w:iCs/>
                      <w:szCs w:val="16"/>
                    </w:rPr>
                  </m:ctrlPr>
                </m:groupChrPr>
                <m:e>
                  <m:d>
                    <m:dPr>
                      <m:ctrlPr>
                        <w:rPr>
                          <w:rFonts w:ascii="Cambria Math" w:hAnsi="Cambria Math"/>
                          <w:i/>
                          <w:iCs/>
                          <w:szCs w:val="16"/>
                        </w:rPr>
                      </m:ctrlPr>
                    </m:dPr>
                    <m:e>
                      <m:sSub>
                        <m:sSubPr>
                          <m:ctrlPr>
                            <w:rPr>
                              <w:rFonts w:ascii="Cambria Math" w:eastAsiaTheme="minorEastAsia" w:hAnsi="Cambria Math"/>
                              <w:i/>
                              <w:szCs w:val="16"/>
                            </w:rPr>
                          </m:ctrlPr>
                        </m:sSubPr>
                        <m:e>
                          <m:r>
                            <m:rPr>
                              <m:nor/>
                            </m:rPr>
                            <w:rPr>
                              <w:rFonts w:eastAsiaTheme="minorEastAsia"/>
                              <w:i/>
                              <w:szCs w:val="16"/>
                              <w:lang w:val="fr-FR"/>
                            </w:rPr>
                            <m:t>X</m:t>
                          </m:r>
                        </m:e>
                        <m:sub>
                          <m:r>
                            <m:rPr>
                              <m:nor/>
                            </m:rPr>
                            <w:rPr>
                              <w:rFonts w:eastAsiaTheme="minorEastAsia"/>
                              <w:i/>
                              <w:szCs w:val="16"/>
                              <w:lang w:val="fr-FR"/>
                            </w:rPr>
                            <m:t>t</m:t>
                          </m:r>
                        </m:sub>
                      </m:sSub>
                      <m:r>
                        <w:rPr>
                          <w:rFonts w:ascii="Cambria Math" w:hAnsi="Cambria Math" w:cs="Times New Roman"/>
                          <w:sz w:val="14"/>
                          <w:szCs w:val="14"/>
                          <w:lang w:val="fr-FR"/>
                        </w:rPr>
                        <m:t>-</m:t>
                      </m:r>
                      <m:sSub>
                        <m:sSubPr>
                          <m:ctrlPr>
                            <w:rPr>
                              <w:rFonts w:ascii="Cambria Math" w:eastAsiaTheme="minorEastAsia" w:hAnsi="Cambria Math"/>
                              <w:i/>
                              <w:szCs w:val="16"/>
                            </w:rPr>
                          </m:ctrlPr>
                        </m:sSubPr>
                        <m:e>
                          <m:r>
                            <m:rPr>
                              <m:nor/>
                            </m:rPr>
                            <w:rPr>
                              <w:rFonts w:eastAsiaTheme="minorEastAsia"/>
                              <w:i/>
                              <w:szCs w:val="16"/>
                              <w:lang w:val="fr-FR"/>
                            </w:rPr>
                            <m:t>M</m:t>
                          </m:r>
                        </m:e>
                        <m:sub>
                          <m:r>
                            <m:rPr>
                              <m:nor/>
                            </m:rPr>
                            <w:rPr>
                              <w:rFonts w:eastAsiaTheme="minorEastAsia"/>
                              <w:i/>
                              <w:szCs w:val="16"/>
                              <w:lang w:val="fr-FR"/>
                            </w:rPr>
                            <m:t>t</m:t>
                          </m:r>
                        </m:sub>
                      </m:sSub>
                    </m:e>
                  </m:d>
                </m:e>
              </m:groupChr>
            </m:e>
            <m:lim>
              <m:r>
                <m:rPr>
                  <m:nor/>
                </m:rPr>
                <w:rPr>
                  <w:i/>
                  <w:iCs/>
                  <w:szCs w:val="16"/>
                  <w:lang w:val="fr-FR"/>
                </w:rPr>
                <m:t>Demanda externa</m:t>
              </m:r>
            </m:lim>
          </m:limLow>
        </m:oMath>
      </m:oMathPara>
    </w:p>
    <w:p w14:paraId="3082387B" w14:textId="77777777" w:rsidR="00217E58" w:rsidRPr="00025F23" w:rsidRDefault="00217E58" w:rsidP="00217E58">
      <w:pPr>
        <w:pStyle w:val="Desarrollocoyuntura"/>
      </w:pPr>
      <w:bookmarkStart w:id="30" w:name="_Toc88565973"/>
      <w:bookmarkStart w:id="31" w:name="_Toc173446243"/>
      <w:r w:rsidRPr="00025F23">
        <w:t xml:space="preserve">“Analicemos con detenimiento los </w:t>
      </w:r>
      <w:r w:rsidRPr="00025F23">
        <w:rPr>
          <w:u w:val="single"/>
        </w:rPr>
        <w:t>diferentes componentes de la demanda</w:t>
      </w:r>
      <w:r w:rsidRPr="00025F23">
        <w:t xml:space="preserve"> para entender mejor las etapas a las que se enfrenta esta economía.</w:t>
      </w:r>
      <w:bookmarkEnd w:id="30"/>
      <w:bookmarkEnd w:id="31"/>
    </w:p>
    <w:p w14:paraId="632F815A" w14:textId="2267C78C" w:rsidR="00217E58" w:rsidRPr="00025F23" w:rsidRDefault="00F976D1" w:rsidP="00217E58">
      <w:pPr>
        <w:pStyle w:val="Desarrollocoyuntura"/>
        <w:rPr>
          <w:spacing w:val="-1"/>
        </w:rPr>
      </w:pPr>
      <w:bookmarkStart w:id="32" w:name="_Toc88565974"/>
      <w:bookmarkStart w:id="33" w:name="_Toc173446244"/>
      <w:r w:rsidRPr="00025F23">
        <w:rPr>
          <w:spacing w:val="-1"/>
        </w:rPr>
        <w:t>Así, en una primera aproximación, p</w:t>
      </w:r>
      <w:r w:rsidR="00217E58" w:rsidRPr="00025F23">
        <w:rPr>
          <w:spacing w:val="-1"/>
        </w:rPr>
        <w:t xml:space="preserve">odemos analizar la evolución del PIB desde el punto de vista de la </w:t>
      </w:r>
      <w:r w:rsidR="00217E58" w:rsidRPr="00025F23">
        <w:rPr>
          <w:b/>
          <w:bCs/>
          <w:spacing w:val="-1"/>
        </w:rPr>
        <w:t>demanda interna</w:t>
      </w:r>
      <w:r w:rsidR="00217E58" w:rsidRPr="00025F23">
        <w:rPr>
          <w:spacing w:val="-1"/>
        </w:rPr>
        <w:t xml:space="preserve">, que integra consumo e inversión privados y públicos, y de la </w:t>
      </w:r>
      <w:r w:rsidR="00217E58" w:rsidRPr="00025F23">
        <w:rPr>
          <w:b/>
          <w:bCs/>
          <w:spacing w:val="-1"/>
        </w:rPr>
        <w:t>demanda externa</w:t>
      </w:r>
      <w:r w:rsidR="00217E58" w:rsidRPr="00025F23">
        <w:rPr>
          <w:spacing w:val="-1"/>
        </w:rPr>
        <w:t>, que se refiere a las exportaciones netas.”</w:t>
      </w:r>
      <w:bookmarkEnd w:id="32"/>
      <w:bookmarkEnd w:id="33"/>
    </w:p>
    <w:p w14:paraId="45E796DA" w14:textId="7D65A16D" w:rsidR="00CB2D91" w:rsidRPr="00025F23" w:rsidRDefault="00CB2D91" w:rsidP="00AD1AFB">
      <w:pPr>
        <w:pStyle w:val="Ttulo3"/>
      </w:pPr>
      <w:bookmarkStart w:id="34" w:name="_Hlk73201896"/>
      <w:bookmarkStart w:id="35" w:name="_Toc88565975"/>
      <w:bookmarkStart w:id="36" w:name="_Toc88566117"/>
      <w:bookmarkStart w:id="37" w:name="_Toc173446245"/>
      <w:bookmarkStart w:id="38" w:name="_Toc189085775"/>
      <w:r w:rsidRPr="00025F23">
        <w:t>Motor de crecimiento</w:t>
      </w:r>
      <w:bookmarkEnd w:id="34"/>
      <w:r w:rsidRPr="00025F23">
        <w:t xml:space="preserve"> (Demanda interna y Demanda externa)</w:t>
      </w:r>
      <w:bookmarkEnd w:id="35"/>
      <w:bookmarkEnd w:id="36"/>
      <w:bookmarkEnd w:id="37"/>
      <w:bookmarkEnd w:id="38"/>
    </w:p>
    <w:p w14:paraId="6A0300D6" w14:textId="77777777" w:rsidR="00A92095" w:rsidRPr="00025F23" w:rsidRDefault="00A92095" w:rsidP="008201C2">
      <w:pPr>
        <w:pStyle w:val="Cajadeanotaciones"/>
        <w:keepNext/>
        <w:jc w:val="center"/>
      </w:pPr>
      <w:r w:rsidRPr="00025F23">
        <w:t>¿Cuál es el motor de la economía?</w:t>
      </w:r>
    </w:p>
    <w:p w14:paraId="1044092E" w14:textId="77777777" w:rsidR="00A92095" w:rsidRPr="00025F23" w:rsidRDefault="00A92095" w:rsidP="008201C2">
      <w:pPr>
        <w:pStyle w:val="Cajadeanotaciones"/>
        <w:keepNext/>
        <w:jc w:val="center"/>
      </w:pPr>
      <w:r w:rsidRPr="00025F23">
        <w:t>¿Qué determina el crecimiento de la economía?</w:t>
      </w:r>
    </w:p>
    <w:p w14:paraId="6A0E36BB" w14:textId="2375A11A" w:rsidR="00396CAF" w:rsidRPr="00025F23" w:rsidRDefault="00396CAF" w:rsidP="00F575F5">
      <w:pPr>
        <w:spacing w:after="0"/>
        <w:rPr>
          <w:rFonts w:eastAsiaTheme="minorEastAsia"/>
          <w:szCs w:val="16"/>
        </w:rPr>
      </w:pPr>
      <w:r w:rsidRPr="00025F23">
        <w:rPr>
          <w:rFonts w:eastAsiaTheme="minorEastAsia"/>
          <w:szCs w:val="16"/>
        </w:rPr>
        <w:t xml:space="preserve">Si hay datos, decir cuál es su </w:t>
      </w:r>
      <w:r w:rsidRPr="00025F23">
        <w:rPr>
          <w:rFonts w:eastAsiaTheme="minorEastAsia"/>
          <w:b/>
          <w:bCs/>
          <w:szCs w:val="16"/>
        </w:rPr>
        <w:t>contribución al crecimiento</w:t>
      </w:r>
      <w:r w:rsidR="00A92095" w:rsidRPr="00025F23">
        <w:rPr>
          <w:rFonts w:eastAsiaTheme="minorEastAsia"/>
          <w:szCs w:val="16"/>
        </w:rPr>
        <w:t>.</w:t>
      </w:r>
    </w:p>
    <w:p w14:paraId="36D8BAEB" w14:textId="595C0C53" w:rsidR="00217E58" w:rsidRPr="00025F23" w:rsidRDefault="00217E58" w:rsidP="00217E58">
      <w:r w:rsidRPr="00025F23">
        <w:t>En la contribución al crecimiento se tiene en cuenta la demanda interna</w:t>
      </w:r>
      <w:r w:rsidR="00581D83" w:rsidRPr="00025F23">
        <w:t xml:space="preserve"> y</w:t>
      </w:r>
      <w:r w:rsidRPr="00025F23">
        <w:t xml:space="preserve"> la demanda externa (y la variación de existencias en la economía, pero si no nos dicen nada supondremos que esta es cero).</w:t>
      </w:r>
    </w:p>
    <w:p w14:paraId="73D4560C" w14:textId="49036CE6" w:rsidR="005010A7" w:rsidRPr="00025F23" w:rsidRDefault="005010A7" w:rsidP="005010A7">
      <w:pPr>
        <w:keepNext/>
        <w:spacing w:after="0"/>
        <w:rPr>
          <w:i/>
          <w:iCs/>
          <w:u w:val="single"/>
        </w:rPr>
      </w:pPr>
      <w:r w:rsidRPr="00025F23">
        <w:rPr>
          <w:i/>
          <w:iCs/>
          <w:u w:val="single"/>
        </w:rPr>
        <w:t>¿Cómo calculamos las contribuciones?</w:t>
      </w:r>
    </w:p>
    <w:p w14:paraId="43C147A9" w14:textId="7F3A49BF" w:rsidR="00AC3E15" w:rsidRPr="00025F23" w:rsidRDefault="00AC3E15" w:rsidP="00E20007">
      <w:pPr>
        <w:keepNext/>
      </w:pPr>
      <w:r w:rsidRPr="00025F23">
        <w:t>Para calcular las contribuciones de los distintos componentes de la demanda al crecimiento partimos de la ecuación de</w:t>
      </w:r>
      <w:r w:rsidR="00E20007" w:rsidRPr="00025F23">
        <w:t>l volumen de</w:t>
      </w:r>
      <w:r w:rsidRPr="00025F23">
        <w:t xml:space="preserve"> la demanda agregada:</w:t>
      </w:r>
    </w:p>
    <w:p w14:paraId="538EED5D" w14:textId="77777777" w:rsidR="00AC3E15" w:rsidRPr="00025F23" w:rsidRDefault="00000000" w:rsidP="00AC3E15">
      <w:pPr>
        <w:rPr>
          <w:rFonts w:eastAsiaTheme="minorEastAsia"/>
          <w:i/>
          <w:iCs/>
          <w:szCs w:val="16"/>
          <w:lang w:val="fr-FR"/>
        </w:rPr>
      </w:pPr>
      <m:oMathPara>
        <m:oMath>
          <m:sSub>
            <m:sSubPr>
              <m:ctrlPr>
                <w:rPr>
                  <w:rFonts w:ascii="Cambria Math" w:eastAsiaTheme="minorEastAsia" w:hAnsi="Cambria Math"/>
                  <w:i/>
                  <w:iCs/>
                  <w:szCs w:val="16"/>
                </w:rPr>
              </m:ctrlPr>
            </m:sSubPr>
            <m:e>
              <m:r>
                <m:rPr>
                  <m:nor/>
                </m:rPr>
                <w:rPr>
                  <w:rFonts w:eastAsiaTheme="minorEastAsia"/>
                  <w:i/>
                  <w:iCs/>
                  <w:szCs w:val="16"/>
                  <w:lang w:val="fr-FR"/>
                </w:rPr>
                <m:t>Demanda</m:t>
              </m:r>
            </m:e>
            <m:sub>
              <m:r>
                <m:rPr>
                  <m:nor/>
                </m:rPr>
                <w:rPr>
                  <w:rFonts w:eastAsiaTheme="minorEastAsia"/>
                  <w:i/>
                  <w:iCs/>
                  <w:szCs w:val="16"/>
                  <w:lang w:val="fr-FR"/>
                </w:rPr>
                <m:t>t</m:t>
              </m:r>
            </m:sub>
          </m:sSub>
          <m:r>
            <w:rPr>
              <w:rFonts w:ascii="Cambria Math" w:eastAsiaTheme="minorEastAsia" w:hAnsi="Cambria Math"/>
              <w:szCs w:val="16"/>
              <w:lang w:val="fr-FR"/>
            </w:rPr>
            <m:t>=</m:t>
          </m:r>
          <m:sSub>
            <m:sSubPr>
              <m:ctrlPr>
                <w:rPr>
                  <w:rFonts w:ascii="Cambria Math" w:eastAsiaTheme="minorEastAsia" w:hAnsi="Cambria Math"/>
                  <w:i/>
                  <w:szCs w:val="16"/>
                </w:rPr>
              </m:ctrlPr>
            </m:sSubPr>
            <m:e>
              <m:r>
                <m:rPr>
                  <m:nor/>
                </m:rPr>
                <w:rPr>
                  <w:rFonts w:eastAsiaTheme="minorEastAsia"/>
                  <w:i/>
                  <w:szCs w:val="16"/>
                  <w:lang w:val="fr-FR"/>
                </w:rPr>
                <m:t>Y</m:t>
              </m:r>
            </m:e>
            <m:sub>
              <m:r>
                <m:rPr>
                  <m:nor/>
                </m:rPr>
                <w:rPr>
                  <w:rFonts w:eastAsiaTheme="minorEastAsia"/>
                  <w:i/>
                  <w:szCs w:val="16"/>
                  <w:lang w:val="fr-FR"/>
                </w:rPr>
                <m:t>t</m:t>
              </m:r>
            </m:sub>
          </m:sSub>
          <m:r>
            <w:rPr>
              <w:rFonts w:ascii="Cambria Math" w:eastAsiaTheme="minorEastAsia" w:hAnsi="Cambria Math"/>
              <w:szCs w:val="16"/>
              <w:lang w:val="fr-FR"/>
            </w:rPr>
            <m:t>=</m:t>
          </m:r>
          <m:limLow>
            <m:limLowPr>
              <m:ctrlPr>
                <w:rPr>
                  <w:rFonts w:ascii="Cambria Math" w:hAnsi="Cambria Math"/>
                  <w:i/>
                  <w:iCs/>
                  <w:szCs w:val="16"/>
                </w:rPr>
              </m:ctrlPr>
            </m:limLowPr>
            <m:e>
              <m:groupChr>
                <m:groupChrPr>
                  <m:ctrlPr>
                    <w:rPr>
                      <w:rFonts w:ascii="Cambria Math" w:hAnsi="Cambria Math"/>
                      <w:i/>
                      <w:iCs/>
                      <w:szCs w:val="16"/>
                    </w:rPr>
                  </m:ctrlPr>
                </m:groupChrPr>
                <m:e>
                  <m:sSub>
                    <m:sSubPr>
                      <m:ctrlPr>
                        <w:rPr>
                          <w:rFonts w:ascii="Cambria Math" w:eastAsiaTheme="minorEastAsia" w:hAnsi="Cambria Math"/>
                          <w:i/>
                          <w:szCs w:val="16"/>
                        </w:rPr>
                      </m:ctrlPr>
                    </m:sSubPr>
                    <m:e>
                      <m:r>
                        <m:rPr>
                          <m:nor/>
                        </m:rPr>
                        <w:rPr>
                          <w:rFonts w:eastAsiaTheme="minorEastAsia"/>
                          <w:i/>
                          <w:szCs w:val="16"/>
                          <w:lang w:val="fr-FR"/>
                        </w:rPr>
                        <m:t>C</m:t>
                      </m:r>
                    </m:e>
                    <m:sub>
                      <m:r>
                        <m:rPr>
                          <m:nor/>
                        </m:rPr>
                        <w:rPr>
                          <w:rFonts w:eastAsiaTheme="minorEastAsia"/>
                          <w:i/>
                          <w:szCs w:val="16"/>
                          <w:lang w:val="fr-FR"/>
                        </w:rPr>
                        <m:t>t</m:t>
                      </m:r>
                    </m:sub>
                  </m:sSub>
                  <m:r>
                    <w:rPr>
                      <w:rFonts w:ascii="Cambria Math" w:hAnsi="Cambria Math"/>
                      <w:szCs w:val="16"/>
                      <w:lang w:val="fr-FR"/>
                    </w:rPr>
                    <m:t>+</m:t>
                  </m:r>
                  <m:sSub>
                    <m:sSubPr>
                      <m:ctrlPr>
                        <w:rPr>
                          <w:rFonts w:ascii="Cambria Math" w:eastAsiaTheme="minorEastAsia" w:hAnsi="Cambria Math"/>
                          <w:i/>
                          <w:szCs w:val="16"/>
                        </w:rPr>
                      </m:ctrlPr>
                    </m:sSubPr>
                    <m:e>
                      <m:r>
                        <m:rPr>
                          <m:nor/>
                        </m:rPr>
                        <w:rPr>
                          <w:rFonts w:eastAsiaTheme="minorEastAsia"/>
                          <w:i/>
                          <w:szCs w:val="16"/>
                          <w:lang w:val="fr-FR"/>
                        </w:rPr>
                        <m:t>I</m:t>
                      </m:r>
                    </m:e>
                    <m:sub>
                      <m:r>
                        <m:rPr>
                          <m:nor/>
                        </m:rPr>
                        <w:rPr>
                          <w:rFonts w:eastAsiaTheme="minorEastAsia"/>
                          <w:i/>
                          <w:szCs w:val="16"/>
                          <w:lang w:val="fr-FR"/>
                        </w:rPr>
                        <m:t>t</m:t>
                      </m:r>
                    </m:sub>
                  </m:sSub>
                  <m:r>
                    <w:rPr>
                      <w:rFonts w:ascii="Cambria Math" w:hAnsi="Cambria Math"/>
                      <w:szCs w:val="16"/>
                      <w:lang w:val="fr-FR"/>
                    </w:rPr>
                    <m:t>+</m:t>
                  </m:r>
                  <m:sSub>
                    <m:sSubPr>
                      <m:ctrlPr>
                        <w:rPr>
                          <w:rFonts w:ascii="Cambria Math" w:eastAsiaTheme="minorEastAsia" w:hAnsi="Cambria Math"/>
                          <w:i/>
                          <w:szCs w:val="16"/>
                        </w:rPr>
                      </m:ctrlPr>
                    </m:sSubPr>
                    <m:e>
                      <m:r>
                        <m:rPr>
                          <m:nor/>
                        </m:rPr>
                        <w:rPr>
                          <w:rFonts w:eastAsiaTheme="minorEastAsia"/>
                          <w:i/>
                          <w:szCs w:val="16"/>
                          <w:lang w:val="fr-FR"/>
                        </w:rPr>
                        <m:t>G</m:t>
                      </m:r>
                    </m:e>
                    <m:sub>
                      <m:r>
                        <m:rPr>
                          <m:nor/>
                        </m:rPr>
                        <w:rPr>
                          <w:rFonts w:eastAsiaTheme="minorEastAsia"/>
                          <w:i/>
                          <w:szCs w:val="16"/>
                          <w:lang w:val="fr-FR"/>
                        </w:rPr>
                        <m:t>t</m:t>
                      </m:r>
                    </m:sub>
                  </m:sSub>
                </m:e>
              </m:groupChr>
            </m:e>
            <m:lim>
              <m:r>
                <m:rPr>
                  <m:nor/>
                </m:rPr>
                <w:rPr>
                  <w:i/>
                  <w:iCs/>
                  <w:szCs w:val="16"/>
                  <w:lang w:val="fr-FR"/>
                </w:rPr>
                <m:t>Demanda interna</m:t>
              </m:r>
            </m:lim>
          </m:limLow>
          <m:r>
            <w:rPr>
              <w:rFonts w:ascii="Cambria Math" w:hAnsi="Cambria Math"/>
              <w:szCs w:val="16"/>
              <w:lang w:val="fr-FR"/>
            </w:rPr>
            <m:t>+</m:t>
          </m:r>
          <m:limLow>
            <m:limLowPr>
              <m:ctrlPr>
                <w:rPr>
                  <w:rFonts w:ascii="Cambria Math" w:hAnsi="Cambria Math"/>
                  <w:i/>
                  <w:iCs/>
                  <w:szCs w:val="16"/>
                </w:rPr>
              </m:ctrlPr>
            </m:limLowPr>
            <m:e>
              <m:groupChr>
                <m:groupChrPr>
                  <m:ctrlPr>
                    <w:rPr>
                      <w:rFonts w:ascii="Cambria Math" w:hAnsi="Cambria Math"/>
                      <w:i/>
                      <w:iCs/>
                      <w:szCs w:val="16"/>
                    </w:rPr>
                  </m:ctrlPr>
                </m:groupChrPr>
                <m:e>
                  <m:d>
                    <m:dPr>
                      <m:ctrlPr>
                        <w:rPr>
                          <w:rFonts w:ascii="Cambria Math" w:hAnsi="Cambria Math"/>
                          <w:i/>
                          <w:iCs/>
                          <w:szCs w:val="16"/>
                        </w:rPr>
                      </m:ctrlPr>
                    </m:dPr>
                    <m:e>
                      <m:sSub>
                        <m:sSubPr>
                          <m:ctrlPr>
                            <w:rPr>
                              <w:rFonts w:ascii="Cambria Math" w:eastAsiaTheme="minorEastAsia" w:hAnsi="Cambria Math"/>
                              <w:i/>
                              <w:szCs w:val="16"/>
                            </w:rPr>
                          </m:ctrlPr>
                        </m:sSubPr>
                        <m:e>
                          <m:r>
                            <m:rPr>
                              <m:nor/>
                            </m:rPr>
                            <w:rPr>
                              <w:rFonts w:eastAsiaTheme="minorEastAsia"/>
                              <w:i/>
                              <w:szCs w:val="16"/>
                              <w:lang w:val="fr-FR"/>
                            </w:rPr>
                            <m:t>X</m:t>
                          </m:r>
                        </m:e>
                        <m:sub>
                          <m:r>
                            <m:rPr>
                              <m:nor/>
                            </m:rPr>
                            <w:rPr>
                              <w:rFonts w:eastAsiaTheme="minorEastAsia"/>
                              <w:i/>
                              <w:szCs w:val="16"/>
                              <w:lang w:val="fr-FR"/>
                            </w:rPr>
                            <m:t>t</m:t>
                          </m:r>
                        </m:sub>
                      </m:sSub>
                      <m:r>
                        <w:rPr>
                          <w:rFonts w:ascii="Cambria Math" w:hAnsi="Cambria Math" w:cs="Times New Roman"/>
                          <w:sz w:val="14"/>
                          <w:szCs w:val="14"/>
                          <w:lang w:val="fr-FR"/>
                        </w:rPr>
                        <m:t>-</m:t>
                      </m:r>
                      <m:sSub>
                        <m:sSubPr>
                          <m:ctrlPr>
                            <w:rPr>
                              <w:rFonts w:ascii="Cambria Math" w:eastAsiaTheme="minorEastAsia" w:hAnsi="Cambria Math"/>
                              <w:i/>
                              <w:szCs w:val="16"/>
                            </w:rPr>
                          </m:ctrlPr>
                        </m:sSubPr>
                        <m:e>
                          <m:r>
                            <m:rPr>
                              <m:nor/>
                            </m:rPr>
                            <w:rPr>
                              <w:rFonts w:eastAsiaTheme="minorEastAsia"/>
                              <w:i/>
                              <w:szCs w:val="16"/>
                              <w:lang w:val="fr-FR"/>
                            </w:rPr>
                            <m:t>M</m:t>
                          </m:r>
                        </m:e>
                        <m:sub>
                          <m:r>
                            <m:rPr>
                              <m:nor/>
                            </m:rPr>
                            <w:rPr>
                              <w:rFonts w:eastAsiaTheme="minorEastAsia"/>
                              <w:i/>
                              <w:szCs w:val="16"/>
                              <w:lang w:val="fr-FR"/>
                            </w:rPr>
                            <m:t>t</m:t>
                          </m:r>
                        </m:sub>
                      </m:sSub>
                    </m:e>
                  </m:d>
                </m:e>
              </m:groupChr>
            </m:e>
            <m:lim>
              <m:r>
                <m:rPr>
                  <m:nor/>
                </m:rPr>
                <w:rPr>
                  <w:i/>
                  <w:iCs/>
                  <w:szCs w:val="16"/>
                  <w:lang w:val="fr-FR"/>
                </w:rPr>
                <m:t>Demanda externa</m:t>
              </m:r>
            </m:lim>
          </m:limLow>
        </m:oMath>
      </m:oMathPara>
    </w:p>
    <w:p w14:paraId="328DDB93" w14:textId="72D27450" w:rsidR="00AC3E15" w:rsidRPr="00025F23" w:rsidRDefault="00AC3E15" w:rsidP="005E01BE">
      <w:pPr>
        <w:keepNext/>
        <w:spacing w:after="0"/>
      </w:pPr>
      <w:r w:rsidRPr="00025F23">
        <w:t xml:space="preserve">Matemáticamente, esto da lugar a la ecuación </w:t>
      </w:r>
      <w:r w:rsidR="00E20007" w:rsidRPr="00025F23">
        <w:t>de la diferencia de la demanda agregada:</w:t>
      </w:r>
    </w:p>
    <w:p w14:paraId="0EC52577" w14:textId="0913715A" w:rsidR="00E20007" w:rsidRPr="00025F23" w:rsidRDefault="00000000" w:rsidP="00E20007">
      <w:pPr>
        <w:ind w:right="-356"/>
        <w:rPr>
          <w:lang w:val="fr-FR"/>
        </w:rPr>
      </w:pPr>
      <m:oMathPara>
        <m:oMath>
          <m:limUpp>
            <m:limUppPr>
              <m:ctrlPr>
                <w:rPr>
                  <w:rFonts w:ascii="Cambria Math" w:hAnsi="Cambria Math"/>
                  <w:i/>
                  <w:sz w:val="14"/>
                  <w:szCs w:val="14"/>
                </w:rPr>
              </m:ctrlPr>
            </m:limUppPr>
            <m:e>
              <m:groupChr>
                <m:groupChrPr>
                  <m:chr m:val="⏞"/>
                  <m:pos m:val="top"/>
                  <m:vertJc m:val="bot"/>
                  <m:ctrlPr>
                    <w:rPr>
                      <w:rFonts w:ascii="Cambria Math" w:hAnsi="Cambria Math"/>
                      <w:i/>
                      <w:sz w:val="14"/>
                      <w:szCs w:val="14"/>
                    </w:rPr>
                  </m:ctrlPr>
                </m:groupChrPr>
                <m:e>
                  <m:sSubSup>
                    <m:sSubSupPr>
                      <m:ctrlPr>
                        <w:rPr>
                          <w:rFonts w:ascii="Cambria Math" w:hAnsi="Cambria Math"/>
                          <w:i/>
                          <w:sz w:val="14"/>
                          <w:szCs w:val="14"/>
                        </w:rPr>
                      </m:ctrlPr>
                    </m:sSubSupPr>
                    <m:e>
                      <m:r>
                        <m:rPr>
                          <m:nor/>
                        </m:rPr>
                        <w:rPr>
                          <w:i/>
                          <w:iCs/>
                          <w:sz w:val="14"/>
                          <w:szCs w:val="14"/>
                          <w:lang w:val="fr-FR"/>
                        </w:rPr>
                        <m:t>PIB</m:t>
                      </m:r>
                    </m:e>
                    <m:sub>
                      <m:r>
                        <m:rPr>
                          <m:nor/>
                        </m:rPr>
                        <w:rPr>
                          <w:i/>
                          <w:iCs/>
                          <w:sz w:val="14"/>
                          <w:szCs w:val="14"/>
                          <w:lang w:val="fr-FR"/>
                        </w:rPr>
                        <m:t>t</m:t>
                      </m:r>
                    </m:sub>
                    <m:sup>
                      <m:r>
                        <m:rPr>
                          <m:nor/>
                        </m:rPr>
                        <w:rPr>
                          <w:i/>
                          <w:iCs/>
                          <w:sz w:val="14"/>
                          <w:szCs w:val="14"/>
                          <w:lang w:val="fr-FR"/>
                        </w:rPr>
                        <m:t>Real</m:t>
                      </m:r>
                    </m:sup>
                  </m:sSubSup>
                  <m:r>
                    <w:rPr>
                      <w:rFonts w:ascii="Cambria Math" w:hAnsi="Cambria Math"/>
                      <w:sz w:val="14"/>
                      <w:szCs w:val="14"/>
                      <w:lang w:val="fr-FR"/>
                    </w:rPr>
                    <m:t>-</m:t>
                  </m:r>
                  <m:sSubSup>
                    <m:sSubSupPr>
                      <m:ctrlPr>
                        <w:rPr>
                          <w:rFonts w:ascii="Cambria Math" w:hAnsi="Cambria Math"/>
                          <w:i/>
                          <w:sz w:val="14"/>
                          <w:szCs w:val="14"/>
                        </w:rPr>
                      </m:ctrlPr>
                    </m:sSubSupPr>
                    <m:e>
                      <m:r>
                        <m:rPr>
                          <m:nor/>
                        </m:rPr>
                        <w:rPr>
                          <w:i/>
                          <w:iCs/>
                          <w:sz w:val="14"/>
                          <w:szCs w:val="14"/>
                          <w:lang w:val="fr-FR"/>
                        </w:rPr>
                        <m:t>PIB</m:t>
                      </m:r>
                    </m:e>
                    <m:sub>
                      <m:r>
                        <m:rPr>
                          <m:nor/>
                        </m:rPr>
                        <w:rPr>
                          <w:i/>
                          <w:iCs/>
                          <w:sz w:val="14"/>
                          <w:szCs w:val="14"/>
                          <w:lang w:val="fr-FR"/>
                        </w:rPr>
                        <m:t>t</m:t>
                      </m:r>
                      <m:r>
                        <w:rPr>
                          <w:rFonts w:ascii="Cambria Math" w:hAnsi="Cambria Math"/>
                          <w:sz w:val="14"/>
                          <w:szCs w:val="14"/>
                          <w:lang w:val="fr-FR"/>
                        </w:rPr>
                        <m:t>-</m:t>
                      </m:r>
                      <m:r>
                        <m:rPr>
                          <m:nor/>
                        </m:rPr>
                        <w:rPr>
                          <w:i/>
                          <w:iCs/>
                          <w:sz w:val="14"/>
                          <w:szCs w:val="14"/>
                          <w:lang w:val="fr-FR"/>
                        </w:rPr>
                        <m:t>1</m:t>
                      </m:r>
                    </m:sub>
                    <m:sup>
                      <m:r>
                        <m:rPr>
                          <m:nor/>
                        </m:rPr>
                        <w:rPr>
                          <w:i/>
                          <w:iCs/>
                          <w:sz w:val="14"/>
                          <w:szCs w:val="14"/>
                          <w:lang w:val="fr-FR"/>
                        </w:rPr>
                        <m:t>Real</m:t>
                      </m:r>
                    </m:sup>
                  </m:sSubSup>
                </m:e>
              </m:groupChr>
            </m:e>
            <m:lim>
              <m:r>
                <m:rPr>
                  <m:nor/>
                </m:rPr>
                <w:rPr>
                  <w:i/>
                  <w:sz w:val="14"/>
                  <w:szCs w:val="14"/>
                  <w:lang w:val="fr-FR"/>
                </w:rPr>
                <m:t>∆</m:t>
              </m:r>
              <m:sSubSup>
                <m:sSubSupPr>
                  <m:ctrlPr>
                    <w:rPr>
                      <w:rFonts w:ascii="Cambria Math" w:hAnsi="Cambria Math"/>
                      <w:i/>
                      <w:sz w:val="14"/>
                      <w:szCs w:val="14"/>
                    </w:rPr>
                  </m:ctrlPr>
                </m:sSubSupPr>
                <m:e>
                  <m:r>
                    <m:rPr>
                      <m:nor/>
                    </m:rPr>
                    <w:rPr>
                      <w:i/>
                      <w:iCs/>
                      <w:sz w:val="14"/>
                      <w:szCs w:val="14"/>
                      <w:lang w:val="fr-FR"/>
                    </w:rPr>
                    <m:t>PIB</m:t>
                  </m:r>
                </m:e>
                <m:sub>
                  <m:r>
                    <m:rPr>
                      <m:nor/>
                    </m:rPr>
                    <w:rPr>
                      <w:i/>
                      <w:iCs/>
                      <w:sz w:val="14"/>
                      <w:szCs w:val="14"/>
                      <w:lang w:val="fr-FR"/>
                    </w:rPr>
                    <m:t>t</m:t>
                  </m:r>
                </m:sub>
                <m:sup>
                  <m:r>
                    <m:rPr>
                      <m:nor/>
                    </m:rPr>
                    <w:rPr>
                      <w:i/>
                      <w:iCs/>
                      <w:sz w:val="14"/>
                      <w:szCs w:val="14"/>
                      <w:lang w:val="fr-FR"/>
                    </w:rPr>
                    <m:t>Real</m:t>
                  </m:r>
                </m:sup>
              </m:sSubSup>
            </m:lim>
          </m:limUpp>
          <m:r>
            <w:rPr>
              <w:rFonts w:ascii="Cambria Math" w:hAnsi="Cambria Math"/>
              <w:sz w:val="14"/>
              <w:szCs w:val="14"/>
              <w:lang w:val="fr-FR"/>
            </w:rPr>
            <m:t>=</m:t>
          </m:r>
          <m:limUpp>
            <m:limUppPr>
              <m:ctrlPr>
                <w:rPr>
                  <w:rFonts w:ascii="Cambria Math" w:hAnsi="Cambria Math"/>
                  <w:i/>
                  <w:sz w:val="14"/>
                  <w:szCs w:val="14"/>
                </w:rPr>
              </m:ctrlPr>
            </m:limUppPr>
            <m:e>
              <m:groupChr>
                <m:groupChrPr>
                  <m:chr m:val="⏞"/>
                  <m:pos m:val="top"/>
                  <m:vertJc m:val="bot"/>
                  <m:ctrlPr>
                    <w:rPr>
                      <w:rFonts w:ascii="Cambria Math" w:hAnsi="Cambria Math"/>
                      <w:i/>
                      <w:sz w:val="14"/>
                      <w:szCs w:val="14"/>
                    </w:rPr>
                  </m:ctrlPr>
                </m:groupChrPr>
                <m:e>
                  <m:d>
                    <m:dPr>
                      <m:ctrlPr>
                        <w:rPr>
                          <w:rFonts w:ascii="Cambria Math" w:hAnsi="Cambria Math"/>
                          <w:i/>
                          <w:sz w:val="14"/>
                          <w:szCs w:val="14"/>
                        </w:rPr>
                      </m:ctrlPr>
                    </m:dPr>
                    <m:e>
                      <m:sSub>
                        <m:sSubPr>
                          <m:ctrlPr>
                            <w:rPr>
                              <w:rFonts w:ascii="Cambria Math" w:hAnsi="Cambria Math"/>
                              <w:i/>
                              <w:iCs/>
                              <w:sz w:val="14"/>
                              <w:szCs w:val="14"/>
                            </w:rPr>
                          </m:ctrlPr>
                        </m:sSubPr>
                        <m:e>
                          <m:r>
                            <m:rPr>
                              <m:nor/>
                            </m:rPr>
                            <w:rPr>
                              <w:i/>
                              <w:iCs/>
                              <w:sz w:val="14"/>
                              <w:szCs w:val="14"/>
                              <w:lang w:val="fr-FR"/>
                            </w:rPr>
                            <m:t>C</m:t>
                          </m:r>
                        </m:e>
                        <m:sub>
                          <m:r>
                            <m:rPr>
                              <m:nor/>
                            </m:rPr>
                            <w:rPr>
                              <w:i/>
                              <w:iCs/>
                              <w:sz w:val="14"/>
                              <w:szCs w:val="14"/>
                              <w:lang w:val="fr-FR"/>
                            </w:rPr>
                            <m:t>t</m:t>
                          </m:r>
                        </m:sub>
                      </m:sSub>
                      <m:r>
                        <w:rPr>
                          <w:rFonts w:ascii="Cambria Math" w:hAnsi="Cambria Math"/>
                          <w:sz w:val="14"/>
                          <w:szCs w:val="14"/>
                          <w:lang w:val="fr-FR"/>
                        </w:rPr>
                        <m:t>-</m:t>
                      </m:r>
                      <m:sSub>
                        <m:sSubPr>
                          <m:ctrlPr>
                            <w:rPr>
                              <w:rFonts w:ascii="Cambria Math" w:hAnsi="Cambria Math"/>
                              <w:i/>
                              <w:iCs/>
                              <w:sz w:val="14"/>
                              <w:szCs w:val="14"/>
                            </w:rPr>
                          </m:ctrlPr>
                        </m:sSubPr>
                        <m:e>
                          <m:r>
                            <m:rPr>
                              <m:nor/>
                            </m:rPr>
                            <w:rPr>
                              <w:i/>
                              <w:iCs/>
                              <w:sz w:val="14"/>
                              <w:szCs w:val="14"/>
                              <w:lang w:val="fr-FR"/>
                            </w:rPr>
                            <m:t>C</m:t>
                          </m:r>
                        </m:e>
                        <m:sub>
                          <m:r>
                            <m:rPr>
                              <m:nor/>
                            </m:rPr>
                            <w:rPr>
                              <w:i/>
                              <w:iCs/>
                              <w:sz w:val="14"/>
                              <w:szCs w:val="14"/>
                              <w:lang w:val="fr-FR"/>
                            </w:rPr>
                            <m:t>t</m:t>
                          </m:r>
                          <m:r>
                            <w:rPr>
                              <w:rFonts w:ascii="Cambria Math" w:hAnsi="Cambria Math"/>
                              <w:sz w:val="14"/>
                              <w:szCs w:val="14"/>
                              <w:lang w:val="fr-FR"/>
                            </w:rPr>
                            <m:t>-</m:t>
                          </m:r>
                          <m:r>
                            <m:rPr>
                              <m:nor/>
                            </m:rPr>
                            <w:rPr>
                              <w:i/>
                              <w:iCs/>
                              <w:sz w:val="14"/>
                              <w:szCs w:val="14"/>
                              <w:lang w:val="fr-FR"/>
                            </w:rPr>
                            <m:t>1</m:t>
                          </m:r>
                        </m:sub>
                      </m:sSub>
                    </m:e>
                  </m:d>
                </m:e>
              </m:groupChr>
            </m:e>
            <m:lim>
              <m:r>
                <m:rPr>
                  <m:nor/>
                </m:rPr>
                <w:rPr>
                  <w:i/>
                  <w:sz w:val="14"/>
                  <w:szCs w:val="14"/>
                  <w:lang w:val="fr-FR"/>
                </w:rPr>
                <m:t>∆</m:t>
              </m:r>
              <m:sSub>
                <m:sSubPr>
                  <m:ctrlPr>
                    <w:rPr>
                      <w:rFonts w:ascii="Cambria Math" w:hAnsi="Cambria Math"/>
                      <w:i/>
                      <w:iCs/>
                      <w:sz w:val="14"/>
                      <w:szCs w:val="14"/>
                    </w:rPr>
                  </m:ctrlPr>
                </m:sSubPr>
                <m:e>
                  <m:r>
                    <m:rPr>
                      <m:nor/>
                    </m:rPr>
                    <w:rPr>
                      <w:i/>
                      <w:iCs/>
                      <w:sz w:val="14"/>
                      <w:szCs w:val="14"/>
                      <w:lang w:val="fr-FR"/>
                    </w:rPr>
                    <m:t>C</m:t>
                  </m:r>
                </m:e>
                <m:sub>
                  <m:r>
                    <m:rPr>
                      <m:nor/>
                    </m:rPr>
                    <w:rPr>
                      <w:i/>
                      <w:iCs/>
                      <w:sz w:val="14"/>
                      <w:szCs w:val="14"/>
                      <w:lang w:val="fr-FR"/>
                    </w:rPr>
                    <m:t>t</m:t>
                  </m:r>
                </m:sub>
              </m:sSub>
            </m:lim>
          </m:limUpp>
          <m:r>
            <w:rPr>
              <w:rFonts w:ascii="Cambria Math" w:hAnsi="Cambria Math"/>
              <w:sz w:val="14"/>
              <w:szCs w:val="14"/>
              <w:lang w:val="fr-FR"/>
            </w:rPr>
            <m:t>+</m:t>
          </m:r>
          <m:limUpp>
            <m:limUppPr>
              <m:ctrlPr>
                <w:rPr>
                  <w:rFonts w:ascii="Cambria Math" w:hAnsi="Cambria Math"/>
                  <w:i/>
                  <w:sz w:val="14"/>
                  <w:szCs w:val="14"/>
                </w:rPr>
              </m:ctrlPr>
            </m:limUppPr>
            <m:e>
              <m:groupChr>
                <m:groupChrPr>
                  <m:chr m:val="⏞"/>
                  <m:pos m:val="top"/>
                  <m:vertJc m:val="bot"/>
                  <m:ctrlPr>
                    <w:rPr>
                      <w:rFonts w:ascii="Cambria Math" w:hAnsi="Cambria Math"/>
                      <w:i/>
                      <w:sz w:val="14"/>
                      <w:szCs w:val="14"/>
                    </w:rPr>
                  </m:ctrlPr>
                </m:groupChrPr>
                <m:e>
                  <m:d>
                    <m:dPr>
                      <m:ctrlPr>
                        <w:rPr>
                          <w:rFonts w:ascii="Cambria Math" w:hAnsi="Cambria Math"/>
                          <w:i/>
                          <w:sz w:val="14"/>
                          <w:szCs w:val="14"/>
                        </w:rPr>
                      </m:ctrlPr>
                    </m:dPr>
                    <m:e>
                      <m:sSub>
                        <m:sSubPr>
                          <m:ctrlPr>
                            <w:rPr>
                              <w:rFonts w:ascii="Cambria Math" w:hAnsi="Cambria Math"/>
                              <w:i/>
                              <w:iCs/>
                              <w:sz w:val="14"/>
                              <w:szCs w:val="14"/>
                            </w:rPr>
                          </m:ctrlPr>
                        </m:sSubPr>
                        <m:e>
                          <m:r>
                            <m:rPr>
                              <m:nor/>
                            </m:rPr>
                            <w:rPr>
                              <w:i/>
                              <w:iCs/>
                              <w:sz w:val="14"/>
                              <w:szCs w:val="14"/>
                              <w:lang w:val="fr-FR"/>
                            </w:rPr>
                            <m:t>I</m:t>
                          </m:r>
                        </m:e>
                        <m:sub>
                          <m:r>
                            <m:rPr>
                              <m:nor/>
                            </m:rPr>
                            <w:rPr>
                              <w:i/>
                              <w:iCs/>
                              <w:sz w:val="14"/>
                              <w:szCs w:val="14"/>
                              <w:lang w:val="fr-FR"/>
                            </w:rPr>
                            <m:t>t</m:t>
                          </m:r>
                        </m:sub>
                      </m:sSub>
                      <m:r>
                        <w:rPr>
                          <w:rFonts w:ascii="Cambria Math" w:hAnsi="Cambria Math"/>
                          <w:sz w:val="14"/>
                          <w:szCs w:val="14"/>
                          <w:lang w:val="fr-FR"/>
                        </w:rPr>
                        <m:t>-</m:t>
                      </m:r>
                      <m:sSub>
                        <m:sSubPr>
                          <m:ctrlPr>
                            <w:rPr>
                              <w:rFonts w:ascii="Cambria Math" w:hAnsi="Cambria Math"/>
                              <w:i/>
                              <w:iCs/>
                              <w:sz w:val="14"/>
                              <w:szCs w:val="14"/>
                            </w:rPr>
                          </m:ctrlPr>
                        </m:sSubPr>
                        <m:e>
                          <m:r>
                            <m:rPr>
                              <m:nor/>
                            </m:rPr>
                            <w:rPr>
                              <w:i/>
                              <w:iCs/>
                              <w:sz w:val="14"/>
                              <w:szCs w:val="14"/>
                              <w:lang w:val="fr-FR"/>
                            </w:rPr>
                            <m:t>I</m:t>
                          </m:r>
                        </m:e>
                        <m:sub>
                          <m:r>
                            <m:rPr>
                              <m:nor/>
                            </m:rPr>
                            <w:rPr>
                              <w:i/>
                              <w:iCs/>
                              <w:sz w:val="14"/>
                              <w:szCs w:val="14"/>
                              <w:lang w:val="fr-FR"/>
                            </w:rPr>
                            <m:t>t</m:t>
                          </m:r>
                          <m:r>
                            <w:rPr>
                              <w:rFonts w:ascii="Cambria Math" w:hAnsi="Cambria Math"/>
                              <w:sz w:val="14"/>
                              <w:szCs w:val="14"/>
                              <w:lang w:val="fr-FR"/>
                            </w:rPr>
                            <m:t>-</m:t>
                          </m:r>
                          <m:r>
                            <m:rPr>
                              <m:nor/>
                            </m:rPr>
                            <w:rPr>
                              <w:i/>
                              <w:iCs/>
                              <w:sz w:val="14"/>
                              <w:szCs w:val="14"/>
                              <w:lang w:val="fr-FR"/>
                            </w:rPr>
                            <m:t>1</m:t>
                          </m:r>
                        </m:sub>
                      </m:sSub>
                    </m:e>
                  </m:d>
                </m:e>
              </m:groupChr>
            </m:e>
            <m:lim>
              <m:r>
                <m:rPr>
                  <m:nor/>
                </m:rPr>
                <w:rPr>
                  <w:i/>
                  <w:sz w:val="14"/>
                  <w:szCs w:val="14"/>
                  <w:lang w:val="fr-FR"/>
                </w:rPr>
                <m:t>∆</m:t>
              </m:r>
              <m:sSub>
                <m:sSubPr>
                  <m:ctrlPr>
                    <w:rPr>
                      <w:rFonts w:ascii="Cambria Math" w:hAnsi="Cambria Math"/>
                      <w:i/>
                      <w:iCs/>
                      <w:sz w:val="14"/>
                      <w:szCs w:val="14"/>
                    </w:rPr>
                  </m:ctrlPr>
                </m:sSubPr>
                <m:e>
                  <m:r>
                    <m:rPr>
                      <m:nor/>
                    </m:rPr>
                    <w:rPr>
                      <w:i/>
                      <w:iCs/>
                      <w:sz w:val="14"/>
                      <w:szCs w:val="14"/>
                      <w:lang w:val="fr-FR"/>
                    </w:rPr>
                    <m:t>I</m:t>
                  </m:r>
                </m:e>
                <m:sub>
                  <m:r>
                    <m:rPr>
                      <m:nor/>
                    </m:rPr>
                    <w:rPr>
                      <w:i/>
                      <w:iCs/>
                      <w:sz w:val="14"/>
                      <w:szCs w:val="14"/>
                      <w:lang w:val="fr-FR"/>
                    </w:rPr>
                    <m:t>t</m:t>
                  </m:r>
                </m:sub>
              </m:sSub>
            </m:lim>
          </m:limUpp>
          <m:r>
            <w:rPr>
              <w:rFonts w:ascii="Cambria Math" w:hAnsi="Cambria Math"/>
              <w:sz w:val="14"/>
              <w:szCs w:val="14"/>
              <w:lang w:val="fr-FR"/>
            </w:rPr>
            <m:t>+</m:t>
          </m:r>
          <m:limUpp>
            <m:limUppPr>
              <m:ctrlPr>
                <w:rPr>
                  <w:rFonts w:ascii="Cambria Math" w:hAnsi="Cambria Math"/>
                  <w:i/>
                  <w:sz w:val="14"/>
                  <w:szCs w:val="14"/>
                </w:rPr>
              </m:ctrlPr>
            </m:limUppPr>
            <m:e>
              <m:groupChr>
                <m:groupChrPr>
                  <m:chr m:val="⏞"/>
                  <m:pos m:val="top"/>
                  <m:vertJc m:val="bot"/>
                  <m:ctrlPr>
                    <w:rPr>
                      <w:rFonts w:ascii="Cambria Math" w:hAnsi="Cambria Math"/>
                      <w:i/>
                      <w:sz w:val="14"/>
                      <w:szCs w:val="14"/>
                    </w:rPr>
                  </m:ctrlPr>
                </m:groupChrPr>
                <m:e>
                  <m:d>
                    <m:dPr>
                      <m:ctrlPr>
                        <w:rPr>
                          <w:rFonts w:ascii="Cambria Math" w:hAnsi="Cambria Math"/>
                          <w:i/>
                          <w:sz w:val="14"/>
                          <w:szCs w:val="14"/>
                        </w:rPr>
                      </m:ctrlPr>
                    </m:dPr>
                    <m:e>
                      <m:sSub>
                        <m:sSubPr>
                          <m:ctrlPr>
                            <w:rPr>
                              <w:rFonts w:ascii="Cambria Math" w:hAnsi="Cambria Math"/>
                              <w:i/>
                              <w:iCs/>
                              <w:sz w:val="14"/>
                              <w:szCs w:val="14"/>
                            </w:rPr>
                          </m:ctrlPr>
                        </m:sSubPr>
                        <m:e>
                          <m:r>
                            <m:rPr>
                              <m:nor/>
                            </m:rPr>
                            <w:rPr>
                              <w:i/>
                              <w:iCs/>
                              <w:sz w:val="14"/>
                              <w:szCs w:val="14"/>
                              <w:lang w:val="fr-FR"/>
                            </w:rPr>
                            <m:t>G</m:t>
                          </m:r>
                        </m:e>
                        <m:sub>
                          <m:r>
                            <m:rPr>
                              <m:nor/>
                            </m:rPr>
                            <w:rPr>
                              <w:i/>
                              <w:iCs/>
                              <w:sz w:val="14"/>
                              <w:szCs w:val="14"/>
                              <w:lang w:val="fr-FR"/>
                            </w:rPr>
                            <m:t>t</m:t>
                          </m:r>
                        </m:sub>
                      </m:sSub>
                      <m:r>
                        <w:rPr>
                          <w:rFonts w:ascii="Cambria Math" w:hAnsi="Cambria Math"/>
                          <w:sz w:val="14"/>
                          <w:szCs w:val="14"/>
                          <w:lang w:val="fr-FR"/>
                        </w:rPr>
                        <m:t>-</m:t>
                      </m:r>
                      <m:sSub>
                        <m:sSubPr>
                          <m:ctrlPr>
                            <w:rPr>
                              <w:rFonts w:ascii="Cambria Math" w:hAnsi="Cambria Math"/>
                              <w:i/>
                              <w:iCs/>
                              <w:sz w:val="14"/>
                              <w:szCs w:val="14"/>
                            </w:rPr>
                          </m:ctrlPr>
                        </m:sSubPr>
                        <m:e>
                          <m:r>
                            <m:rPr>
                              <m:nor/>
                            </m:rPr>
                            <w:rPr>
                              <w:i/>
                              <w:iCs/>
                              <w:sz w:val="14"/>
                              <w:szCs w:val="14"/>
                              <w:lang w:val="fr-FR"/>
                            </w:rPr>
                            <m:t>G</m:t>
                          </m:r>
                        </m:e>
                        <m:sub>
                          <m:r>
                            <m:rPr>
                              <m:nor/>
                            </m:rPr>
                            <w:rPr>
                              <w:i/>
                              <w:iCs/>
                              <w:sz w:val="14"/>
                              <w:szCs w:val="14"/>
                              <w:lang w:val="fr-FR"/>
                            </w:rPr>
                            <m:t>t</m:t>
                          </m:r>
                          <m:r>
                            <w:rPr>
                              <w:rFonts w:ascii="Cambria Math" w:hAnsi="Cambria Math"/>
                              <w:sz w:val="14"/>
                              <w:szCs w:val="14"/>
                              <w:lang w:val="fr-FR"/>
                            </w:rPr>
                            <m:t>-</m:t>
                          </m:r>
                          <m:r>
                            <m:rPr>
                              <m:nor/>
                            </m:rPr>
                            <w:rPr>
                              <w:i/>
                              <w:iCs/>
                              <w:sz w:val="14"/>
                              <w:szCs w:val="14"/>
                              <w:lang w:val="fr-FR"/>
                            </w:rPr>
                            <m:t>1</m:t>
                          </m:r>
                        </m:sub>
                      </m:sSub>
                    </m:e>
                  </m:d>
                </m:e>
              </m:groupChr>
            </m:e>
            <m:lim>
              <m:r>
                <m:rPr>
                  <m:nor/>
                </m:rPr>
                <w:rPr>
                  <w:i/>
                  <w:sz w:val="14"/>
                  <w:szCs w:val="14"/>
                  <w:lang w:val="fr-FR"/>
                </w:rPr>
                <m:t>∆</m:t>
              </m:r>
              <m:sSub>
                <m:sSubPr>
                  <m:ctrlPr>
                    <w:rPr>
                      <w:rFonts w:ascii="Cambria Math" w:hAnsi="Cambria Math"/>
                      <w:i/>
                      <w:iCs/>
                      <w:sz w:val="14"/>
                      <w:szCs w:val="14"/>
                    </w:rPr>
                  </m:ctrlPr>
                </m:sSubPr>
                <m:e>
                  <m:r>
                    <m:rPr>
                      <m:nor/>
                    </m:rPr>
                    <w:rPr>
                      <w:i/>
                      <w:iCs/>
                      <w:sz w:val="14"/>
                      <w:szCs w:val="14"/>
                      <w:lang w:val="fr-FR"/>
                    </w:rPr>
                    <m:t>G</m:t>
                  </m:r>
                </m:e>
                <m:sub>
                  <m:r>
                    <m:rPr>
                      <m:nor/>
                    </m:rPr>
                    <w:rPr>
                      <w:i/>
                      <w:iCs/>
                      <w:sz w:val="14"/>
                      <w:szCs w:val="14"/>
                      <w:lang w:val="fr-FR"/>
                    </w:rPr>
                    <m:t>t</m:t>
                  </m:r>
                </m:sub>
              </m:sSub>
            </m:lim>
          </m:limUpp>
          <m:r>
            <w:rPr>
              <w:rFonts w:ascii="Cambria Math" w:hAnsi="Cambria Math"/>
              <w:sz w:val="14"/>
              <w:szCs w:val="14"/>
              <w:lang w:val="fr-FR"/>
            </w:rPr>
            <m:t>+</m:t>
          </m:r>
          <m:limUpp>
            <m:limUppPr>
              <m:ctrlPr>
                <w:rPr>
                  <w:rFonts w:ascii="Cambria Math" w:hAnsi="Cambria Math"/>
                  <w:i/>
                  <w:sz w:val="14"/>
                  <w:szCs w:val="14"/>
                </w:rPr>
              </m:ctrlPr>
            </m:limUppPr>
            <m:e>
              <m:groupChr>
                <m:groupChrPr>
                  <m:chr m:val="⏞"/>
                  <m:pos m:val="top"/>
                  <m:vertJc m:val="bot"/>
                  <m:ctrlPr>
                    <w:rPr>
                      <w:rFonts w:ascii="Cambria Math" w:hAnsi="Cambria Math"/>
                      <w:i/>
                      <w:sz w:val="14"/>
                      <w:szCs w:val="14"/>
                    </w:rPr>
                  </m:ctrlPr>
                </m:groupChrPr>
                <m:e>
                  <m:d>
                    <m:dPr>
                      <m:ctrlPr>
                        <w:rPr>
                          <w:rFonts w:ascii="Cambria Math" w:hAnsi="Cambria Math"/>
                          <w:i/>
                          <w:sz w:val="14"/>
                          <w:szCs w:val="14"/>
                        </w:rPr>
                      </m:ctrlPr>
                    </m:dPr>
                    <m:e>
                      <m:sSub>
                        <m:sSubPr>
                          <m:ctrlPr>
                            <w:rPr>
                              <w:rFonts w:ascii="Cambria Math" w:hAnsi="Cambria Math"/>
                              <w:i/>
                              <w:iCs/>
                              <w:sz w:val="14"/>
                              <w:szCs w:val="14"/>
                            </w:rPr>
                          </m:ctrlPr>
                        </m:sSubPr>
                        <m:e>
                          <m:r>
                            <m:rPr>
                              <m:nor/>
                            </m:rPr>
                            <w:rPr>
                              <w:i/>
                              <w:iCs/>
                              <w:sz w:val="14"/>
                              <w:szCs w:val="14"/>
                              <w:lang w:val="fr-FR"/>
                            </w:rPr>
                            <m:t>X</m:t>
                          </m:r>
                        </m:e>
                        <m:sub>
                          <m:r>
                            <m:rPr>
                              <m:nor/>
                            </m:rPr>
                            <w:rPr>
                              <w:i/>
                              <w:iCs/>
                              <w:sz w:val="14"/>
                              <w:szCs w:val="14"/>
                              <w:lang w:val="fr-FR"/>
                            </w:rPr>
                            <m:t>t</m:t>
                          </m:r>
                        </m:sub>
                      </m:sSub>
                      <m:r>
                        <w:rPr>
                          <w:rFonts w:ascii="Cambria Math" w:hAnsi="Cambria Math"/>
                          <w:sz w:val="14"/>
                          <w:szCs w:val="14"/>
                          <w:lang w:val="fr-FR"/>
                        </w:rPr>
                        <m:t>-</m:t>
                      </m:r>
                      <m:sSub>
                        <m:sSubPr>
                          <m:ctrlPr>
                            <w:rPr>
                              <w:rFonts w:ascii="Cambria Math" w:hAnsi="Cambria Math"/>
                              <w:i/>
                              <w:iCs/>
                              <w:sz w:val="14"/>
                              <w:szCs w:val="14"/>
                            </w:rPr>
                          </m:ctrlPr>
                        </m:sSubPr>
                        <m:e>
                          <m:r>
                            <m:rPr>
                              <m:nor/>
                            </m:rPr>
                            <w:rPr>
                              <w:i/>
                              <w:iCs/>
                              <w:sz w:val="14"/>
                              <w:szCs w:val="14"/>
                              <w:lang w:val="fr-FR"/>
                            </w:rPr>
                            <m:t>X</m:t>
                          </m:r>
                        </m:e>
                        <m:sub>
                          <m:r>
                            <m:rPr>
                              <m:nor/>
                            </m:rPr>
                            <w:rPr>
                              <w:i/>
                              <w:iCs/>
                              <w:sz w:val="14"/>
                              <w:szCs w:val="14"/>
                              <w:lang w:val="fr-FR"/>
                            </w:rPr>
                            <m:t>t</m:t>
                          </m:r>
                          <m:r>
                            <w:rPr>
                              <w:rFonts w:ascii="Cambria Math" w:hAnsi="Cambria Math"/>
                              <w:sz w:val="14"/>
                              <w:szCs w:val="14"/>
                              <w:lang w:val="fr-FR"/>
                            </w:rPr>
                            <m:t>-</m:t>
                          </m:r>
                          <m:r>
                            <m:rPr>
                              <m:nor/>
                            </m:rPr>
                            <w:rPr>
                              <w:i/>
                              <w:iCs/>
                              <w:sz w:val="14"/>
                              <w:szCs w:val="14"/>
                              <w:lang w:val="fr-FR"/>
                            </w:rPr>
                            <m:t>1</m:t>
                          </m:r>
                        </m:sub>
                      </m:sSub>
                    </m:e>
                  </m:d>
                </m:e>
              </m:groupChr>
            </m:e>
            <m:lim>
              <m:r>
                <m:rPr>
                  <m:nor/>
                </m:rPr>
                <w:rPr>
                  <w:i/>
                  <w:sz w:val="14"/>
                  <w:szCs w:val="14"/>
                  <w:lang w:val="fr-FR"/>
                </w:rPr>
                <m:t>∆</m:t>
              </m:r>
              <m:sSub>
                <m:sSubPr>
                  <m:ctrlPr>
                    <w:rPr>
                      <w:rFonts w:ascii="Cambria Math" w:hAnsi="Cambria Math"/>
                      <w:i/>
                      <w:iCs/>
                      <w:sz w:val="14"/>
                      <w:szCs w:val="14"/>
                    </w:rPr>
                  </m:ctrlPr>
                </m:sSubPr>
                <m:e>
                  <m:r>
                    <m:rPr>
                      <m:nor/>
                    </m:rPr>
                    <w:rPr>
                      <w:i/>
                      <w:iCs/>
                      <w:sz w:val="14"/>
                      <w:szCs w:val="14"/>
                      <w:lang w:val="fr-FR"/>
                    </w:rPr>
                    <m:t>X</m:t>
                  </m:r>
                </m:e>
                <m:sub>
                  <m:r>
                    <m:rPr>
                      <m:nor/>
                    </m:rPr>
                    <w:rPr>
                      <w:i/>
                      <w:iCs/>
                      <w:sz w:val="14"/>
                      <w:szCs w:val="14"/>
                      <w:lang w:val="fr-FR"/>
                    </w:rPr>
                    <m:t>t</m:t>
                  </m:r>
                </m:sub>
              </m:sSub>
            </m:lim>
          </m:limUpp>
          <m:r>
            <w:rPr>
              <w:rFonts w:ascii="Cambria Math" w:hAnsi="Cambria Math"/>
              <w:sz w:val="14"/>
              <w:szCs w:val="14"/>
              <w:lang w:val="fr-FR"/>
            </w:rPr>
            <m:t>-</m:t>
          </m:r>
          <m:limUpp>
            <m:limUppPr>
              <m:ctrlPr>
                <w:rPr>
                  <w:rFonts w:ascii="Cambria Math" w:hAnsi="Cambria Math"/>
                  <w:i/>
                  <w:sz w:val="14"/>
                  <w:szCs w:val="14"/>
                </w:rPr>
              </m:ctrlPr>
            </m:limUppPr>
            <m:e>
              <m:groupChr>
                <m:groupChrPr>
                  <m:chr m:val="⏞"/>
                  <m:pos m:val="top"/>
                  <m:vertJc m:val="bot"/>
                  <m:ctrlPr>
                    <w:rPr>
                      <w:rFonts w:ascii="Cambria Math" w:hAnsi="Cambria Math"/>
                      <w:i/>
                      <w:sz w:val="14"/>
                      <w:szCs w:val="14"/>
                    </w:rPr>
                  </m:ctrlPr>
                </m:groupChrPr>
                <m:e>
                  <m:d>
                    <m:dPr>
                      <m:ctrlPr>
                        <w:rPr>
                          <w:rFonts w:ascii="Cambria Math" w:hAnsi="Cambria Math"/>
                          <w:i/>
                          <w:sz w:val="14"/>
                          <w:szCs w:val="14"/>
                        </w:rPr>
                      </m:ctrlPr>
                    </m:dPr>
                    <m:e>
                      <m:sSub>
                        <m:sSubPr>
                          <m:ctrlPr>
                            <w:rPr>
                              <w:rFonts w:ascii="Cambria Math" w:hAnsi="Cambria Math"/>
                              <w:i/>
                              <w:iCs/>
                              <w:sz w:val="14"/>
                              <w:szCs w:val="14"/>
                            </w:rPr>
                          </m:ctrlPr>
                        </m:sSubPr>
                        <m:e>
                          <m:r>
                            <m:rPr>
                              <m:nor/>
                            </m:rPr>
                            <w:rPr>
                              <w:i/>
                              <w:iCs/>
                              <w:sz w:val="14"/>
                              <w:szCs w:val="14"/>
                              <w:lang w:val="fr-FR"/>
                            </w:rPr>
                            <m:t>M</m:t>
                          </m:r>
                        </m:e>
                        <m:sub>
                          <m:r>
                            <m:rPr>
                              <m:nor/>
                            </m:rPr>
                            <w:rPr>
                              <w:i/>
                              <w:iCs/>
                              <w:sz w:val="14"/>
                              <w:szCs w:val="14"/>
                              <w:lang w:val="fr-FR"/>
                            </w:rPr>
                            <m:t>t</m:t>
                          </m:r>
                        </m:sub>
                      </m:sSub>
                      <m:r>
                        <w:rPr>
                          <w:rFonts w:ascii="Cambria Math" w:hAnsi="Cambria Math"/>
                          <w:sz w:val="14"/>
                          <w:szCs w:val="14"/>
                          <w:lang w:val="fr-FR"/>
                        </w:rPr>
                        <m:t>-</m:t>
                      </m:r>
                      <m:sSub>
                        <m:sSubPr>
                          <m:ctrlPr>
                            <w:rPr>
                              <w:rFonts w:ascii="Cambria Math" w:hAnsi="Cambria Math"/>
                              <w:i/>
                              <w:iCs/>
                              <w:sz w:val="14"/>
                              <w:szCs w:val="14"/>
                            </w:rPr>
                          </m:ctrlPr>
                        </m:sSubPr>
                        <m:e>
                          <m:r>
                            <m:rPr>
                              <m:nor/>
                            </m:rPr>
                            <w:rPr>
                              <w:i/>
                              <w:iCs/>
                              <w:sz w:val="14"/>
                              <w:szCs w:val="14"/>
                              <w:lang w:val="fr-FR"/>
                            </w:rPr>
                            <m:t>M</m:t>
                          </m:r>
                        </m:e>
                        <m:sub>
                          <m:r>
                            <m:rPr>
                              <m:nor/>
                            </m:rPr>
                            <w:rPr>
                              <w:i/>
                              <w:iCs/>
                              <w:sz w:val="14"/>
                              <w:szCs w:val="14"/>
                              <w:lang w:val="fr-FR"/>
                            </w:rPr>
                            <m:t>t</m:t>
                          </m:r>
                          <m:r>
                            <w:rPr>
                              <w:rFonts w:ascii="Cambria Math" w:hAnsi="Cambria Math"/>
                              <w:sz w:val="14"/>
                              <w:szCs w:val="14"/>
                              <w:lang w:val="fr-FR"/>
                            </w:rPr>
                            <m:t>-</m:t>
                          </m:r>
                          <m:r>
                            <m:rPr>
                              <m:nor/>
                            </m:rPr>
                            <w:rPr>
                              <w:i/>
                              <w:iCs/>
                              <w:sz w:val="14"/>
                              <w:szCs w:val="14"/>
                              <w:lang w:val="fr-FR"/>
                            </w:rPr>
                            <m:t>1</m:t>
                          </m:r>
                        </m:sub>
                      </m:sSub>
                    </m:e>
                  </m:d>
                </m:e>
              </m:groupChr>
            </m:e>
            <m:lim>
              <m:r>
                <m:rPr>
                  <m:nor/>
                </m:rPr>
                <w:rPr>
                  <w:i/>
                  <w:sz w:val="14"/>
                  <w:szCs w:val="14"/>
                  <w:lang w:val="fr-FR"/>
                </w:rPr>
                <m:t>∆</m:t>
              </m:r>
              <m:sSub>
                <m:sSubPr>
                  <m:ctrlPr>
                    <w:rPr>
                      <w:rFonts w:ascii="Cambria Math" w:hAnsi="Cambria Math"/>
                      <w:i/>
                      <w:iCs/>
                      <w:sz w:val="14"/>
                      <w:szCs w:val="14"/>
                    </w:rPr>
                  </m:ctrlPr>
                </m:sSubPr>
                <m:e>
                  <m:r>
                    <m:rPr>
                      <m:nor/>
                    </m:rPr>
                    <w:rPr>
                      <w:i/>
                      <w:iCs/>
                      <w:sz w:val="14"/>
                      <w:szCs w:val="14"/>
                      <w:lang w:val="fr-FR"/>
                    </w:rPr>
                    <m:t>M</m:t>
                  </m:r>
                </m:e>
                <m:sub>
                  <m:r>
                    <m:rPr>
                      <m:nor/>
                    </m:rPr>
                    <w:rPr>
                      <w:i/>
                      <w:iCs/>
                      <w:sz w:val="14"/>
                      <w:szCs w:val="14"/>
                      <w:lang w:val="fr-FR"/>
                    </w:rPr>
                    <m:t>t</m:t>
                  </m:r>
                </m:sub>
              </m:sSub>
            </m:lim>
          </m:limUpp>
        </m:oMath>
      </m:oMathPara>
    </w:p>
    <w:p w14:paraId="7146D996" w14:textId="17FD7741" w:rsidR="00AC3E15" w:rsidRPr="00025F23" w:rsidRDefault="00E20007" w:rsidP="005E01BE">
      <w:pPr>
        <w:keepNext/>
        <w:spacing w:after="0"/>
      </w:pPr>
      <w:r w:rsidRPr="00025F23">
        <w:t>La división de ambos lados de la ecuación por</w:t>
      </w:r>
      <w:r w:rsidRPr="00025F23">
        <w:rPr>
          <w:rFonts w:eastAsiaTheme="minorEastAsia"/>
        </w:rPr>
        <w:t xml:space="preserve"> </w:t>
      </w:r>
      <m:oMath>
        <m:sSubSup>
          <m:sSubSupPr>
            <m:ctrlPr>
              <w:rPr>
                <w:rFonts w:ascii="Cambria Math" w:hAnsi="Cambria Math"/>
                <w:i/>
                <w:sz w:val="14"/>
                <w:szCs w:val="14"/>
              </w:rPr>
            </m:ctrlPr>
          </m:sSubSupPr>
          <m:e>
            <m:r>
              <m:rPr>
                <m:nor/>
              </m:rPr>
              <w:rPr>
                <w:i/>
                <w:iCs/>
                <w:sz w:val="14"/>
                <w:szCs w:val="14"/>
              </w:rPr>
              <m:t>PIB</m:t>
            </m:r>
          </m:e>
          <m:sub>
            <m:r>
              <m:rPr>
                <m:nor/>
              </m:rPr>
              <w:rPr>
                <w:i/>
                <w:iCs/>
                <w:sz w:val="14"/>
                <w:szCs w:val="14"/>
              </w:rPr>
              <m:t>t</m:t>
            </m:r>
            <m:r>
              <w:rPr>
                <w:rFonts w:ascii="Cambria Math" w:hAnsi="Cambria Math"/>
                <w:sz w:val="14"/>
                <w:szCs w:val="14"/>
              </w:rPr>
              <m:t>-</m:t>
            </m:r>
            <m:r>
              <m:rPr>
                <m:nor/>
              </m:rPr>
              <w:rPr>
                <w:i/>
                <w:iCs/>
                <w:sz w:val="14"/>
                <w:szCs w:val="14"/>
              </w:rPr>
              <m:t>1</m:t>
            </m:r>
          </m:sub>
          <m:sup>
            <m:r>
              <m:rPr>
                <m:nor/>
              </m:rPr>
              <w:rPr>
                <w:i/>
                <w:iCs/>
                <w:sz w:val="14"/>
                <w:szCs w:val="14"/>
              </w:rPr>
              <m:t>Real</m:t>
            </m:r>
          </m:sup>
        </m:sSubSup>
      </m:oMath>
      <w:r w:rsidRPr="00025F23">
        <w:rPr>
          <w:rFonts w:eastAsiaTheme="minorEastAsia"/>
          <w:sz w:val="14"/>
          <w:szCs w:val="14"/>
        </w:rPr>
        <w:t xml:space="preserve"> conduce a:</w:t>
      </w:r>
    </w:p>
    <w:p w14:paraId="19459160" w14:textId="77777777" w:rsidR="00960EF2" w:rsidRPr="00025F23" w:rsidRDefault="00000000" w:rsidP="00960EF2">
      <w:pPr>
        <w:ind w:right="-356"/>
        <w:jc w:val="center"/>
        <w:rPr>
          <w:rFonts w:eastAsiaTheme="minorEastAsia"/>
          <w:lang w:val="fr-FR"/>
        </w:rPr>
      </w:pPr>
      <m:oMathPara>
        <m:oMath>
          <m:limLow>
            <m:limLowPr>
              <m:ctrlPr>
                <w:rPr>
                  <w:rFonts w:ascii="Cambria Math" w:hAnsi="Cambria Math"/>
                  <w:i/>
                  <w:sz w:val="14"/>
                  <w:szCs w:val="14"/>
                </w:rPr>
              </m:ctrlPr>
            </m:limLowPr>
            <m:e>
              <m:groupChr>
                <m:groupChrPr>
                  <m:ctrlPr>
                    <w:rPr>
                      <w:rFonts w:ascii="Cambria Math" w:hAnsi="Cambria Math"/>
                      <w:i/>
                      <w:sz w:val="14"/>
                      <w:szCs w:val="14"/>
                    </w:rPr>
                  </m:ctrlPr>
                </m:groupChrPr>
                <m:e>
                  <m:f>
                    <m:fPr>
                      <m:ctrlPr>
                        <w:rPr>
                          <w:rFonts w:ascii="Cambria Math" w:hAnsi="Cambria Math"/>
                          <w:i/>
                          <w:sz w:val="14"/>
                          <w:szCs w:val="14"/>
                        </w:rPr>
                      </m:ctrlPr>
                    </m:fPr>
                    <m:num>
                      <m:r>
                        <m:rPr>
                          <m:nor/>
                        </m:rPr>
                        <w:rPr>
                          <w:i/>
                          <w:sz w:val="14"/>
                          <w:szCs w:val="14"/>
                          <w:lang w:val="fr-FR"/>
                        </w:rPr>
                        <m:t>∆</m:t>
                      </m:r>
                      <m:sSubSup>
                        <m:sSubSupPr>
                          <m:ctrlPr>
                            <w:rPr>
                              <w:rFonts w:ascii="Cambria Math" w:hAnsi="Cambria Math"/>
                              <w:i/>
                              <w:sz w:val="14"/>
                              <w:szCs w:val="14"/>
                            </w:rPr>
                          </m:ctrlPr>
                        </m:sSubSupPr>
                        <m:e>
                          <m:r>
                            <m:rPr>
                              <m:nor/>
                            </m:rPr>
                            <w:rPr>
                              <w:i/>
                              <w:iCs/>
                              <w:sz w:val="14"/>
                              <w:szCs w:val="14"/>
                              <w:lang w:val="fr-FR"/>
                            </w:rPr>
                            <m:t>PIB</m:t>
                          </m:r>
                        </m:e>
                        <m:sub>
                          <m:r>
                            <m:rPr>
                              <m:nor/>
                            </m:rPr>
                            <w:rPr>
                              <w:i/>
                              <w:iCs/>
                              <w:sz w:val="14"/>
                              <w:szCs w:val="14"/>
                              <w:lang w:val="fr-FR"/>
                            </w:rPr>
                            <m:t>t</m:t>
                          </m:r>
                        </m:sub>
                        <m:sup>
                          <m:r>
                            <m:rPr>
                              <m:nor/>
                            </m:rPr>
                            <w:rPr>
                              <w:i/>
                              <w:iCs/>
                              <w:sz w:val="14"/>
                              <w:szCs w:val="14"/>
                              <w:lang w:val="fr-FR"/>
                            </w:rPr>
                            <m:t>Real</m:t>
                          </m:r>
                        </m:sup>
                      </m:sSubSup>
                    </m:num>
                    <m:den>
                      <m:sSubSup>
                        <m:sSubSupPr>
                          <m:ctrlPr>
                            <w:rPr>
                              <w:rFonts w:ascii="Cambria Math" w:hAnsi="Cambria Math"/>
                              <w:i/>
                              <w:sz w:val="14"/>
                              <w:szCs w:val="14"/>
                            </w:rPr>
                          </m:ctrlPr>
                        </m:sSubSupPr>
                        <m:e>
                          <m:r>
                            <m:rPr>
                              <m:nor/>
                            </m:rPr>
                            <w:rPr>
                              <w:i/>
                              <w:iCs/>
                              <w:sz w:val="14"/>
                              <w:szCs w:val="14"/>
                              <w:lang w:val="fr-FR"/>
                            </w:rPr>
                            <m:t>PIB</m:t>
                          </m:r>
                        </m:e>
                        <m:sub>
                          <m:r>
                            <m:rPr>
                              <m:nor/>
                            </m:rPr>
                            <w:rPr>
                              <w:i/>
                              <w:iCs/>
                              <w:sz w:val="14"/>
                              <w:szCs w:val="14"/>
                              <w:lang w:val="fr-FR"/>
                            </w:rPr>
                            <m:t>t</m:t>
                          </m:r>
                          <m:r>
                            <w:rPr>
                              <w:rFonts w:ascii="Cambria Math" w:hAnsi="Cambria Math"/>
                              <w:sz w:val="14"/>
                              <w:szCs w:val="14"/>
                              <w:lang w:val="fr-FR"/>
                            </w:rPr>
                            <m:t>-</m:t>
                          </m:r>
                          <m:r>
                            <m:rPr>
                              <m:nor/>
                            </m:rPr>
                            <w:rPr>
                              <w:i/>
                              <w:iCs/>
                              <w:sz w:val="14"/>
                              <w:szCs w:val="14"/>
                              <w:lang w:val="fr-FR"/>
                            </w:rPr>
                            <m:t>1</m:t>
                          </m:r>
                        </m:sub>
                        <m:sup>
                          <m:r>
                            <m:rPr>
                              <m:nor/>
                            </m:rPr>
                            <w:rPr>
                              <w:i/>
                              <w:iCs/>
                              <w:sz w:val="14"/>
                              <w:szCs w:val="14"/>
                              <w:lang w:val="fr-FR"/>
                            </w:rPr>
                            <m:t>Real</m:t>
                          </m:r>
                        </m:sup>
                      </m:sSubSup>
                    </m:den>
                  </m:f>
                </m:e>
              </m:groupChr>
            </m:e>
            <m:lim>
              <m:r>
                <w:rPr>
                  <w:rFonts w:ascii="Cambria Math" w:hAnsi="Cambria Math"/>
                  <w:sz w:val="14"/>
                  <w:szCs w:val="14"/>
                  <w:lang w:val="fr-FR"/>
                </w:rPr>
                <m:t>=</m:t>
              </m:r>
              <m:r>
                <m:rPr>
                  <m:nor/>
                </m:rPr>
                <w:rPr>
                  <w:i/>
                  <w:sz w:val="14"/>
                  <w:szCs w:val="14"/>
                </w:rPr>
                <m:t>γ</m:t>
              </m:r>
              <m:sSubSup>
                <m:sSubSupPr>
                  <m:ctrlPr>
                    <w:rPr>
                      <w:rFonts w:ascii="Cambria Math" w:hAnsi="Cambria Math"/>
                      <w:i/>
                      <w:sz w:val="14"/>
                      <w:szCs w:val="14"/>
                    </w:rPr>
                  </m:ctrlPr>
                </m:sSubSupPr>
                <m:e>
                  <m:r>
                    <m:rPr>
                      <m:nor/>
                    </m:rPr>
                    <w:rPr>
                      <w:i/>
                      <w:iCs/>
                      <w:sz w:val="14"/>
                      <w:szCs w:val="14"/>
                      <w:lang w:val="fr-FR"/>
                    </w:rPr>
                    <m:t>PIB</m:t>
                  </m:r>
                </m:e>
                <m:sub>
                  <m:r>
                    <m:rPr>
                      <m:nor/>
                    </m:rPr>
                    <w:rPr>
                      <w:i/>
                      <w:iCs/>
                      <w:sz w:val="14"/>
                      <w:szCs w:val="14"/>
                      <w:lang w:val="fr-FR"/>
                    </w:rPr>
                    <m:t>t</m:t>
                  </m:r>
                </m:sub>
                <m:sup>
                  <m:r>
                    <m:rPr>
                      <m:nor/>
                    </m:rPr>
                    <w:rPr>
                      <w:i/>
                      <w:iCs/>
                      <w:sz w:val="14"/>
                      <w:szCs w:val="14"/>
                      <w:lang w:val="fr-FR"/>
                    </w:rPr>
                    <m:t>Real</m:t>
                  </m:r>
                </m:sup>
              </m:sSubSup>
            </m:lim>
          </m:limLow>
          <m:r>
            <w:rPr>
              <w:rFonts w:ascii="Cambria Math" w:eastAsiaTheme="minorEastAsia" w:hAnsi="Cambria Math"/>
              <w:sz w:val="14"/>
              <w:szCs w:val="14"/>
              <w:lang w:val="fr-FR"/>
            </w:rPr>
            <m:t>=</m:t>
          </m:r>
          <m:limLow>
            <m:limLowPr>
              <m:ctrlPr>
                <w:rPr>
                  <w:rFonts w:ascii="Cambria Math" w:hAnsi="Cambria Math"/>
                  <w:i/>
                  <w:sz w:val="14"/>
                  <w:szCs w:val="14"/>
                </w:rPr>
              </m:ctrlPr>
            </m:limLowPr>
            <m:e>
              <m:groupChr>
                <m:groupChrPr>
                  <m:ctrlPr>
                    <w:rPr>
                      <w:rFonts w:ascii="Cambria Math" w:hAnsi="Cambria Math"/>
                      <w:i/>
                      <w:sz w:val="14"/>
                      <w:szCs w:val="14"/>
                    </w:rPr>
                  </m:ctrlPr>
                </m:groupChrPr>
                <m:e>
                  <m:f>
                    <m:fPr>
                      <m:ctrlPr>
                        <w:rPr>
                          <w:rFonts w:ascii="Cambria Math" w:hAnsi="Cambria Math"/>
                          <w:i/>
                          <w:sz w:val="14"/>
                          <w:szCs w:val="14"/>
                        </w:rPr>
                      </m:ctrlPr>
                    </m:fPr>
                    <m:num>
                      <m:r>
                        <m:rPr>
                          <m:nor/>
                        </m:rPr>
                        <w:rPr>
                          <w:i/>
                          <w:sz w:val="14"/>
                          <w:szCs w:val="14"/>
                          <w:lang w:val="fr-FR"/>
                        </w:rPr>
                        <m:t>∆</m:t>
                      </m:r>
                      <m:sSub>
                        <m:sSubPr>
                          <m:ctrlPr>
                            <w:rPr>
                              <w:rFonts w:ascii="Cambria Math" w:hAnsi="Cambria Math"/>
                              <w:i/>
                              <w:iCs/>
                              <w:sz w:val="14"/>
                              <w:szCs w:val="14"/>
                            </w:rPr>
                          </m:ctrlPr>
                        </m:sSubPr>
                        <m:e>
                          <m:r>
                            <m:rPr>
                              <m:nor/>
                            </m:rPr>
                            <w:rPr>
                              <w:i/>
                              <w:iCs/>
                              <w:sz w:val="14"/>
                              <w:szCs w:val="14"/>
                              <w:lang w:val="fr-FR"/>
                            </w:rPr>
                            <m:t>C</m:t>
                          </m:r>
                        </m:e>
                        <m:sub>
                          <m:r>
                            <m:rPr>
                              <m:nor/>
                            </m:rPr>
                            <w:rPr>
                              <w:i/>
                              <w:iCs/>
                              <w:sz w:val="14"/>
                              <w:szCs w:val="14"/>
                              <w:lang w:val="fr-FR"/>
                            </w:rPr>
                            <m:t>t</m:t>
                          </m:r>
                        </m:sub>
                      </m:sSub>
                    </m:num>
                    <m:den>
                      <m:sSubSup>
                        <m:sSubSupPr>
                          <m:ctrlPr>
                            <w:rPr>
                              <w:rFonts w:ascii="Cambria Math" w:hAnsi="Cambria Math"/>
                              <w:i/>
                              <w:sz w:val="14"/>
                              <w:szCs w:val="14"/>
                            </w:rPr>
                          </m:ctrlPr>
                        </m:sSubSupPr>
                        <m:e>
                          <m:r>
                            <m:rPr>
                              <m:nor/>
                            </m:rPr>
                            <w:rPr>
                              <w:i/>
                              <w:iCs/>
                              <w:sz w:val="14"/>
                              <w:szCs w:val="14"/>
                              <w:lang w:val="fr-FR"/>
                            </w:rPr>
                            <m:t>PIB</m:t>
                          </m:r>
                        </m:e>
                        <m:sub>
                          <m:r>
                            <m:rPr>
                              <m:nor/>
                            </m:rPr>
                            <w:rPr>
                              <w:i/>
                              <w:iCs/>
                              <w:sz w:val="14"/>
                              <w:szCs w:val="14"/>
                              <w:lang w:val="fr-FR"/>
                            </w:rPr>
                            <m:t>t</m:t>
                          </m:r>
                          <m:r>
                            <w:rPr>
                              <w:rFonts w:ascii="Cambria Math" w:hAnsi="Cambria Math"/>
                              <w:sz w:val="14"/>
                              <w:szCs w:val="14"/>
                              <w:lang w:val="fr-FR"/>
                            </w:rPr>
                            <m:t>-</m:t>
                          </m:r>
                          <m:r>
                            <m:rPr>
                              <m:nor/>
                            </m:rPr>
                            <w:rPr>
                              <w:i/>
                              <w:iCs/>
                              <w:sz w:val="14"/>
                              <w:szCs w:val="14"/>
                              <w:lang w:val="fr-FR"/>
                            </w:rPr>
                            <m:t>1</m:t>
                          </m:r>
                        </m:sub>
                        <m:sup>
                          <m:r>
                            <m:rPr>
                              <m:nor/>
                            </m:rPr>
                            <w:rPr>
                              <w:i/>
                              <w:iCs/>
                              <w:sz w:val="14"/>
                              <w:szCs w:val="14"/>
                              <w:lang w:val="fr-FR"/>
                            </w:rPr>
                            <m:t>Real</m:t>
                          </m:r>
                        </m:sup>
                      </m:sSubSup>
                    </m:den>
                  </m:f>
                  <m:r>
                    <w:rPr>
                      <w:rFonts w:ascii="Cambria Math" w:eastAsiaTheme="minorEastAsia" w:hAnsi="Cambria Math"/>
                      <w:sz w:val="14"/>
                      <w:szCs w:val="14"/>
                      <w:lang w:val="fr-FR"/>
                    </w:rPr>
                    <m:t>+</m:t>
                  </m:r>
                  <m:f>
                    <m:fPr>
                      <m:ctrlPr>
                        <w:rPr>
                          <w:rFonts w:ascii="Cambria Math" w:hAnsi="Cambria Math"/>
                          <w:i/>
                          <w:sz w:val="14"/>
                          <w:szCs w:val="14"/>
                        </w:rPr>
                      </m:ctrlPr>
                    </m:fPr>
                    <m:num>
                      <m:r>
                        <m:rPr>
                          <m:nor/>
                        </m:rPr>
                        <w:rPr>
                          <w:i/>
                          <w:sz w:val="14"/>
                          <w:szCs w:val="14"/>
                          <w:lang w:val="fr-FR"/>
                        </w:rPr>
                        <m:t>∆</m:t>
                      </m:r>
                      <m:sSub>
                        <m:sSubPr>
                          <m:ctrlPr>
                            <w:rPr>
                              <w:rFonts w:ascii="Cambria Math" w:hAnsi="Cambria Math"/>
                              <w:i/>
                              <w:iCs/>
                              <w:sz w:val="14"/>
                              <w:szCs w:val="14"/>
                            </w:rPr>
                          </m:ctrlPr>
                        </m:sSubPr>
                        <m:e>
                          <m:r>
                            <m:rPr>
                              <m:nor/>
                            </m:rPr>
                            <w:rPr>
                              <w:i/>
                              <w:iCs/>
                              <w:sz w:val="14"/>
                              <w:szCs w:val="14"/>
                              <w:lang w:val="fr-FR"/>
                            </w:rPr>
                            <m:t>I</m:t>
                          </m:r>
                        </m:e>
                        <m:sub>
                          <m:r>
                            <m:rPr>
                              <m:nor/>
                            </m:rPr>
                            <w:rPr>
                              <w:i/>
                              <w:iCs/>
                              <w:sz w:val="14"/>
                              <w:szCs w:val="14"/>
                              <w:lang w:val="fr-FR"/>
                            </w:rPr>
                            <m:t>t</m:t>
                          </m:r>
                        </m:sub>
                      </m:sSub>
                    </m:num>
                    <m:den>
                      <m:sSubSup>
                        <m:sSubSupPr>
                          <m:ctrlPr>
                            <w:rPr>
                              <w:rFonts w:ascii="Cambria Math" w:hAnsi="Cambria Math"/>
                              <w:i/>
                              <w:sz w:val="14"/>
                              <w:szCs w:val="14"/>
                            </w:rPr>
                          </m:ctrlPr>
                        </m:sSubSupPr>
                        <m:e>
                          <m:r>
                            <m:rPr>
                              <m:nor/>
                            </m:rPr>
                            <w:rPr>
                              <w:i/>
                              <w:iCs/>
                              <w:sz w:val="14"/>
                              <w:szCs w:val="14"/>
                              <w:lang w:val="fr-FR"/>
                            </w:rPr>
                            <m:t>PIB</m:t>
                          </m:r>
                        </m:e>
                        <m:sub>
                          <m:r>
                            <m:rPr>
                              <m:nor/>
                            </m:rPr>
                            <w:rPr>
                              <w:i/>
                              <w:iCs/>
                              <w:sz w:val="14"/>
                              <w:szCs w:val="14"/>
                              <w:lang w:val="fr-FR"/>
                            </w:rPr>
                            <m:t>t</m:t>
                          </m:r>
                          <m:r>
                            <w:rPr>
                              <w:rFonts w:ascii="Cambria Math" w:hAnsi="Cambria Math"/>
                              <w:sz w:val="14"/>
                              <w:szCs w:val="14"/>
                              <w:lang w:val="fr-FR"/>
                            </w:rPr>
                            <m:t>-</m:t>
                          </m:r>
                          <m:r>
                            <m:rPr>
                              <m:nor/>
                            </m:rPr>
                            <w:rPr>
                              <w:i/>
                              <w:iCs/>
                              <w:sz w:val="14"/>
                              <w:szCs w:val="14"/>
                              <w:lang w:val="fr-FR"/>
                            </w:rPr>
                            <m:t>1</m:t>
                          </m:r>
                        </m:sub>
                        <m:sup>
                          <m:r>
                            <m:rPr>
                              <m:nor/>
                            </m:rPr>
                            <w:rPr>
                              <w:i/>
                              <w:iCs/>
                              <w:sz w:val="14"/>
                              <w:szCs w:val="14"/>
                              <w:lang w:val="fr-FR"/>
                            </w:rPr>
                            <m:t>Real</m:t>
                          </m:r>
                        </m:sup>
                      </m:sSubSup>
                    </m:den>
                  </m:f>
                  <m:r>
                    <w:rPr>
                      <w:rFonts w:ascii="Cambria Math" w:eastAsiaTheme="minorEastAsia" w:hAnsi="Cambria Math"/>
                      <w:sz w:val="14"/>
                      <w:szCs w:val="14"/>
                      <w:lang w:val="fr-FR"/>
                    </w:rPr>
                    <m:t>+</m:t>
                  </m:r>
                  <m:f>
                    <m:fPr>
                      <m:ctrlPr>
                        <w:rPr>
                          <w:rFonts w:ascii="Cambria Math" w:hAnsi="Cambria Math"/>
                          <w:i/>
                          <w:sz w:val="14"/>
                          <w:szCs w:val="14"/>
                        </w:rPr>
                      </m:ctrlPr>
                    </m:fPr>
                    <m:num>
                      <m:r>
                        <m:rPr>
                          <m:nor/>
                        </m:rPr>
                        <w:rPr>
                          <w:i/>
                          <w:sz w:val="14"/>
                          <w:szCs w:val="14"/>
                          <w:lang w:val="fr-FR"/>
                        </w:rPr>
                        <m:t>∆</m:t>
                      </m:r>
                      <m:sSub>
                        <m:sSubPr>
                          <m:ctrlPr>
                            <w:rPr>
                              <w:rFonts w:ascii="Cambria Math" w:hAnsi="Cambria Math"/>
                              <w:i/>
                              <w:iCs/>
                              <w:sz w:val="14"/>
                              <w:szCs w:val="14"/>
                            </w:rPr>
                          </m:ctrlPr>
                        </m:sSubPr>
                        <m:e>
                          <m:r>
                            <m:rPr>
                              <m:nor/>
                            </m:rPr>
                            <w:rPr>
                              <w:i/>
                              <w:iCs/>
                              <w:sz w:val="14"/>
                              <w:szCs w:val="14"/>
                              <w:lang w:val="fr-FR"/>
                            </w:rPr>
                            <m:t>G</m:t>
                          </m:r>
                        </m:e>
                        <m:sub>
                          <m:r>
                            <m:rPr>
                              <m:nor/>
                            </m:rPr>
                            <w:rPr>
                              <w:i/>
                              <w:iCs/>
                              <w:sz w:val="14"/>
                              <w:szCs w:val="14"/>
                              <w:lang w:val="fr-FR"/>
                            </w:rPr>
                            <m:t>t</m:t>
                          </m:r>
                        </m:sub>
                      </m:sSub>
                    </m:num>
                    <m:den>
                      <m:sSubSup>
                        <m:sSubSupPr>
                          <m:ctrlPr>
                            <w:rPr>
                              <w:rFonts w:ascii="Cambria Math" w:hAnsi="Cambria Math"/>
                              <w:i/>
                              <w:sz w:val="14"/>
                              <w:szCs w:val="14"/>
                            </w:rPr>
                          </m:ctrlPr>
                        </m:sSubSupPr>
                        <m:e>
                          <m:r>
                            <m:rPr>
                              <m:nor/>
                            </m:rPr>
                            <w:rPr>
                              <w:i/>
                              <w:iCs/>
                              <w:sz w:val="14"/>
                              <w:szCs w:val="14"/>
                              <w:lang w:val="fr-FR"/>
                            </w:rPr>
                            <m:t>PIB</m:t>
                          </m:r>
                        </m:e>
                        <m:sub>
                          <m:r>
                            <m:rPr>
                              <m:nor/>
                            </m:rPr>
                            <w:rPr>
                              <w:i/>
                              <w:iCs/>
                              <w:sz w:val="14"/>
                              <w:szCs w:val="14"/>
                              <w:lang w:val="fr-FR"/>
                            </w:rPr>
                            <m:t>t</m:t>
                          </m:r>
                          <m:r>
                            <w:rPr>
                              <w:rFonts w:ascii="Cambria Math" w:hAnsi="Cambria Math"/>
                              <w:sz w:val="14"/>
                              <w:szCs w:val="14"/>
                              <w:lang w:val="fr-FR"/>
                            </w:rPr>
                            <m:t>-</m:t>
                          </m:r>
                          <m:r>
                            <m:rPr>
                              <m:nor/>
                            </m:rPr>
                            <w:rPr>
                              <w:i/>
                              <w:iCs/>
                              <w:sz w:val="14"/>
                              <w:szCs w:val="14"/>
                              <w:lang w:val="fr-FR"/>
                            </w:rPr>
                            <m:t>1</m:t>
                          </m:r>
                        </m:sub>
                        <m:sup>
                          <m:r>
                            <m:rPr>
                              <m:nor/>
                            </m:rPr>
                            <w:rPr>
                              <w:i/>
                              <w:iCs/>
                              <w:sz w:val="14"/>
                              <w:szCs w:val="14"/>
                              <w:lang w:val="fr-FR"/>
                            </w:rPr>
                            <m:t>Real</m:t>
                          </m:r>
                        </m:sup>
                      </m:sSubSup>
                    </m:den>
                  </m:f>
                </m:e>
              </m:groupChr>
            </m:e>
            <m:lim>
              <m:r>
                <m:rPr>
                  <m:nor/>
                </m:rPr>
                <w:rPr>
                  <w:rFonts w:eastAsiaTheme="minorEastAsia"/>
                  <w:i/>
                  <w:iCs/>
                  <w:szCs w:val="16"/>
                  <w:lang w:val="fr-FR"/>
                </w:rPr>
                <m:t xml:space="preserve">Contribución </m:t>
              </m:r>
              <m:r>
                <m:rPr>
                  <m:nor/>
                </m:rPr>
                <w:rPr>
                  <w:i/>
                  <w:iCs/>
                  <w:szCs w:val="16"/>
                  <w:lang w:val="fr-FR"/>
                </w:rPr>
                <m:t>demanda interna</m:t>
              </m:r>
            </m:lim>
          </m:limLow>
          <m:r>
            <w:rPr>
              <w:rFonts w:ascii="Cambria Math" w:eastAsiaTheme="minorEastAsia" w:hAnsi="Cambria Math"/>
              <w:sz w:val="14"/>
              <w:szCs w:val="14"/>
              <w:lang w:val="fr-FR"/>
            </w:rPr>
            <m:t>+</m:t>
          </m:r>
          <m:limLow>
            <m:limLowPr>
              <m:ctrlPr>
                <w:rPr>
                  <w:rFonts w:ascii="Cambria Math" w:hAnsi="Cambria Math"/>
                  <w:i/>
                  <w:sz w:val="14"/>
                  <w:szCs w:val="14"/>
                </w:rPr>
              </m:ctrlPr>
            </m:limLowPr>
            <m:e>
              <m:groupChr>
                <m:groupChrPr>
                  <m:ctrlPr>
                    <w:rPr>
                      <w:rFonts w:ascii="Cambria Math" w:hAnsi="Cambria Math"/>
                      <w:i/>
                      <w:sz w:val="14"/>
                      <w:szCs w:val="14"/>
                    </w:rPr>
                  </m:ctrlPr>
                </m:groupChrPr>
                <m:e>
                  <m:f>
                    <m:fPr>
                      <m:ctrlPr>
                        <w:rPr>
                          <w:rFonts w:ascii="Cambria Math" w:hAnsi="Cambria Math"/>
                          <w:i/>
                          <w:sz w:val="14"/>
                          <w:szCs w:val="14"/>
                        </w:rPr>
                      </m:ctrlPr>
                    </m:fPr>
                    <m:num>
                      <m:r>
                        <m:rPr>
                          <m:nor/>
                        </m:rPr>
                        <w:rPr>
                          <w:i/>
                          <w:sz w:val="14"/>
                          <w:szCs w:val="14"/>
                          <w:lang w:val="fr-FR"/>
                        </w:rPr>
                        <m:t>∆</m:t>
                      </m:r>
                      <m:sSub>
                        <m:sSubPr>
                          <m:ctrlPr>
                            <w:rPr>
                              <w:rFonts w:ascii="Cambria Math" w:hAnsi="Cambria Math"/>
                              <w:i/>
                              <w:iCs/>
                              <w:sz w:val="14"/>
                              <w:szCs w:val="14"/>
                            </w:rPr>
                          </m:ctrlPr>
                        </m:sSubPr>
                        <m:e>
                          <m:r>
                            <m:rPr>
                              <m:nor/>
                            </m:rPr>
                            <w:rPr>
                              <w:i/>
                              <w:iCs/>
                              <w:sz w:val="14"/>
                              <w:szCs w:val="14"/>
                              <w:lang w:val="fr-FR"/>
                            </w:rPr>
                            <m:t>X</m:t>
                          </m:r>
                        </m:e>
                        <m:sub>
                          <m:r>
                            <m:rPr>
                              <m:nor/>
                            </m:rPr>
                            <w:rPr>
                              <w:i/>
                              <w:iCs/>
                              <w:sz w:val="14"/>
                              <w:szCs w:val="14"/>
                              <w:lang w:val="fr-FR"/>
                            </w:rPr>
                            <m:t>t</m:t>
                          </m:r>
                        </m:sub>
                      </m:sSub>
                    </m:num>
                    <m:den>
                      <m:sSubSup>
                        <m:sSubSupPr>
                          <m:ctrlPr>
                            <w:rPr>
                              <w:rFonts w:ascii="Cambria Math" w:hAnsi="Cambria Math"/>
                              <w:i/>
                              <w:sz w:val="14"/>
                              <w:szCs w:val="14"/>
                            </w:rPr>
                          </m:ctrlPr>
                        </m:sSubSupPr>
                        <m:e>
                          <m:r>
                            <m:rPr>
                              <m:nor/>
                            </m:rPr>
                            <w:rPr>
                              <w:i/>
                              <w:iCs/>
                              <w:sz w:val="14"/>
                              <w:szCs w:val="14"/>
                              <w:lang w:val="fr-FR"/>
                            </w:rPr>
                            <m:t>PIB</m:t>
                          </m:r>
                        </m:e>
                        <m:sub>
                          <m:r>
                            <m:rPr>
                              <m:nor/>
                            </m:rPr>
                            <w:rPr>
                              <w:i/>
                              <w:iCs/>
                              <w:sz w:val="14"/>
                              <w:szCs w:val="14"/>
                              <w:lang w:val="fr-FR"/>
                            </w:rPr>
                            <m:t>t</m:t>
                          </m:r>
                          <m:r>
                            <w:rPr>
                              <w:rFonts w:ascii="Cambria Math" w:hAnsi="Cambria Math"/>
                              <w:sz w:val="14"/>
                              <w:szCs w:val="14"/>
                              <w:lang w:val="fr-FR"/>
                            </w:rPr>
                            <m:t>-</m:t>
                          </m:r>
                          <m:r>
                            <m:rPr>
                              <m:nor/>
                            </m:rPr>
                            <w:rPr>
                              <w:i/>
                              <w:iCs/>
                              <w:sz w:val="14"/>
                              <w:szCs w:val="14"/>
                              <w:lang w:val="fr-FR"/>
                            </w:rPr>
                            <m:t>1</m:t>
                          </m:r>
                        </m:sub>
                        <m:sup>
                          <m:r>
                            <m:rPr>
                              <m:nor/>
                            </m:rPr>
                            <w:rPr>
                              <w:i/>
                              <w:iCs/>
                              <w:sz w:val="14"/>
                              <w:szCs w:val="14"/>
                              <w:lang w:val="fr-FR"/>
                            </w:rPr>
                            <m:t>Real</m:t>
                          </m:r>
                        </m:sup>
                      </m:sSubSup>
                    </m:den>
                  </m:f>
                  <m:r>
                    <w:rPr>
                      <w:rFonts w:ascii="Cambria Math" w:eastAsiaTheme="minorEastAsia" w:hAnsi="Cambria Math"/>
                      <w:sz w:val="14"/>
                      <w:szCs w:val="14"/>
                      <w:lang w:val="fr-FR"/>
                    </w:rPr>
                    <m:t>-</m:t>
                  </m:r>
                  <m:f>
                    <m:fPr>
                      <m:ctrlPr>
                        <w:rPr>
                          <w:rFonts w:ascii="Cambria Math" w:hAnsi="Cambria Math"/>
                          <w:i/>
                          <w:sz w:val="14"/>
                          <w:szCs w:val="14"/>
                        </w:rPr>
                      </m:ctrlPr>
                    </m:fPr>
                    <m:num>
                      <m:r>
                        <m:rPr>
                          <m:nor/>
                        </m:rPr>
                        <w:rPr>
                          <w:i/>
                          <w:sz w:val="14"/>
                          <w:szCs w:val="14"/>
                          <w:lang w:val="fr-FR"/>
                        </w:rPr>
                        <m:t>∆</m:t>
                      </m:r>
                      <m:sSub>
                        <m:sSubPr>
                          <m:ctrlPr>
                            <w:rPr>
                              <w:rFonts w:ascii="Cambria Math" w:hAnsi="Cambria Math"/>
                              <w:i/>
                              <w:iCs/>
                              <w:sz w:val="14"/>
                              <w:szCs w:val="14"/>
                            </w:rPr>
                          </m:ctrlPr>
                        </m:sSubPr>
                        <m:e>
                          <m:r>
                            <m:rPr>
                              <m:nor/>
                            </m:rPr>
                            <w:rPr>
                              <w:i/>
                              <w:iCs/>
                              <w:sz w:val="14"/>
                              <w:szCs w:val="14"/>
                              <w:lang w:val="fr-FR"/>
                            </w:rPr>
                            <m:t>M</m:t>
                          </m:r>
                        </m:e>
                        <m:sub>
                          <m:r>
                            <m:rPr>
                              <m:nor/>
                            </m:rPr>
                            <w:rPr>
                              <w:i/>
                              <w:iCs/>
                              <w:sz w:val="14"/>
                              <w:szCs w:val="14"/>
                              <w:lang w:val="fr-FR"/>
                            </w:rPr>
                            <m:t>t</m:t>
                          </m:r>
                        </m:sub>
                      </m:sSub>
                    </m:num>
                    <m:den>
                      <m:sSubSup>
                        <m:sSubSupPr>
                          <m:ctrlPr>
                            <w:rPr>
                              <w:rFonts w:ascii="Cambria Math" w:hAnsi="Cambria Math"/>
                              <w:i/>
                              <w:sz w:val="14"/>
                              <w:szCs w:val="14"/>
                            </w:rPr>
                          </m:ctrlPr>
                        </m:sSubSupPr>
                        <m:e>
                          <m:r>
                            <m:rPr>
                              <m:nor/>
                            </m:rPr>
                            <w:rPr>
                              <w:i/>
                              <w:iCs/>
                              <w:sz w:val="14"/>
                              <w:szCs w:val="14"/>
                              <w:lang w:val="fr-FR"/>
                            </w:rPr>
                            <m:t>PIB</m:t>
                          </m:r>
                        </m:e>
                        <m:sub>
                          <m:r>
                            <m:rPr>
                              <m:nor/>
                            </m:rPr>
                            <w:rPr>
                              <w:i/>
                              <w:iCs/>
                              <w:sz w:val="14"/>
                              <w:szCs w:val="14"/>
                              <w:lang w:val="fr-FR"/>
                            </w:rPr>
                            <m:t>t</m:t>
                          </m:r>
                          <m:r>
                            <w:rPr>
                              <w:rFonts w:ascii="Cambria Math" w:hAnsi="Cambria Math"/>
                              <w:sz w:val="14"/>
                              <w:szCs w:val="14"/>
                              <w:lang w:val="fr-FR"/>
                            </w:rPr>
                            <m:t>-</m:t>
                          </m:r>
                          <m:r>
                            <m:rPr>
                              <m:nor/>
                            </m:rPr>
                            <w:rPr>
                              <w:i/>
                              <w:iCs/>
                              <w:sz w:val="14"/>
                              <w:szCs w:val="14"/>
                              <w:lang w:val="fr-FR"/>
                            </w:rPr>
                            <m:t>1</m:t>
                          </m:r>
                        </m:sub>
                        <m:sup>
                          <m:r>
                            <m:rPr>
                              <m:nor/>
                            </m:rPr>
                            <w:rPr>
                              <w:i/>
                              <w:iCs/>
                              <w:sz w:val="14"/>
                              <w:szCs w:val="14"/>
                              <w:lang w:val="fr-FR"/>
                            </w:rPr>
                            <m:t>Real</m:t>
                          </m:r>
                        </m:sup>
                      </m:sSubSup>
                    </m:den>
                  </m:f>
                </m:e>
              </m:groupChr>
            </m:e>
            <m:lim>
              <m:r>
                <m:rPr>
                  <m:nor/>
                </m:rPr>
                <w:rPr>
                  <w:rFonts w:eastAsiaTheme="minorEastAsia"/>
                  <w:i/>
                  <w:iCs/>
                  <w:szCs w:val="16"/>
                  <w:lang w:val="fr-FR"/>
                </w:rPr>
                <m:t xml:space="preserve">Contribución </m:t>
              </m:r>
              <m:r>
                <m:rPr>
                  <m:nor/>
                </m:rPr>
                <w:rPr>
                  <w:i/>
                  <w:iCs/>
                  <w:szCs w:val="16"/>
                  <w:lang w:val="fr-FR"/>
                </w:rPr>
                <m:t>demanda externa</m:t>
              </m:r>
            </m:lim>
          </m:limLow>
        </m:oMath>
      </m:oMathPara>
    </w:p>
    <w:p w14:paraId="064E15FE" w14:textId="5D2D83D7" w:rsidR="00960EF2" w:rsidRPr="00025F23" w:rsidRDefault="00960EF2" w:rsidP="00960EF2">
      <w:pPr>
        <w:keepNext/>
        <w:spacing w:after="0"/>
        <w:rPr>
          <w:szCs w:val="16"/>
        </w:rPr>
      </w:pPr>
      <w:r w:rsidRPr="00025F23">
        <w:t>Dividiendo y multi</w:t>
      </w:r>
      <w:r w:rsidRPr="00025F23">
        <w:rPr>
          <w:szCs w:val="16"/>
        </w:rPr>
        <w:t>plicando cada término en el lado derecho por su valor en</w:t>
      </w:r>
      <w:r w:rsidRPr="00025F23">
        <w:rPr>
          <w:i/>
          <w:iCs/>
          <w:szCs w:val="16"/>
        </w:rPr>
        <w:t xml:space="preserve"> </w:t>
      </w:r>
      <m:oMath>
        <m:r>
          <m:rPr>
            <m:nor/>
          </m:rPr>
          <w:rPr>
            <w:i/>
            <w:iCs/>
            <w:szCs w:val="16"/>
          </w:rPr>
          <m:t>t</m:t>
        </m:r>
        <m:r>
          <w:rPr>
            <w:rFonts w:ascii="Cambria Math" w:hAnsi="Cambria Math"/>
            <w:szCs w:val="16"/>
          </w:rPr>
          <m:t>-</m:t>
        </m:r>
        <m:r>
          <m:rPr>
            <m:nor/>
          </m:rPr>
          <w:rPr>
            <w:i/>
            <w:iCs/>
            <w:szCs w:val="16"/>
          </w:rPr>
          <m:t>1</m:t>
        </m:r>
      </m:oMath>
      <w:r w:rsidRPr="00025F23">
        <w:rPr>
          <w:rFonts w:eastAsiaTheme="minorEastAsia"/>
          <w:szCs w:val="16"/>
        </w:rPr>
        <w:t xml:space="preserve"> obtenemos:</w:t>
      </w:r>
    </w:p>
    <w:p w14:paraId="1EE61DA1" w14:textId="2DBFECB7" w:rsidR="00217E58" w:rsidRPr="00025F23" w:rsidRDefault="00000000" w:rsidP="00960EF2">
      <w:pPr>
        <w:ind w:right="-356"/>
        <w:jc w:val="center"/>
        <w:rPr>
          <w:rFonts w:eastAsiaTheme="minorEastAsia"/>
          <w:i/>
          <w:iCs/>
          <w:sz w:val="14"/>
          <w:szCs w:val="14"/>
          <w:lang w:val="fr-FR"/>
        </w:rPr>
      </w:pPr>
      <m:oMathPara>
        <m:oMath>
          <m:borderBox>
            <m:borderBoxPr>
              <m:ctrlPr>
                <w:rPr>
                  <w:rFonts w:ascii="Cambria Math" w:hAnsi="Cambria Math"/>
                  <w:i/>
                  <w:iCs/>
                  <w:sz w:val="14"/>
                  <w:szCs w:val="14"/>
                </w:rPr>
              </m:ctrlPr>
            </m:borderBoxPr>
            <m:e>
              <m:r>
                <m:rPr>
                  <m:nor/>
                </m:rPr>
                <w:rPr>
                  <w:i/>
                  <w:iCs/>
                  <w:sz w:val="14"/>
                  <w:szCs w:val="14"/>
                </w:rPr>
                <m:t>γ</m:t>
              </m:r>
              <m:sSubSup>
                <m:sSubSupPr>
                  <m:ctrlPr>
                    <w:rPr>
                      <w:rFonts w:ascii="Cambria Math" w:hAnsi="Cambria Math"/>
                      <w:i/>
                      <w:iCs/>
                      <w:sz w:val="14"/>
                      <w:szCs w:val="14"/>
                    </w:rPr>
                  </m:ctrlPr>
                </m:sSubSupPr>
                <m:e>
                  <m:r>
                    <m:rPr>
                      <m:nor/>
                    </m:rPr>
                    <w:rPr>
                      <w:i/>
                      <w:iCs/>
                      <w:sz w:val="14"/>
                      <w:szCs w:val="14"/>
                      <w:lang w:val="fr-FR"/>
                    </w:rPr>
                    <m:t>PIB</m:t>
                  </m:r>
                </m:e>
                <m:sub>
                  <m:r>
                    <m:rPr>
                      <m:nor/>
                    </m:rPr>
                    <w:rPr>
                      <w:i/>
                      <w:iCs/>
                      <w:sz w:val="14"/>
                      <w:szCs w:val="14"/>
                      <w:lang w:val="fr-FR"/>
                    </w:rPr>
                    <m:t>t</m:t>
                  </m:r>
                </m:sub>
                <m:sup>
                  <m:r>
                    <m:rPr>
                      <m:nor/>
                    </m:rPr>
                    <w:rPr>
                      <w:i/>
                      <w:iCs/>
                      <w:sz w:val="14"/>
                      <w:szCs w:val="14"/>
                      <w:lang w:val="fr-FR"/>
                    </w:rPr>
                    <m:t>Real</m:t>
                  </m:r>
                </m:sup>
              </m:sSubSup>
              <m:r>
                <w:rPr>
                  <w:rFonts w:ascii="Cambria Math" w:eastAsiaTheme="minorEastAsia" w:hAnsi="Cambria Math"/>
                  <w:sz w:val="14"/>
                  <w:szCs w:val="14"/>
                  <w:lang w:val="fr-FR"/>
                </w:rPr>
                <m:t>=</m:t>
              </m:r>
              <m:limLow>
                <m:limLowPr>
                  <m:ctrlPr>
                    <w:rPr>
                      <w:rFonts w:ascii="Cambria Math" w:hAnsi="Cambria Math"/>
                      <w:i/>
                      <w:iCs/>
                      <w:sz w:val="14"/>
                      <w:szCs w:val="14"/>
                    </w:rPr>
                  </m:ctrlPr>
                </m:limLowPr>
                <m:e>
                  <m:groupChr>
                    <m:groupChrPr>
                      <m:ctrlPr>
                        <w:rPr>
                          <w:rFonts w:ascii="Cambria Math" w:hAnsi="Cambria Math"/>
                          <w:i/>
                          <w:iCs/>
                          <w:sz w:val="14"/>
                          <w:szCs w:val="14"/>
                        </w:rPr>
                      </m:ctrlPr>
                    </m:groupChrPr>
                    <m:e>
                      <m:f>
                        <m:fPr>
                          <m:ctrlPr>
                            <w:rPr>
                              <w:rFonts w:ascii="Cambria Math" w:hAnsi="Cambria Math"/>
                              <w:i/>
                              <w:iCs/>
                              <w:sz w:val="14"/>
                              <w:szCs w:val="14"/>
                            </w:rPr>
                          </m:ctrlPr>
                        </m:fPr>
                        <m:num>
                          <m:sSub>
                            <m:sSubPr>
                              <m:ctrlPr>
                                <w:rPr>
                                  <w:rFonts w:ascii="Cambria Math" w:hAnsi="Cambria Math"/>
                                  <w:i/>
                                  <w:iCs/>
                                  <w:sz w:val="14"/>
                                  <w:szCs w:val="14"/>
                                </w:rPr>
                              </m:ctrlPr>
                            </m:sSubPr>
                            <m:e>
                              <m:r>
                                <m:rPr>
                                  <m:nor/>
                                </m:rPr>
                                <w:rPr>
                                  <w:i/>
                                  <w:iCs/>
                                  <w:sz w:val="14"/>
                                  <w:szCs w:val="14"/>
                                  <w:lang w:val="fr-FR"/>
                                </w:rPr>
                                <m:t>C</m:t>
                              </m:r>
                            </m:e>
                            <m:sub>
                              <m:r>
                                <m:rPr>
                                  <m:nor/>
                                </m:rPr>
                                <w:rPr>
                                  <w:i/>
                                  <w:iCs/>
                                  <w:sz w:val="14"/>
                                  <w:szCs w:val="14"/>
                                  <w:lang w:val="fr-FR"/>
                                </w:rPr>
                                <m:t>t</m:t>
                              </m:r>
                              <m:r>
                                <w:rPr>
                                  <w:rFonts w:ascii="Cambria Math" w:hAnsi="Cambria Math"/>
                                  <w:sz w:val="14"/>
                                  <w:szCs w:val="14"/>
                                  <w:lang w:val="fr-FR"/>
                                </w:rPr>
                                <m:t>-</m:t>
                              </m:r>
                              <m:r>
                                <m:rPr>
                                  <m:nor/>
                                </m:rPr>
                                <w:rPr>
                                  <w:i/>
                                  <w:iCs/>
                                  <w:sz w:val="14"/>
                                  <w:szCs w:val="14"/>
                                  <w:lang w:val="fr-FR"/>
                                </w:rPr>
                                <m:t>1</m:t>
                              </m:r>
                            </m:sub>
                          </m:sSub>
                        </m:num>
                        <m:den>
                          <m:sSubSup>
                            <m:sSubSupPr>
                              <m:ctrlPr>
                                <w:rPr>
                                  <w:rFonts w:ascii="Cambria Math" w:hAnsi="Cambria Math"/>
                                  <w:i/>
                                  <w:iCs/>
                                  <w:sz w:val="14"/>
                                  <w:szCs w:val="14"/>
                                </w:rPr>
                              </m:ctrlPr>
                            </m:sSubSupPr>
                            <m:e>
                              <m:r>
                                <m:rPr>
                                  <m:nor/>
                                </m:rPr>
                                <w:rPr>
                                  <w:i/>
                                  <w:iCs/>
                                  <w:sz w:val="14"/>
                                  <w:szCs w:val="14"/>
                                  <w:lang w:val="fr-FR"/>
                                </w:rPr>
                                <m:t>PIB</m:t>
                              </m:r>
                            </m:e>
                            <m:sub>
                              <m:r>
                                <m:rPr>
                                  <m:nor/>
                                </m:rPr>
                                <w:rPr>
                                  <w:i/>
                                  <w:iCs/>
                                  <w:sz w:val="14"/>
                                  <w:szCs w:val="14"/>
                                  <w:lang w:val="fr-FR"/>
                                </w:rPr>
                                <m:t>t</m:t>
                              </m:r>
                              <m:r>
                                <w:rPr>
                                  <w:rFonts w:ascii="Cambria Math" w:hAnsi="Cambria Math"/>
                                  <w:sz w:val="14"/>
                                  <w:szCs w:val="14"/>
                                  <w:lang w:val="fr-FR"/>
                                </w:rPr>
                                <m:t>-</m:t>
                              </m:r>
                              <m:r>
                                <m:rPr>
                                  <m:nor/>
                                </m:rPr>
                                <w:rPr>
                                  <w:i/>
                                  <w:iCs/>
                                  <w:sz w:val="14"/>
                                  <w:szCs w:val="14"/>
                                  <w:lang w:val="fr-FR"/>
                                </w:rPr>
                                <m:t>1</m:t>
                              </m:r>
                            </m:sub>
                            <m:sup>
                              <m:r>
                                <m:rPr>
                                  <m:nor/>
                                </m:rPr>
                                <w:rPr>
                                  <w:i/>
                                  <w:iCs/>
                                  <w:sz w:val="14"/>
                                  <w:szCs w:val="14"/>
                                  <w:lang w:val="fr-FR"/>
                                </w:rPr>
                                <m:t>Real</m:t>
                              </m:r>
                            </m:sup>
                          </m:sSubSup>
                        </m:den>
                      </m:f>
                      <m:r>
                        <w:rPr>
                          <w:rFonts w:ascii="Cambria Math" w:hAnsi="Cambria Math"/>
                          <w:sz w:val="14"/>
                          <w:szCs w:val="14"/>
                          <w:lang w:val="fr-FR"/>
                        </w:rPr>
                        <m:t>∙</m:t>
                      </m:r>
                      <m:limLow>
                        <m:limLowPr>
                          <m:ctrlPr>
                            <w:rPr>
                              <w:rFonts w:ascii="Cambria Math" w:hAnsi="Cambria Math"/>
                              <w:i/>
                              <w:iCs/>
                              <w:sz w:val="14"/>
                              <w:szCs w:val="14"/>
                            </w:rPr>
                          </m:ctrlPr>
                        </m:limLowPr>
                        <m:e>
                          <m:groupChr>
                            <m:groupChrPr>
                              <m:ctrlPr>
                                <w:rPr>
                                  <w:rFonts w:ascii="Cambria Math" w:hAnsi="Cambria Math"/>
                                  <w:i/>
                                  <w:iCs/>
                                  <w:sz w:val="14"/>
                                  <w:szCs w:val="14"/>
                                </w:rPr>
                              </m:ctrlPr>
                            </m:groupChrPr>
                            <m:e>
                              <m:f>
                                <m:fPr>
                                  <m:ctrlPr>
                                    <w:rPr>
                                      <w:rFonts w:ascii="Cambria Math" w:hAnsi="Cambria Math"/>
                                      <w:i/>
                                      <w:iCs/>
                                      <w:sz w:val="14"/>
                                      <w:szCs w:val="14"/>
                                    </w:rPr>
                                  </m:ctrlPr>
                                </m:fPr>
                                <m:num>
                                  <m:r>
                                    <m:rPr>
                                      <m:nor/>
                                    </m:rPr>
                                    <w:rPr>
                                      <w:i/>
                                      <w:iCs/>
                                      <w:sz w:val="14"/>
                                      <w:szCs w:val="14"/>
                                      <w:lang w:val="fr-FR"/>
                                    </w:rPr>
                                    <m:t>∆</m:t>
                                  </m:r>
                                  <m:sSub>
                                    <m:sSubPr>
                                      <m:ctrlPr>
                                        <w:rPr>
                                          <w:rFonts w:ascii="Cambria Math" w:hAnsi="Cambria Math"/>
                                          <w:i/>
                                          <w:iCs/>
                                          <w:sz w:val="14"/>
                                          <w:szCs w:val="14"/>
                                        </w:rPr>
                                      </m:ctrlPr>
                                    </m:sSubPr>
                                    <m:e>
                                      <m:r>
                                        <m:rPr>
                                          <m:nor/>
                                        </m:rPr>
                                        <w:rPr>
                                          <w:i/>
                                          <w:iCs/>
                                          <w:sz w:val="14"/>
                                          <w:szCs w:val="14"/>
                                          <w:lang w:val="fr-FR"/>
                                        </w:rPr>
                                        <m:t>C</m:t>
                                      </m:r>
                                    </m:e>
                                    <m:sub>
                                      <m:r>
                                        <m:rPr>
                                          <m:nor/>
                                        </m:rPr>
                                        <w:rPr>
                                          <w:i/>
                                          <w:iCs/>
                                          <w:sz w:val="14"/>
                                          <w:szCs w:val="14"/>
                                          <w:lang w:val="fr-FR"/>
                                        </w:rPr>
                                        <m:t>t</m:t>
                                      </m:r>
                                    </m:sub>
                                  </m:sSub>
                                </m:num>
                                <m:den>
                                  <m:sSub>
                                    <m:sSubPr>
                                      <m:ctrlPr>
                                        <w:rPr>
                                          <w:rFonts w:ascii="Cambria Math" w:hAnsi="Cambria Math"/>
                                          <w:i/>
                                          <w:iCs/>
                                          <w:sz w:val="14"/>
                                          <w:szCs w:val="14"/>
                                        </w:rPr>
                                      </m:ctrlPr>
                                    </m:sSubPr>
                                    <m:e>
                                      <m:r>
                                        <m:rPr>
                                          <m:nor/>
                                        </m:rPr>
                                        <w:rPr>
                                          <w:i/>
                                          <w:iCs/>
                                          <w:sz w:val="14"/>
                                          <w:szCs w:val="14"/>
                                          <w:lang w:val="fr-FR"/>
                                        </w:rPr>
                                        <m:t>C</m:t>
                                      </m:r>
                                    </m:e>
                                    <m:sub>
                                      <m:r>
                                        <m:rPr>
                                          <m:nor/>
                                        </m:rPr>
                                        <w:rPr>
                                          <w:i/>
                                          <w:iCs/>
                                          <w:sz w:val="14"/>
                                          <w:szCs w:val="14"/>
                                          <w:lang w:val="fr-FR"/>
                                        </w:rPr>
                                        <m:t>t</m:t>
                                      </m:r>
                                      <m:r>
                                        <w:rPr>
                                          <w:rFonts w:ascii="Cambria Math" w:hAnsi="Cambria Math"/>
                                          <w:sz w:val="14"/>
                                          <w:szCs w:val="14"/>
                                          <w:lang w:val="fr-FR"/>
                                        </w:rPr>
                                        <m:t>-</m:t>
                                      </m:r>
                                      <m:r>
                                        <m:rPr>
                                          <m:nor/>
                                        </m:rPr>
                                        <w:rPr>
                                          <w:i/>
                                          <w:iCs/>
                                          <w:sz w:val="14"/>
                                          <w:szCs w:val="14"/>
                                          <w:lang w:val="fr-FR"/>
                                        </w:rPr>
                                        <m:t>1</m:t>
                                      </m:r>
                                    </m:sub>
                                  </m:sSub>
                                </m:den>
                              </m:f>
                            </m:e>
                          </m:groupChr>
                        </m:e>
                        <m:lim>
                          <m:r>
                            <m:rPr>
                              <m:nor/>
                            </m:rPr>
                            <w:rPr>
                              <w:i/>
                              <w:iCs/>
                              <w:sz w:val="14"/>
                              <w:szCs w:val="14"/>
                            </w:rPr>
                            <m:t>γ</m:t>
                          </m:r>
                          <m:sSub>
                            <m:sSubPr>
                              <m:ctrlPr>
                                <w:rPr>
                                  <w:rFonts w:ascii="Cambria Math" w:hAnsi="Cambria Math"/>
                                  <w:i/>
                                  <w:iCs/>
                                  <w:sz w:val="14"/>
                                  <w:szCs w:val="14"/>
                                </w:rPr>
                              </m:ctrlPr>
                            </m:sSubPr>
                            <m:e>
                              <m:r>
                                <m:rPr>
                                  <m:nor/>
                                </m:rPr>
                                <w:rPr>
                                  <w:i/>
                                  <w:iCs/>
                                  <w:sz w:val="14"/>
                                  <w:szCs w:val="14"/>
                                  <w:lang w:val="fr-FR"/>
                                </w:rPr>
                                <m:t>C</m:t>
                              </m:r>
                            </m:e>
                            <m:sub>
                              <m:r>
                                <m:rPr>
                                  <m:nor/>
                                </m:rPr>
                                <w:rPr>
                                  <w:i/>
                                  <w:iCs/>
                                  <w:sz w:val="14"/>
                                  <w:szCs w:val="14"/>
                                  <w:lang w:val="fr-FR"/>
                                </w:rPr>
                                <m:t>t</m:t>
                              </m:r>
                            </m:sub>
                          </m:sSub>
                        </m:lim>
                      </m:limLow>
                      <m:r>
                        <w:rPr>
                          <w:rFonts w:ascii="Cambria Math" w:eastAsiaTheme="minorEastAsia" w:hAnsi="Cambria Math"/>
                          <w:sz w:val="14"/>
                          <w:szCs w:val="14"/>
                          <w:lang w:val="fr-FR"/>
                        </w:rPr>
                        <m:t>+</m:t>
                      </m:r>
                      <m:f>
                        <m:fPr>
                          <m:ctrlPr>
                            <w:rPr>
                              <w:rFonts w:ascii="Cambria Math" w:hAnsi="Cambria Math"/>
                              <w:i/>
                              <w:iCs/>
                              <w:sz w:val="14"/>
                              <w:szCs w:val="14"/>
                            </w:rPr>
                          </m:ctrlPr>
                        </m:fPr>
                        <m:num>
                          <m:sSub>
                            <m:sSubPr>
                              <m:ctrlPr>
                                <w:rPr>
                                  <w:rFonts w:ascii="Cambria Math" w:hAnsi="Cambria Math"/>
                                  <w:i/>
                                  <w:iCs/>
                                  <w:sz w:val="14"/>
                                  <w:szCs w:val="14"/>
                                </w:rPr>
                              </m:ctrlPr>
                            </m:sSubPr>
                            <m:e>
                              <m:r>
                                <m:rPr>
                                  <m:nor/>
                                </m:rPr>
                                <w:rPr>
                                  <w:i/>
                                  <w:iCs/>
                                  <w:sz w:val="14"/>
                                  <w:szCs w:val="14"/>
                                  <w:lang w:val="fr-FR"/>
                                </w:rPr>
                                <m:t>I</m:t>
                              </m:r>
                            </m:e>
                            <m:sub>
                              <m:r>
                                <m:rPr>
                                  <m:nor/>
                                </m:rPr>
                                <w:rPr>
                                  <w:i/>
                                  <w:iCs/>
                                  <w:sz w:val="14"/>
                                  <w:szCs w:val="14"/>
                                  <w:lang w:val="fr-FR"/>
                                </w:rPr>
                                <m:t>t</m:t>
                              </m:r>
                              <m:r>
                                <w:rPr>
                                  <w:rFonts w:ascii="Cambria Math" w:hAnsi="Cambria Math"/>
                                  <w:sz w:val="14"/>
                                  <w:szCs w:val="14"/>
                                  <w:lang w:val="fr-FR"/>
                                </w:rPr>
                                <m:t>-</m:t>
                              </m:r>
                              <m:r>
                                <m:rPr>
                                  <m:nor/>
                                </m:rPr>
                                <w:rPr>
                                  <w:i/>
                                  <w:iCs/>
                                  <w:sz w:val="14"/>
                                  <w:szCs w:val="14"/>
                                  <w:lang w:val="fr-FR"/>
                                </w:rPr>
                                <m:t>1</m:t>
                              </m:r>
                            </m:sub>
                          </m:sSub>
                        </m:num>
                        <m:den>
                          <m:sSubSup>
                            <m:sSubSupPr>
                              <m:ctrlPr>
                                <w:rPr>
                                  <w:rFonts w:ascii="Cambria Math" w:hAnsi="Cambria Math"/>
                                  <w:i/>
                                  <w:iCs/>
                                  <w:sz w:val="14"/>
                                  <w:szCs w:val="14"/>
                                </w:rPr>
                              </m:ctrlPr>
                            </m:sSubSupPr>
                            <m:e>
                              <m:r>
                                <m:rPr>
                                  <m:nor/>
                                </m:rPr>
                                <w:rPr>
                                  <w:i/>
                                  <w:iCs/>
                                  <w:sz w:val="14"/>
                                  <w:szCs w:val="14"/>
                                  <w:lang w:val="fr-FR"/>
                                </w:rPr>
                                <m:t>PIB</m:t>
                              </m:r>
                            </m:e>
                            <m:sub>
                              <m:r>
                                <m:rPr>
                                  <m:nor/>
                                </m:rPr>
                                <w:rPr>
                                  <w:i/>
                                  <w:iCs/>
                                  <w:sz w:val="14"/>
                                  <w:szCs w:val="14"/>
                                  <w:lang w:val="fr-FR"/>
                                </w:rPr>
                                <m:t>t</m:t>
                              </m:r>
                              <m:r>
                                <w:rPr>
                                  <w:rFonts w:ascii="Cambria Math" w:hAnsi="Cambria Math"/>
                                  <w:sz w:val="14"/>
                                  <w:szCs w:val="14"/>
                                  <w:lang w:val="fr-FR"/>
                                </w:rPr>
                                <m:t>-</m:t>
                              </m:r>
                              <m:r>
                                <m:rPr>
                                  <m:nor/>
                                </m:rPr>
                                <w:rPr>
                                  <w:i/>
                                  <w:iCs/>
                                  <w:sz w:val="14"/>
                                  <w:szCs w:val="14"/>
                                  <w:lang w:val="fr-FR"/>
                                </w:rPr>
                                <m:t>1</m:t>
                              </m:r>
                            </m:sub>
                            <m:sup>
                              <m:r>
                                <m:rPr>
                                  <m:nor/>
                                </m:rPr>
                                <w:rPr>
                                  <w:i/>
                                  <w:iCs/>
                                  <w:sz w:val="14"/>
                                  <w:szCs w:val="14"/>
                                  <w:lang w:val="fr-FR"/>
                                </w:rPr>
                                <m:t>Real</m:t>
                              </m:r>
                            </m:sup>
                          </m:sSubSup>
                        </m:den>
                      </m:f>
                      <m:r>
                        <w:rPr>
                          <w:rFonts w:ascii="Cambria Math" w:hAnsi="Cambria Math"/>
                          <w:sz w:val="14"/>
                          <w:szCs w:val="14"/>
                          <w:lang w:val="fr-FR"/>
                        </w:rPr>
                        <m:t>∙</m:t>
                      </m:r>
                      <m:limLow>
                        <m:limLowPr>
                          <m:ctrlPr>
                            <w:rPr>
                              <w:rFonts w:ascii="Cambria Math" w:hAnsi="Cambria Math"/>
                              <w:i/>
                              <w:iCs/>
                              <w:sz w:val="14"/>
                              <w:szCs w:val="14"/>
                            </w:rPr>
                          </m:ctrlPr>
                        </m:limLowPr>
                        <m:e>
                          <m:groupChr>
                            <m:groupChrPr>
                              <m:ctrlPr>
                                <w:rPr>
                                  <w:rFonts w:ascii="Cambria Math" w:hAnsi="Cambria Math"/>
                                  <w:i/>
                                  <w:iCs/>
                                  <w:sz w:val="14"/>
                                  <w:szCs w:val="14"/>
                                </w:rPr>
                              </m:ctrlPr>
                            </m:groupChrPr>
                            <m:e>
                              <m:f>
                                <m:fPr>
                                  <m:ctrlPr>
                                    <w:rPr>
                                      <w:rFonts w:ascii="Cambria Math" w:hAnsi="Cambria Math"/>
                                      <w:i/>
                                      <w:iCs/>
                                      <w:sz w:val="14"/>
                                      <w:szCs w:val="14"/>
                                    </w:rPr>
                                  </m:ctrlPr>
                                </m:fPr>
                                <m:num>
                                  <m:r>
                                    <m:rPr>
                                      <m:nor/>
                                    </m:rPr>
                                    <w:rPr>
                                      <w:i/>
                                      <w:iCs/>
                                      <w:sz w:val="14"/>
                                      <w:szCs w:val="14"/>
                                      <w:lang w:val="fr-FR"/>
                                    </w:rPr>
                                    <m:t>∆</m:t>
                                  </m:r>
                                  <m:sSub>
                                    <m:sSubPr>
                                      <m:ctrlPr>
                                        <w:rPr>
                                          <w:rFonts w:ascii="Cambria Math" w:hAnsi="Cambria Math"/>
                                          <w:i/>
                                          <w:iCs/>
                                          <w:sz w:val="14"/>
                                          <w:szCs w:val="14"/>
                                        </w:rPr>
                                      </m:ctrlPr>
                                    </m:sSubPr>
                                    <m:e>
                                      <m:r>
                                        <m:rPr>
                                          <m:nor/>
                                        </m:rPr>
                                        <w:rPr>
                                          <w:i/>
                                          <w:iCs/>
                                          <w:sz w:val="14"/>
                                          <w:szCs w:val="14"/>
                                          <w:lang w:val="fr-FR"/>
                                        </w:rPr>
                                        <m:t>I</m:t>
                                      </m:r>
                                    </m:e>
                                    <m:sub>
                                      <m:r>
                                        <m:rPr>
                                          <m:nor/>
                                        </m:rPr>
                                        <w:rPr>
                                          <w:i/>
                                          <w:iCs/>
                                          <w:sz w:val="14"/>
                                          <w:szCs w:val="14"/>
                                          <w:lang w:val="fr-FR"/>
                                        </w:rPr>
                                        <m:t>t</m:t>
                                      </m:r>
                                    </m:sub>
                                  </m:sSub>
                                </m:num>
                                <m:den>
                                  <m:sSub>
                                    <m:sSubPr>
                                      <m:ctrlPr>
                                        <w:rPr>
                                          <w:rFonts w:ascii="Cambria Math" w:hAnsi="Cambria Math"/>
                                          <w:i/>
                                          <w:iCs/>
                                          <w:sz w:val="14"/>
                                          <w:szCs w:val="14"/>
                                        </w:rPr>
                                      </m:ctrlPr>
                                    </m:sSubPr>
                                    <m:e>
                                      <m:r>
                                        <m:rPr>
                                          <m:nor/>
                                        </m:rPr>
                                        <w:rPr>
                                          <w:i/>
                                          <w:iCs/>
                                          <w:sz w:val="14"/>
                                          <w:szCs w:val="14"/>
                                          <w:lang w:val="fr-FR"/>
                                        </w:rPr>
                                        <m:t>I</m:t>
                                      </m:r>
                                    </m:e>
                                    <m:sub>
                                      <m:r>
                                        <m:rPr>
                                          <m:nor/>
                                        </m:rPr>
                                        <w:rPr>
                                          <w:i/>
                                          <w:iCs/>
                                          <w:sz w:val="14"/>
                                          <w:szCs w:val="14"/>
                                          <w:lang w:val="fr-FR"/>
                                        </w:rPr>
                                        <m:t>t</m:t>
                                      </m:r>
                                      <m:r>
                                        <w:rPr>
                                          <w:rFonts w:ascii="Cambria Math" w:hAnsi="Cambria Math"/>
                                          <w:sz w:val="14"/>
                                          <w:szCs w:val="14"/>
                                          <w:lang w:val="fr-FR"/>
                                        </w:rPr>
                                        <m:t>-</m:t>
                                      </m:r>
                                      <m:r>
                                        <m:rPr>
                                          <m:nor/>
                                        </m:rPr>
                                        <w:rPr>
                                          <w:i/>
                                          <w:iCs/>
                                          <w:sz w:val="14"/>
                                          <w:szCs w:val="14"/>
                                          <w:lang w:val="fr-FR"/>
                                        </w:rPr>
                                        <m:t>1</m:t>
                                      </m:r>
                                    </m:sub>
                                  </m:sSub>
                                </m:den>
                              </m:f>
                            </m:e>
                          </m:groupChr>
                        </m:e>
                        <m:lim>
                          <m:r>
                            <m:rPr>
                              <m:nor/>
                            </m:rPr>
                            <w:rPr>
                              <w:i/>
                              <w:iCs/>
                              <w:sz w:val="14"/>
                              <w:szCs w:val="14"/>
                            </w:rPr>
                            <m:t>γ</m:t>
                          </m:r>
                          <m:sSub>
                            <m:sSubPr>
                              <m:ctrlPr>
                                <w:rPr>
                                  <w:rFonts w:ascii="Cambria Math" w:hAnsi="Cambria Math"/>
                                  <w:i/>
                                  <w:iCs/>
                                  <w:sz w:val="14"/>
                                  <w:szCs w:val="14"/>
                                </w:rPr>
                              </m:ctrlPr>
                            </m:sSubPr>
                            <m:e>
                              <m:r>
                                <m:rPr>
                                  <m:nor/>
                                </m:rPr>
                                <w:rPr>
                                  <w:i/>
                                  <w:iCs/>
                                  <w:sz w:val="14"/>
                                  <w:szCs w:val="14"/>
                                  <w:lang w:val="fr-FR"/>
                                </w:rPr>
                                <m:t>I</m:t>
                              </m:r>
                            </m:e>
                            <m:sub>
                              <m:r>
                                <m:rPr>
                                  <m:nor/>
                                </m:rPr>
                                <w:rPr>
                                  <w:i/>
                                  <w:iCs/>
                                  <w:sz w:val="14"/>
                                  <w:szCs w:val="14"/>
                                  <w:lang w:val="fr-FR"/>
                                </w:rPr>
                                <m:t>t</m:t>
                              </m:r>
                            </m:sub>
                          </m:sSub>
                        </m:lim>
                      </m:limLow>
                      <m:r>
                        <w:rPr>
                          <w:rFonts w:ascii="Cambria Math" w:eastAsiaTheme="minorEastAsia" w:hAnsi="Cambria Math"/>
                          <w:sz w:val="14"/>
                          <w:szCs w:val="14"/>
                          <w:lang w:val="fr-FR"/>
                        </w:rPr>
                        <m:t>+</m:t>
                      </m:r>
                      <m:f>
                        <m:fPr>
                          <m:ctrlPr>
                            <w:rPr>
                              <w:rFonts w:ascii="Cambria Math" w:hAnsi="Cambria Math"/>
                              <w:i/>
                              <w:iCs/>
                              <w:sz w:val="14"/>
                              <w:szCs w:val="14"/>
                            </w:rPr>
                          </m:ctrlPr>
                        </m:fPr>
                        <m:num>
                          <m:sSub>
                            <m:sSubPr>
                              <m:ctrlPr>
                                <w:rPr>
                                  <w:rFonts w:ascii="Cambria Math" w:hAnsi="Cambria Math"/>
                                  <w:i/>
                                  <w:iCs/>
                                  <w:sz w:val="14"/>
                                  <w:szCs w:val="14"/>
                                </w:rPr>
                              </m:ctrlPr>
                            </m:sSubPr>
                            <m:e>
                              <m:r>
                                <m:rPr>
                                  <m:nor/>
                                </m:rPr>
                                <w:rPr>
                                  <w:i/>
                                  <w:iCs/>
                                  <w:sz w:val="14"/>
                                  <w:szCs w:val="14"/>
                                  <w:lang w:val="fr-FR"/>
                                </w:rPr>
                                <m:t>G</m:t>
                              </m:r>
                            </m:e>
                            <m:sub>
                              <m:r>
                                <m:rPr>
                                  <m:nor/>
                                </m:rPr>
                                <w:rPr>
                                  <w:i/>
                                  <w:iCs/>
                                  <w:sz w:val="14"/>
                                  <w:szCs w:val="14"/>
                                  <w:lang w:val="fr-FR"/>
                                </w:rPr>
                                <m:t>t</m:t>
                              </m:r>
                              <m:r>
                                <w:rPr>
                                  <w:rFonts w:ascii="Cambria Math" w:hAnsi="Cambria Math"/>
                                  <w:sz w:val="14"/>
                                  <w:szCs w:val="14"/>
                                  <w:lang w:val="fr-FR"/>
                                </w:rPr>
                                <m:t>-</m:t>
                              </m:r>
                              <m:r>
                                <m:rPr>
                                  <m:nor/>
                                </m:rPr>
                                <w:rPr>
                                  <w:i/>
                                  <w:iCs/>
                                  <w:sz w:val="14"/>
                                  <w:szCs w:val="14"/>
                                  <w:lang w:val="fr-FR"/>
                                </w:rPr>
                                <m:t>1</m:t>
                              </m:r>
                            </m:sub>
                          </m:sSub>
                        </m:num>
                        <m:den>
                          <m:sSubSup>
                            <m:sSubSupPr>
                              <m:ctrlPr>
                                <w:rPr>
                                  <w:rFonts w:ascii="Cambria Math" w:hAnsi="Cambria Math"/>
                                  <w:i/>
                                  <w:iCs/>
                                  <w:sz w:val="14"/>
                                  <w:szCs w:val="14"/>
                                </w:rPr>
                              </m:ctrlPr>
                            </m:sSubSupPr>
                            <m:e>
                              <m:r>
                                <m:rPr>
                                  <m:nor/>
                                </m:rPr>
                                <w:rPr>
                                  <w:i/>
                                  <w:iCs/>
                                  <w:sz w:val="14"/>
                                  <w:szCs w:val="14"/>
                                  <w:lang w:val="fr-FR"/>
                                </w:rPr>
                                <m:t>PIB</m:t>
                              </m:r>
                            </m:e>
                            <m:sub>
                              <m:r>
                                <m:rPr>
                                  <m:nor/>
                                </m:rPr>
                                <w:rPr>
                                  <w:i/>
                                  <w:iCs/>
                                  <w:sz w:val="14"/>
                                  <w:szCs w:val="14"/>
                                  <w:lang w:val="fr-FR"/>
                                </w:rPr>
                                <m:t>t</m:t>
                              </m:r>
                              <m:r>
                                <w:rPr>
                                  <w:rFonts w:ascii="Cambria Math" w:hAnsi="Cambria Math"/>
                                  <w:sz w:val="14"/>
                                  <w:szCs w:val="14"/>
                                  <w:lang w:val="fr-FR"/>
                                </w:rPr>
                                <m:t>-</m:t>
                              </m:r>
                              <m:r>
                                <m:rPr>
                                  <m:nor/>
                                </m:rPr>
                                <w:rPr>
                                  <w:i/>
                                  <w:iCs/>
                                  <w:sz w:val="14"/>
                                  <w:szCs w:val="14"/>
                                  <w:lang w:val="fr-FR"/>
                                </w:rPr>
                                <m:t>1</m:t>
                              </m:r>
                            </m:sub>
                            <m:sup>
                              <m:r>
                                <m:rPr>
                                  <m:nor/>
                                </m:rPr>
                                <w:rPr>
                                  <w:i/>
                                  <w:iCs/>
                                  <w:sz w:val="14"/>
                                  <w:szCs w:val="14"/>
                                  <w:lang w:val="fr-FR"/>
                                </w:rPr>
                                <m:t>Real</m:t>
                              </m:r>
                            </m:sup>
                          </m:sSubSup>
                        </m:den>
                      </m:f>
                      <m:r>
                        <w:rPr>
                          <w:rFonts w:ascii="Cambria Math" w:hAnsi="Cambria Math"/>
                          <w:sz w:val="14"/>
                          <w:szCs w:val="14"/>
                          <w:lang w:val="fr-FR"/>
                        </w:rPr>
                        <m:t>∙</m:t>
                      </m:r>
                      <m:limLow>
                        <m:limLowPr>
                          <m:ctrlPr>
                            <w:rPr>
                              <w:rFonts w:ascii="Cambria Math" w:hAnsi="Cambria Math"/>
                              <w:i/>
                              <w:iCs/>
                              <w:sz w:val="14"/>
                              <w:szCs w:val="14"/>
                            </w:rPr>
                          </m:ctrlPr>
                        </m:limLowPr>
                        <m:e>
                          <m:groupChr>
                            <m:groupChrPr>
                              <m:ctrlPr>
                                <w:rPr>
                                  <w:rFonts w:ascii="Cambria Math" w:hAnsi="Cambria Math"/>
                                  <w:i/>
                                  <w:iCs/>
                                  <w:sz w:val="14"/>
                                  <w:szCs w:val="14"/>
                                </w:rPr>
                              </m:ctrlPr>
                            </m:groupChrPr>
                            <m:e>
                              <m:f>
                                <m:fPr>
                                  <m:ctrlPr>
                                    <w:rPr>
                                      <w:rFonts w:ascii="Cambria Math" w:hAnsi="Cambria Math"/>
                                      <w:i/>
                                      <w:iCs/>
                                      <w:sz w:val="14"/>
                                      <w:szCs w:val="14"/>
                                    </w:rPr>
                                  </m:ctrlPr>
                                </m:fPr>
                                <m:num>
                                  <m:r>
                                    <m:rPr>
                                      <m:nor/>
                                    </m:rPr>
                                    <w:rPr>
                                      <w:i/>
                                      <w:iCs/>
                                      <w:sz w:val="14"/>
                                      <w:szCs w:val="14"/>
                                      <w:lang w:val="fr-FR"/>
                                    </w:rPr>
                                    <m:t>∆</m:t>
                                  </m:r>
                                  <m:sSub>
                                    <m:sSubPr>
                                      <m:ctrlPr>
                                        <w:rPr>
                                          <w:rFonts w:ascii="Cambria Math" w:hAnsi="Cambria Math"/>
                                          <w:i/>
                                          <w:iCs/>
                                          <w:sz w:val="14"/>
                                          <w:szCs w:val="14"/>
                                        </w:rPr>
                                      </m:ctrlPr>
                                    </m:sSubPr>
                                    <m:e>
                                      <m:r>
                                        <m:rPr>
                                          <m:nor/>
                                        </m:rPr>
                                        <w:rPr>
                                          <w:i/>
                                          <w:iCs/>
                                          <w:sz w:val="14"/>
                                          <w:szCs w:val="14"/>
                                          <w:lang w:val="fr-FR"/>
                                        </w:rPr>
                                        <m:t>G</m:t>
                                      </m:r>
                                    </m:e>
                                    <m:sub>
                                      <m:r>
                                        <m:rPr>
                                          <m:nor/>
                                        </m:rPr>
                                        <w:rPr>
                                          <w:i/>
                                          <w:iCs/>
                                          <w:sz w:val="14"/>
                                          <w:szCs w:val="14"/>
                                          <w:lang w:val="fr-FR"/>
                                        </w:rPr>
                                        <m:t>t</m:t>
                                      </m:r>
                                    </m:sub>
                                  </m:sSub>
                                </m:num>
                                <m:den>
                                  <m:sSub>
                                    <m:sSubPr>
                                      <m:ctrlPr>
                                        <w:rPr>
                                          <w:rFonts w:ascii="Cambria Math" w:hAnsi="Cambria Math"/>
                                          <w:i/>
                                          <w:iCs/>
                                          <w:sz w:val="14"/>
                                          <w:szCs w:val="14"/>
                                        </w:rPr>
                                      </m:ctrlPr>
                                    </m:sSubPr>
                                    <m:e>
                                      <m:r>
                                        <m:rPr>
                                          <m:nor/>
                                        </m:rPr>
                                        <w:rPr>
                                          <w:i/>
                                          <w:iCs/>
                                          <w:sz w:val="14"/>
                                          <w:szCs w:val="14"/>
                                          <w:lang w:val="fr-FR"/>
                                        </w:rPr>
                                        <m:t>G</m:t>
                                      </m:r>
                                    </m:e>
                                    <m:sub>
                                      <m:r>
                                        <m:rPr>
                                          <m:nor/>
                                        </m:rPr>
                                        <w:rPr>
                                          <w:i/>
                                          <w:iCs/>
                                          <w:sz w:val="14"/>
                                          <w:szCs w:val="14"/>
                                          <w:lang w:val="fr-FR"/>
                                        </w:rPr>
                                        <m:t>t</m:t>
                                      </m:r>
                                      <m:r>
                                        <w:rPr>
                                          <w:rFonts w:ascii="Cambria Math" w:hAnsi="Cambria Math"/>
                                          <w:sz w:val="14"/>
                                          <w:szCs w:val="14"/>
                                          <w:lang w:val="fr-FR"/>
                                        </w:rPr>
                                        <m:t>-</m:t>
                                      </m:r>
                                      <m:r>
                                        <m:rPr>
                                          <m:nor/>
                                        </m:rPr>
                                        <w:rPr>
                                          <w:i/>
                                          <w:iCs/>
                                          <w:sz w:val="14"/>
                                          <w:szCs w:val="14"/>
                                          <w:lang w:val="fr-FR"/>
                                        </w:rPr>
                                        <m:t>1</m:t>
                                      </m:r>
                                    </m:sub>
                                  </m:sSub>
                                </m:den>
                              </m:f>
                            </m:e>
                          </m:groupChr>
                        </m:e>
                        <m:lim>
                          <m:r>
                            <m:rPr>
                              <m:nor/>
                            </m:rPr>
                            <w:rPr>
                              <w:i/>
                              <w:iCs/>
                              <w:sz w:val="14"/>
                              <w:szCs w:val="14"/>
                            </w:rPr>
                            <m:t>γ</m:t>
                          </m:r>
                          <m:sSub>
                            <m:sSubPr>
                              <m:ctrlPr>
                                <w:rPr>
                                  <w:rFonts w:ascii="Cambria Math" w:hAnsi="Cambria Math"/>
                                  <w:i/>
                                  <w:iCs/>
                                  <w:sz w:val="14"/>
                                  <w:szCs w:val="14"/>
                                </w:rPr>
                              </m:ctrlPr>
                            </m:sSubPr>
                            <m:e>
                              <m:r>
                                <m:rPr>
                                  <m:nor/>
                                </m:rPr>
                                <w:rPr>
                                  <w:i/>
                                  <w:iCs/>
                                  <w:sz w:val="14"/>
                                  <w:szCs w:val="14"/>
                                  <w:lang w:val="fr-FR"/>
                                </w:rPr>
                                <m:t>G</m:t>
                              </m:r>
                            </m:e>
                            <m:sub>
                              <m:r>
                                <m:rPr>
                                  <m:nor/>
                                </m:rPr>
                                <w:rPr>
                                  <w:i/>
                                  <w:iCs/>
                                  <w:sz w:val="14"/>
                                  <w:szCs w:val="14"/>
                                  <w:lang w:val="fr-FR"/>
                                </w:rPr>
                                <m:t>t</m:t>
                              </m:r>
                            </m:sub>
                          </m:sSub>
                        </m:lim>
                      </m:limLow>
                    </m:e>
                  </m:groupChr>
                </m:e>
                <m:lim>
                  <m:r>
                    <m:rPr>
                      <m:nor/>
                    </m:rPr>
                    <w:rPr>
                      <w:rFonts w:eastAsiaTheme="minorEastAsia"/>
                      <w:i/>
                      <w:iCs/>
                      <w:sz w:val="14"/>
                      <w:szCs w:val="14"/>
                      <w:lang w:val="fr-FR"/>
                    </w:rPr>
                    <m:t xml:space="preserve">Contribución </m:t>
                  </m:r>
                  <m:r>
                    <m:rPr>
                      <m:nor/>
                    </m:rPr>
                    <w:rPr>
                      <w:i/>
                      <w:iCs/>
                      <w:sz w:val="14"/>
                      <w:szCs w:val="14"/>
                      <w:lang w:val="fr-FR"/>
                    </w:rPr>
                    <m:t>demanda interna</m:t>
                  </m:r>
                </m:lim>
              </m:limLow>
              <m:r>
                <w:rPr>
                  <w:rFonts w:ascii="Cambria Math" w:eastAsiaTheme="minorEastAsia" w:hAnsi="Cambria Math"/>
                  <w:sz w:val="14"/>
                  <w:szCs w:val="14"/>
                  <w:lang w:val="fr-FR"/>
                </w:rPr>
                <m:t>+</m:t>
              </m:r>
              <m:limLow>
                <m:limLowPr>
                  <m:ctrlPr>
                    <w:rPr>
                      <w:rFonts w:ascii="Cambria Math" w:hAnsi="Cambria Math"/>
                      <w:i/>
                      <w:iCs/>
                      <w:sz w:val="14"/>
                      <w:szCs w:val="14"/>
                    </w:rPr>
                  </m:ctrlPr>
                </m:limLowPr>
                <m:e>
                  <m:groupChr>
                    <m:groupChrPr>
                      <m:ctrlPr>
                        <w:rPr>
                          <w:rFonts w:ascii="Cambria Math" w:hAnsi="Cambria Math"/>
                          <w:i/>
                          <w:iCs/>
                          <w:sz w:val="14"/>
                          <w:szCs w:val="14"/>
                        </w:rPr>
                      </m:ctrlPr>
                    </m:groupChrPr>
                    <m:e>
                      <m:f>
                        <m:fPr>
                          <m:ctrlPr>
                            <w:rPr>
                              <w:rFonts w:ascii="Cambria Math" w:hAnsi="Cambria Math"/>
                              <w:i/>
                              <w:iCs/>
                              <w:sz w:val="14"/>
                              <w:szCs w:val="14"/>
                            </w:rPr>
                          </m:ctrlPr>
                        </m:fPr>
                        <m:num>
                          <m:sSub>
                            <m:sSubPr>
                              <m:ctrlPr>
                                <w:rPr>
                                  <w:rFonts w:ascii="Cambria Math" w:hAnsi="Cambria Math"/>
                                  <w:i/>
                                  <w:iCs/>
                                  <w:sz w:val="14"/>
                                  <w:szCs w:val="14"/>
                                </w:rPr>
                              </m:ctrlPr>
                            </m:sSubPr>
                            <m:e>
                              <m:r>
                                <m:rPr>
                                  <m:nor/>
                                </m:rPr>
                                <w:rPr>
                                  <w:i/>
                                  <w:iCs/>
                                  <w:sz w:val="14"/>
                                  <w:szCs w:val="14"/>
                                  <w:lang w:val="fr-FR"/>
                                </w:rPr>
                                <m:t>X</m:t>
                              </m:r>
                            </m:e>
                            <m:sub>
                              <m:r>
                                <m:rPr>
                                  <m:nor/>
                                </m:rPr>
                                <w:rPr>
                                  <w:i/>
                                  <w:iCs/>
                                  <w:sz w:val="14"/>
                                  <w:szCs w:val="14"/>
                                  <w:lang w:val="fr-FR"/>
                                </w:rPr>
                                <m:t>t</m:t>
                              </m:r>
                              <m:r>
                                <w:rPr>
                                  <w:rFonts w:ascii="Cambria Math" w:hAnsi="Cambria Math"/>
                                  <w:sz w:val="14"/>
                                  <w:szCs w:val="14"/>
                                  <w:lang w:val="fr-FR"/>
                                </w:rPr>
                                <m:t>-</m:t>
                              </m:r>
                              <m:r>
                                <m:rPr>
                                  <m:nor/>
                                </m:rPr>
                                <w:rPr>
                                  <w:i/>
                                  <w:iCs/>
                                  <w:sz w:val="14"/>
                                  <w:szCs w:val="14"/>
                                  <w:lang w:val="fr-FR"/>
                                </w:rPr>
                                <m:t>1</m:t>
                              </m:r>
                            </m:sub>
                          </m:sSub>
                        </m:num>
                        <m:den>
                          <m:sSubSup>
                            <m:sSubSupPr>
                              <m:ctrlPr>
                                <w:rPr>
                                  <w:rFonts w:ascii="Cambria Math" w:hAnsi="Cambria Math"/>
                                  <w:i/>
                                  <w:iCs/>
                                  <w:sz w:val="14"/>
                                  <w:szCs w:val="14"/>
                                </w:rPr>
                              </m:ctrlPr>
                            </m:sSubSupPr>
                            <m:e>
                              <m:r>
                                <m:rPr>
                                  <m:nor/>
                                </m:rPr>
                                <w:rPr>
                                  <w:i/>
                                  <w:iCs/>
                                  <w:sz w:val="14"/>
                                  <w:szCs w:val="14"/>
                                  <w:lang w:val="fr-FR"/>
                                </w:rPr>
                                <m:t>PIB</m:t>
                              </m:r>
                            </m:e>
                            <m:sub>
                              <m:r>
                                <m:rPr>
                                  <m:nor/>
                                </m:rPr>
                                <w:rPr>
                                  <w:i/>
                                  <w:iCs/>
                                  <w:sz w:val="14"/>
                                  <w:szCs w:val="14"/>
                                  <w:lang w:val="fr-FR"/>
                                </w:rPr>
                                <m:t>t</m:t>
                              </m:r>
                              <m:r>
                                <w:rPr>
                                  <w:rFonts w:ascii="Cambria Math" w:hAnsi="Cambria Math"/>
                                  <w:sz w:val="14"/>
                                  <w:szCs w:val="14"/>
                                  <w:lang w:val="fr-FR"/>
                                </w:rPr>
                                <m:t>-</m:t>
                              </m:r>
                              <m:r>
                                <m:rPr>
                                  <m:nor/>
                                </m:rPr>
                                <w:rPr>
                                  <w:i/>
                                  <w:iCs/>
                                  <w:sz w:val="14"/>
                                  <w:szCs w:val="14"/>
                                  <w:lang w:val="fr-FR"/>
                                </w:rPr>
                                <m:t>1</m:t>
                              </m:r>
                            </m:sub>
                            <m:sup>
                              <m:r>
                                <m:rPr>
                                  <m:nor/>
                                </m:rPr>
                                <w:rPr>
                                  <w:i/>
                                  <w:iCs/>
                                  <w:sz w:val="14"/>
                                  <w:szCs w:val="14"/>
                                  <w:lang w:val="fr-FR"/>
                                </w:rPr>
                                <m:t>Real</m:t>
                              </m:r>
                            </m:sup>
                          </m:sSubSup>
                        </m:den>
                      </m:f>
                      <m:r>
                        <w:rPr>
                          <w:rFonts w:ascii="Cambria Math" w:hAnsi="Cambria Math"/>
                          <w:sz w:val="14"/>
                          <w:szCs w:val="14"/>
                          <w:lang w:val="fr-FR"/>
                        </w:rPr>
                        <m:t>∙</m:t>
                      </m:r>
                      <m:limLow>
                        <m:limLowPr>
                          <m:ctrlPr>
                            <w:rPr>
                              <w:rFonts w:ascii="Cambria Math" w:hAnsi="Cambria Math"/>
                              <w:i/>
                              <w:iCs/>
                              <w:sz w:val="14"/>
                              <w:szCs w:val="14"/>
                            </w:rPr>
                          </m:ctrlPr>
                        </m:limLowPr>
                        <m:e>
                          <m:groupChr>
                            <m:groupChrPr>
                              <m:ctrlPr>
                                <w:rPr>
                                  <w:rFonts w:ascii="Cambria Math" w:hAnsi="Cambria Math"/>
                                  <w:i/>
                                  <w:iCs/>
                                  <w:sz w:val="14"/>
                                  <w:szCs w:val="14"/>
                                </w:rPr>
                              </m:ctrlPr>
                            </m:groupChrPr>
                            <m:e>
                              <m:f>
                                <m:fPr>
                                  <m:ctrlPr>
                                    <w:rPr>
                                      <w:rFonts w:ascii="Cambria Math" w:hAnsi="Cambria Math"/>
                                      <w:i/>
                                      <w:iCs/>
                                      <w:sz w:val="14"/>
                                      <w:szCs w:val="14"/>
                                    </w:rPr>
                                  </m:ctrlPr>
                                </m:fPr>
                                <m:num>
                                  <m:r>
                                    <m:rPr>
                                      <m:nor/>
                                    </m:rPr>
                                    <w:rPr>
                                      <w:i/>
                                      <w:iCs/>
                                      <w:sz w:val="14"/>
                                      <w:szCs w:val="14"/>
                                      <w:lang w:val="fr-FR"/>
                                    </w:rPr>
                                    <m:t>∆</m:t>
                                  </m:r>
                                  <m:sSub>
                                    <m:sSubPr>
                                      <m:ctrlPr>
                                        <w:rPr>
                                          <w:rFonts w:ascii="Cambria Math" w:hAnsi="Cambria Math"/>
                                          <w:i/>
                                          <w:iCs/>
                                          <w:sz w:val="14"/>
                                          <w:szCs w:val="14"/>
                                        </w:rPr>
                                      </m:ctrlPr>
                                    </m:sSubPr>
                                    <m:e>
                                      <m:r>
                                        <m:rPr>
                                          <m:nor/>
                                        </m:rPr>
                                        <w:rPr>
                                          <w:i/>
                                          <w:iCs/>
                                          <w:sz w:val="14"/>
                                          <w:szCs w:val="14"/>
                                          <w:lang w:val="fr-FR"/>
                                        </w:rPr>
                                        <m:t>X</m:t>
                                      </m:r>
                                    </m:e>
                                    <m:sub>
                                      <m:r>
                                        <m:rPr>
                                          <m:nor/>
                                        </m:rPr>
                                        <w:rPr>
                                          <w:i/>
                                          <w:iCs/>
                                          <w:sz w:val="14"/>
                                          <w:szCs w:val="14"/>
                                          <w:lang w:val="fr-FR"/>
                                        </w:rPr>
                                        <m:t>t</m:t>
                                      </m:r>
                                    </m:sub>
                                  </m:sSub>
                                </m:num>
                                <m:den>
                                  <m:sSub>
                                    <m:sSubPr>
                                      <m:ctrlPr>
                                        <w:rPr>
                                          <w:rFonts w:ascii="Cambria Math" w:hAnsi="Cambria Math"/>
                                          <w:i/>
                                          <w:iCs/>
                                          <w:sz w:val="14"/>
                                          <w:szCs w:val="14"/>
                                        </w:rPr>
                                      </m:ctrlPr>
                                    </m:sSubPr>
                                    <m:e>
                                      <m:r>
                                        <m:rPr>
                                          <m:nor/>
                                        </m:rPr>
                                        <w:rPr>
                                          <w:i/>
                                          <w:iCs/>
                                          <w:sz w:val="14"/>
                                          <w:szCs w:val="14"/>
                                          <w:lang w:val="fr-FR"/>
                                        </w:rPr>
                                        <m:t>X</m:t>
                                      </m:r>
                                    </m:e>
                                    <m:sub>
                                      <m:r>
                                        <m:rPr>
                                          <m:nor/>
                                        </m:rPr>
                                        <w:rPr>
                                          <w:i/>
                                          <w:iCs/>
                                          <w:sz w:val="14"/>
                                          <w:szCs w:val="14"/>
                                          <w:lang w:val="fr-FR"/>
                                        </w:rPr>
                                        <m:t>t</m:t>
                                      </m:r>
                                      <m:r>
                                        <w:rPr>
                                          <w:rFonts w:ascii="Cambria Math" w:hAnsi="Cambria Math"/>
                                          <w:sz w:val="14"/>
                                          <w:szCs w:val="14"/>
                                          <w:lang w:val="fr-FR"/>
                                        </w:rPr>
                                        <m:t>-</m:t>
                                      </m:r>
                                      <m:r>
                                        <m:rPr>
                                          <m:nor/>
                                        </m:rPr>
                                        <w:rPr>
                                          <w:i/>
                                          <w:iCs/>
                                          <w:sz w:val="14"/>
                                          <w:szCs w:val="14"/>
                                          <w:lang w:val="fr-FR"/>
                                        </w:rPr>
                                        <m:t>1</m:t>
                                      </m:r>
                                    </m:sub>
                                  </m:sSub>
                                </m:den>
                              </m:f>
                            </m:e>
                          </m:groupChr>
                        </m:e>
                        <m:lim>
                          <m:r>
                            <m:rPr>
                              <m:nor/>
                            </m:rPr>
                            <w:rPr>
                              <w:i/>
                              <w:iCs/>
                              <w:sz w:val="14"/>
                              <w:szCs w:val="14"/>
                            </w:rPr>
                            <m:t>γ</m:t>
                          </m:r>
                          <m:sSub>
                            <m:sSubPr>
                              <m:ctrlPr>
                                <w:rPr>
                                  <w:rFonts w:ascii="Cambria Math" w:hAnsi="Cambria Math"/>
                                  <w:i/>
                                  <w:iCs/>
                                  <w:sz w:val="14"/>
                                  <w:szCs w:val="14"/>
                                </w:rPr>
                              </m:ctrlPr>
                            </m:sSubPr>
                            <m:e>
                              <m:r>
                                <m:rPr>
                                  <m:nor/>
                                </m:rPr>
                                <w:rPr>
                                  <w:i/>
                                  <w:iCs/>
                                  <w:sz w:val="14"/>
                                  <w:szCs w:val="14"/>
                                  <w:lang w:val="fr-FR"/>
                                </w:rPr>
                                <m:t>X</m:t>
                              </m:r>
                            </m:e>
                            <m:sub>
                              <m:r>
                                <m:rPr>
                                  <m:nor/>
                                </m:rPr>
                                <w:rPr>
                                  <w:i/>
                                  <w:iCs/>
                                  <w:sz w:val="14"/>
                                  <w:szCs w:val="14"/>
                                  <w:lang w:val="fr-FR"/>
                                </w:rPr>
                                <m:t>t</m:t>
                              </m:r>
                            </m:sub>
                          </m:sSub>
                        </m:lim>
                      </m:limLow>
                      <m:r>
                        <w:rPr>
                          <w:rFonts w:ascii="Cambria Math" w:eastAsiaTheme="minorEastAsia" w:hAnsi="Cambria Math"/>
                          <w:sz w:val="14"/>
                          <w:szCs w:val="14"/>
                          <w:lang w:val="fr-FR"/>
                        </w:rPr>
                        <m:t>-</m:t>
                      </m:r>
                      <m:f>
                        <m:fPr>
                          <m:ctrlPr>
                            <w:rPr>
                              <w:rFonts w:ascii="Cambria Math" w:hAnsi="Cambria Math"/>
                              <w:i/>
                              <w:iCs/>
                              <w:sz w:val="14"/>
                              <w:szCs w:val="14"/>
                            </w:rPr>
                          </m:ctrlPr>
                        </m:fPr>
                        <m:num>
                          <m:sSub>
                            <m:sSubPr>
                              <m:ctrlPr>
                                <w:rPr>
                                  <w:rFonts w:ascii="Cambria Math" w:hAnsi="Cambria Math"/>
                                  <w:i/>
                                  <w:iCs/>
                                  <w:sz w:val="14"/>
                                  <w:szCs w:val="14"/>
                                </w:rPr>
                              </m:ctrlPr>
                            </m:sSubPr>
                            <m:e>
                              <m:r>
                                <m:rPr>
                                  <m:nor/>
                                </m:rPr>
                                <w:rPr>
                                  <w:i/>
                                  <w:iCs/>
                                  <w:sz w:val="14"/>
                                  <w:szCs w:val="14"/>
                                  <w:lang w:val="fr-FR"/>
                                </w:rPr>
                                <m:t>M</m:t>
                              </m:r>
                            </m:e>
                            <m:sub>
                              <m:r>
                                <m:rPr>
                                  <m:nor/>
                                </m:rPr>
                                <w:rPr>
                                  <w:i/>
                                  <w:iCs/>
                                  <w:sz w:val="14"/>
                                  <w:szCs w:val="14"/>
                                  <w:lang w:val="fr-FR"/>
                                </w:rPr>
                                <m:t>t</m:t>
                              </m:r>
                              <m:r>
                                <w:rPr>
                                  <w:rFonts w:ascii="Cambria Math" w:hAnsi="Cambria Math"/>
                                  <w:sz w:val="14"/>
                                  <w:szCs w:val="14"/>
                                  <w:lang w:val="fr-FR"/>
                                </w:rPr>
                                <m:t>-</m:t>
                              </m:r>
                              <m:r>
                                <m:rPr>
                                  <m:nor/>
                                </m:rPr>
                                <w:rPr>
                                  <w:i/>
                                  <w:iCs/>
                                  <w:sz w:val="14"/>
                                  <w:szCs w:val="14"/>
                                  <w:lang w:val="fr-FR"/>
                                </w:rPr>
                                <m:t>1</m:t>
                              </m:r>
                            </m:sub>
                          </m:sSub>
                        </m:num>
                        <m:den>
                          <m:sSubSup>
                            <m:sSubSupPr>
                              <m:ctrlPr>
                                <w:rPr>
                                  <w:rFonts w:ascii="Cambria Math" w:hAnsi="Cambria Math"/>
                                  <w:i/>
                                  <w:iCs/>
                                  <w:sz w:val="14"/>
                                  <w:szCs w:val="14"/>
                                </w:rPr>
                              </m:ctrlPr>
                            </m:sSubSupPr>
                            <m:e>
                              <m:r>
                                <m:rPr>
                                  <m:nor/>
                                </m:rPr>
                                <w:rPr>
                                  <w:i/>
                                  <w:iCs/>
                                  <w:sz w:val="14"/>
                                  <w:szCs w:val="14"/>
                                  <w:lang w:val="fr-FR"/>
                                </w:rPr>
                                <m:t>PIB</m:t>
                              </m:r>
                            </m:e>
                            <m:sub>
                              <m:r>
                                <m:rPr>
                                  <m:nor/>
                                </m:rPr>
                                <w:rPr>
                                  <w:i/>
                                  <w:iCs/>
                                  <w:sz w:val="14"/>
                                  <w:szCs w:val="14"/>
                                  <w:lang w:val="fr-FR"/>
                                </w:rPr>
                                <m:t>t</m:t>
                              </m:r>
                              <m:r>
                                <w:rPr>
                                  <w:rFonts w:ascii="Cambria Math" w:hAnsi="Cambria Math"/>
                                  <w:sz w:val="14"/>
                                  <w:szCs w:val="14"/>
                                  <w:lang w:val="fr-FR"/>
                                </w:rPr>
                                <m:t>-</m:t>
                              </m:r>
                              <m:r>
                                <m:rPr>
                                  <m:nor/>
                                </m:rPr>
                                <w:rPr>
                                  <w:i/>
                                  <w:iCs/>
                                  <w:sz w:val="14"/>
                                  <w:szCs w:val="14"/>
                                  <w:lang w:val="fr-FR"/>
                                </w:rPr>
                                <m:t>1</m:t>
                              </m:r>
                            </m:sub>
                            <m:sup>
                              <m:r>
                                <m:rPr>
                                  <m:nor/>
                                </m:rPr>
                                <w:rPr>
                                  <w:i/>
                                  <w:iCs/>
                                  <w:sz w:val="14"/>
                                  <w:szCs w:val="14"/>
                                  <w:lang w:val="fr-FR"/>
                                </w:rPr>
                                <m:t>Real</m:t>
                              </m:r>
                            </m:sup>
                          </m:sSubSup>
                        </m:den>
                      </m:f>
                      <m:r>
                        <w:rPr>
                          <w:rFonts w:ascii="Cambria Math" w:hAnsi="Cambria Math"/>
                          <w:sz w:val="14"/>
                          <w:szCs w:val="14"/>
                          <w:lang w:val="fr-FR"/>
                        </w:rPr>
                        <m:t>∙</m:t>
                      </m:r>
                      <m:limLow>
                        <m:limLowPr>
                          <m:ctrlPr>
                            <w:rPr>
                              <w:rFonts w:ascii="Cambria Math" w:hAnsi="Cambria Math"/>
                              <w:i/>
                              <w:iCs/>
                              <w:sz w:val="14"/>
                              <w:szCs w:val="14"/>
                            </w:rPr>
                          </m:ctrlPr>
                        </m:limLowPr>
                        <m:e>
                          <m:groupChr>
                            <m:groupChrPr>
                              <m:ctrlPr>
                                <w:rPr>
                                  <w:rFonts w:ascii="Cambria Math" w:hAnsi="Cambria Math"/>
                                  <w:i/>
                                  <w:iCs/>
                                  <w:sz w:val="14"/>
                                  <w:szCs w:val="14"/>
                                </w:rPr>
                              </m:ctrlPr>
                            </m:groupChrPr>
                            <m:e>
                              <m:f>
                                <m:fPr>
                                  <m:ctrlPr>
                                    <w:rPr>
                                      <w:rFonts w:ascii="Cambria Math" w:hAnsi="Cambria Math"/>
                                      <w:i/>
                                      <w:iCs/>
                                      <w:sz w:val="14"/>
                                      <w:szCs w:val="14"/>
                                    </w:rPr>
                                  </m:ctrlPr>
                                </m:fPr>
                                <m:num>
                                  <m:r>
                                    <m:rPr>
                                      <m:nor/>
                                    </m:rPr>
                                    <w:rPr>
                                      <w:i/>
                                      <w:iCs/>
                                      <w:sz w:val="14"/>
                                      <w:szCs w:val="14"/>
                                      <w:lang w:val="fr-FR"/>
                                    </w:rPr>
                                    <m:t>∆</m:t>
                                  </m:r>
                                  <m:sSub>
                                    <m:sSubPr>
                                      <m:ctrlPr>
                                        <w:rPr>
                                          <w:rFonts w:ascii="Cambria Math" w:hAnsi="Cambria Math"/>
                                          <w:i/>
                                          <w:iCs/>
                                          <w:sz w:val="14"/>
                                          <w:szCs w:val="14"/>
                                        </w:rPr>
                                      </m:ctrlPr>
                                    </m:sSubPr>
                                    <m:e>
                                      <m:r>
                                        <m:rPr>
                                          <m:nor/>
                                        </m:rPr>
                                        <w:rPr>
                                          <w:i/>
                                          <w:iCs/>
                                          <w:sz w:val="14"/>
                                          <w:szCs w:val="14"/>
                                          <w:lang w:val="fr-FR"/>
                                        </w:rPr>
                                        <m:t>M</m:t>
                                      </m:r>
                                    </m:e>
                                    <m:sub>
                                      <m:r>
                                        <m:rPr>
                                          <m:nor/>
                                        </m:rPr>
                                        <w:rPr>
                                          <w:i/>
                                          <w:iCs/>
                                          <w:sz w:val="14"/>
                                          <w:szCs w:val="14"/>
                                          <w:lang w:val="fr-FR"/>
                                        </w:rPr>
                                        <m:t>t</m:t>
                                      </m:r>
                                    </m:sub>
                                  </m:sSub>
                                </m:num>
                                <m:den>
                                  <m:sSub>
                                    <m:sSubPr>
                                      <m:ctrlPr>
                                        <w:rPr>
                                          <w:rFonts w:ascii="Cambria Math" w:hAnsi="Cambria Math"/>
                                          <w:i/>
                                          <w:iCs/>
                                          <w:sz w:val="14"/>
                                          <w:szCs w:val="14"/>
                                        </w:rPr>
                                      </m:ctrlPr>
                                    </m:sSubPr>
                                    <m:e>
                                      <m:r>
                                        <m:rPr>
                                          <m:nor/>
                                        </m:rPr>
                                        <w:rPr>
                                          <w:i/>
                                          <w:iCs/>
                                          <w:sz w:val="14"/>
                                          <w:szCs w:val="14"/>
                                          <w:lang w:val="fr-FR"/>
                                        </w:rPr>
                                        <m:t>M</m:t>
                                      </m:r>
                                    </m:e>
                                    <m:sub>
                                      <m:r>
                                        <m:rPr>
                                          <m:nor/>
                                        </m:rPr>
                                        <w:rPr>
                                          <w:i/>
                                          <w:iCs/>
                                          <w:sz w:val="14"/>
                                          <w:szCs w:val="14"/>
                                          <w:lang w:val="fr-FR"/>
                                        </w:rPr>
                                        <m:t>t</m:t>
                                      </m:r>
                                      <m:r>
                                        <w:rPr>
                                          <w:rFonts w:ascii="Cambria Math" w:hAnsi="Cambria Math"/>
                                          <w:sz w:val="14"/>
                                          <w:szCs w:val="14"/>
                                          <w:lang w:val="fr-FR"/>
                                        </w:rPr>
                                        <m:t>-</m:t>
                                      </m:r>
                                      <m:r>
                                        <m:rPr>
                                          <m:nor/>
                                        </m:rPr>
                                        <w:rPr>
                                          <w:i/>
                                          <w:iCs/>
                                          <w:sz w:val="14"/>
                                          <w:szCs w:val="14"/>
                                          <w:lang w:val="fr-FR"/>
                                        </w:rPr>
                                        <m:t>1</m:t>
                                      </m:r>
                                    </m:sub>
                                  </m:sSub>
                                </m:den>
                              </m:f>
                            </m:e>
                          </m:groupChr>
                        </m:e>
                        <m:lim>
                          <m:r>
                            <m:rPr>
                              <m:nor/>
                            </m:rPr>
                            <w:rPr>
                              <w:i/>
                              <w:iCs/>
                              <w:sz w:val="14"/>
                              <w:szCs w:val="14"/>
                            </w:rPr>
                            <m:t>γ</m:t>
                          </m:r>
                          <m:sSub>
                            <m:sSubPr>
                              <m:ctrlPr>
                                <w:rPr>
                                  <w:rFonts w:ascii="Cambria Math" w:hAnsi="Cambria Math"/>
                                  <w:i/>
                                  <w:iCs/>
                                  <w:sz w:val="14"/>
                                  <w:szCs w:val="14"/>
                                </w:rPr>
                              </m:ctrlPr>
                            </m:sSubPr>
                            <m:e>
                              <m:r>
                                <m:rPr>
                                  <m:nor/>
                                </m:rPr>
                                <w:rPr>
                                  <w:i/>
                                  <w:iCs/>
                                  <w:sz w:val="14"/>
                                  <w:szCs w:val="14"/>
                                  <w:lang w:val="fr-FR"/>
                                </w:rPr>
                                <m:t>M</m:t>
                              </m:r>
                            </m:e>
                            <m:sub>
                              <m:r>
                                <m:rPr>
                                  <m:nor/>
                                </m:rPr>
                                <w:rPr>
                                  <w:i/>
                                  <w:iCs/>
                                  <w:sz w:val="14"/>
                                  <w:szCs w:val="14"/>
                                  <w:lang w:val="fr-FR"/>
                                </w:rPr>
                                <m:t>t</m:t>
                              </m:r>
                            </m:sub>
                          </m:sSub>
                        </m:lim>
                      </m:limLow>
                    </m:e>
                  </m:groupChr>
                </m:e>
                <m:lim>
                  <m:r>
                    <m:rPr>
                      <m:nor/>
                    </m:rPr>
                    <w:rPr>
                      <w:rFonts w:eastAsiaTheme="minorEastAsia"/>
                      <w:i/>
                      <w:iCs/>
                      <w:sz w:val="14"/>
                      <w:szCs w:val="14"/>
                      <w:lang w:val="fr-FR"/>
                    </w:rPr>
                    <m:t xml:space="preserve">Contribución </m:t>
                  </m:r>
                  <m:r>
                    <m:rPr>
                      <m:nor/>
                    </m:rPr>
                    <w:rPr>
                      <w:i/>
                      <w:iCs/>
                      <w:sz w:val="14"/>
                      <w:szCs w:val="14"/>
                      <w:lang w:val="fr-FR"/>
                    </w:rPr>
                    <m:t>demanda externa</m:t>
                  </m:r>
                </m:lim>
              </m:limLow>
            </m:e>
          </m:borderBox>
        </m:oMath>
      </m:oMathPara>
    </w:p>
    <w:p w14:paraId="5DCDFDC2" w14:textId="428CD47E" w:rsidR="00CA72BF" w:rsidRPr="00025F23" w:rsidRDefault="00960EF2" w:rsidP="005010A7">
      <w:r w:rsidRPr="00025F23">
        <w:t>En palabras, esto quiere decir: es posible expresar el crecimiento del PIB como la suma de las contribuciones al crecimiento de cada uno de los componentes de la demanda agregada. Cada contribución es igual al peso relativo de la variable en el período anterior multiplicado por la tasa de crecimiento de la misma variable en el período actual.</w:t>
      </w:r>
    </w:p>
    <w:p w14:paraId="03B0AE5F" w14:textId="26355847" w:rsidR="005010A7" w:rsidRPr="00025F23" w:rsidRDefault="005010A7" w:rsidP="005010A7">
      <w:pPr>
        <w:keepNext/>
        <w:spacing w:after="0"/>
      </w:pPr>
      <w:r w:rsidRPr="00025F23">
        <w:t>Por lo tanto, la contribución al crecimiento de una variable depende de:</w:t>
      </w:r>
    </w:p>
    <w:p w14:paraId="2C1E1A4D" w14:textId="77777777" w:rsidR="005010A7" w:rsidRPr="00025F23" w:rsidRDefault="005010A7" w:rsidP="005010A7">
      <w:pPr>
        <w:pStyle w:val="Nivel1"/>
        <w:spacing w:after="0"/>
      </w:pPr>
      <w:r w:rsidRPr="00025F23">
        <w:t>Crecimiento de la variable</w:t>
      </w:r>
    </w:p>
    <w:p w14:paraId="2E36B453" w14:textId="61EC0688" w:rsidR="005010A7" w:rsidRPr="00025F23" w:rsidRDefault="005010A7" w:rsidP="005010A7">
      <w:pPr>
        <w:pStyle w:val="Nivel1"/>
      </w:pPr>
      <w:r w:rsidRPr="00025F23">
        <w:t>Su peso en el PIB</w:t>
      </w:r>
    </w:p>
    <w:p w14:paraId="0F4D49AD" w14:textId="7D597E20" w:rsidR="00CA72BF" w:rsidRPr="00025F23" w:rsidRDefault="00CA72BF" w:rsidP="00CA72BF">
      <w:r w:rsidRPr="00025F23">
        <w:t xml:space="preserve">Nótese que las contribuciones </w:t>
      </w:r>
      <w:r w:rsidRPr="00025F23">
        <w:rPr>
          <w:i/>
          <w:iCs/>
        </w:rPr>
        <w:t>no se expresan en porcentajes, sino en puntos porcentuales</w:t>
      </w:r>
      <w:r w:rsidRPr="00025F23">
        <w:t xml:space="preserve"> (i.e. </w:t>
      </w:r>
      <w:proofErr w:type="spellStart"/>
      <w:r w:rsidRPr="00025F23">
        <w:t>si</w:t>
      </w:r>
      <w:proofErr w:type="spellEnd"/>
      <w:r w:rsidRPr="00025F23">
        <w:t xml:space="preserve"> en 2019 el PIB real creció un 3 % y la contribución al crecimiento de la demanda interna fue de 2 p.p. no se puede decir que la demanda interna ha crecido un 2 % en el año 2019, sino que del 3 % que creció el PIB real, 2 p.p. se deben a la demanda interna y 1 p.p. se debe a la demanda externa).</w:t>
      </w:r>
    </w:p>
    <w:p w14:paraId="23BA4585" w14:textId="473A10A3" w:rsidR="00DF3A91" w:rsidRDefault="00DF3A91" w:rsidP="00DF3A91">
      <w:pPr>
        <w:pStyle w:val="Ttuloimagen"/>
      </w:pPr>
      <w:r>
        <w:lastRenderedPageBreak/>
        <w:t>Imagen </w:t>
      </w:r>
      <w:r>
        <w:fldChar w:fldCharType="begin"/>
      </w:r>
      <w:r>
        <w:instrText xml:space="preserve"> SEQ Ilustración \* ARABIC </w:instrText>
      </w:r>
      <w:r>
        <w:fldChar w:fldCharType="separate"/>
      </w:r>
      <w:r w:rsidR="00903E0C">
        <w:t>1</w:t>
      </w:r>
      <w:r>
        <w:fldChar w:fldCharType="end"/>
      </w:r>
      <w:r w:rsidRPr="00DF3A91">
        <w:rPr>
          <w:smallCaps w:val="0"/>
        </w:rPr>
        <w:t xml:space="preserve">.– </w:t>
      </w:r>
      <w:r>
        <w:rPr>
          <w:i/>
          <w:iCs/>
          <w:smallCaps w:val="0"/>
        </w:rPr>
        <w:t>Contribuciones a la tasa de variación del PIB real de la zona euro</w:t>
      </w:r>
    </w:p>
    <w:p w14:paraId="3C09C48D" w14:textId="1CDBB26B" w:rsidR="00DF3A91" w:rsidRDefault="00DF3A91" w:rsidP="00DF3A91">
      <w:pPr>
        <w:pStyle w:val="Imagen"/>
      </w:pPr>
      <w:r>
        <w:drawing>
          <wp:inline distT="0" distB="0" distL="0" distR="0" wp14:anchorId="48D4136C" wp14:editId="4B14A448">
            <wp:extent cx="2966578" cy="1568450"/>
            <wp:effectExtent l="0" t="0" r="5715" b="0"/>
            <wp:docPr id="461362985" name="Imagen 3" descr="Gráf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1362985" name="Imagen 3" descr="Gráfico&#10;&#10;Descripción generada automáticamente"/>
                    <pic:cNvPicPr>
                      <a:picLocks noChangeAspect="1" noChangeArrowheads="1"/>
                    </pic:cNvPicPr>
                  </pic:nvPicPr>
                  <pic:blipFill>
                    <a:blip r:embed="rId15">
                      <a:extLst>
                        <a:ext uri="{28A0092B-C50C-407E-A947-70E740481C1C}">
                          <a14:useLocalDpi xmlns:a14="http://schemas.microsoft.com/office/drawing/2010/main"/>
                        </a:ext>
                      </a:extLst>
                    </a:blip>
                    <a:srcRect/>
                    <a:stretch>
                      <a:fillRect/>
                    </a:stretch>
                  </pic:blipFill>
                  <pic:spPr bwMode="auto">
                    <a:xfrm>
                      <a:off x="0" y="0"/>
                      <a:ext cx="2969395" cy="1569940"/>
                    </a:xfrm>
                    <a:prstGeom prst="rect">
                      <a:avLst/>
                    </a:prstGeom>
                    <a:noFill/>
                    <a:ln>
                      <a:noFill/>
                    </a:ln>
                  </pic:spPr>
                </pic:pic>
              </a:graphicData>
            </a:graphic>
          </wp:inline>
        </w:drawing>
      </w:r>
    </w:p>
    <w:p w14:paraId="5DC628C4" w14:textId="244A5E1C" w:rsidR="00DF3A91" w:rsidRPr="00DF3A91" w:rsidRDefault="00DF3A91" w:rsidP="00DF3A91">
      <w:pPr>
        <w:pStyle w:val="Piedeimagen"/>
        <w:rPr>
          <w:i w:val="0"/>
          <w:iCs/>
        </w:rPr>
      </w:pPr>
      <w:r>
        <w:t>Fuente</w:t>
      </w:r>
      <w:r>
        <w:rPr>
          <w:i w:val="0"/>
          <w:iCs/>
        </w:rPr>
        <w:t xml:space="preserve">: European Central </w:t>
      </w:r>
      <w:r w:rsidRPr="00DF3A91">
        <w:rPr>
          <w:i w:val="0"/>
          <w:iCs/>
        </w:rPr>
        <w:t xml:space="preserve">Bank (2023). </w:t>
      </w:r>
      <w:r w:rsidRPr="00DF3A91">
        <w:t>Informe Anual 2022</w:t>
      </w:r>
      <w:r w:rsidRPr="00DF3A91">
        <w:rPr>
          <w:i w:val="0"/>
          <w:iCs/>
        </w:rPr>
        <w:t xml:space="preserve">. </w:t>
      </w:r>
      <w:hyperlink r:id="rId16" w:history="1">
        <w:r w:rsidR="00C166AD" w:rsidRPr="00C166AD">
          <w:rPr>
            <w:rStyle w:val="Hipervnculo"/>
            <w:i w:val="0"/>
            <w:iCs/>
          </w:rPr>
          <w:t>https://www.ecb.europa.eu/pub/annual/html/ecb.ar2022~8ae51d163b.es.html</w:t>
        </w:r>
      </w:hyperlink>
    </w:p>
    <w:p w14:paraId="1C470FA5" w14:textId="155A394E" w:rsidR="005010A7" w:rsidRPr="00025F23" w:rsidRDefault="00A92095" w:rsidP="006F3925">
      <w:pPr>
        <w:keepNext/>
        <w:spacing w:after="0" w:line="228" w:lineRule="auto"/>
      </w:pPr>
      <w:r w:rsidRPr="00025F23">
        <w:rPr>
          <w:i/>
          <w:iCs/>
          <w:u w:val="single"/>
        </w:rPr>
        <w:t>¿Cómo interpretamos las contribuciones?</w:t>
      </w:r>
    </w:p>
    <w:p w14:paraId="7D655699" w14:textId="77777777" w:rsidR="006F3925" w:rsidRPr="00025F23" w:rsidRDefault="006F3925" w:rsidP="006F3925">
      <w:pPr>
        <w:pStyle w:val="Nivel1SM"/>
        <w:spacing w:line="228" w:lineRule="auto"/>
      </w:pPr>
      <w:r w:rsidRPr="00025F23">
        <w:t xml:space="preserve">Si tanto demanda interna como externa tienen contribución positiva y similar al crecimiento, decir que hay </w:t>
      </w:r>
      <w:r w:rsidRPr="00025F23">
        <w:rPr>
          <w:i/>
          <w:iCs w:val="0"/>
        </w:rPr>
        <w:t>crecimiento equilibrado</w:t>
      </w:r>
      <w:r w:rsidRPr="00025F23">
        <w:t>.</w:t>
      </w:r>
    </w:p>
    <w:p w14:paraId="276144B2" w14:textId="6B837F3E" w:rsidR="00A92095" w:rsidRPr="00025F23" w:rsidRDefault="00A92095" w:rsidP="006F3925">
      <w:pPr>
        <w:pStyle w:val="Nivel1SM"/>
        <w:keepNext/>
        <w:spacing w:after="0" w:line="228" w:lineRule="auto"/>
      </w:pPr>
      <w:r w:rsidRPr="00025F23">
        <w:t>Ante crisis de economías con fuerte demanda interna,</w:t>
      </w:r>
    </w:p>
    <w:p w14:paraId="59953748" w14:textId="05F37A29" w:rsidR="00A92095" w:rsidRPr="00025F23" w:rsidRDefault="00366AFF" w:rsidP="006F3925">
      <w:pPr>
        <w:pStyle w:val="Nivel2"/>
        <w:spacing w:after="0" w:line="228" w:lineRule="auto"/>
        <w:ind w:left="227"/>
      </w:pPr>
      <w:r w:rsidRPr="00025F23">
        <w:t>L</w:t>
      </w:r>
      <w:r w:rsidR="00A92095" w:rsidRPr="00025F23">
        <w:t xml:space="preserve">a </w:t>
      </w:r>
      <w:r w:rsidR="00A92095" w:rsidRPr="00025F23">
        <w:rPr>
          <w:i/>
          <w:iCs/>
        </w:rPr>
        <w:t>demanda</w:t>
      </w:r>
      <w:r w:rsidR="00A92095" w:rsidRPr="00025F23">
        <w:t xml:space="preserve"> </w:t>
      </w:r>
      <w:r w:rsidR="00A92095" w:rsidRPr="00025F23">
        <w:rPr>
          <w:i/>
          <w:iCs/>
        </w:rPr>
        <w:t>interna</w:t>
      </w:r>
      <w:r w:rsidR="00A92095" w:rsidRPr="00025F23">
        <w:t xml:space="preserve"> pasa a tener una contribución negativa</w:t>
      </w:r>
      <w:r w:rsidR="002C2D42" w:rsidRPr="00025F23">
        <w:t xml:space="preserve"> (por lo tanto, la demanda interna suele mostrarse </w:t>
      </w:r>
      <w:r w:rsidR="002C2D42" w:rsidRPr="00025F23">
        <w:rPr>
          <w:i/>
          <w:iCs/>
        </w:rPr>
        <w:t>procíclica</w:t>
      </w:r>
      <w:r w:rsidR="002C2D42" w:rsidRPr="00025F23">
        <w:t>)</w:t>
      </w:r>
      <w:r w:rsidR="00A92095" w:rsidRPr="00025F23">
        <w:t>, debido a que el consumo y la inversión se resienten, y</w:t>
      </w:r>
    </w:p>
    <w:p w14:paraId="4C769E18" w14:textId="17F2CDD1" w:rsidR="00A92095" w:rsidRPr="00025F23" w:rsidRDefault="00366AFF" w:rsidP="006F3925">
      <w:pPr>
        <w:pStyle w:val="Nivel2SM"/>
        <w:keepNext/>
        <w:spacing w:line="228" w:lineRule="auto"/>
        <w:ind w:left="227"/>
      </w:pPr>
      <w:r w:rsidRPr="00025F23">
        <w:t>L</w:t>
      </w:r>
      <w:r w:rsidR="00A92095" w:rsidRPr="00025F23">
        <w:t xml:space="preserve">a </w:t>
      </w:r>
      <w:r w:rsidR="00A92095" w:rsidRPr="00025F23">
        <w:rPr>
          <w:i/>
          <w:iCs/>
        </w:rPr>
        <w:t>demanda</w:t>
      </w:r>
      <w:r w:rsidR="00A92095" w:rsidRPr="00025F23">
        <w:t xml:space="preserve"> </w:t>
      </w:r>
      <w:r w:rsidR="00A92095" w:rsidRPr="00025F23">
        <w:rPr>
          <w:i/>
          <w:iCs/>
        </w:rPr>
        <w:t>externa</w:t>
      </w:r>
      <w:r w:rsidR="00A92095" w:rsidRPr="00025F23">
        <w:t xml:space="preserve"> pasa a tener una contribución positiva (por lo tanto, la demanda externa suele tener cierto componente </w:t>
      </w:r>
      <w:proofErr w:type="spellStart"/>
      <w:r w:rsidR="002C2D42" w:rsidRPr="00025F23">
        <w:rPr>
          <w:i/>
          <w:iCs/>
        </w:rPr>
        <w:t>contra</w:t>
      </w:r>
      <w:r w:rsidR="00A92095" w:rsidRPr="00025F23">
        <w:rPr>
          <w:i/>
          <w:iCs/>
        </w:rPr>
        <w:t>cíclico</w:t>
      </w:r>
      <w:proofErr w:type="spellEnd"/>
      <w:r w:rsidR="00A92095" w:rsidRPr="00025F23">
        <w:t>), debido a que</w:t>
      </w:r>
      <w:r w:rsidR="002C2D42" w:rsidRPr="00025F23">
        <w:t>:</w:t>
      </w:r>
    </w:p>
    <w:p w14:paraId="7D9BEFDB" w14:textId="21338ED7" w:rsidR="00A92095" w:rsidRPr="00025F23" w:rsidRDefault="00366AFF">
      <w:pPr>
        <w:pStyle w:val="Nivel2SM"/>
        <w:numPr>
          <w:ilvl w:val="0"/>
          <w:numId w:val="27"/>
        </w:numPr>
        <w:spacing w:line="228" w:lineRule="auto"/>
        <w:ind w:left="567" w:hanging="57"/>
      </w:pPr>
      <w:r w:rsidRPr="00025F23">
        <w:t>L</w:t>
      </w:r>
      <w:r w:rsidR="00A92095" w:rsidRPr="00025F23">
        <w:t>as importaciones se resienten;</w:t>
      </w:r>
    </w:p>
    <w:p w14:paraId="624DAF66" w14:textId="3B618360" w:rsidR="00A92095" w:rsidRPr="00025F23" w:rsidRDefault="00366AFF">
      <w:pPr>
        <w:pStyle w:val="Nivel2SM"/>
        <w:numPr>
          <w:ilvl w:val="0"/>
          <w:numId w:val="27"/>
        </w:numPr>
        <w:spacing w:line="228" w:lineRule="auto"/>
        <w:ind w:left="567" w:hanging="57"/>
      </w:pPr>
      <w:r w:rsidRPr="00025F23">
        <w:t>L</w:t>
      </w:r>
      <w:r w:rsidR="00A92095" w:rsidRPr="00025F23">
        <w:t>a economía mundial puede no haber sufrido tanto</w:t>
      </w:r>
      <w:r w:rsidR="002C2D42" w:rsidRPr="00025F23">
        <w:t xml:space="preserve"> (por lo tanto, las exportaciones no caerían tanto como las importaciones)</w:t>
      </w:r>
      <w:r w:rsidR="00A92095" w:rsidRPr="00025F23">
        <w:t>; y/o</w:t>
      </w:r>
    </w:p>
    <w:p w14:paraId="5E948A97" w14:textId="17B3DA37" w:rsidR="00A92095" w:rsidRPr="00025F23" w:rsidRDefault="00366AFF">
      <w:pPr>
        <w:pStyle w:val="Nivel2SM"/>
        <w:numPr>
          <w:ilvl w:val="0"/>
          <w:numId w:val="27"/>
        </w:numPr>
        <w:spacing w:line="228" w:lineRule="auto"/>
        <w:ind w:left="567" w:hanging="57"/>
      </w:pPr>
      <w:r w:rsidRPr="00025F23">
        <w:t>N</w:t>
      </w:r>
      <w:r w:rsidR="00A92095" w:rsidRPr="00025F23">
        <w:t>ecesidad nacional de buscar negocio exportador.</w:t>
      </w:r>
    </w:p>
    <w:p w14:paraId="429031A6" w14:textId="77777777" w:rsidR="00581D83" w:rsidRPr="00025F23" w:rsidRDefault="00581D83" w:rsidP="006F3925">
      <w:pPr>
        <w:pStyle w:val="Nivel1SM"/>
        <w:keepNext/>
        <w:spacing w:after="0" w:line="228" w:lineRule="auto"/>
        <w:rPr>
          <w:rStyle w:val="normaltextrun"/>
          <w:b/>
          <w:bCs/>
          <w:color w:val="000000"/>
          <w:shd w:val="clear" w:color="auto" w:fill="FFFFFF"/>
        </w:rPr>
      </w:pPr>
      <w:r w:rsidRPr="00025F23">
        <w:rPr>
          <w:rStyle w:val="normaltextrun"/>
          <w:color w:val="000000"/>
          <w:shd w:val="clear" w:color="auto" w:fill="FFFFFF"/>
        </w:rPr>
        <w:t>Si en los períodos de crisis, el sector exterior toma el relevo como motor de crecimiento, mencionar si se observa alza en exportaciones o tan solo una caída de las importaciones.</w:t>
      </w:r>
    </w:p>
    <w:p w14:paraId="30CD74DD" w14:textId="77777777" w:rsidR="00581D83" w:rsidRPr="00025F23" w:rsidRDefault="00581D83" w:rsidP="006F3925">
      <w:pPr>
        <w:pStyle w:val="Nivel2"/>
        <w:spacing w:line="228" w:lineRule="auto"/>
        <w:rPr>
          <w:rStyle w:val="normaltextrun"/>
          <w:color w:val="000000"/>
          <w:shd w:val="clear" w:color="auto" w:fill="FFFFFF"/>
        </w:rPr>
      </w:pPr>
      <w:r w:rsidRPr="00025F23">
        <w:rPr>
          <w:rStyle w:val="normaltextrun"/>
          <w:color w:val="000000"/>
          <w:bdr w:val="none" w:sz="0" w:space="0" w:color="auto" w:frame="1"/>
        </w:rPr>
        <w:t xml:space="preserve">Si existe </w:t>
      </w:r>
      <w:r w:rsidRPr="00025F23">
        <w:rPr>
          <w:rStyle w:val="normaltextrun"/>
        </w:rPr>
        <w:t>un</w:t>
      </w:r>
      <w:r w:rsidRPr="00025F23">
        <w:rPr>
          <w:rStyle w:val="normaltextrun"/>
          <w:color w:val="000000"/>
          <w:bdr w:val="none" w:sz="0" w:space="0" w:color="auto" w:frame="1"/>
        </w:rPr>
        <w:t xml:space="preserve"> período de crisis en el que el sector exterior “toma el relevo como motor del crecimiento”, hay que fijarse si se observa una subida de las exportaciones o solo caen las importaciones.</w:t>
      </w:r>
    </w:p>
    <w:p w14:paraId="07CA73AC" w14:textId="77777777" w:rsidR="006F3925" w:rsidRPr="00025F23" w:rsidRDefault="006F3925" w:rsidP="006F3925">
      <w:pPr>
        <w:pStyle w:val="Nivel1SM"/>
        <w:spacing w:line="228" w:lineRule="auto"/>
      </w:pPr>
      <w:r w:rsidRPr="00025F23">
        <w:t xml:space="preserve">Si se observa algún cambio, </w:t>
      </w:r>
      <w:r w:rsidRPr="00025F23">
        <w:rPr>
          <w:i/>
          <w:iCs w:val="0"/>
        </w:rPr>
        <w:t>¿se trata de un cambio coyuntural (</w:t>
      </w:r>
      <w:proofErr w:type="spellStart"/>
      <w:r w:rsidRPr="00025F23">
        <w:rPr>
          <w:i/>
          <w:iCs w:val="0"/>
        </w:rPr>
        <w:t>e.g</w:t>
      </w:r>
      <w:proofErr w:type="spellEnd"/>
      <w:r w:rsidRPr="00025F23">
        <w:rPr>
          <w:i/>
          <w:iCs w:val="0"/>
        </w:rPr>
        <w:t>. aumento de precios del petróleo en un país exportador) o estructural?</w:t>
      </w:r>
    </w:p>
    <w:p w14:paraId="643CEFF5" w14:textId="33CCE3D1" w:rsidR="002E02C3" w:rsidRPr="00025F23" w:rsidRDefault="00FB33FA" w:rsidP="006F3925">
      <w:pPr>
        <w:pStyle w:val="Desarrollocoyuntura"/>
        <w:spacing w:line="228" w:lineRule="auto"/>
      </w:pPr>
      <w:bookmarkStart w:id="39" w:name="_Toc173446246"/>
      <w:r w:rsidRPr="00025F23">
        <w:t>“</w:t>
      </w:r>
      <w:r w:rsidR="002E02C3" w:rsidRPr="00025F23">
        <w:t>Para comprender mejor este patrón de crecimiento, estudiemos los componentes por el lado de la demanda. En una primera aproximación, podemos distinguir entre demanda interna y demanda externa.</w:t>
      </w:r>
      <w:bookmarkEnd w:id="39"/>
    </w:p>
    <w:p w14:paraId="3132118B" w14:textId="1969E758" w:rsidR="00FB33FA" w:rsidRPr="00025F23" w:rsidRDefault="00FB33FA" w:rsidP="006F3925">
      <w:pPr>
        <w:pStyle w:val="Desarrollocoyuntura"/>
        <w:spacing w:line="228" w:lineRule="auto"/>
      </w:pPr>
      <w:bookmarkStart w:id="40" w:name="_Toc173446247"/>
      <w:r w:rsidRPr="00025F23">
        <w:t>Podemos observar como en la fase alcista, el crecimiento está guiado por la demanda interna. Este crecimiento queda evidenciado por indicadores como las altas tasas de inflación así como por un descenso monotónico del desempleo.</w:t>
      </w:r>
      <w:bookmarkEnd w:id="40"/>
    </w:p>
    <w:p w14:paraId="3BA27795" w14:textId="6CFDF569" w:rsidR="00FB33FA" w:rsidRPr="00025F23" w:rsidRDefault="00FB33FA" w:rsidP="006F3925">
      <w:pPr>
        <w:pStyle w:val="Desarrollocoyuntura"/>
        <w:spacing w:line="228" w:lineRule="auto"/>
      </w:pPr>
      <w:bookmarkStart w:id="41" w:name="_Toc173446248"/>
      <w:r w:rsidRPr="00025F23">
        <w:t xml:space="preserve">Por su parte, la contribución de la demanda externa, integrada por las exportaciones netas, es débil e incluso negativa, por lo que se aprecia </w:t>
      </w:r>
      <w:r w:rsidRPr="00025F23">
        <w:rPr>
          <w:spacing w:val="-1"/>
        </w:rPr>
        <w:t>un cierto componente</w:t>
      </w:r>
      <w:r w:rsidRPr="00025F23">
        <w:t xml:space="preserve"> </w:t>
      </w:r>
      <w:proofErr w:type="spellStart"/>
      <w:r w:rsidRPr="00025F23">
        <w:t>contracíclico</w:t>
      </w:r>
      <w:proofErr w:type="spellEnd"/>
      <w:r w:rsidRPr="00025F23">
        <w:t>.”</w:t>
      </w:r>
      <w:bookmarkEnd w:id="41"/>
    </w:p>
    <w:p w14:paraId="28CB37AF" w14:textId="5E21395C" w:rsidR="00A1660E" w:rsidRPr="00025F23" w:rsidRDefault="00A1660E" w:rsidP="006F3925">
      <w:pPr>
        <w:pStyle w:val="Desarrollocoyuntura"/>
        <w:spacing w:line="228" w:lineRule="auto"/>
      </w:pPr>
      <w:bookmarkStart w:id="42" w:name="_Toc173446249"/>
      <w:r w:rsidRPr="00025F23">
        <w:t>“Observamos una coincidencia temporal entre la aportación al crecimiento de la demanda interna y la recuperación de la economía. Es decir, por una parte la demanda externa representa el motor de la economía en la fase recesiva frente a una demanda nacional cuya aportación es significativamente negativa.”</w:t>
      </w:r>
      <w:bookmarkEnd w:id="42"/>
    </w:p>
    <w:p w14:paraId="1723FB3C" w14:textId="5F0CFAC5" w:rsidR="00A1660E" w:rsidRPr="00025F23" w:rsidRDefault="00A1660E" w:rsidP="006F3925">
      <w:pPr>
        <w:pStyle w:val="Desarrollocoyuntura"/>
        <w:spacing w:line="228" w:lineRule="auto"/>
      </w:pPr>
      <w:bookmarkStart w:id="43" w:name="_Toc173446250"/>
      <w:r w:rsidRPr="00025F23">
        <w:t>“Por una parte, la demanda externa neta ha alternado, desde…</w:t>
      </w:r>
      <w:r w:rsidR="006D301C" w:rsidRPr="00025F23">
        <w:t xml:space="preserve"> </w:t>
      </w:r>
      <w:r w:rsidRPr="00025F23">
        <w:t>hasta…, contribuciones negativas con aportaciones nulas o ligeramente positivas al PIB.”</w:t>
      </w:r>
      <w:bookmarkEnd w:id="43"/>
    </w:p>
    <w:p w14:paraId="379734AE" w14:textId="466BB279" w:rsidR="00A1660E" w:rsidRPr="00025F23" w:rsidRDefault="00A1660E" w:rsidP="006F3925">
      <w:pPr>
        <w:pStyle w:val="Desarrollocoyuntura"/>
        <w:spacing w:line="228" w:lineRule="auto"/>
      </w:pPr>
      <w:bookmarkStart w:id="44" w:name="_Toc173446251"/>
      <w:r w:rsidRPr="00025F23">
        <w:t>“La demanda externa ha mostrado un comportamiento más errático e imprevisible que la demanda nacional.”</w:t>
      </w:r>
      <w:bookmarkEnd w:id="44"/>
    </w:p>
    <w:p w14:paraId="2CAAB768" w14:textId="207F2B94" w:rsidR="004C0F86" w:rsidRPr="00025F23" w:rsidRDefault="004C0F86" w:rsidP="006F3925">
      <w:pPr>
        <w:pStyle w:val="Desarrollocoyuntura"/>
        <w:spacing w:line="228" w:lineRule="auto"/>
      </w:pPr>
      <w:bookmarkStart w:id="45" w:name="_Toc173446252"/>
      <w:r w:rsidRPr="00025F23">
        <w:t>“Durante los X</w:t>
      </w:r>
      <w:r w:rsidR="006F3925" w:rsidRPr="00025F23">
        <w:t> </w:t>
      </w:r>
      <w:r w:rsidRPr="00025F23">
        <w:t xml:space="preserve">primeros años la contribución de la demanda interna al crecimiento es positiva. Pero a partir de </w:t>
      </w:r>
      <m:oMath>
        <m:r>
          <m:rPr>
            <m:nor/>
          </m:rPr>
          <w:rPr>
            <w:iCs/>
          </w:rPr>
          <m:t>t</m:t>
        </m:r>
        <m:r>
          <w:rPr>
            <w:rFonts w:ascii="Cambria Math" w:hAnsi="Cambria Math"/>
          </w:rPr>
          <m:t>+</m:t>
        </m:r>
        <m:r>
          <m:rPr>
            <m:nor/>
          </m:rPr>
          <w:rPr>
            <w:iCs/>
          </w:rPr>
          <m:t>X</m:t>
        </m:r>
      </m:oMath>
      <w:r w:rsidRPr="00025F23">
        <w:t xml:space="preserve"> se vuelve negativa, pasando a ser la demanda externa el motor de crecimiento.”</w:t>
      </w:r>
      <w:bookmarkEnd w:id="45"/>
    </w:p>
    <w:p w14:paraId="7AFB7D3E" w14:textId="4B89B074" w:rsidR="00584B28" w:rsidRPr="00025F23" w:rsidRDefault="004C0F86" w:rsidP="006F3925">
      <w:pPr>
        <w:pStyle w:val="Desarrollocoyuntura"/>
        <w:spacing w:line="228" w:lineRule="auto"/>
      </w:pPr>
      <w:bookmarkStart w:id="46" w:name="_Toc173446253"/>
      <w:r w:rsidRPr="00025F23">
        <w:t>“</w:t>
      </w:r>
      <w:r w:rsidR="004720FD" w:rsidRPr="00025F23">
        <w:t>La demanda interna es protagonista absoluta durante toda la serie</w:t>
      </w:r>
      <w:r w:rsidRPr="00025F23">
        <w:t>.”</w:t>
      </w:r>
      <w:bookmarkEnd w:id="46"/>
    </w:p>
    <w:p w14:paraId="34FAED02" w14:textId="34B1065A" w:rsidR="004A0FB7" w:rsidRPr="00025F23" w:rsidRDefault="004A0FB7" w:rsidP="00AD1AFB">
      <w:pPr>
        <w:pStyle w:val="Ttulo3"/>
        <w:rPr>
          <w:lang w:val="fr-FR"/>
        </w:rPr>
      </w:pPr>
      <w:bookmarkStart w:id="47" w:name="_Toc88565976"/>
      <w:bookmarkStart w:id="48" w:name="_Toc88566118"/>
      <w:bookmarkStart w:id="49" w:name="_Toc173446254"/>
      <w:bookmarkStart w:id="50" w:name="_Toc189085776"/>
      <w:r w:rsidRPr="00025F23">
        <w:rPr>
          <w:lang w:val="fr-FR"/>
        </w:rPr>
        <w:t>Demanda interna</w:t>
      </w:r>
      <w:bookmarkEnd w:id="47"/>
      <w:bookmarkEnd w:id="48"/>
      <w:bookmarkEnd w:id="49"/>
      <w:bookmarkEnd w:id="50"/>
    </w:p>
    <w:p w14:paraId="35AD698B" w14:textId="7CBB053E" w:rsidR="00922A2B" w:rsidRPr="00025F23" w:rsidRDefault="00000000" w:rsidP="008201C2">
      <w:pPr>
        <w:keepNext/>
        <w:rPr>
          <w:rFonts w:eastAsiaTheme="minorEastAsia"/>
          <w:i/>
          <w:iCs/>
          <w:szCs w:val="16"/>
          <w:lang w:val="fr-FR"/>
        </w:rPr>
      </w:pPr>
      <m:oMathPara>
        <m:oMath>
          <m:sSub>
            <m:sSubPr>
              <m:ctrlPr>
                <w:rPr>
                  <w:rFonts w:ascii="Cambria Math" w:eastAsiaTheme="minorEastAsia" w:hAnsi="Cambria Math"/>
                  <w:i/>
                  <w:iCs/>
                  <w:szCs w:val="16"/>
                </w:rPr>
              </m:ctrlPr>
            </m:sSubPr>
            <m:e>
              <m:r>
                <m:rPr>
                  <m:nor/>
                </m:rPr>
                <w:rPr>
                  <w:rFonts w:eastAsiaTheme="minorEastAsia"/>
                  <w:i/>
                  <w:iCs/>
                  <w:szCs w:val="16"/>
                  <w:lang w:val="fr-FR"/>
                </w:rPr>
                <m:t>Demanda</m:t>
              </m:r>
            </m:e>
            <m:sub>
              <m:r>
                <m:rPr>
                  <m:nor/>
                </m:rPr>
                <w:rPr>
                  <w:rFonts w:eastAsiaTheme="minorEastAsia"/>
                  <w:i/>
                  <w:iCs/>
                  <w:szCs w:val="16"/>
                  <w:lang w:val="fr-FR"/>
                </w:rPr>
                <m:t>t</m:t>
              </m:r>
            </m:sub>
          </m:sSub>
          <m:r>
            <w:rPr>
              <w:rFonts w:ascii="Cambria Math" w:eastAsiaTheme="minorEastAsia" w:hAnsi="Cambria Math"/>
              <w:szCs w:val="16"/>
              <w:lang w:val="fr-FR"/>
            </w:rPr>
            <m:t>=</m:t>
          </m:r>
          <m:sSub>
            <m:sSubPr>
              <m:ctrlPr>
                <w:rPr>
                  <w:rFonts w:ascii="Cambria Math" w:eastAsiaTheme="minorEastAsia" w:hAnsi="Cambria Math"/>
                  <w:i/>
                  <w:szCs w:val="16"/>
                </w:rPr>
              </m:ctrlPr>
            </m:sSubPr>
            <m:e>
              <m:r>
                <m:rPr>
                  <m:nor/>
                </m:rPr>
                <w:rPr>
                  <w:rFonts w:eastAsiaTheme="minorEastAsia"/>
                  <w:i/>
                  <w:szCs w:val="16"/>
                  <w:lang w:val="fr-FR"/>
                </w:rPr>
                <m:t>Y</m:t>
              </m:r>
            </m:e>
            <m:sub>
              <m:r>
                <m:rPr>
                  <m:nor/>
                </m:rPr>
                <w:rPr>
                  <w:rFonts w:eastAsiaTheme="minorEastAsia"/>
                  <w:i/>
                  <w:szCs w:val="16"/>
                  <w:lang w:val="fr-FR"/>
                </w:rPr>
                <m:t>t</m:t>
              </m:r>
            </m:sub>
          </m:sSub>
          <m:r>
            <w:rPr>
              <w:rFonts w:ascii="Cambria Math" w:eastAsiaTheme="minorEastAsia" w:hAnsi="Cambria Math"/>
              <w:szCs w:val="16"/>
              <w:lang w:val="fr-FR"/>
            </w:rPr>
            <m:t>=</m:t>
          </m:r>
          <m:limLow>
            <m:limLowPr>
              <m:ctrlPr>
                <w:rPr>
                  <w:rFonts w:ascii="Cambria Math" w:hAnsi="Cambria Math"/>
                  <w:b/>
                  <w:bCs/>
                  <w:i/>
                  <w:iCs/>
                  <w:color w:val="800000"/>
                  <w:szCs w:val="16"/>
                </w:rPr>
              </m:ctrlPr>
            </m:limLowPr>
            <m:e>
              <m:groupChr>
                <m:groupChrPr>
                  <m:ctrlPr>
                    <w:rPr>
                      <w:rFonts w:ascii="Cambria Math" w:hAnsi="Cambria Math"/>
                      <w:b/>
                      <w:bCs/>
                      <w:i/>
                      <w:iCs/>
                      <w:color w:val="800000"/>
                      <w:szCs w:val="16"/>
                    </w:rPr>
                  </m:ctrlPr>
                </m:groupChrPr>
                <m:e>
                  <m:sSub>
                    <m:sSubPr>
                      <m:ctrlPr>
                        <w:rPr>
                          <w:rFonts w:ascii="Cambria Math" w:eastAsiaTheme="minorEastAsia" w:hAnsi="Cambria Math"/>
                          <w:b/>
                          <w:bCs/>
                          <w:i/>
                          <w:color w:val="800000"/>
                          <w:szCs w:val="16"/>
                        </w:rPr>
                      </m:ctrlPr>
                    </m:sSubPr>
                    <m:e>
                      <m:r>
                        <m:rPr>
                          <m:nor/>
                        </m:rPr>
                        <w:rPr>
                          <w:rFonts w:eastAsiaTheme="minorEastAsia"/>
                          <w:b/>
                          <w:bCs/>
                          <w:i/>
                          <w:color w:val="800000"/>
                          <w:szCs w:val="16"/>
                          <w:lang w:val="fr-FR"/>
                        </w:rPr>
                        <m:t>C</m:t>
                      </m:r>
                    </m:e>
                    <m:sub>
                      <m:r>
                        <m:rPr>
                          <m:nor/>
                        </m:rPr>
                        <w:rPr>
                          <w:rFonts w:eastAsiaTheme="minorEastAsia"/>
                          <w:b/>
                          <w:bCs/>
                          <w:i/>
                          <w:color w:val="800000"/>
                          <w:szCs w:val="16"/>
                          <w:lang w:val="fr-FR"/>
                        </w:rPr>
                        <m:t>t</m:t>
                      </m:r>
                    </m:sub>
                  </m:sSub>
                  <m:r>
                    <m:rPr>
                      <m:sty m:val="bi"/>
                    </m:rPr>
                    <w:rPr>
                      <w:rFonts w:ascii="Cambria Math" w:hAnsi="Cambria Math"/>
                      <w:color w:val="800000"/>
                      <w:szCs w:val="16"/>
                      <w:lang w:val="fr-FR"/>
                    </w:rPr>
                    <m:t>+</m:t>
                  </m:r>
                  <m:sSub>
                    <m:sSubPr>
                      <m:ctrlPr>
                        <w:rPr>
                          <w:rFonts w:ascii="Cambria Math" w:eastAsiaTheme="minorEastAsia" w:hAnsi="Cambria Math"/>
                          <w:b/>
                          <w:bCs/>
                          <w:i/>
                          <w:color w:val="800000"/>
                          <w:szCs w:val="16"/>
                        </w:rPr>
                      </m:ctrlPr>
                    </m:sSubPr>
                    <m:e>
                      <m:r>
                        <m:rPr>
                          <m:nor/>
                        </m:rPr>
                        <w:rPr>
                          <w:rFonts w:eastAsiaTheme="minorEastAsia"/>
                          <w:b/>
                          <w:bCs/>
                          <w:i/>
                          <w:color w:val="800000"/>
                          <w:szCs w:val="16"/>
                          <w:lang w:val="fr-FR"/>
                        </w:rPr>
                        <m:t>I</m:t>
                      </m:r>
                    </m:e>
                    <m:sub>
                      <m:r>
                        <m:rPr>
                          <m:nor/>
                        </m:rPr>
                        <w:rPr>
                          <w:rFonts w:eastAsiaTheme="minorEastAsia"/>
                          <w:b/>
                          <w:bCs/>
                          <w:i/>
                          <w:color w:val="800000"/>
                          <w:szCs w:val="16"/>
                          <w:lang w:val="fr-FR"/>
                        </w:rPr>
                        <m:t>t</m:t>
                      </m:r>
                    </m:sub>
                  </m:sSub>
                  <m:r>
                    <m:rPr>
                      <m:sty m:val="bi"/>
                    </m:rPr>
                    <w:rPr>
                      <w:rFonts w:ascii="Cambria Math" w:hAnsi="Cambria Math"/>
                      <w:color w:val="800000"/>
                      <w:szCs w:val="16"/>
                      <w:lang w:val="fr-FR"/>
                    </w:rPr>
                    <m:t>+</m:t>
                  </m:r>
                  <m:sSub>
                    <m:sSubPr>
                      <m:ctrlPr>
                        <w:rPr>
                          <w:rFonts w:ascii="Cambria Math" w:eastAsiaTheme="minorEastAsia" w:hAnsi="Cambria Math"/>
                          <w:b/>
                          <w:bCs/>
                          <w:i/>
                          <w:color w:val="800000"/>
                          <w:szCs w:val="16"/>
                        </w:rPr>
                      </m:ctrlPr>
                    </m:sSubPr>
                    <m:e>
                      <m:r>
                        <m:rPr>
                          <m:nor/>
                        </m:rPr>
                        <w:rPr>
                          <w:rFonts w:eastAsiaTheme="minorEastAsia"/>
                          <w:b/>
                          <w:bCs/>
                          <w:i/>
                          <w:color w:val="800000"/>
                          <w:szCs w:val="16"/>
                          <w:lang w:val="fr-FR"/>
                        </w:rPr>
                        <m:t>G</m:t>
                      </m:r>
                    </m:e>
                    <m:sub>
                      <m:r>
                        <m:rPr>
                          <m:nor/>
                        </m:rPr>
                        <w:rPr>
                          <w:rFonts w:eastAsiaTheme="minorEastAsia"/>
                          <w:b/>
                          <w:bCs/>
                          <w:i/>
                          <w:color w:val="800000"/>
                          <w:szCs w:val="16"/>
                          <w:lang w:val="fr-FR"/>
                        </w:rPr>
                        <m:t>t</m:t>
                      </m:r>
                    </m:sub>
                  </m:sSub>
                </m:e>
              </m:groupChr>
            </m:e>
            <m:lim>
              <m:r>
                <m:rPr>
                  <m:nor/>
                </m:rPr>
                <w:rPr>
                  <w:b/>
                  <w:bCs/>
                  <w:i/>
                  <w:iCs/>
                  <w:color w:val="800000"/>
                  <w:szCs w:val="16"/>
                  <w:lang w:val="fr-FR"/>
                </w:rPr>
                <m:t>Demanda interna</m:t>
              </m:r>
            </m:lim>
          </m:limLow>
          <m:r>
            <w:rPr>
              <w:rFonts w:ascii="Cambria Math" w:hAnsi="Cambria Math"/>
              <w:szCs w:val="16"/>
              <w:lang w:val="fr-FR"/>
            </w:rPr>
            <m:t>+</m:t>
          </m:r>
          <m:limLow>
            <m:limLowPr>
              <m:ctrlPr>
                <w:rPr>
                  <w:rFonts w:ascii="Cambria Math" w:hAnsi="Cambria Math"/>
                  <w:i/>
                  <w:iCs/>
                  <w:szCs w:val="16"/>
                </w:rPr>
              </m:ctrlPr>
            </m:limLowPr>
            <m:e>
              <m:groupChr>
                <m:groupChrPr>
                  <m:ctrlPr>
                    <w:rPr>
                      <w:rFonts w:ascii="Cambria Math" w:hAnsi="Cambria Math"/>
                      <w:i/>
                      <w:iCs/>
                      <w:szCs w:val="16"/>
                    </w:rPr>
                  </m:ctrlPr>
                </m:groupChrPr>
                <m:e>
                  <m:d>
                    <m:dPr>
                      <m:ctrlPr>
                        <w:rPr>
                          <w:rFonts w:ascii="Cambria Math" w:hAnsi="Cambria Math"/>
                          <w:i/>
                          <w:iCs/>
                          <w:szCs w:val="16"/>
                        </w:rPr>
                      </m:ctrlPr>
                    </m:dPr>
                    <m:e>
                      <m:sSub>
                        <m:sSubPr>
                          <m:ctrlPr>
                            <w:rPr>
                              <w:rFonts w:ascii="Cambria Math" w:eastAsiaTheme="minorEastAsia" w:hAnsi="Cambria Math"/>
                              <w:i/>
                              <w:szCs w:val="16"/>
                            </w:rPr>
                          </m:ctrlPr>
                        </m:sSubPr>
                        <m:e>
                          <m:r>
                            <m:rPr>
                              <m:nor/>
                            </m:rPr>
                            <w:rPr>
                              <w:rFonts w:eastAsiaTheme="minorEastAsia"/>
                              <w:i/>
                              <w:szCs w:val="16"/>
                              <w:lang w:val="fr-FR"/>
                            </w:rPr>
                            <m:t>X</m:t>
                          </m:r>
                        </m:e>
                        <m:sub>
                          <m:r>
                            <m:rPr>
                              <m:nor/>
                            </m:rPr>
                            <w:rPr>
                              <w:rFonts w:eastAsiaTheme="minorEastAsia"/>
                              <w:i/>
                              <w:szCs w:val="16"/>
                              <w:lang w:val="fr-FR"/>
                            </w:rPr>
                            <m:t>t</m:t>
                          </m:r>
                        </m:sub>
                      </m:sSub>
                      <m:r>
                        <w:rPr>
                          <w:rFonts w:ascii="Cambria Math" w:hAnsi="Cambria Math" w:cs="Times New Roman"/>
                          <w:sz w:val="14"/>
                          <w:szCs w:val="14"/>
                          <w:lang w:val="fr-FR"/>
                        </w:rPr>
                        <m:t>-</m:t>
                      </m:r>
                      <m:sSub>
                        <m:sSubPr>
                          <m:ctrlPr>
                            <w:rPr>
                              <w:rFonts w:ascii="Cambria Math" w:eastAsiaTheme="minorEastAsia" w:hAnsi="Cambria Math"/>
                              <w:i/>
                              <w:szCs w:val="16"/>
                            </w:rPr>
                          </m:ctrlPr>
                        </m:sSubPr>
                        <m:e>
                          <m:r>
                            <m:rPr>
                              <m:nor/>
                            </m:rPr>
                            <w:rPr>
                              <w:rFonts w:eastAsiaTheme="minorEastAsia"/>
                              <w:i/>
                              <w:szCs w:val="16"/>
                              <w:lang w:val="fr-FR"/>
                            </w:rPr>
                            <m:t>M</m:t>
                          </m:r>
                        </m:e>
                        <m:sub>
                          <m:r>
                            <m:rPr>
                              <m:nor/>
                            </m:rPr>
                            <w:rPr>
                              <w:rFonts w:eastAsiaTheme="minorEastAsia"/>
                              <w:i/>
                              <w:szCs w:val="16"/>
                              <w:lang w:val="fr-FR"/>
                            </w:rPr>
                            <m:t>t</m:t>
                          </m:r>
                        </m:sub>
                      </m:sSub>
                    </m:e>
                  </m:d>
                </m:e>
              </m:groupChr>
            </m:e>
            <m:lim>
              <m:r>
                <m:rPr>
                  <m:nor/>
                </m:rPr>
                <w:rPr>
                  <w:i/>
                  <w:iCs/>
                  <w:szCs w:val="16"/>
                  <w:lang w:val="fr-FR"/>
                </w:rPr>
                <m:t>Demanda externa</m:t>
              </m:r>
            </m:lim>
          </m:limLow>
        </m:oMath>
      </m:oMathPara>
    </w:p>
    <w:p w14:paraId="04F181DD" w14:textId="05EF8FE5" w:rsidR="00F02263" w:rsidRPr="00025F23" w:rsidRDefault="00F02263" w:rsidP="00FF1585">
      <w:pPr>
        <w:pStyle w:val="Desarrollocoyuntura"/>
      </w:pPr>
      <w:bookmarkStart w:id="51" w:name="_Toc88565977"/>
      <w:bookmarkStart w:id="52" w:name="_Toc173446255"/>
      <w:r w:rsidRPr="00025F23">
        <w:t>“</w:t>
      </w:r>
      <w:r w:rsidR="00811301" w:rsidRPr="00025F23">
        <w:t>Indag</w:t>
      </w:r>
      <w:r w:rsidR="00D35583" w:rsidRPr="00025F23">
        <w:t>uemos</w:t>
      </w:r>
      <w:r w:rsidR="00811301" w:rsidRPr="00025F23">
        <w:t xml:space="preserve"> en los componentes de la</w:t>
      </w:r>
      <w:r w:rsidRPr="00025F23">
        <w:rPr>
          <w:b/>
          <w:bCs/>
        </w:rPr>
        <w:t xml:space="preserve"> demanda interna</w:t>
      </w:r>
      <w:r w:rsidRPr="00025F23">
        <w:t xml:space="preserve"> </w:t>
      </w:r>
      <w:r w:rsidR="00D35583" w:rsidRPr="00025F23">
        <w:t>(compuesta por consumo e inversión públicos y privados)</w:t>
      </w:r>
      <w:r w:rsidRPr="00025F23">
        <w:t>.”</w:t>
      </w:r>
      <w:bookmarkEnd w:id="51"/>
      <w:bookmarkEnd w:id="52"/>
    </w:p>
    <w:p w14:paraId="6A31BBE7" w14:textId="5A0AFA81" w:rsidR="00F81184" w:rsidRPr="00025F23" w:rsidRDefault="00F81184" w:rsidP="005209FC">
      <w:pPr>
        <w:pStyle w:val="Ttulo6"/>
      </w:pPr>
      <w:bookmarkStart w:id="53" w:name="_Consumo_privado_[Tema"/>
      <w:bookmarkStart w:id="54" w:name="_Toc88566119"/>
      <w:bookmarkStart w:id="55" w:name="_Toc173446256"/>
      <w:bookmarkStart w:id="56" w:name="_Toc189085777"/>
      <w:bookmarkEnd w:id="53"/>
      <w:r w:rsidRPr="00025F23">
        <w:t>Consumo privado</w:t>
      </w:r>
      <w:r w:rsidR="00113C66" w:rsidRPr="00025F23">
        <w:rPr>
          <w:b w:val="0"/>
          <w:bCs/>
          <w:color w:val="595959" w:themeColor="text1" w:themeTint="A6"/>
          <w:sz w:val="12"/>
          <w:szCs w:val="18"/>
          <w:u w:val="none"/>
        </w:rPr>
        <w:t xml:space="preserve"> [Tema 3.A.3</w:t>
      </w:r>
      <w:r w:rsidR="00EE58E7">
        <w:rPr>
          <w:b w:val="0"/>
          <w:bCs/>
          <w:color w:val="595959" w:themeColor="text1" w:themeTint="A6"/>
          <w:sz w:val="12"/>
          <w:szCs w:val="18"/>
          <w:u w:val="none"/>
        </w:rPr>
        <w:t>3</w:t>
      </w:r>
      <w:r w:rsidR="00113C66" w:rsidRPr="00025F23">
        <w:rPr>
          <w:b w:val="0"/>
          <w:bCs/>
          <w:color w:val="595959" w:themeColor="text1" w:themeTint="A6"/>
          <w:sz w:val="12"/>
          <w:szCs w:val="18"/>
          <w:u w:val="none"/>
        </w:rPr>
        <w:t>]</w:t>
      </w:r>
      <w:bookmarkEnd w:id="54"/>
      <w:bookmarkEnd w:id="55"/>
      <w:bookmarkEnd w:id="56"/>
    </w:p>
    <w:p w14:paraId="39C7BB12" w14:textId="6577FCE5" w:rsidR="007F2B1E" w:rsidRPr="00025F23" w:rsidRDefault="007F2B1E" w:rsidP="0038131E">
      <w:pPr>
        <w:pStyle w:val="Ttulo7"/>
      </w:pPr>
      <w:bookmarkStart w:id="57" w:name="_Toc173446257"/>
      <w:r w:rsidRPr="00025F23">
        <w:t>Qué incluye</w:t>
      </w:r>
      <w:bookmarkEnd w:id="57"/>
    </w:p>
    <w:p w14:paraId="5D291614" w14:textId="1B9A330B" w:rsidR="0068459A" w:rsidRPr="00025F23" w:rsidRDefault="0068459A" w:rsidP="006F3925">
      <w:pPr>
        <w:keepNext/>
        <w:spacing w:after="0"/>
      </w:pPr>
      <w:r w:rsidRPr="00025F23">
        <w:t>El consumo privado incluye la mayoría de los gastos privados de las familias (</w:t>
      </w:r>
      <w:proofErr w:type="spellStart"/>
      <w:r w:rsidRPr="00025F23">
        <w:t>e.g</w:t>
      </w:r>
      <w:proofErr w:type="spellEnd"/>
      <w:r w:rsidRPr="00025F23">
        <w:t>. comida, ropa, alquiler…).</w:t>
      </w:r>
    </w:p>
    <w:p w14:paraId="05A4F1C9" w14:textId="56A37070" w:rsidR="00717A38" w:rsidRPr="00025F23" w:rsidRDefault="00717A38" w:rsidP="00E5213A">
      <w:pPr>
        <w:pStyle w:val="Nivel2SM"/>
      </w:pPr>
      <w:r w:rsidRPr="00025F23">
        <w:t>Incluye el consumo duradero, pero no la inversión en vivienda</w:t>
      </w:r>
      <w:r w:rsidR="00EF3E59" w:rsidRPr="00025F23">
        <w:t>.</w:t>
      </w:r>
    </w:p>
    <w:p w14:paraId="472DC92A" w14:textId="59923BFA" w:rsidR="0068459A" w:rsidRPr="00025F23" w:rsidRDefault="0068459A" w:rsidP="0068459A">
      <w:r w:rsidRPr="00025F23">
        <w:t>Los principales factores que afectan al consumo privado son cu</w:t>
      </w:r>
      <w:r w:rsidR="006B33DD" w:rsidRPr="00025F23">
        <w:t>á</w:t>
      </w:r>
      <w:r w:rsidRPr="00025F23">
        <w:t>nto se pueden permitir consumir los individuos y cu</w:t>
      </w:r>
      <w:r w:rsidR="006B33DD" w:rsidRPr="00025F23">
        <w:t>á</w:t>
      </w:r>
      <w:r w:rsidRPr="00025F23">
        <w:t>ntas personas prefieren consumir ahora a más adelante.</w:t>
      </w:r>
    </w:p>
    <w:p w14:paraId="588E9E46" w14:textId="5E8E460E" w:rsidR="0038131E" w:rsidRPr="00025F23" w:rsidRDefault="0038131E" w:rsidP="0038131E">
      <w:pPr>
        <w:pStyle w:val="Ttulo7"/>
      </w:pPr>
      <w:bookmarkStart w:id="58" w:name="_Toc173446258"/>
      <w:r w:rsidRPr="00025F23">
        <w:t>Hechos estilizados</w:t>
      </w:r>
      <w:r w:rsidR="00E345DE" w:rsidRPr="00025F23">
        <w:t xml:space="preserve"> (comprobar si se cumplen)</w:t>
      </w:r>
      <w:bookmarkEnd w:id="58"/>
    </w:p>
    <w:p w14:paraId="2081AF02" w14:textId="5C718F05" w:rsidR="0086381F" w:rsidRPr="00025F23" w:rsidRDefault="000D1B3A" w:rsidP="000D1B3A">
      <w:pPr>
        <w:pStyle w:val="Desarrollocoyuntura"/>
      </w:pPr>
      <w:bookmarkStart w:id="59" w:name="_Toc88565978"/>
      <w:bookmarkStart w:id="60" w:name="_Toc173446259"/>
      <w:r w:rsidRPr="00025F23">
        <w:t>“El consumo privado es habitualmente el componente más cuantioso</w:t>
      </w:r>
      <w:r w:rsidR="00BB7D10" w:rsidRPr="00025F23">
        <w:t xml:space="preserve"> (</w:t>
      </w:r>
      <w:r w:rsidRPr="00025F23">
        <w:t>representando en torno a un 60-70</w:t>
      </w:r>
      <w:r w:rsidR="003E7C8C" w:rsidRPr="00025F23">
        <w:t> </w:t>
      </w:r>
      <w:r w:rsidRPr="00025F23">
        <w:t>% del PIB en países desarrollados) y menos volátil de la demanda agregada.</w:t>
      </w:r>
      <w:bookmarkEnd w:id="59"/>
      <w:bookmarkEnd w:id="60"/>
      <w:r w:rsidRPr="00025F23">
        <w:t xml:space="preserve"> </w:t>
      </w:r>
    </w:p>
    <w:p w14:paraId="0D256F91" w14:textId="77777777" w:rsidR="0086381F" w:rsidRPr="00025F23" w:rsidRDefault="000D1B3A" w:rsidP="000D1B3A">
      <w:pPr>
        <w:pStyle w:val="Desarrollocoyuntura"/>
      </w:pPr>
      <w:bookmarkStart w:id="61" w:name="_Toc88565979"/>
      <w:bookmarkStart w:id="62" w:name="_Toc173446260"/>
      <w:r w:rsidRPr="00025F23">
        <w:t xml:space="preserve">Suele ser un componente estable debido tanto a su mayor peso como por </w:t>
      </w:r>
      <w:r w:rsidR="0086381F" w:rsidRPr="00025F23">
        <w:t xml:space="preserve">su </w:t>
      </w:r>
      <w:r w:rsidRPr="00025F23">
        <w:t xml:space="preserve">fundamentación </w:t>
      </w:r>
      <w:r w:rsidR="0086381F" w:rsidRPr="00025F23">
        <w:t>m</w:t>
      </w:r>
      <w:r w:rsidRPr="00025F23">
        <w:t>icroeconómica</w:t>
      </w:r>
      <w:r w:rsidR="0086381F" w:rsidRPr="00025F23">
        <w:t>, ya que depende de la renta permanente y según la teoría microeconómica se produce una preferencia por su suavización (</w:t>
      </w:r>
      <w:proofErr w:type="spellStart"/>
      <w:r w:rsidR="0086381F" w:rsidRPr="00025F23">
        <w:t>consumption</w:t>
      </w:r>
      <w:proofErr w:type="spellEnd"/>
      <w:r w:rsidR="0086381F" w:rsidRPr="00025F23">
        <w:t xml:space="preserve"> </w:t>
      </w:r>
      <w:proofErr w:type="spellStart"/>
      <w:r w:rsidR="0086381F" w:rsidRPr="00025F23">
        <w:t>smoothing</w:t>
      </w:r>
      <w:proofErr w:type="spellEnd"/>
      <w:r w:rsidR="0086381F" w:rsidRPr="00025F23">
        <w:t>).</w:t>
      </w:r>
      <w:bookmarkEnd w:id="61"/>
      <w:bookmarkEnd w:id="62"/>
    </w:p>
    <w:p w14:paraId="3AEAF965" w14:textId="66D8B420" w:rsidR="0086381F" w:rsidRPr="00025F23" w:rsidRDefault="0086381F" w:rsidP="000D1B3A">
      <w:pPr>
        <w:pStyle w:val="Desarrollocoyuntura"/>
      </w:pPr>
      <w:bookmarkStart w:id="63" w:name="_Toc88565980"/>
      <w:bookmarkStart w:id="64" w:name="_Toc173446261"/>
      <w:r w:rsidRPr="00025F23">
        <w:t>Además, se suele mostrar moderadamente procíclico y coincidente en el tiempo con el PIB.</w:t>
      </w:r>
      <w:r w:rsidR="000D1B3A" w:rsidRPr="00025F23">
        <w:t>”</w:t>
      </w:r>
      <w:bookmarkEnd w:id="63"/>
      <w:bookmarkEnd w:id="64"/>
    </w:p>
    <w:p w14:paraId="2283130F" w14:textId="1AA135F2" w:rsidR="00BB7D10" w:rsidRPr="00025F23" w:rsidRDefault="00BB7D10" w:rsidP="000D1B3A">
      <w:pPr>
        <w:pStyle w:val="Desarrollocoyuntura"/>
      </w:pPr>
      <w:bookmarkStart w:id="65" w:name="_Toc173446262"/>
      <w:r w:rsidRPr="00025F23">
        <w:t>“El consumo privado de esta economía se muestra bastante estable, procíclico y coincidente en el tiempo con el PIB como se deduce de la teoría económica.”</w:t>
      </w:r>
      <w:bookmarkEnd w:id="65"/>
      <w:r w:rsidRPr="00025F23">
        <w:t xml:space="preserve"> </w:t>
      </w:r>
    </w:p>
    <w:p w14:paraId="1018FC84" w14:textId="261D14FE" w:rsidR="001B10BA" w:rsidRPr="00025F23" w:rsidRDefault="001B10BA" w:rsidP="00E5213A">
      <w:pPr>
        <w:pStyle w:val="Nivel1SM"/>
      </w:pPr>
      <w:r w:rsidRPr="00E5213A">
        <w:rPr>
          <w:i/>
          <w:u w:val="single"/>
        </w:rPr>
        <w:t>Peso relativo</w:t>
      </w:r>
      <w:r w:rsidRPr="00025F23">
        <w:t>:</w:t>
      </w:r>
      <w:r w:rsidR="00717A38" w:rsidRPr="00025F23">
        <w:t xml:space="preserve"> </w:t>
      </w:r>
      <w:r w:rsidR="00B42DCF" w:rsidRPr="00025F23">
        <w:t>D</w:t>
      </w:r>
      <w:r w:rsidR="00717A38" w:rsidRPr="00025F23">
        <w:t>e gran peso relativo, representando habitualmente en torno a un 60-70</w:t>
      </w:r>
      <w:r w:rsidR="003E7C8C" w:rsidRPr="00025F23">
        <w:t> </w:t>
      </w:r>
      <w:r w:rsidR="00717A38" w:rsidRPr="00025F23">
        <w:t>% del PIB en países desarrollados.</w:t>
      </w:r>
    </w:p>
    <w:p w14:paraId="012534CD" w14:textId="58F03884" w:rsidR="0038131E" w:rsidRPr="00025F23" w:rsidRDefault="0038131E" w:rsidP="00E5213A">
      <w:pPr>
        <w:pStyle w:val="Nivel1SM"/>
        <w:keepNext/>
        <w:spacing w:after="0"/>
      </w:pPr>
      <w:r w:rsidRPr="00E5213A">
        <w:rPr>
          <w:i/>
          <w:spacing w:val="-4"/>
          <w:u w:val="single"/>
        </w:rPr>
        <w:t>Volatilidad relativa</w:t>
      </w:r>
      <w:r w:rsidRPr="00025F23">
        <w:t>:</w:t>
      </w:r>
      <w:r w:rsidR="00E345DE" w:rsidRPr="00025F23">
        <w:t xml:space="preserve"> </w:t>
      </w:r>
      <w:r w:rsidR="00717A38" w:rsidRPr="00025F23">
        <w:t>Estable, habitualmente es el componente menos volátil del PIB, tanto por su peso como por motivos de fundamentación microeconómica (renta permanente, suavización del consumo…)</w:t>
      </w:r>
    </w:p>
    <w:p w14:paraId="12B4FDD7" w14:textId="54551FEC" w:rsidR="00717A38" w:rsidRPr="00025F23" w:rsidRDefault="00717A38" w:rsidP="00E5213A">
      <w:pPr>
        <w:pStyle w:val="Nivel2SM"/>
      </w:pPr>
      <w:r w:rsidRPr="00025F23">
        <w:t xml:space="preserve">Si se observa que es más volátil que el PIB es posible que </w:t>
      </w:r>
      <w:r w:rsidR="0067526B" w:rsidRPr="00025F23">
        <w:t xml:space="preserve">sea síntoma de sobrecalentamiento de la economía y que </w:t>
      </w:r>
      <w:r w:rsidRPr="00025F23">
        <w:t>se dé una inflación por el lado de la demanda.</w:t>
      </w:r>
    </w:p>
    <w:p w14:paraId="6B5990F8" w14:textId="76B3F988" w:rsidR="0038131E" w:rsidRPr="00025F23" w:rsidRDefault="0038131E" w:rsidP="00E5213A">
      <w:pPr>
        <w:pStyle w:val="Nivel1SM"/>
        <w:keepNext/>
        <w:spacing w:after="0"/>
      </w:pPr>
      <w:proofErr w:type="spellStart"/>
      <w:r w:rsidRPr="00E5213A">
        <w:rPr>
          <w:i/>
          <w:iCs w:val="0"/>
          <w:u w:val="single"/>
        </w:rPr>
        <w:t>Comovimientos</w:t>
      </w:r>
      <w:proofErr w:type="spellEnd"/>
      <w:r w:rsidRPr="00025F23">
        <w:t>:</w:t>
      </w:r>
    </w:p>
    <w:p w14:paraId="7178D8DB" w14:textId="2FCE6234" w:rsidR="00EA5B9F" w:rsidRPr="00025F23" w:rsidRDefault="00EA5B9F" w:rsidP="00E5213A">
      <w:pPr>
        <w:pStyle w:val="Nivel2SM"/>
      </w:pPr>
      <w:r w:rsidRPr="00025F23">
        <w:t>Procíclic</w:t>
      </w:r>
      <w:r w:rsidR="00717A38" w:rsidRPr="00025F23">
        <w:t>a</w:t>
      </w:r>
    </w:p>
    <w:p w14:paraId="392269B6" w14:textId="35E3B73E" w:rsidR="00EA5B9F" w:rsidRPr="00025F23" w:rsidRDefault="00717A38" w:rsidP="00E5213A">
      <w:pPr>
        <w:pStyle w:val="Nivel2SM"/>
      </w:pPr>
      <w:r w:rsidRPr="00025F23">
        <w:t>Ligeramente atrasada</w:t>
      </w:r>
    </w:p>
    <w:p w14:paraId="4C6B5CC7" w14:textId="44BB1802" w:rsidR="0038131E" w:rsidRPr="00025F23" w:rsidRDefault="00717A38" w:rsidP="00E5213A">
      <w:pPr>
        <w:pStyle w:val="Nivel1SM"/>
        <w:keepNext/>
        <w:spacing w:after="0"/>
      </w:pPr>
      <w:r w:rsidRPr="00E5213A">
        <w:rPr>
          <w:i/>
          <w:iCs w:val="0"/>
          <w:u w:val="single"/>
        </w:rPr>
        <w:t>Conformidad</w:t>
      </w:r>
      <w:r w:rsidR="0038131E" w:rsidRPr="00025F23">
        <w:t>:</w:t>
      </w:r>
      <w:r w:rsidR="00E345DE" w:rsidRPr="00025F23">
        <w:t xml:space="preserve"> </w:t>
      </w:r>
      <w:r w:rsidRPr="00025F23">
        <w:t xml:space="preserve">Decimos que dos series presentan un alto grado de conformidad si las relaciones de </w:t>
      </w:r>
      <w:proofErr w:type="spellStart"/>
      <w:r w:rsidRPr="00025F23">
        <w:t>comovimiento</w:t>
      </w:r>
      <w:proofErr w:type="spellEnd"/>
      <w:r w:rsidRPr="00025F23">
        <w:t xml:space="preserve"> hasta ahora enunciadas se mantienen constantes para toda la muestra. Decimos que presenta un grado bajo de conformidad si las relaciones de </w:t>
      </w:r>
      <w:proofErr w:type="spellStart"/>
      <w:r w:rsidRPr="00025F23">
        <w:t>comovimiento</w:t>
      </w:r>
      <w:proofErr w:type="spellEnd"/>
      <w:r w:rsidRPr="00025F23">
        <w:t xml:space="preserve"> son inestables, es decir, si empiezan siendo procíclicas y al cabo de algunos ciclos se muestran </w:t>
      </w:r>
      <w:proofErr w:type="spellStart"/>
      <w:r w:rsidRPr="00025F23">
        <w:t>contracíclicas</w:t>
      </w:r>
      <w:proofErr w:type="spellEnd"/>
      <w:r w:rsidRPr="00025F23">
        <w:t>.</w:t>
      </w:r>
    </w:p>
    <w:p w14:paraId="15669D9D" w14:textId="5DBE0364" w:rsidR="00717A38" w:rsidRPr="00025F23" w:rsidRDefault="00717A38" w:rsidP="00E5213A">
      <w:pPr>
        <w:pStyle w:val="Nivel2SM"/>
      </w:pPr>
      <w:r w:rsidRPr="00025F23">
        <w:t>Por lo tanto, esto dependerá de la muestra que nos den.</w:t>
      </w:r>
    </w:p>
    <w:p w14:paraId="53987301" w14:textId="48CF2D07" w:rsidR="00E345DE" w:rsidRPr="00025F23" w:rsidRDefault="00E345DE" w:rsidP="0038131E">
      <w:pPr>
        <w:pStyle w:val="Ttulo7"/>
      </w:pPr>
      <w:bookmarkStart w:id="66" w:name="_Toc173446263"/>
      <w:r w:rsidRPr="00025F23">
        <w:t>Evolución observada</w:t>
      </w:r>
      <w:bookmarkEnd w:id="66"/>
    </w:p>
    <w:p w14:paraId="4EFF5051" w14:textId="6650C36D" w:rsidR="004D5064" w:rsidRPr="00025F23" w:rsidRDefault="000D1B3A" w:rsidP="00717A38">
      <w:pPr>
        <w:pStyle w:val="Desarrollocoyuntura"/>
      </w:pPr>
      <w:bookmarkStart w:id="67" w:name="_Toc88565981"/>
      <w:bookmarkStart w:id="68" w:name="_Toc173446264"/>
      <w:r w:rsidRPr="00025F23">
        <w:t xml:space="preserve">“El consumo </w:t>
      </w:r>
      <w:r w:rsidR="00D35583" w:rsidRPr="00025F23">
        <w:t xml:space="preserve">privado </w:t>
      </w:r>
      <w:r w:rsidRPr="00025F23">
        <w:t>crece fuertemente durante la primera mitad de la serie, y luego se modera coincidiendo con una ralentización del crecimiento del PIB real.”</w:t>
      </w:r>
      <w:bookmarkEnd w:id="67"/>
      <w:bookmarkEnd w:id="68"/>
    </w:p>
    <w:p w14:paraId="41DC35D4" w14:textId="753F7322" w:rsidR="0038131E" w:rsidRPr="00025F23" w:rsidRDefault="00E345DE" w:rsidP="0038131E">
      <w:pPr>
        <w:pStyle w:val="Ttulo7"/>
      </w:pPr>
      <w:bookmarkStart w:id="69" w:name="_Toc173446265"/>
      <w:r w:rsidRPr="00025F23">
        <w:t>Factores que lo han motivado</w:t>
      </w:r>
      <w:bookmarkEnd w:id="69"/>
    </w:p>
    <w:p w14:paraId="1985461A" w14:textId="253638BB" w:rsidR="00797620" w:rsidRPr="00025F23" w:rsidRDefault="00797620" w:rsidP="00E5213A">
      <w:pPr>
        <w:pStyle w:val="Nivel1SM"/>
      </w:pPr>
      <w:r w:rsidRPr="00025F23">
        <w:t xml:space="preserve">La </w:t>
      </w:r>
      <w:r w:rsidRPr="00025F23">
        <w:rPr>
          <w:i/>
        </w:rPr>
        <w:t>teoría económica</w:t>
      </w:r>
      <w:r w:rsidRPr="00025F23">
        <w:t xml:space="preserve"> relaciona el consumo privado al nivel de renta disponible, los tipos de interés, la inflación esperada (que afecta al precio relativo entre el consumo actual y el consumo futuro) y, en ocasiones, a otros factores como la distribución de la renta o su naturaleza (permanente o transitoria).</w:t>
      </w:r>
    </w:p>
    <w:p w14:paraId="2C2B1B9A" w14:textId="15576A4B" w:rsidR="00797620" w:rsidRPr="00025F23" w:rsidRDefault="00797620" w:rsidP="00E5213A">
      <w:pPr>
        <w:pStyle w:val="Nivel1SM"/>
        <w:keepNext/>
        <w:spacing w:after="0"/>
      </w:pPr>
      <w:r w:rsidRPr="00025F23">
        <w:t>En general, al proyectar el consumo, el analista debería de tener en cuenta la amplia literatura empírica que habitualmente identifica</w:t>
      </w:r>
      <w:r w:rsidR="007350E1" w:rsidRPr="00025F23">
        <w:t xml:space="preserve"> las siguientes relaciones</w:t>
      </w:r>
      <w:r w:rsidRPr="00025F23">
        <w:t>:</w:t>
      </w:r>
    </w:p>
    <w:p w14:paraId="635D396C" w14:textId="39F0F940" w:rsidR="007350E1" w:rsidRPr="00025F23" w:rsidRDefault="007350E1" w:rsidP="006F3925">
      <w:pPr>
        <w:spacing w:after="0"/>
        <w:ind w:right="-357"/>
        <w:rPr>
          <w:i/>
        </w:rPr>
      </w:pPr>
      <m:oMathPara>
        <m:oMath>
          <m:r>
            <w:rPr>
              <w:rFonts w:ascii="Cambria Math" w:eastAsiaTheme="minorEastAsia" w:hAnsi="Cambria Math"/>
            </w:rPr>
            <m:t xml:space="preserve"> </m:t>
          </m:r>
          <m:r>
            <m:rPr>
              <m:nor/>
            </m:rPr>
            <w:rPr>
              <w:i/>
            </w:rPr>
            <m:t>C = f</m:t>
          </m:r>
          <m:d>
            <m:dPr>
              <m:ctrlPr>
                <w:rPr>
                  <w:rFonts w:ascii="Cambria Math" w:hAnsi="Cambria Math"/>
                  <w:i/>
                  <w:iCs/>
                </w:rPr>
              </m:ctrlPr>
            </m:dPr>
            <m:e>
              <m:limUpp>
                <m:limUppPr>
                  <m:ctrlPr>
                    <w:rPr>
                      <w:rFonts w:ascii="Cambria Math" w:hAnsi="Cambria Math"/>
                      <w:i/>
                    </w:rPr>
                  </m:ctrlPr>
                </m:limUppPr>
                <m:e>
                  <m:sSubSup>
                    <m:sSubSupPr>
                      <m:ctrlPr>
                        <w:rPr>
                          <w:rFonts w:ascii="Cambria Math" w:hAnsi="Cambria Math"/>
                          <w:i/>
                        </w:rPr>
                      </m:ctrlPr>
                    </m:sSubSupPr>
                    <m:e>
                      <m:r>
                        <m:rPr>
                          <m:nor/>
                        </m:rPr>
                        <w:rPr>
                          <w:i/>
                        </w:rPr>
                        <m:t>Y</m:t>
                      </m:r>
                    </m:e>
                    <m:sub>
                      <m:r>
                        <m:rPr>
                          <m:nor/>
                        </m:rPr>
                        <w:rPr>
                          <w:i/>
                        </w:rPr>
                        <m:t>real</m:t>
                      </m:r>
                    </m:sub>
                    <m:sup>
                      <m:r>
                        <m:rPr>
                          <m:nor/>
                        </m:rPr>
                        <w:rPr>
                          <w:i/>
                        </w:rPr>
                        <m:t>d</m:t>
                      </m:r>
                    </m:sup>
                  </m:sSubSup>
                </m:e>
                <m:lim>
                  <m:r>
                    <m:rPr>
                      <m:nor/>
                    </m:rPr>
                    <w:rPr>
                      <w:i/>
                    </w:rPr>
                    <m:t>+</m:t>
                  </m:r>
                </m:lim>
              </m:limUpp>
              <m:r>
                <m:rPr>
                  <m:nor/>
                </m:rPr>
                <w:rPr>
                  <w:i/>
                  <w:sz w:val="14"/>
                  <w:szCs w:val="14"/>
                </w:rPr>
                <m:t xml:space="preserve"> | </m:t>
              </m:r>
              <m:limUpp>
                <m:limUppPr>
                  <m:ctrlPr>
                    <w:rPr>
                      <w:rFonts w:ascii="Cambria Math" w:hAnsi="Cambria Math"/>
                      <w:i/>
                    </w:rPr>
                  </m:ctrlPr>
                </m:limUppPr>
                <m:e>
                  <m:r>
                    <m:rPr>
                      <m:nor/>
                    </m:rPr>
                    <w:rPr>
                      <w:i/>
                    </w:rPr>
                    <m:t>π</m:t>
                  </m:r>
                </m:e>
                <m:lim>
                  <m:r>
                    <m:rPr>
                      <m:nor/>
                    </m:rPr>
                    <w:rPr>
                      <w:i/>
                    </w:rPr>
                    <m:t>–</m:t>
                  </m:r>
                </m:lim>
              </m:limUpp>
              <m:r>
                <m:rPr>
                  <m:nor/>
                </m:rPr>
                <w:rPr>
                  <w:i/>
                  <w:sz w:val="14"/>
                  <w:szCs w:val="14"/>
                </w:rPr>
                <m:t xml:space="preserve"> | </m:t>
              </m:r>
              <m:limUpp>
                <m:limUppPr>
                  <m:ctrlPr>
                    <w:rPr>
                      <w:rFonts w:ascii="Cambria Math" w:hAnsi="Cambria Math"/>
                      <w:i/>
                    </w:rPr>
                  </m:ctrlPr>
                </m:limUppPr>
                <m:e>
                  <m:sSup>
                    <m:sSupPr>
                      <m:ctrlPr>
                        <w:rPr>
                          <w:rFonts w:ascii="Cambria Math" w:hAnsi="Cambria Math"/>
                          <w:i/>
                        </w:rPr>
                      </m:ctrlPr>
                    </m:sSupPr>
                    <m:e>
                      <m:r>
                        <m:rPr>
                          <m:nor/>
                        </m:rPr>
                        <w:rPr>
                          <w:i/>
                        </w:rPr>
                        <m:t>π</m:t>
                      </m:r>
                    </m:e>
                    <m:sup>
                      <m:r>
                        <m:rPr>
                          <m:nor/>
                        </m:rPr>
                        <w:rPr>
                          <w:i/>
                        </w:rPr>
                        <m:t>e</m:t>
                      </m:r>
                    </m:sup>
                  </m:sSup>
                </m:e>
                <m:lim>
                  <m:r>
                    <m:rPr>
                      <m:nor/>
                    </m:rPr>
                    <w:rPr>
                      <w:i/>
                    </w:rPr>
                    <m:t>+</m:t>
                  </m:r>
                </m:lim>
              </m:limUpp>
              <m:r>
                <m:rPr>
                  <m:nor/>
                </m:rPr>
                <w:rPr>
                  <w:i/>
                  <w:sz w:val="14"/>
                  <w:szCs w:val="14"/>
                </w:rPr>
                <m:t xml:space="preserve"> | </m:t>
              </m:r>
              <m:limUpp>
                <m:limUppPr>
                  <m:ctrlPr>
                    <w:rPr>
                      <w:rFonts w:ascii="Cambria Math" w:hAnsi="Cambria Math"/>
                      <w:i/>
                    </w:rPr>
                  </m:ctrlPr>
                </m:limUppPr>
                <m:e>
                  <m:sSub>
                    <m:sSubPr>
                      <m:ctrlPr>
                        <w:rPr>
                          <w:rFonts w:ascii="Cambria Math" w:hAnsi="Cambria Math"/>
                          <w:i/>
                        </w:rPr>
                      </m:ctrlPr>
                    </m:sSubPr>
                    <m:e>
                      <m:r>
                        <m:rPr>
                          <m:nor/>
                        </m:rPr>
                        <w:rPr>
                          <w:i/>
                        </w:rPr>
                        <m:t>r</m:t>
                      </m:r>
                    </m:e>
                    <m:sub>
                      <m:r>
                        <m:rPr>
                          <m:nor/>
                        </m:rPr>
                        <w:rPr>
                          <w:i/>
                        </w:rPr>
                        <m:t>c/p</m:t>
                      </m:r>
                    </m:sub>
                  </m:sSub>
                </m:e>
                <m:lim>
                  <m:r>
                    <m:rPr>
                      <m:nor/>
                    </m:rPr>
                    <w:rPr>
                      <w:i/>
                    </w:rPr>
                    <m:t>–</m:t>
                  </m:r>
                </m:lim>
              </m:limUpp>
              <m:r>
                <m:rPr>
                  <m:nor/>
                </m:rPr>
                <w:rPr>
                  <w:i/>
                  <w:sz w:val="14"/>
                  <w:szCs w:val="14"/>
                </w:rPr>
                <m:t xml:space="preserve"> | </m:t>
              </m:r>
              <m:limUpp>
                <m:limUppPr>
                  <m:ctrlPr>
                    <w:rPr>
                      <w:rFonts w:ascii="Cambria Math" w:hAnsi="Cambria Math"/>
                      <w:i/>
                    </w:rPr>
                  </m:ctrlPr>
                </m:limUppPr>
                <m:e>
                  <m:r>
                    <m:rPr>
                      <m:nor/>
                    </m:rPr>
                    <w:rPr>
                      <w:i/>
                    </w:rPr>
                    <m:t>créd.</m:t>
                  </m:r>
                </m:e>
                <m:lim>
                  <m:r>
                    <m:rPr>
                      <m:nor/>
                    </m:rPr>
                    <w:rPr>
                      <w:i/>
                    </w:rPr>
                    <m:t>+</m:t>
                  </m:r>
                </m:lim>
              </m:limUpp>
              <m:r>
                <m:rPr>
                  <m:nor/>
                </m:rPr>
                <w:rPr>
                  <w:i/>
                  <w:sz w:val="14"/>
                  <w:szCs w:val="14"/>
                </w:rPr>
                <m:t xml:space="preserve"> | </m:t>
              </m:r>
              <m:limUpp>
                <m:limUppPr>
                  <m:ctrlPr>
                    <w:rPr>
                      <w:rFonts w:ascii="Cambria Math" w:hAnsi="Cambria Math"/>
                      <w:i/>
                    </w:rPr>
                  </m:ctrlPr>
                </m:limUppPr>
                <m:e>
                  <m:r>
                    <m:rPr>
                      <m:nor/>
                    </m:rPr>
                    <w:rPr>
                      <w:i/>
                      <w:sz w:val="14"/>
                      <w:szCs w:val="14"/>
                    </w:rPr>
                    <m:t>Deuda</m:t>
                  </m:r>
                </m:e>
                <m:lim>
                  <m:r>
                    <m:rPr>
                      <m:nor/>
                    </m:rPr>
                    <w:rPr>
                      <w:i/>
                    </w:rPr>
                    <m:t>–</m:t>
                  </m:r>
                </m:lim>
              </m:limUpp>
              <m:r>
                <m:rPr>
                  <m:nor/>
                </m:rPr>
                <w:rPr>
                  <w:i/>
                  <w:sz w:val="14"/>
                  <w:szCs w:val="14"/>
                </w:rPr>
                <m:t xml:space="preserve"> | </m:t>
              </m:r>
              <m:limUpp>
                <m:limUppPr>
                  <m:ctrlPr>
                    <w:rPr>
                      <w:rFonts w:ascii="Cambria Math" w:hAnsi="Cambria Math"/>
                      <w:i/>
                    </w:rPr>
                  </m:ctrlPr>
                </m:limUppPr>
                <m:e>
                  <m:r>
                    <m:rPr>
                      <m:nor/>
                    </m:rPr>
                    <w:rPr>
                      <w:i/>
                    </w:rPr>
                    <m:t>n</m:t>
                  </m:r>
                </m:e>
                <m:lim>
                  <m:r>
                    <m:rPr>
                      <m:nor/>
                    </m:rPr>
                    <w:rPr>
                      <w:i/>
                    </w:rPr>
                    <m:t>+</m:t>
                  </m:r>
                </m:lim>
              </m:limUpp>
              <m:r>
                <m:rPr>
                  <m:nor/>
                </m:rPr>
                <w:rPr>
                  <w:i/>
                  <w:sz w:val="14"/>
                  <w:szCs w:val="14"/>
                </w:rPr>
                <m:t xml:space="preserve"> | </m:t>
              </m:r>
              <m:limUpp>
                <m:limUppPr>
                  <m:ctrlPr>
                    <w:rPr>
                      <w:rFonts w:ascii="Cambria Math" w:hAnsi="Cambria Math"/>
                      <w:i/>
                    </w:rPr>
                  </m:ctrlPr>
                </m:limUppPr>
                <m:e>
                  <m:sSub>
                    <m:sSubPr>
                      <m:ctrlPr>
                        <w:rPr>
                          <w:rFonts w:ascii="Cambria Math" w:hAnsi="Cambria Math"/>
                          <w:i/>
                        </w:rPr>
                      </m:ctrlPr>
                    </m:sSubPr>
                    <m:e>
                      <m:r>
                        <m:rPr>
                          <m:nor/>
                        </m:rPr>
                        <w:rPr>
                          <w:i/>
                        </w:rPr>
                        <m:t>N</m:t>
                      </m:r>
                    </m:e>
                    <m:sub>
                      <m:r>
                        <m:rPr>
                          <m:nor/>
                        </m:rPr>
                        <w:rPr>
                          <w:i/>
                        </w:rPr>
                        <m:t>j</m:t>
                      </m:r>
                    </m:sub>
                  </m:sSub>
                </m:e>
                <m:lim>
                  <m:r>
                    <m:rPr>
                      <m:nor/>
                    </m:rPr>
                    <w:rPr>
                      <w:i/>
                    </w:rPr>
                    <m:t>–</m:t>
                  </m:r>
                </m:lim>
              </m:limUpp>
              <m:r>
                <m:rPr>
                  <m:nor/>
                </m:rPr>
                <w:rPr>
                  <w:i/>
                  <w:sz w:val="14"/>
                  <w:szCs w:val="14"/>
                </w:rPr>
                <m:t xml:space="preserve"> | </m:t>
              </m:r>
              <w:bookmarkStart w:id="70" w:name="_Hlk97334138"/>
              <m:limUpp>
                <m:limUppPr>
                  <m:ctrlPr>
                    <w:rPr>
                      <w:rFonts w:ascii="Cambria Math" w:hAnsi="Cambria Math"/>
                      <w:i/>
                    </w:rPr>
                  </m:ctrlPr>
                </m:limUppPr>
                <m:e>
                  <m:r>
                    <m:rPr>
                      <m:nor/>
                    </m:rPr>
                    <w:rPr>
                      <w:i/>
                      <w:sz w:val="14"/>
                      <w:szCs w:val="14"/>
                    </w:rPr>
                    <m:t>Incertidumbre</m:t>
                  </m:r>
                </m:e>
                <m:lim>
                  <m:r>
                    <m:rPr>
                      <m:nor/>
                    </m:rPr>
                    <w:rPr>
                      <w:i/>
                    </w:rPr>
                    <m:t>–</m:t>
                  </m:r>
                </m:lim>
              </m:limUpp>
              <m:r>
                <m:rPr>
                  <m:nor/>
                </m:rPr>
                <w:rPr>
                  <w:i/>
                </w:rPr>
                <m:t xml:space="preserve"> </m:t>
              </m:r>
              <m:r>
                <m:rPr>
                  <m:nor/>
                </m:rPr>
                <w:rPr>
                  <w:i/>
                  <w:sz w:val="14"/>
                  <w:szCs w:val="14"/>
                </w:rPr>
                <m:t xml:space="preserve">| </m:t>
              </m:r>
              <m:limUpp>
                <m:limUppPr>
                  <m:ctrlPr>
                    <w:rPr>
                      <w:rFonts w:ascii="Cambria Math" w:hAnsi="Cambria Math"/>
                      <w:i/>
                    </w:rPr>
                  </m:ctrlPr>
                </m:limUppPr>
                <m:e>
                  <m:r>
                    <m:rPr>
                      <m:nor/>
                    </m:rPr>
                    <w:rPr>
                      <w:i/>
                      <w:sz w:val="14"/>
                      <w:szCs w:val="20"/>
                    </w:rPr>
                    <m:t>Expectativas</m:t>
                  </m:r>
                </m:e>
                <m:lim>
                  <m:r>
                    <m:rPr>
                      <m:nor/>
                    </m:rPr>
                    <w:rPr>
                      <w:i/>
                    </w:rPr>
                    <m:t>¿</m:t>
                  </m:r>
                </m:lim>
              </m:limUpp>
              <w:bookmarkEnd w:id="70"/>
            </m:e>
          </m:d>
        </m:oMath>
      </m:oMathPara>
    </w:p>
    <w:p w14:paraId="1E652385" w14:textId="06701494" w:rsidR="00797620" w:rsidRPr="00025F23" w:rsidRDefault="00797620" w:rsidP="00E5213A">
      <w:pPr>
        <w:pStyle w:val="Nivel2SM"/>
        <w:keepNext/>
        <w:spacing w:after="0"/>
      </w:pPr>
      <w:r w:rsidRPr="00025F23">
        <w:t xml:space="preserve">Una correlación </w:t>
      </w:r>
      <w:r w:rsidRPr="00025F23">
        <w:rPr>
          <w:i/>
          <w:iCs/>
        </w:rPr>
        <w:t>positiva</w:t>
      </w:r>
      <w:r w:rsidR="00A67B40" w:rsidRPr="00025F23">
        <w:t xml:space="preserve"> (</w:t>
      </w:r>
      <m:oMath>
        <m:r>
          <w:rPr>
            <w:rFonts w:ascii="Cambria Math" w:hAnsi="Cambria Math"/>
          </w:rPr>
          <m:t>+</m:t>
        </m:r>
      </m:oMath>
      <w:r w:rsidR="00A67B40" w:rsidRPr="00025F23">
        <w:t>)</w:t>
      </w:r>
      <w:r w:rsidRPr="00025F23">
        <w:t xml:space="preserve"> entre consumo y:</w:t>
      </w:r>
    </w:p>
    <w:p w14:paraId="59721153" w14:textId="7FED3BBD" w:rsidR="00797620" w:rsidRPr="00025F23" w:rsidRDefault="00797620" w:rsidP="00E5213A">
      <w:pPr>
        <w:pStyle w:val="Nivel3SM"/>
        <w:keepNext/>
      </w:pPr>
      <w:r w:rsidRPr="00025F23">
        <w:rPr>
          <w:b/>
          <w:bCs/>
        </w:rPr>
        <w:t>Renta disponible corriente</w:t>
      </w:r>
      <w:r w:rsidR="004B0504" w:rsidRPr="00025F23">
        <w:t xml:space="preserve"> </w:t>
      </w:r>
      <w:r w:rsidR="002D1B8A" w:rsidRPr="00025F23">
        <w:t>(</w:t>
      </w:r>
      <m:oMath>
        <m:sSubSup>
          <m:sSubSupPr>
            <m:ctrlPr>
              <w:rPr>
                <w:rFonts w:ascii="Cambria Math" w:hAnsi="Cambria Math"/>
                <w:i/>
              </w:rPr>
            </m:ctrlPr>
          </m:sSubSupPr>
          <m:e>
            <m:r>
              <m:rPr>
                <m:nor/>
              </m:rPr>
              <w:rPr>
                <w:i/>
              </w:rPr>
              <m:t>Y</m:t>
            </m:r>
          </m:e>
          <m:sub>
            <m:r>
              <m:rPr>
                <m:nor/>
              </m:rPr>
              <w:rPr>
                <w:i/>
              </w:rPr>
              <m:t>real</m:t>
            </m:r>
          </m:sub>
          <m:sup>
            <m:r>
              <m:rPr>
                <m:nor/>
              </m:rPr>
              <w:rPr>
                <w:i/>
              </w:rPr>
              <m:t>d</m:t>
            </m:r>
          </m:sup>
        </m:sSubSup>
      </m:oMath>
      <w:r w:rsidR="002D1B8A" w:rsidRPr="00025F23">
        <w:t xml:space="preserve">) </w:t>
      </w:r>
      <w:r w:rsidR="004B0504" w:rsidRPr="00025F23">
        <w:t>(sin duda el principal factor)</w:t>
      </w:r>
      <w:r w:rsidRPr="00025F23">
        <w:t>,</w:t>
      </w:r>
    </w:p>
    <w:p w14:paraId="142BF9D0" w14:textId="1650B079" w:rsidR="004B0504" w:rsidRPr="00025F23" w:rsidRDefault="004B0504" w:rsidP="00DB7236">
      <w:pPr>
        <w:pStyle w:val="Nivel4"/>
        <w:keepNext/>
        <w:numPr>
          <w:ilvl w:val="5"/>
          <w:numId w:val="1"/>
        </w:numPr>
        <w:ind w:left="964" w:hanging="113"/>
      </w:pPr>
      <w:r w:rsidRPr="00025F23">
        <w:t xml:space="preserve">A </w:t>
      </w:r>
      <w:r w:rsidR="00D0645A" w:rsidRPr="00025F23">
        <w:t>su vez depende de</w:t>
      </w:r>
      <w:r w:rsidR="00D0645A" w:rsidRPr="00025F23">
        <w:rPr>
          <w:rStyle w:val="Refdenotaalpie"/>
        </w:rPr>
        <w:footnoteReference w:id="10"/>
      </w:r>
      <w:r w:rsidR="00D0645A" w:rsidRPr="00025F23">
        <w:t>:</w:t>
      </w:r>
    </w:p>
    <w:p w14:paraId="45593609" w14:textId="47B1FC9F" w:rsidR="00D0645A" w:rsidRPr="00025F23" w:rsidRDefault="00000000" w:rsidP="006F3925">
      <w:pPr>
        <w:pStyle w:val="Nivel4"/>
        <w:keepNext/>
        <w:numPr>
          <w:ilvl w:val="0"/>
          <w:numId w:val="0"/>
        </w:numPr>
        <w:ind w:left="964"/>
      </w:pPr>
      <m:oMathPara>
        <m:oMath>
          <m:sSubSup>
            <m:sSubSupPr>
              <m:ctrlPr>
                <w:rPr>
                  <w:rFonts w:ascii="Cambria Math" w:hAnsi="Cambria Math"/>
                  <w:i/>
                </w:rPr>
              </m:ctrlPr>
            </m:sSubSupPr>
            <m:e>
              <m:r>
                <m:rPr>
                  <m:nor/>
                </m:rPr>
                <w:rPr>
                  <w:i/>
                </w:rPr>
                <m:t>Y</m:t>
              </m:r>
            </m:e>
            <m:sub>
              <m:r>
                <m:rPr>
                  <m:nor/>
                </m:rPr>
                <w:rPr>
                  <w:i/>
                </w:rPr>
                <m:t>real</m:t>
              </m:r>
            </m:sub>
            <m:sup>
              <m:r>
                <m:rPr>
                  <m:nor/>
                </m:rPr>
                <w:rPr>
                  <w:i/>
                </w:rPr>
                <m:t>d</m:t>
              </m:r>
            </m:sup>
          </m:sSubSup>
          <m:r>
            <m:rPr>
              <m:nor/>
            </m:rPr>
            <w:rPr>
              <w:i/>
            </w:rPr>
            <m:t>= f</m:t>
          </m:r>
          <m:d>
            <m:dPr>
              <m:ctrlPr>
                <w:rPr>
                  <w:rFonts w:ascii="Cambria Math" w:hAnsi="Cambria Math"/>
                  <w:i/>
                </w:rPr>
              </m:ctrlPr>
            </m:dPr>
            <m:e>
              <m:limUpp>
                <m:limUppPr>
                  <m:ctrlPr>
                    <w:rPr>
                      <w:rFonts w:ascii="Cambria Math" w:hAnsi="Cambria Math"/>
                      <w:i/>
                    </w:rPr>
                  </m:ctrlPr>
                </m:limUppPr>
                <m:e>
                  <m:groupChr>
                    <m:groupChrPr>
                      <m:chr m:val="⏞"/>
                      <m:pos m:val="top"/>
                      <m:vertJc m:val="bot"/>
                      <m:ctrlPr>
                        <w:rPr>
                          <w:rFonts w:ascii="Cambria Math" w:hAnsi="Cambria Math"/>
                          <w:i/>
                        </w:rPr>
                      </m:ctrlPr>
                    </m:groupChrPr>
                    <m:e>
                      <m:r>
                        <m:rPr>
                          <m:nor/>
                        </m:rPr>
                        <w:rPr>
                          <w:i/>
                        </w:rPr>
                        <m:t xml:space="preserve">L+ | </m:t>
                      </m:r>
                      <m:sSub>
                        <m:sSubPr>
                          <m:ctrlPr>
                            <w:rPr>
                              <w:rFonts w:ascii="Cambria Math" w:hAnsi="Cambria Math"/>
                              <w:i/>
                            </w:rPr>
                          </m:ctrlPr>
                        </m:sSubPr>
                        <m:e>
                          <m:r>
                            <m:rPr>
                              <m:nor/>
                            </m:rPr>
                            <w:rPr>
                              <w:i/>
                            </w:rPr>
                            <m:t>w</m:t>
                          </m:r>
                        </m:e>
                        <m:sub>
                          <m:r>
                            <m:rPr>
                              <m:nor/>
                            </m:rPr>
                            <w:rPr>
                              <w:i/>
                            </w:rPr>
                            <m:t>real</m:t>
                          </m:r>
                        </m:sub>
                      </m:sSub>
                      <m:r>
                        <m:rPr>
                          <m:nor/>
                        </m:rPr>
                        <w:rPr>
                          <w:i/>
                        </w:rPr>
                        <m:t xml:space="preserve"> + </m:t>
                      </m:r>
                      <m:d>
                        <m:dPr>
                          <m:ctrlPr>
                            <w:rPr>
                              <w:rFonts w:ascii="Cambria Math" w:hAnsi="Cambria Math"/>
                              <w:i/>
                            </w:rPr>
                          </m:ctrlPr>
                        </m:dPr>
                        <m:e>
                          <m:r>
                            <m:rPr>
                              <m:nor/>
                            </m:rPr>
                            <w:rPr>
                              <w:i/>
                            </w:rPr>
                            <m:t xml:space="preserve"> π – ,</m:t>
                          </m:r>
                          <m:sSup>
                            <m:sSupPr>
                              <m:ctrlPr>
                                <w:rPr>
                                  <w:rFonts w:ascii="Cambria Math" w:hAnsi="Cambria Math"/>
                                  <w:i/>
                                </w:rPr>
                              </m:ctrlPr>
                            </m:sSupPr>
                            <m:e>
                              <m:r>
                                <m:rPr>
                                  <m:nor/>
                                </m:rPr>
                                <w:rPr>
                                  <w:i/>
                                </w:rPr>
                                <m:t xml:space="preserve"> π</m:t>
                              </m:r>
                            </m:e>
                            <m:sup>
                              <m:r>
                                <m:rPr>
                                  <m:nor/>
                                </m:rPr>
                                <w:rPr>
                                  <w:i/>
                                </w:rPr>
                                <m:t>e</m:t>
                              </m:r>
                            </m:sup>
                          </m:sSup>
                          <m:r>
                            <m:rPr>
                              <m:nor/>
                            </m:rPr>
                            <w:rPr>
                              <w:i/>
                            </w:rPr>
                            <m:t>–</m:t>
                          </m:r>
                        </m:e>
                      </m:d>
                    </m:e>
                  </m:groupChr>
                </m:e>
                <m:lim>
                  <m:r>
                    <m:rPr>
                      <m:nor/>
                    </m:rPr>
                    <w:rPr>
                      <w:i/>
                      <w:iCs/>
                    </w:rPr>
                    <m:t>Rentas del trabajo</m:t>
                  </m:r>
                </m:lim>
              </m:limUpp>
              <m:r>
                <m:rPr>
                  <m:nor/>
                </m:rPr>
                <w:rPr>
                  <w:i/>
                </w:rPr>
                <m:t>|</m:t>
              </m:r>
              <m:limUpp>
                <m:limUppPr>
                  <m:ctrlPr>
                    <w:rPr>
                      <w:rFonts w:ascii="Cambria Math" w:hAnsi="Cambria Math"/>
                      <w:i/>
                    </w:rPr>
                  </m:ctrlPr>
                </m:limUppPr>
                <m:e>
                  <m:groupChr>
                    <m:groupChrPr>
                      <m:chr m:val="⏞"/>
                      <m:pos m:val="top"/>
                      <m:vertJc m:val="bot"/>
                      <m:ctrlPr>
                        <w:rPr>
                          <w:rFonts w:ascii="Cambria Math" w:hAnsi="Cambria Math"/>
                          <w:i/>
                        </w:rPr>
                      </m:ctrlPr>
                    </m:groupChrPr>
                    <m:e>
                      <m:r>
                        <m:rPr>
                          <m:nor/>
                        </m:rPr>
                        <w:rPr>
                          <w:i/>
                        </w:rPr>
                        <m:t>r +</m:t>
                      </m:r>
                    </m:e>
                  </m:groupChr>
                </m:e>
                <m:lim>
                  <m:r>
                    <m:rPr>
                      <m:nor/>
                    </m:rPr>
                    <w:rPr>
                      <w:i/>
                      <w:iCs/>
                    </w:rPr>
                    <m:t>Rentas del capital</m:t>
                  </m:r>
                </m:lim>
              </m:limUpp>
              <m:r>
                <m:rPr>
                  <m:nor/>
                </m:rPr>
                <w:rPr>
                  <w:i/>
                </w:rPr>
                <m:t>|</m:t>
              </m:r>
              <m:limUpp>
                <m:limUppPr>
                  <m:ctrlPr>
                    <w:rPr>
                      <w:rFonts w:ascii="Cambria Math" w:hAnsi="Cambria Math"/>
                      <w:i/>
                    </w:rPr>
                  </m:ctrlPr>
                </m:limUppPr>
                <m:e>
                  <m:groupChr>
                    <m:groupChrPr>
                      <m:chr m:val="⏞"/>
                      <m:pos m:val="top"/>
                      <m:vertJc m:val="bot"/>
                      <m:ctrlPr>
                        <w:rPr>
                          <w:rFonts w:ascii="Cambria Math" w:hAnsi="Cambria Math"/>
                          <w:i/>
                        </w:rPr>
                      </m:ctrlPr>
                    </m:groupChrPr>
                    <m:e>
                      <m:r>
                        <m:rPr>
                          <m:nor/>
                        </m:rPr>
                        <w:rPr>
                          <w:i/>
                        </w:rPr>
                        <m:t>T –</m:t>
                      </m:r>
                    </m:e>
                  </m:groupChr>
                </m:e>
                <m:lim>
                  <m:r>
                    <m:rPr>
                      <m:nor/>
                    </m:rPr>
                    <w:rPr>
                      <w:i/>
                    </w:rPr>
                    <m:t>Impuestos</m:t>
                  </m:r>
                </m:lim>
              </m:limUpp>
              <m:r>
                <m:rPr>
                  <m:nor/>
                </m:rPr>
                <w:rPr>
                  <w:i/>
                </w:rPr>
                <m:t>|</m:t>
              </m:r>
              <m:limUpp>
                <m:limUppPr>
                  <m:ctrlPr>
                    <w:rPr>
                      <w:rFonts w:ascii="Cambria Math" w:hAnsi="Cambria Math"/>
                      <w:i/>
                    </w:rPr>
                  </m:ctrlPr>
                </m:limUppPr>
                <m:e>
                  <m:groupChr>
                    <m:groupChrPr>
                      <m:chr m:val="⏞"/>
                      <m:pos m:val="top"/>
                      <m:vertJc m:val="bot"/>
                      <m:ctrlPr>
                        <w:rPr>
                          <w:rFonts w:ascii="Cambria Math" w:hAnsi="Cambria Math"/>
                          <w:i/>
                        </w:rPr>
                      </m:ctrlPr>
                    </m:groupChrPr>
                    <m:e>
                      <m:r>
                        <m:rPr>
                          <m:nor/>
                        </m:rPr>
                        <w:rPr>
                          <w:i/>
                        </w:rPr>
                        <m:t>Trans. +</m:t>
                      </m:r>
                    </m:e>
                  </m:groupChr>
                </m:e>
                <m:lim>
                  <m:r>
                    <m:rPr>
                      <m:nor/>
                    </m:rPr>
                    <w:rPr>
                      <w:i/>
                    </w:rPr>
                    <m:t>Transferencias</m:t>
                  </m:r>
                </m:lim>
              </m:limUpp>
              <m:r>
                <m:rPr>
                  <m:nor/>
                </m:rPr>
                <w:rPr>
                  <w:i/>
                </w:rPr>
                <m:t>|</m:t>
              </m:r>
              <m:limUpp>
                <m:limUppPr>
                  <m:ctrlPr>
                    <w:rPr>
                      <w:rFonts w:ascii="Cambria Math" w:hAnsi="Cambria Math"/>
                      <w:i/>
                    </w:rPr>
                  </m:ctrlPr>
                </m:limUppPr>
                <m:e>
                  <m:groupChr>
                    <m:groupChrPr>
                      <m:chr m:val="⏞"/>
                      <m:pos m:val="top"/>
                      <m:vertJc m:val="bot"/>
                      <m:ctrlPr>
                        <w:rPr>
                          <w:rFonts w:ascii="Cambria Math" w:hAnsi="Cambria Math"/>
                          <w:i/>
                        </w:rPr>
                      </m:ctrlPr>
                    </m:groupChrPr>
                    <m:e>
                      <m:r>
                        <m:rPr>
                          <m:nor/>
                        </m:rPr>
                        <w:rPr>
                          <w:i/>
                          <w:iCs/>
                        </w:rPr>
                        <m:t>Z +</m:t>
                      </m:r>
                    </m:e>
                  </m:groupChr>
                </m:e>
                <m:lim>
                  <m:r>
                    <m:rPr>
                      <m:nor/>
                    </m:rPr>
                    <w:rPr>
                      <w:i/>
                    </w:rPr>
                    <m:t>Efecto riqueza</m:t>
                  </m:r>
                </m:lim>
              </m:limUpp>
            </m:e>
          </m:d>
        </m:oMath>
      </m:oMathPara>
    </w:p>
    <w:p w14:paraId="1F23584B" w14:textId="0FA4EBA3" w:rsidR="00D0645A" w:rsidRPr="00025F23" w:rsidRDefault="00D0645A" w:rsidP="00DB7236">
      <w:pPr>
        <w:pStyle w:val="Nivel4"/>
        <w:keepNext/>
        <w:numPr>
          <w:ilvl w:val="6"/>
          <w:numId w:val="1"/>
        </w:numPr>
        <w:ind w:left="1276" w:hanging="142"/>
        <w:rPr>
          <w:i/>
          <w:iCs/>
          <w:sz w:val="14"/>
          <w:szCs w:val="14"/>
        </w:rPr>
      </w:pPr>
      <w:r w:rsidRPr="00025F23">
        <w:rPr>
          <w:i/>
          <w:iCs/>
          <w:sz w:val="14"/>
          <w:szCs w:val="14"/>
        </w:rPr>
        <w:t>Rentas del trabajo</w:t>
      </w:r>
      <w:r w:rsidR="00380807" w:rsidRPr="00025F23">
        <w:rPr>
          <w:rStyle w:val="Refdenotaalpie"/>
          <w:sz w:val="14"/>
          <w:szCs w:val="14"/>
        </w:rPr>
        <w:footnoteReference w:id="11"/>
      </w:r>
      <w:r w:rsidRPr="00025F23">
        <w:rPr>
          <w:sz w:val="14"/>
          <w:szCs w:val="14"/>
        </w:rPr>
        <w:t>, es decir:</w:t>
      </w:r>
    </w:p>
    <w:p w14:paraId="5239D851" w14:textId="011321F3" w:rsidR="00D0645A" w:rsidRPr="00025F23" w:rsidRDefault="00D0645A" w:rsidP="002E02C3">
      <w:pPr>
        <w:pStyle w:val="Nivel4"/>
        <w:keepNext/>
        <w:numPr>
          <w:ilvl w:val="7"/>
          <w:numId w:val="1"/>
        </w:numPr>
        <w:ind w:left="1701" w:hanging="142"/>
        <w:rPr>
          <w:i/>
          <w:iCs/>
          <w:sz w:val="14"/>
          <w:szCs w:val="14"/>
        </w:rPr>
      </w:pPr>
      <w:r w:rsidRPr="00025F23">
        <w:rPr>
          <w:sz w:val="14"/>
          <w:szCs w:val="14"/>
        </w:rPr>
        <w:t>Empleo (</w:t>
      </w:r>
      <m:oMath>
        <m:r>
          <m:rPr>
            <m:nor/>
          </m:rPr>
          <w:rPr>
            <w:i/>
            <w:sz w:val="14"/>
            <w:szCs w:val="14"/>
          </w:rPr>
          <m:t>L</m:t>
        </m:r>
      </m:oMath>
      <w:r w:rsidRPr="00025F23">
        <w:rPr>
          <w:sz w:val="14"/>
          <w:szCs w:val="14"/>
        </w:rPr>
        <w:t>)</w:t>
      </w:r>
    </w:p>
    <w:p w14:paraId="560A26F7" w14:textId="49898F82" w:rsidR="00D0645A" w:rsidRPr="00025F23" w:rsidRDefault="00D0645A" w:rsidP="008B1616">
      <w:pPr>
        <w:pStyle w:val="Nivel4"/>
        <w:numPr>
          <w:ilvl w:val="7"/>
          <w:numId w:val="1"/>
        </w:numPr>
        <w:ind w:left="1701" w:hanging="142"/>
        <w:rPr>
          <w:i/>
          <w:iCs/>
          <w:sz w:val="14"/>
          <w:szCs w:val="14"/>
        </w:rPr>
      </w:pPr>
      <w:r w:rsidRPr="00025F23">
        <w:rPr>
          <w:sz w:val="14"/>
          <w:szCs w:val="14"/>
        </w:rPr>
        <w:t>Salario real (</w:t>
      </w:r>
      <m:oMath>
        <m:sSub>
          <m:sSubPr>
            <m:ctrlPr>
              <w:rPr>
                <w:rFonts w:ascii="Cambria Math" w:hAnsi="Cambria Math"/>
                <w:i/>
                <w:sz w:val="14"/>
                <w:szCs w:val="14"/>
              </w:rPr>
            </m:ctrlPr>
          </m:sSubPr>
          <m:e>
            <m:r>
              <m:rPr>
                <m:nor/>
              </m:rPr>
              <w:rPr>
                <w:i/>
                <w:sz w:val="14"/>
                <w:szCs w:val="14"/>
              </w:rPr>
              <m:t>w</m:t>
            </m:r>
          </m:e>
          <m:sub>
            <m:r>
              <m:rPr>
                <m:nor/>
              </m:rPr>
              <w:rPr>
                <w:i/>
                <w:sz w:val="14"/>
                <w:szCs w:val="14"/>
              </w:rPr>
              <m:t>real</m:t>
            </m:r>
          </m:sub>
        </m:sSub>
      </m:oMath>
      <w:r w:rsidRPr="00025F23">
        <w:rPr>
          <w:sz w:val="14"/>
          <w:szCs w:val="14"/>
        </w:rPr>
        <w:t>)</w:t>
      </w:r>
      <w:r w:rsidRPr="00025F23">
        <w:rPr>
          <w:sz w:val="12"/>
          <w:szCs w:val="12"/>
        </w:rPr>
        <w:t>, que a su vez depende</w:t>
      </w:r>
      <w:r w:rsidR="00380807" w:rsidRPr="00025F23">
        <w:rPr>
          <w:sz w:val="12"/>
          <w:szCs w:val="12"/>
        </w:rPr>
        <w:t xml:space="preserve"> negativamente de la inflación actual y de la inflación esperada</w:t>
      </w:r>
      <w:r w:rsidR="00380807" w:rsidRPr="00025F23">
        <w:rPr>
          <w:rStyle w:val="Refdenotaalpie"/>
          <w:sz w:val="12"/>
          <w:szCs w:val="12"/>
        </w:rPr>
        <w:footnoteReference w:id="12"/>
      </w:r>
      <w:r w:rsidR="00380807" w:rsidRPr="00025F23">
        <w:rPr>
          <w:sz w:val="12"/>
          <w:szCs w:val="12"/>
        </w:rPr>
        <w:t xml:space="preserve"> (</w:t>
      </w:r>
      <w:r w:rsidR="00380807" w:rsidRPr="00025F23">
        <w:rPr>
          <w:i/>
          <w:iCs/>
          <w:sz w:val="12"/>
          <w:szCs w:val="12"/>
        </w:rPr>
        <w:t>corregir el crecimiento de los salarios nominales con índices de precios al consumo</w:t>
      </w:r>
      <w:r w:rsidR="00380807" w:rsidRPr="00025F23">
        <w:rPr>
          <w:sz w:val="12"/>
          <w:szCs w:val="12"/>
        </w:rPr>
        <w:t>).</w:t>
      </w:r>
    </w:p>
    <w:p w14:paraId="16EE518A" w14:textId="0FD89EC4" w:rsidR="00D0645A" w:rsidRPr="00025F23" w:rsidRDefault="00D0645A" w:rsidP="008B1616">
      <w:pPr>
        <w:pStyle w:val="Nivel4"/>
        <w:numPr>
          <w:ilvl w:val="6"/>
          <w:numId w:val="1"/>
        </w:numPr>
        <w:ind w:left="1276" w:hanging="142"/>
        <w:rPr>
          <w:i/>
          <w:iCs/>
          <w:sz w:val="14"/>
          <w:szCs w:val="14"/>
        </w:rPr>
      </w:pPr>
      <w:r w:rsidRPr="00025F23">
        <w:rPr>
          <w:i/>
          <w:iCs/>
          <w:sz w:val="14"/>
          <w:szCs w:val="14"/>
        </w:rPr>
        <w:t>Rentas del capital</w:t>
      </w:r>
      <w:r w:rsidR="00380807" w:rsidRPr="00025F23">
        <w:rPr>
          <w:sz w:val="14"/>
          <w:szCs w:val="14"/>
        </w:rPr>
        <w:t xml:space="preserve"> (</w:t>
      </w:r>
      <m:oMath>
        <m:r>
          <m:rPr>
            <m:nor/>
          </m:rPr>
          <w:rPr>
            <w:i/>
            <w:sz w:val="14"/>
            <w:szCs w:val="14"/>
          </w:rPr>
          <m:t>r</m:t>
        </m:r>
      </m:oMath>
      <w:r w:rsidR="00380807" w:rsidRPr="00025F23">
        <w:rPr>
          <w:sz w:val="14"/>
          <w:szCs w:val="14"/>
        </w:rPr>
        <w:t>),</w:t>
      </w:r>
    </w:p>
    <w:p w14:paraId="7013FEC1" w14:textId="5DA78036" w:rsidR="00D0645A" w:rsidRPr="00025F23" w:rsidRDefault="00D0645A" w:rsidP="008B1616">
      <w:pPr>
        <w:pStyle w:val="Nivel4"/>
        <w:numPr>
          <w:ilvl w:val="6"/>
          <w:numId w:val="1"/>
        </w:numPr>
        <w:ind w:left="1276" w:hanging="142"/>
        <w:rPr>
          <w:i/>
          <w:iCs/>
          <w:sz w:val="14"/>
          <w:szCs w:val="14"/>
        </w:rPr>
      </w:pPr>
      <w:r w:rsidRPr="00025F23">
        <w:rPr>
          <w:i/>
          <w:iCs/>
          <w:sz w:val="14"/>
          <w:szCs w:val="14"/>
        </w:rPr>
        <w:t>Impuestos</w:t>
      </w:r>
      <w:r w:rsidR="00380807" w:rsidRPr="00025F23">
        <w:rPr>
          <w:sz w:val="14"/>
          <w:szCs w:val="14"/>
        </w:rPr>
        <w:t xml:space="preserve"> (</w:t>
      </w:r>
      <m:oMath>
        <m:r>
          <m:rPr>
            <m:nor/>
          </m:rPr>
          <w:rPr>
            <w:i/>
            <w:sz w:val="14"/>
            <w:szCs w:val="14"/>
          </w:rPr>
          <m:t>T</m:t>
        </m:r>
      </m:oMath>
      <w:r w:rsidR="00380807" w:rsidRPr="00025F23">
        <w:rPr>
          <w:sz w:val="14"/>
          <w:szCs w:val="14"/>
        </w:rPr>
        <w:t xml:space="preserve">) </w:t>
      </w:r>
      <w:r w:rsidR="00380807" w:rsidRPr="00025F23">
        <w:rPr>
          <w:sz w:val="12"/>
          <w:szCs w:val="12"/>
        </w:rPr>
        <w:t>(la renta disminuye con el nivel de impuestos (sobre la renta, sobre el patrimonio…))</w:t>
      </w:r>
      <w:r w:rsidR="00380807" w:rsidRPr="00025F23">
        <w:rPr>
          <w:sz w:val="14"/>
          <w:szCs w:val="14"/>
        </w:rPr>
        <w:t>,</w:t>
      </w:r>
    </w:p>
    <w:p w14:paraId="560749C6" w14:textId="7B507430" w:rsidR="00D0645A" w:rsidRPr="00025F23" w:rsidRDefault="00D0645A" w:rsidP="008B1616">
      <w:pPr>
        <w:pStyle w:val="Nivel4"/>
        <w:numPr>
          <w:ilvl w:val="6"/>
          <w:numId w:val="1"/>
        </w:numPr>
        <w:ind w:left="1276" w:hanging="142"/>
        <w:rPr>
          <w:i/>
          <w:iCs/>
          <w:sz w:val="14"/>
          <w:szCs w:val="14"/>
        </w:rPr>
      </w:pPr>
      <w:r w:rsidRPr="00025F23">
        <w:rPr>
          <w:i/>
          <w:iCs/>
          <w:sz w:val="14"/>
          <w:szCs w:val="14"/>
        </w:rPr>
        <w:t>Transferencias</w:t>
      </w:r>
      <w:r w:rsidR="00380807" w:rsidRPr="00025F23">
        <w:rPr>
          <w:sz w:val="14"/>
          <w:szCs w:val="14"/>
        </w:rPr>
        <w:t xml:space="preserve"> (</w:t>
      </w:r>
      <m:oMath>
        <m:r>
          <m:rPr>
            <m:nor/>
          </m:rPr>
          <w:rPr>
            <w:i/>
            <w:sz w:val="14"/>
            <w:szCs w:val="14"/>
          </w:rPr>
          <m:t>Trans.</m:t>
        </m:r>
      </m:oMath>
      <w:r w:rsidR="00380807" w:rsidRPr="00025F23">
        <w:rPr>
          <w:sz w:val="14"/>
          <w:szCs w:val="14"/>
        </w:rPr>
        <w:t>)</w:t>
      </w:r>
      <w:r w:rsidR="00380807" w:rsidRPr="00025F23">
        <w:rPr>
          <w:sz w:val="12"/>
          <w:szCs w:val="12"/>
        </w:rPr>
        <w:t xml:space="preserve"> (afectan a la renta disponible de los hogares), y</w:t>
      </w:r>
    </w:p>
    <w:p w14:paraId="44BF3245" w14:textId="3A4BC337" w:rsidR="00D0645A" w:rsidRPr="00025F23" w:rsidRDefault="00D0645A" w:rsidP="008B1616">
      <w:pPr>
        <w:pStyle w:val="Nivel4"/>
        <w:numPr>
          <w:ilvl w:val="6"/>
          <w:numId w:val="1"/>
        </w:numPr>
        <w:ind w:left="1276" w:hanging="142"/>
        <w:rPr>
          <w:i/>
          <w:iCs/>
          <w:sz w:val="14"/>
          <w:szCs w:val="14"/>
        </w:rPr>
      </w:pPr>
      <w:r w:rsidRPr="00025F23">
        <w:rPr>
          <w:i/>
          <w:iCs/>
          <w:sz w:val="14"/>
          <w:szCs w:val="14"/>
        </w:rPr>
        <w:t>Efecto riqueza</w:t>
      </w:r>
      <w:r w:rsidR="00380807" w:rsidRPr="00025F23">
        <w:rPr>
          <w:sz w:val="14"/>
          <w:szCs w:val="14"/>
        </w:rPr>
        <w:t xml:space="preserve"> (</w:t>
      </w:r>
      <m:oMath>
        <m:r>
          <m:rPr>
            <m:nor/>
          </m:rPr>
          <w:rPr>
            <w:i/>
            <w:iCs/>
            <w:sz w:val="14"/>
            <w:szCs w:val="14"/>
          </w:rPr>
          <m:t>Z</m:t>
        </m:r>
      </m:oMath>
      <w:r w:rsidR="00380807" w:rsidRPr="00025F23">
        <w:rPr>
          <w:sz w:val="14"/>
          <w:szCs w:val="14"/>
        </w:rPr>
        <w:t>)</w:t>
      </w:r>
      <w:r w:rsidR="00380807" w:rsidRPr="00025F23">
        <w:rPr>
          <w:sz w:val="12"/>
          <w:szCs w:val="12"/>
        </w:rPr>
        <w:t xml:space="preserve"> (aumento del precio de la vivienda que se tiene en propiedad</w:t>
      </w:r>
      <w:r w:rsidR="005D0FC8" w:rsidRPr="00025F23">
        <w:rPr>
          <w:sz w:val="12"/>
          <w:szCs w:val="12"/>
        </w:rPr>
        <w:t>, incremento en la capitalización bursátil (si bien esto supondría asumir que los hogares mantienen sus ahorros en forma de activos financieros, algo discutible para el caso de las rentas bajas), etc.</w:t>
      </w:r>
      <w:r w:rsidR="00380807" w:rsidRPr="00025F23">
        <w:rPr>
          <w:sz w:val="12"/>
          <w:szCs w:val="12"/>
        </w:rPr>
        <w:t>).</w:t>
      </w:r>
    </w:p>
    <w:p w14:paraId="6D748375" w14:textId="6F96DA51" w:rsidR="002D1B8A" w:rsidRPr="00025F23" w:rsidRDefault="002D1B8A" w:rsidP="00E5213A">
      <w:pPr>
        <w:pStyle w:val="Nivel3SM"/>
      </w:pPr>
      <w:r w:rsidRPr="00025F23">
        <w:rPr>
          <w:b/>
          <w:bCs/>
        </w:rPr>
        <w:t>Inflación esperada</w:t>
      </w:r>
      <w:r w:rsidRPr="00025F23">
        <w:t xml:space="preserve"> (</w:t>
      </w:r>
      <m:oMath>
        <m:sSup>
          <m:sSupPr>
            <m:ctrlPr>
              <w:rPr>
                <w:rFonts w:ascii="Cambria Math" w:hAnsi="Cambria Math"/>
                <w:i/>
              </w:rPr>
            </m:ctrlPr>
          </m:sSupPr>
          <m:e>
            <m:r>
              <m:rPr>
                <m:nor/>
              </m:rPr>
              <w:rPr>
                <w:i/>
              </w:rPr>
              <m:t>π</m:t>
            </m:r>
          </m:e>
          <m:sup>
            <m:r>
              <m:rPr>
                <m:nor/>
              </m:rPr>
              <w:rPr>
                <w:i/>
              </w:rPr>
              <m:t>e</m:t>
            </m:r>
          </m:sup>
        </m:sSup>
      </m:oMath>
      <w:r w:rsidRPr="00025F23">
        <w:t>),</w:t>
      </w:r>
    </w:p>
    <w:p w14:paraId="7351CA36" w14:textId="291C9C19" w:rsidR="00797620" w:rsidRPr="00025F23" w:rsidRDefault="00797620" w:rsidP="00E5213A">
      <w:pPr>
        <w:pStyle w:val="Nivel3SM"/>
      </w:pPr>
      <w:r w:rsidRPr="00025F23">
        <w:rPr>
          <w:b/>
          <w:bCs/>
        </w:rPr>
        <w:t>Disponibilidad de crédito</w:t>
      </w:r>
      <w:r w:rsidRPr="00025F23">
        <w:t xml:space="preserve"> </w:t>
      </w:r>
      <w:r w:rsidR="002D1B8A" w:rsidRPr="00025F23">
        <w:t>(</w:t>
      </w:r>
      <w:proofErr w:type="spellStart"/>
      <m:oMath>
        <m:r>
          <m:rPr>
            <m:nor/>
          </m:rPr>
          <w:rPr>
            <w:i/>
          </w:rPr>
          <m:t>créd</m:t>
        </m:r>
        <w:proofErr w:type="spellEnd"/>
        <m:r>
          <m:rPr>
            <m:nor/>
          </m:rPr>
          <w:rPr>
            <w:i/>
          </w:rPr>
          <m:t>.</m:t>
        </m:r>
      </m:oMath>
      <w:r w:rsidR="002D1B8A" w:rsidRPr="00025F23">
        <w:t xml:space="preserve">) </w:t>
      </w:r>
      <w:r w:rsidRPr="00025F23">
        <w:t>(que puede ser influenciado por indicadores prudenciales y la regulación del sector financiero),</w:t>
      </w:r>
      <w:r w:rsidR="00E5269F" w:rsidRPr="00025F23">
        <w:t xml:space="preserve"> y</w:t>
      </w:r>
    </w:p>
    <w:p w14:paraId="177CB61A" w14:textId="658084FB" w:rsidR="00797620" w:rsidRPr="00025F23" w:rsidRDefault="002D1B8A" w:rsidP="00E5213A">
      <w:pPr>
        <w:pStyle w:val="Nivel3SM"/>
      </w:pPr>
      <w:r w:rsidRPr="00025F23">
        <w:rPr>
          <w:rStyle w:val="normaltextrun"/>
          <w:b/>
          <w:bCs/>
          <w:color w:val="000000"/>
          <w:szCs w:val="16"/>
          <w:shd w:val="clear" w:color="auto" w:fill="FFFFFF"/>
        </w:rPr>
        <w:t>Crecimiento de la población</w:t>
      </w:r>
      <w:r w:rsidRPr="00025F23">
        <w:rPr>
          <w:rStyle w:val="normaltextrun"/>
          <w:color w:val="000000"/>
          <w:szCs w:val="16"/>
          <w:shd w:val="clear" w:color="auto" w:fill="FFFFFF"/>
        </w:rPr>
        <w:t xml:space="preserve"> (</w:t>
      </w:r>
      <m:oMath>
        <m:r>
          <m:rPr>
            <m:nor/>
          </m:rPr>
          <w:rPr>
            <w:i/>
          </w:rPr>
          <m:t>n</m:t>
        </m:r>
      </m:oMath>
      <w:r w:rsidRPr="00025F23">
        <w:rPr>
          <w:rStyle w:val="normaltextrun"/>
          <w:color w:val="000000"/>
          <w:szCs w:val="16"/>
          <w:shd w:val="clear" w:color="auto" w:fill="FFFFFF"/>
        </w:rPr>
        <w:t xml:space="preserve">): </w:t>
      </w:r>
      <w:r w:rsidR="006F3925" w:rsidRPr="00025F23">
        <w:rPr>
          <w:rStyle w:val="normaltextrun"/>
          <w:color w:val="000000"/>
          <w:sz w:val="14"/>
          <w:szCs w:val="14"/>
          <w:shd w:val="clear" w:color="auto" w:fill="FFFFFF"/>
        </w:rPr>
        <w:t>U</w:t>
      </w:r>
      <w:r w:rsidRPr="00025F23">
        <w:rPr>
          <w:rStyle w:val="normaltextrun"/>
          <w:color w:val="000000"/>
          <w:sz w:val="14"/>
          <w:szCs w:val="14"/>
          <w:shd w:val="clear" w:color="auto" w:fill="FFFFFF"/>
        </w:rPr>
        <w:t>na población creciente aumenta el consumo</w:t>
      </w:r>
      <w:r w:rsidRPr="00025F23">
        <w:t>.</w:t>
      </w:r>
    </w:p>
    <w:p w14:paraId="5014AB48" w14:textId="03E9FFC2" w:rsidR="00797620" w:rsidRPr="00025F23" w:rsidRDefault="00797620" w:rsidP="00E5213A">
      <w:pPr>
        <w:pStyle w:val="Nivel2SM"/>
        <w:keepNext/>
        <w:spacing w:after="0"/>
      </w:pPr>
      <w:r w:rsidRPr="00025F23">
        <w:t xml:space="preserve">Una correlación </w:t>
      </w:r>
      <w:r w:rsidRPr="00025F23">
        <w:rPr>
          <w:i/>
          <w:iCs/>
        </w:rPr>
        <w:t>negativa</w:t>
      </w:r>
      <w:r w:rsidR="00A67B40" w:rsidRPr="00025F23">
        <w:t xml:space="preserve"> (</w:t>
      </w:r>
      <m:oMath>
        <m:r>
          <w:rPr>
            <w:rFonts w:ascii="Cambria Math" w:hAnsi="Cambria Math"/>
          </w:rPr>
          <m:t>-</m:t>
        </m:r>
      </m:oMath>
      <w:r w:rsidR="00A67B40" w:rsidRPr="00025F23">
        <w:t>)</w:t>
      </w:r>
      <w:r w:rsidRPr="00025F23">
        <w:t xml:space="preserve"> entre</w:t>
      </w:r>
      <w:r w:rsidR="00A04C2F" w:rsidRPr="00025F23">
        <w:t xml:space="preserve"> consumo y</w:t>
      </w:r>
      <w:r w:rsidRPr="00025F23">
        <w:t>:</w:t>
      </w:r>
    </w:p>
    <w:p w14:paraId="090F420D" w14:textId="3A7160CD" w:rsidR="004B0504" w:rsidRPr="00025F23" w:rsidRDefault="004B0504" w:rsidP="00E5213A">
      <w:pPr>
        <w:pStyle w:val="Nivel3SM"/>
      </w:pPr>
      <w:r w:rsidRPr="00025F23">
        <w:rPr>
          <w:b/>
          <w:bCs/>
        </w:rPr>
        <w:t>Inflación actual</w:t>
      </w:r>
      <w:r w:rsidRPr="00025F23">
        <w:t xml:space="preserve"> </w:t>
      </w:r>
      <w:r w:rsidR="002D1B8A" w:rsidRPr="00025F23">
        <w:t>(</w:t>
      </w:r>
      <m:oMath>
        <m:r>
          <m:rPr>
            <m:nor/>
          </m:rPr>
          <w:rPr>
            <w:i/>
          </w:rPr>
          <m:t>π</m:t>
        </m:r>
      </m:oMath>
      <w:r w:rsidR="002D1B8A" w:rsidRPr="00025F23">
        <w:t xml:space="preserve">): </w:t>
      </w:r>
      <w:r w:rsidR="006F3925" w:rsidRPr="00025F23">
        <w:t>C</w:t>
      </w:r>
      <w:r w:rsidRPr="00025F23">
        <w:t>on inflación alta se consume menos y se ahorra más, pues el consumo es más caro,</w:t>
      </w:r>
    </w:p>
    <w:p w14:paraId="700E70AC" w14:textId="0E9E5AD9" w:rsidR="00797620" w:rsidRPr="00025F23" w:rsidRDefault="00A04C2F" w:rsidP="00E5213A">
      <w:pPr>
        <w:pStyle w:val="Nivel3SM"/>
      </w:pPr>
      <w:r w:rsidRPr="00025F23">
        <w:rPr>
          <w:b/>
          <w:bCs/>
        </w:rPr>
        <w:lastRenderedPageBreak/>
        <w:t>Tipo de interés real</w:t>
      </w:r>
      <w:r w:rsidR="002D1B8A" w:rsidRPr="00025F23">
        <w:rPr>
          <w:b/>
          <w:bCs/>
        </w:rPr>
        <w:t xml:space="preserve"> a corto plazo</w:t>
      </w:r>
      <w:r w:rsidR="002D1B8A" w:rsidRPr="00025F23">
        <w:t xml:space="preserve"> (</w:t>
      </w:r>
      <m:oMath>
        <m:sSub>
          <m:sSubPr>
            <m:ctrlPr>
              <w:rPr>
                <w:rFonts w:ascii="Cambria Math" w:hAnsi="Cambria Math"/>
                <w:i/>
              </w:rPr>
            </m:ctrlPr>
          </m:sSubPr>
          <m:e>
            <m:r>
              <m:rPr>
                <m:nor/>
              </m:rPr>
              <w:rPr>
                <w:i/>
              </w:rPr>
              <m:t>r</m:t>
            </m:r>
          </m:e>
          <m:sub>
            <m:r>
              <m:rPr>
                <m:nor/>
              </m:rPr>
              <w:rPr>
                <w:i/>
              </w:rPr>
              <m:t>c/p</m:t>
            </m:r>
          </m:sub>
        </m:sSub>
      </m:oMath>
      <w:r w:rsidR="002D1B8A" w:rsidRPr="00025F23">
        <w:t xml:space="preserve">): </w:t>
      </w:r>
      <w:r w:rsidR="006F3925" w:rsidRPr="00025F23">
        <w:t>C</w:t>
      </w:r>
      <w:r w:rsidR="002D1B8A" w:rsidRPr="00025F23">
        <w:t>oste de endeudamiento de los hogares. Es el coste de oportunidad del consumo, la tasa a la que se remunera el ahorro</w:t>
      </w:r>
      <w:r w:rsidR="004B0504" w:rsidRPr="00025F23">
        <w:t xml:space="preserve"> (</w:t>
      </w:r>
      <w:r w:rsidR="004B0504" w:rsidRPr="00025F23">
        <w:rPr>
          <w:i/>
          <w:iCs/>
        </w:rPr>
        <w:t>corregir tipos de interés nominales con índices de precios al consumo</w:t>
      </w:r>
      <w:r w:rsidR="004B0504" w:rsidRPr="00025F23">
        <w:t>)</w:t>
      </w:r>
      <w:r w:rsidRPr="00025F23">
        <w:t>,</w:t>
      </w:r>
    </w:p>
    <w:p w14:paraId="46D82928" w14:textId="10A6B7AF" w:rsidR="004B0504" w:rsidRPr="00025F23" w:rsidRDefault="004B0504" w:rsidP="00E5213A">
      <w:pPr>
        <w:pStyle w:val="Nivel3SM"/>
      </w:pPr>
      <w:r w:rsidRPr="00025F23">
        <w:rPr>
          <w:b/>
          <w:bCs/>
        </w:rPr>
        <w:t>Deuda/apalancamiento de las familias</w:t>
      </w:r>
      <w:r w:rsidR="002D1B8A" w:rsidRPr="00025F23">
        <w:t xml:space="preserve"> (</w:t>
      </w:r>
      <m:oMath>
        <m:r>
          <m:rPr>
            <m:nor/>
          </m:rPr>
          <w:rPr>
            <w:i/>
          </w:rPr>
          <m:t>Deuda</m:t>
        </m:r>
      </m:oMath>
      <w:r w:rsidR="002D1B8A" w:rsidRPr="00025F23">
        <w:t>)</w:t>
      </w:r>
      <w:r w:rsidRPr="00025F23">
        <w:t>,</w:t>
      </w:r>
    </w:p>
    <w:p w14:paraId="4AED638D" w14:textId="41E1D07D" w:rsidR="002D1B8A" w:rsidRPr="00025F23" w:rsidRDefault="002D1B8A" w:rsidP="00E5213A">
      <w:pPr>
        <w:pStyle w:val="Nivel3SM"/>
      </w:pPr>
      <w:r w:rsidRPr="00025F23">
        <w:rPr>
          <w:b/>
          <w:bCs/>
        </w:rPr>
        <w:t>Población joven</w:t>
      </w:r>
      <w:r w:rsidR="00186DF2" w:rsidRPr="00025F23">
        <w:t xml:space="preserve"> (</w:t>
      </w:r>
      <m:oMath>
        <m:sSub>
          <m:sSubPr>
            <m:ctrlPr>
              <w:rPr>
                <w:rFonts w:ascii="Cambria Math" w:hAnsi="Cambria Math"/>
                <w:i/>
              </w:rPr>
            </m:ctrlPr>
          </m:sSubPr>
          <m:e>
            <m:r>
              <m:rPr>
                <m:nor/>
              </m:rPr>
              <w:rPr>
                <w:i/>
              </w:rPr>
              <m:t>N</m:t>
            </m:r>
          </m:e>
          <m:sub>
            <m:r>
              <m:rPr>
                <m:nor/>
              </m:rPr>
              <w:rPr>
                <w:i/>
              </w:rPr>
              <m:t>j</m:t>
            </m:r>
          </m:sub>
        </m:sSub>
      </m:oMath>
      <w:r w:rsidR="00186DF2" w:rsidRPr="00025F23">
        <w:t>)</w:t>
      </w:r>
      <w:r w:rsidRPr="00025F23">
        <w:t xml:space="preserve">, </w:t>
      </w:r>
      <w:r w:rsidRPr="00025F23">
        <w:rPr>
          <w:rStyle w:val="normaltextrun"/>
          <w:color w:val="000000"/>
          <w:sz w:val="14"/>
          <w:szCs w:val="14"/>
          <w:shd w:val="clear" w:color="auto" w:fill="FFFFFF"/>
        </w:rPr>
        <w:t>los jóvenes ahorran más de cara a la vejez (hipótesis del ciclo vital)</w:t>
      </w:r>
      <w:r w:rsidRPr="00025F23">
        <w:rPr>
          <w:rStyle w:val="eop"/>
          <w:color w:val="000000"/>
          <w:shd w:val="clear" w:color="auto" w:fill="FFFFFF"/>
        </w:rPr>
        <w:t>,</w:t>
      </w:r>
      <w:r w:rsidR="00E5269F" w:rsidRPr="00025F23">
        <w:rPr>
          <w:rStyle w:val="eop"/>
          <w:color w:val="000000"/>
          <w:shd w:val="clear" w:color="auto" w:fill="FFFFFF"/>
        </w:rPr>
        <w:t xml:space="preserve"> y</w:t>
      </w:r>
    </w:p>
    <w:p w14:paraId="6F785B3A" w14:textId="28052913" w:rsidR="00A04C2F" w:rsidRPr="00025F23" w:rsidRDefault="00186DF2" w:rsidP="00E5213A">
      <w:pPr>
        <w:pStyle w:val="Nivel3SM"/>
      </w:pPr>
      <w:r w:rsidRPr="00025F23">
        <w:rPr>
          <w:b/>
          <w:bCs/>
        </w:rPr>
        <w:t>Volatilidad e i</w:t>
      </w:r>
      <w:r w:rsidR="00A04C2F" w:rsidRPr="00025F23">
        <w:rPr>
          <w:b/>
          <w:bCs/>
        </w:rPr>
        <w:t>ncertidumbre</w:t>
      </w:r>
      <w:r w:rsidRPr="00025F23">
        <w:t xml:space="preserve"> (</w:t>
      </w:r>
      <m:oMath>
        <m:r>
          <m:rPr>
            <m:nor/>
          </m:rPr>
          <w:rPr>
            <w:i/>
          </w:rPr>
          <m:t>Incertidumbre</m:t>
        </m:r>
      </m:oMath>
      <w:r w:rsidRPr="00025F23">
        <w:t xml:space="preserve">): </w:t>
      </w:r>
      <w:r w:rsidR="006F3925" w:rsidRPr="00025F23">
        <w:t>D</w:t>
      </w:r>
      <w:r w:rsidRPr="00025F23">
        <w:t>ebido a la aversión al riesgo de los individuos</w:t>
      </w:r>
      <w:r w:rsidR="00A04C2F" w:rsidRPr="00025F23">
        <w:t>.</w:t>
      </w:r>
    </w:p>
    <w:p w14:paraId="3182FCC5" w14:textId="5F9DEFA2" w:rsidR="002D1B8A" w:rsidRPr="00025F23" w:rsidRDefault="002D1B8A" w:rsidP="00E5213A">
      <w:pPr>
        <w:pStyle w:val="Nivel2SM"/>
        <w:keepNext/>
        <w:spacing w:after="0"/>
      </w:pPr>
      <w:r w:rsidRPr="00025F23">
        <w:t>Además, las</w:t>
      </w:r>
      <w:r w:rsidRPr="00025F23">
        <w:rPr>
          <w:b/>
          <w:bCs/>
        </w:rPr>
        <w:t xml:space="preserve"> expectativas</w:t>
      </w:r>
      <w:r w:rsidRPr="00025F23">
        <w:t>, también juegan un papel relevante:</w:t>
      </w:r>
    </w:p>
    <w:p w14:paraId="48FF103D" w14:textId="42C88A2C" w:rsidR="002D1B8A" w:rsidRPr="00E5213A" w:rsidRDefault="002D1B8A" w:rsidP="00E5213A">
      <w:pPr>
        <w:pStyle w:val="Nivel3SM"/>
        <w:rPr>
          <w:spacing w:val="-3"/>
        </w:rPr>
      </w:pPr>
      <w:r w:rsidRPr="00E5213A">
        <w:rPr>
          <w:i/>
          <w:iCs/>
          <w:spacing w:val="-3"/>
        </w:rPr>
        <w:t>Expectativas de crecimiento</w:t>
      </w:r>
      <w:r w:rsidRPr="00E5213A">
        <w:rPr>
          <w:spacing w:val="-3"/>
        </w:rPr>
        <w:t xml:space="preserve"> (</w:t>
      </w:r>
      <m:oMath>
        <m:r>
          <w:rPr>
            <w:rFonts w:ascii="Cambria Math" w:hAnsi="Cambria Math"/>
            <w:spacing w:val="-3"/>
          </w:rPr>
          <m:t>+</m:t>
        </m:r>
      </m:oMath>
      <w:r w:rsidRPr="00E5213A">
        <w:rPr>
          <w:spacing w:val="-3"/>
        </w:rPr>
        <w:t xml:space="preserve">): </w:t>
      </w:r>
      <w:r w:rsidR="006F3925" w:rsidRPr="00E5213A">
        <w:rPr>
          <w:spacing w:val="-3"/>
        </w:rPr>
        <w:t>A</w:t>
      </w:r>
      <w:r w:rsidRPr="00E5213A">
        <w:rPr>
          <w:spacing w:val="-3"/>
        </w:rPr>
        <w:t xml:space="preserve">proximadas mediante la </w:t>
      </w:r>
      <w:proofErr w:type="spellStart"/>
      <w:r w:rsidR="00E5213A" w:rsidRPr="00E5213A">
        <w:rPr>
          <w:i/>
          <w:iCs/>
          <w:spacing w:val="-3"/>
        </w:rPr>
        <w:t>yield</w:t>
      </w:r>
      <w:proofErr w:type="spellEnd"/>
      <w:r w:rsidR="00E5213A" w:rsidRPr="00E5213A">
        <w:rPr>
          <w:i/>
          <w:iCs/>
          <w:spacing w:val="-3"/>
        </w:rPr>
        <w:t xml:space="preserve"> curve</w:t>
      </w:r>
      <w:r w:rsidRPr="00E5213A">
        <w:rPr>
          <w:rStyle w:val="Refdenotaalpie"/>
          <w:spacing w:val="-3"/>
        </w:rPr>
        <w:footnoteReference w:id="13"/>
      </w:r>
      <w:r w:rsidRPr="00E5213A">
        <w:rPr>
          <w:spacing w:val="-3"/>
        </w:rPr>
        <w:t>.</w:t>
      </w:r>
    </w:p>
    <w:p w14:paraId="438E5053" w14:textId="486CFA73" w:rsidR="002D1B8A" w:rsidRPr="00025F23" w:rsidRDefault="002D1B8A" w:rsidP="00E5213A">
      <w:pPr>
        <w:pStyle w:val="Nivel3SM"/>
      </w:pPr>
      <w:r w:rsidRPr="00025F23">
        <w:rPr>
          <w:i/>
          <w:iCs/>
        </w:rPr>
        <w:t>Expectativas de desempleo</w:t>
      </w:r>
      <w:r w:rsidRPr="00025F23">
        <w:t xml:space="preserve"> (</w:t>
      </w:r>
      <w:bookmarkStart w:id="71" w:name="_Hlk97324189"/>
      <m:oMath>
        <m:r>
          <w:rPr>
            <w:rFonts w:ascii="Cambria Math" w:hAnsi="Cambria Math"/>
          </w:rPr>
          <m:t>-</m:t>
        </m:r>
      </m:oMath>
      <w:bookmarkEnd w:id="71"/>
      <w:r w:rsidRPr="00025F23">
        <w:t>),</w:t>
      </w:r>
    </w:p>
    <w:p w14:paraId="17D0ED17" w14:textId="2416ED5C" w:rsidR="002D1B8A" w:rsidRPr="00025F23" w:rsidRDefault="002D1B8A" w:rsidP="00E5213A">
      <w:pPr>
        <w:pStyle w:val="Nivel3SM"/>
      </w:pPr>
      <w:r w:rsidRPr="00025F23">
        <w:rPr>
          <w:i/>
          <w:iCs/>
        </w:rPr>
        <w:t>Clima de confianza de los consumidores</w:t>
      </w:r>
      <w:r w:rsidRPr="00025F23">
        <w:t xml:space="preserve"> (</w:t>
      </w:r>
      <m:oMath>
        <m:r>
          <w:rPr>
            <w:rFonts w:ascii="Cambria Math" w:hAnsi="Cambria Math"/>
          </w:rPr>
          <m:t>+</m:t>
        </m:r>
      </m:oMath>
      <w:r w:rsidRPr="00025F23">
        <w:t>), aproximado mediante indicadores como índices de confianza de los consumidores,</w:t>
      </w:r>
    </w:p>
    <w:p w14:paraId="57451851" w14:textId="2A2CA6AE" w:rsidR="00AD4688" w:rsidRPr="00025F23" w:rsidRDefault="00800AD0" w:rsidP="00E5213A">
      <w:pPr>
        <w:pStyle w:val="Nivel3SM"/>
      </w:pPr>
      <w:r>
        <w:rPr>
          <w:i/>
          <w:iCs/>
        </w:rPr>
        <w:t>Clima de confianza de los gestores de compras</w:t>
      </w:r>
      <w:r w:rsidR="00AD4688" w:rsidRPr="00025F23">
        <w:rPr>
          <w:i/>
          <w:iCs/>
        </w:rPr>
        <w:t xml:space="preserve"> </w:t>
      </w:r>
      <w:r w:rsidR="00AD4688" w:rsidRPr="00025F23">
        <w:t>(</w:t>
      </w:r>
      <w:r>
        <w:t>+</w:t>
      </w:r>
      <w:r w:rsidR="00AD4688" w:rsidRPr="00025F23">
        <w:t xml:space="preserve">), aproximado mediante indicadores como el </w:t>
      </w:r>
      <w:proofErr w:type="spellStart"/>
      <w:r w:rsidR="00AD4688" w:rsidRPr="00025F23">
        <w:t>Purchasing</w:t>
      </w:r>
      <w:proofErr w:type="spellEnd"/>
      <w:r w:rsidR="00AD4688" w:rsidRPr="00025F23">
        <w:t xml:space="preserve"> Manager </w:t>
      </w:r>
      <w:proofErr w:type="spellStart"/>
      <w:r w:rsidR="00AD4688" w:rsidRPr="00025F23">
        <w:t>Index</w:t>
      </w:r>
      <w:proofErr w:type="spellEnd"/>
      <w:r w:rsidR="00AD4688" w:rsidRPr="00025F23">
        <w:t xml:space="preserve"> (PMI)</w:t>
      </w:r>
      <w:r w:rsidR="00AD4688" w:rsidRPr="00025F23">
        <w:rPr>
          <w:rStyle w:val="Refdenotaalpie"/>
          <w:sz w:val="14"/>
          <w:szCs w:val="14"/>
        </w:rPr>
        <w:footnoteReference w:id="14"/>
      </w:r>
      <w:r w:rsidR="00AD4688" w:rsidRPr="00025F23">
        <w:t>,</w:t>
      </w:r>
    </w:p>
    <w:p w14:paraId="1E9CA75C" w14:textId="3D67EEE8" w:rsidR="002D1B8A" w:rsidRPr="00025F23" w:rsidRDefault="002D1B8A" w:rsidP="00E5213A">
      <w:pPr>
        <w:pStyle w:val="Nivel3SM"/>
      </w:pPr>
      <w:r w:rsidRPr="00025F23">
        <w:rPr>
          <w:i/>
          <w:iCs/>
        </w:rPr>
        <w:t>Tasa de ahorro</w:t>
      </w:r>
      <w:r w:rsidRPr="00025F23">
        <w:t xml:space="preserve"> (</w:t>
      </w:r>
      <m:oMath>
        <m:r>
          <w:rPr>
            <w:rFonts w:ascii="Cambria Math" w:hAnsi="Cambria Math"/>
          </w:rPr>
          <m:t>-</m:t>
        </m:r>
      </m:oMath>
      <w:r w:rsidRPr="00025F23">
        <w:t>),</w:t>
      </w:r>
    </w:p>
    <w:p w14:paraId="50946816" w14:textId="566B3B38" w:rsidR="002D1B8A" w:rsidRPr="00025F23" w:rsidRDefault="002D1B8A" w:rsidP="00E5213A">
      <w:pPr>
        <w:pStyle w:val="Nivel3SM"/>
      </w:pPr>
      <w:r w:rsidRPr="00025F23">
        <w:rPr>
          <w:i/>
          <w:iCs/>
        </w:rPr>
        <w:t>Índice de miseria de Okun</w:t>
      </w:r>
      <w:r w:rsidRPr="00025F23">
        <w:t xml:space="preserve"> (</w:t>
      </w:r>
      <m:oMath>
        <m:r>
          <w:rPr>
            <w:rFonts w:ascii="Cambria Math" w:hAnsi="Cambria Math"/>
          </w:rPr>
          <m:t>-</m:t>
        </m:r>
      </m:oMath>
      <w:r w:rsidRPr="00025F23">
        <w:t xml:space="preserve">): </w:t>
      </w:r>
      <w:r w:rsidR="006F3925" w:rsidRPr="00025F23">
        <w:t>S</w:t>
      </w:r>
      <w:r w:rsidRPr="00025F23">
        <w:t>uma de inflación y paro,</w:t>
      </w:r>
    </w:p>
    <w:p w14:paraId="20B53143" w14:textId="63497E64" w:rsidR="002D1B8A" w:rsidRPr="00025F23" w:rsidRDefault="002D1B8A" w:rsidP="00E5213A">
      <w:pPr>
        <w:pStyle w:val="Nivel3SM"/>
      </w:pPr>
      <w:r w:rsidRPr="00025F23">
        <w:rPr>
          <w:i/>
          <w:iCs/>
        </w:rPr>
        <w:t>Economía mundial</w:t>
      </w:r>
      <w:r w:rsidRPr="00025F23">
        <w:t xml:space="preserve"> (</w:t>
      </w:r>
      <m:oMath>
        <m:r>
          <w:rPr>
            <w:rFonts w:ascii="Cambria Math" w:hAnsi="Cambria Math"/>
          </w:rPr>
          <m:t>+</m:t>
        </m:r>
      </m:oMath>
      <w:r w:rsidRPr="00025F23">
        <w:t>),</w:t>
      </w:r>
    </w:p>
    <w:p w14:paraId="1582B23D" w14:textId="4CD82B4E" w:rsidR="002D1B8A" w:rsidRPr="00025F23" w:rsidRDefault="00000C00" w:rsidP="00E5213A">
      <w:pPr>
        <w:pStyle w:val="Nivel3SM"/>
      </w:pPr>
      <w:r w:rsidRPr="00025F23">
        <w:rPr>
          <w:i/>
          <w:iCs/>
        </w:rPr>
        <w:t>Política fiscal f</w:t>
      </w:r>
      <w:r w:rsidR="002D1B8A" w:rsidRPr="00025F23">
        <w:rPr>
          <w:i/>
          <w:iCs/>
        </w:rPr>
        <w:t>utura</w:t>
      </w:r>
      <w:r w:rsidR="002D1B8A" w:rsidRPr="00025F23">
        <w:t xml:space="preserve">: </w:t>
      </w:r>
      <w:r w:rsidRPr="00025F23">
        <w:t>Una f</w:t>
      </w:r>
      <w:r w:rsidR="002D1B8A" w:rsidRPr="00025F23">
        <w:t>utura política fiscal expansiva puede reducir el consumo hoy –equivalencia ricardiana–</w:t>
      </w:r>
      <w:r w:rsidR="002D1B8A" w:rsidRPr="00025F23">
        <w:rPr>
          <w:szCs w:val="16"/>
        </w:rPr>
        <w:t>,</w:t>
      </w:r>
      <w:r w:rsidR="00E5269F" w:rsidRPr="00025F23">
        <w:rPr>
          <w:szCs w:val="16"/>
        </w:rPr>
        <w:t xml:space="preserve"> y</w:t>
      </w:r>
    </w:p>
    <w:p w14:paraId="28437FA6" w14:textId="67CCBB8D" w:rsidR="002D1B8A" w:rsidRPr="00025F23" w:rsidRDefault="00000C00" w:rsidP="00E5213A">
      <w:pPr>
        <w:pStyle w:val="Nivel3SM"/>
      </w:pPr>
      <w:r w:rsidRPr="00025F23">
        <w:rPr>
          <w:i/>
          <w:iCs/>
        </w:rPr>
        <w:t>P</w:t>
      </w:r>
      <w:r w:rsidR="002D1B8A" w:rsidRPr="00025F23">
        <w:rPr>
          <w:i/>
          <w:iCs/>
        </w:rPr>
        <w:t>olítica monetaria futura</w:t>
      </w:r>
      <w:r w:rsidR="002D1B8A" w:rsidRPr="00025F23">
        <w:t xml:space="preserve">: </w:t>
      </w:r>
      <w:r w:rsidR="006F3925" w:rsidRPr="00025F23">
        <w:t>F</w:t>
      </w:r>
      <w:r w:rsidR="002D1B8A" w:rsidRPr="00025F23">
        <w:t>utura disminución del tipo de interés puede aumentar el consumo hoy</w:t>
      </w:r>
      <w:r w:rsidR="002D1B8A" w:rsidRPr="00025F23">
        <w:rPr>
          <w:szCs w:val="16"/>
        </w:rPr>
        <w:t>.</w:t>
      </w:r>
    </w:p>
    <w:p w14:paraId="28DF062C" w14:textId="2E5E0024" w:rsidR="00797620" w:rsidRPr="00025F23" w:rsidRDefault="00797620" w:rsidP="006B33DD">
      <w:pPr>
        <w:spacing w:after="120"/>
      </w:pPr>
      <w:r w:rsidRPr="00025F23">
        <w:t xml:space="preserve">Otro enfoque a la predicción del consumo se basa en la </w:t>
      </w:r>
      <w:r w:rsidRPr="00025F23">
        <w:rPr>
          <w:b/>
          <w:bCs/>
        </w:rPr>
        <w:t>teoría del paseo aleatorio</w:t>
      </w:r>
      <w:r w:rsidRPr="00025F23">
        <w:t xml:space="preserve">. Si los consumidores se comportan de acuerdo con la </w:t>
      </w:r>
      <w:r w:rsidRPr="00025F23">
        <w:rPr>
          <w:i/>
          <w:iCs/>
        </w:rPr>
        <w:t>hipótesis de la renta permanente</w:t>
      </w:r>
      <w:r w:rsidRPr="00025F23">
        <w:t>, elegirán su consumo basándose en sus expectativas actuales de sus rentas futuras, y cambiarán su consumo s</w:t>
      </w:r>
      <w:r w:rsidR="003F67CC" w:rsidRPr="00025F23">
        <w:t>ó</w:t>
      </w:r>
      <w:r w:rsidRPr="00025F23">
        <w:t>lo cuando reciban noticias que les hagan revisar su renta permanente</w:t>
      </w:r>
      <w:r w:rsidRPr="00025F23">
        <w:rPr>
          <w:rStyle w:val="Refdenotaalpie"/>
        </w:rPr>
        <w:footnoteReference w:id="15"/>
      </w:r>
      <w:r w:rsidRPr="00025F23">
        <w:t xml:space="preserve">. Por lo tanto, si la hipótesis de la renta permanente es correcta y los agentes tienen expectativas </w:t>
      </w:r>
      <w:r w:rsidR="00F733F1" w:rsidRPr="00025F23">
        <w:t>racionales</w:t>
      </w:r>
      <w:r w:rsidRPr="00025F23">
        <w:t>, cambios en el consumo a lo largo del tiempo deben ser impredecibles. En otras palabras, el consumo debe seguir un paseo aleatorio. Esto implica que el mejor pronóstico del consumo futuro es el consumo presente.</w:t>
      </w:r>
    </w:p>
    <w:p w14:paraId="39E4A16C" w14:textId="6BD11DF1" w:rsidR="004B0504" w:rsidRPr="00025F23" w:rsidRDefault="004B0504" w:rsidP="004B0504">
      <w:pPr>
        <w:rPr>
          <w:i/>
          <w:iCs/>
        </w:rPr>
      </w:pPr>
      <w:r w:rsidRPr="00025F23">
        <w:rPr>
          <w:rStyle w:val="normaltextrun"/>
          <w:i/>
          <w:iCs/>
          <w:szCs w:val="16"/>
        </w:rPr>
        <w:t>Intentar vincular directamente cambios en las variables determinantes sobre las variables objetivos:</w:t>
      </w:r>
    </w:p>
    <w:p w14:paraId="53F05827" w14:textId="5AB39FD5" w:rsidR="00DF3A91" w:rsidRDefault="004B0504" w:rsidP="00DF3A91">
      <w:pPr>
        <w:pStyle w:val="Desarrollocoyuntura"/>
      </w:pPr>
      <w:bookmarkStart w:id="72" w:name="_Toc173446266"/>
      <w:r w:rsidRPr="00025F23">
        <w:t>“Entre las variables que suelen determinar el consumo, en este caso observamos que la variable</w:t>
      </w:r>
      <w:r w:rsidR="002E30D4">
        <w:t> </w:t>
      </w:r>
      <w:r w:rsidRPr="00025F23">
        <w:rPr>
          <w:b/>
          <w:bCs/>
        </w:rPr>
        <w:t>x</w:t>
      </w:r>
      <w:r w:rsidRPr="00025F23">
        <w:t xml:space="preserve"> y la variable</w:t>
      </w:r>
      <w:r w:rsidR="002E30D4">
        <w:t> </w:t>
      </w:r>
      <w:r w:rsidRPr="00025F23">
        <w:rPr>
          <w:b/>
          <w:bCs/>
        </w:rPr>
        <w:t>y</w:t>
      </w:r>
      <w:r w:rsidRPr="00025F23">
        <w:t xml:space="preserve"> evolucionan de tal manera que </w:t>
      </w:r>
      <w:r w:rsidR="000D638F" w:rsidRPr="00025F23">
        <w:rPr>
          <w:spacing w:val="-1"/>
        </w:rPr>
        <w:t>podrían</w:t>
      </w:r>
      <w:r w:rsidRPr="00025F23">
        <w:t xml:space="preserve"> </w:t>
      </w:r>
      <w:r w:rsidR="000D638F" w:rsidRPr="00025F23">
        <w:t xml:space="preserve">explicar </w:t>
      </w:r>
      <w:r w:rsidRPr="00025F23">
        <w:t xml:space="preserve">en </w:t>
      </w:r>
      <w:r w:rsidRPr="00025F23">
        <w:rPr>
          <w:b/>
          <w:bCs/>
        </w:rPr>
        <w:t>tales años</w:t>
      </w:r>
      <w:r w:rsidRPr="00025F23">
        <w:t xml:space="preserve"> la variación del consumo”</w:t>
      </w:r>
      <w:bookmarkEnd w:id="72"/>
    </w:p>
    <w:p w14:paraId="4851D991" w14:textId="0F5734B8" w:rsidR="00DF3A91" w:rsidRDefault="00DF3A91" w:rsidP="00DF3A91">
      <w:pPr>
        <w:pStyle w:val="Ttuloimagen"/>
      </w:pPr>
      <w:r>
        <w:t>Imagen </w:t>
      </w:r>
      <w:r>
        <w:fldChar w:fldCharType="begin"/>
      </w:r>
      <w:r>
        <w:instrText xml:space="preserve"> SEQ Ilustración \* ARABIC </w:instrText>
      </w:r>
      <w:r>
        <w:fldChar w:fldCharType="separate"/>
      </w:r>
      <w:r w:rsidR="00903E0C">
        <w:t>2</w:t>
      </w:r>
      <w:r>
        <w:fldChar w:fldCharType="end"/>
      </w:r>
      <w:r w:rsidRPr="00DF3A91">
        <w:rPr>
          <w:smallCaps w:val="0"/>
        </w:rPr>
        <w:t xml:space="preserve">.– </w:t>
      </w:r>
      <w:r w:rsidRPr="00DF3A91">
        <w:rPr>
          <w:i/>
          <w:iCs/>
          <w:smallCaps w:val="0"/>
        </w:rPr>
        <w:t>Fac</w:t>
      </w:r>
      <w:r>
        <w:rPr>
          <w:i/>
          <w:iCs/>
          <w:smallCaps w:val="0"/>
        </w:rPr>
        <w:t>tores que explican la evolución del consumo privado en la zona euro</w:t>
      </w:r>
    </w:p>
    <w:p w14:paraId="07147CC6" w14:textId="2AA807D3" w:rsidR="00DF3A91" w:rsidRDefault="00DF3A91" w:rsidP="00DF3A91">
      <w:pPr>
        <w:pStyle w:val="Imagen"/>
      </w:pPr>
      <w:r>
        <w:drawing>
          <wp:inline distT="0" distB="0" distL="0" distR="0" wp14:anchorId="73E76D34" wp14:editId="76CD5C61">
            <wp:extent cx="2769095" cy="1339850"/>
            <wp:effectExtent l="0" t="0" r="0" b="0"/>
            <wp:docPr id="926411862" name="Imagen 4" descr="Gráf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6411862" name="Imagen 4" descr="Gráfico&#10;&#10;Descripción generada automáticamente"/>
                    <pic:cNvPicPr>
                      <a:picLocks noChangeAspect="1" noChangeArrowheads="1"/>
                    </pic:cNvPicPr>
                  </pic:nvPicPr>
                  <pic:blipFill>
                    <a:blip r:embed="rId17">
                      <a:extLst>
                        <a:ext uri="{28A0092B-C50C-407E-A947-70E740481C1C}">
                          <a14:useLocalDpi xmlns:a14="http://schemas.microsoft.com/office/drawing/2010/main"/>
                        </a:ext>
                      </a:extLst>
                    </a:blip>
                    <a:srcRect/>
                    <a:stretch>
                      <a:fillRect/>
                    </a:stretch>
                  </pic:blipFill>
                  <pic:spPr bwMode="auto">
                    <a:xfrm>
                      <a:off x="0" y="0"/>
                      <a:ext cx="2770423" cy="1340493"/>
                    </a:xfrm>
                    <a:prstGeom prst="rect">
                      <a:avLst/>
                    </a:prstGeom>
                    <a:noFill/>
                    <a:ln>
                      <a:noFill/>
                    </a:ln>
                  </pic:spPr>
                </pic:pic>
              </a:graphicData>
            </a:graphic>
          </wp:inline>
        </w:drawing>
      </w:r>
    </w:p>
    <w:p w14:paraId="38037D64" w14:textId="2162ACA4" w:rsidR="00DF3A91" w:rsidRDefault="00DF3A91" w:rsidP="00DF3A91">
      <w:pPr>
        <w:pStyle w:val="Piedeimagen"/>
      </w:pPr>
      <w:r>
        <w:t>Fuente</w:t>
      </w:r>
      <w:r>
        <w:rPr>
          <w:i w:val="0"/>
        </w:rPr>
        <w:t xml:space="preserve">: European Central Bank (2023). </w:t>
      </w:r>
      <w:r>
        <w:t>Informe Anual 2022</w:t>
      </w:r>
      <w:r>
        <w:rPr>
          <w:i w:val="0"/>
        </w:rPr>
        <w:t xml:space="preserve">. </w:t>
      </w:r>
      <w:hyperlink r:id="rId18" w:history="1">
        <w:r w:rsidR="00C166AD" w:rsidRPr="00C166AD">
          <w:rPr>
            <w:rStyle w:val="Hipervnculo"/>
            <w:i w:val="0"/>
            <w:iCs/>
          </w:rPr>
          <w:t>https://www.ecb.europa.eu/pub/annual/html/ecb.ar2022~8ae51d163b.es.html</w:t>
        </w:r>
      </w:hyperlink>
    </w:p>
    <w:p w14:paraId="064D8AAF" w14:textId="10050941" w:rsidR="004A0FB7" w:rsidRPr="00025F23" w:rsidRDefault="00F81184" w:rsidP="006B33DD">
      <w:pPr>
        <w:pStyle w:val="Ttulo6"/>
        <w:spacing w:before="100"/>
        <w:rPr>
          <w:b w:val="0"/>
          <w:bCs/>
        </w:rPr>
      </w:pPr>
      <w:bookmarkStart w:id="73" w:name="_Inversión_privada_[Tema"/>
      <w:bookmarkStart w:id="74" w:name="_Toc88566120"/>
      <w:bookmarkStart w:id="75" w:name="_Toc173446267"/>
      <w:bookmarkStart w:id="76" w:name="_Toc189085778"/>
      <w:bookmarkEnd w:id="73"/>
      <w:r w:rsidRPr="00025F23">
        <w:t>Inversión</w:t>
      </w:r>
      <w:r w:rsidR="00744FDE" w:rsidRPr="00025F23">
        <w:t xml:space="preserve"> privada</w:t>
      </w:r>
      <w:r w:rsidR="00113C66" w:rsidRPr="00025F23">
        <w:rPr>
          <w:b w:val="0"/>
          <w:bCs/>
          <w:color w:val="595959" w:themeColor="text1" w:themeTint="A6"/>
          <w:sz w:val="12"/>
          <w:szCs w:val="18"/>
          <w:u w:val="none"/>
        </w:rPr>
        <w:t xml:space="preserve"> [Tema 3.A.3</w:t>
      </w:r>
      <w:r w:rsidR="00EE58E7">
        <w:rPr>
          <w:b w:val="0"/>
          <w:bCs/>
          <w:color w:val="595959" w:themeColor="text1" w:themeTint="A6"/>
          <w:sz w:val="12"/>
          <w:szCs w:val="18"/>
          <w:u w:val="none"/>
        </w:rPr>
        <w:t>4</w:t>
      </w:r>
      <w:r w:rsidR="00113C66" w:rsidRPr="00025F23">
        <w:rPr>
          <w:b w:val="0"/>
          <w:bCs/>
          <w:color w:val="595959" w:themeColor="text1" w:themeTint="A6"/>
          <w:sz w:val="12"/>
          <w:szCs w:val="18"/>
          <w:u w:val="none"/>
        </w:rPr>
        <w:t>]</w:t>
      </w:r>
      <w:bookmarkEnd w:id="74"/>
      <w:bookmarkEnd w:id="75"/>
      <w:bookmarkEnd w:id="76"/>
    </w:p>
    <w:p w14:paraId="0D981C9B" w14:textId="6FFE5B24" w:rsidR="001766D8" w:rsidRPr="00025F23" w:rsidRDefault="001766D8" w:rsidP="001766D8">
      <w:pPr>
        <w:pStyle w:val="Desarrollocoyuntura"/>
      </w:pPr>
      <w:bookmarkStart w:id="77" w:name="_Toc88565982"/>
      <w:bookmarkStart w:id="78" w:name="_Toc173446268"/>
      <w:r w:rsidRPr="00025F23">
        <w:t>“Por su parte, la inversión se muestra, como es habitual, como el componente más volátil del PIB. En efecto, esta serie presenta una amplitud de X</w:t>
      </w:r>
      <w:r w:rsidR="003F67CC" w:rsidRPr="00025F23">
        <w:t> </w:t>
      </w:r>
      <w:r w:rsidRPr="00025F23">
        <w:t>puntos porcentuales</w:t>
      </w:r>
      <w:r w:rsidR="005911A0" w:rsidRPr="00025F23">
        <w:t xml:space="preserve">. Su evolución </w:t>
      </w:r>
      <w:r w:rsidR="005911A0" w:rsidRPr="00025F23">
        <w:rPr>
          <w:spacing w:val="-1"/>
        </w:rPr>
        <w:t>parece explicarse en cierta medida</w:t>
      </w:r>
      <w:r w:rsidR="005911A0" w:rsidRPr="00025F23">
        <w:t xml:space="preserve"> por el flujo de crédito al sector privado y por el tipo de interés real a corto plazo (resultado de restar la inflación al tipo de interés nominal a corto plazo, por falta del tipo de </w:t>
      </w:r>
      <w:r w:rsidR="005911A0" w:rsidRPr="00025F23">
        <w:t xml:space="preserve">interés a largo plazo y de las expectativas de inflación). Así, los años que más cae la inversión coinciden con una caída del crédito privado, mientras que los años de crecimiento de la formación bruta de capital suelen coincidir con un tipo de interés real negativo. Por otro lado, </w:t>
      </w:r>
      <w:r w:rsidR="005911A0" w:rsidRPr="00025F23">
        <w:rPr>
          <w:spacing w:val="-1"/>
        </w:rPr>
        <w:t>es posible que</w:t>
      </w:r>
      <w:r w:rsidR="005911A0" w:rsidRPr="00025F23">
        <w:t xml:space="preserve"> las expectativas jueguen también cierto papel en las decisiones de inversión de los agentes.</w:t>
      </w:r>
      <w:r w:rsidRPr="00025F23">
        <w:t>”</w:t>
      </w:r>
      <w:bookmarkEnd w:id="77"/>
      <w:bookmarkEnd w:id="78"/>
    </w:p>
    <w:p w14:paraId="1ABD7D31" w14:textId="46388974" w:rsidR="001766D8" w:rsidRPr="00025F23" w:rsidRDefault="001766D8" w:rsidP="001766D8">
      <w:pPr>
        <w:pStyle w:val="Ttulo7"/>
      </w:pPr>
      <w:bookmarkStart w:id="79" w:name="_Toc173446269"/>
      <w:r w:rsidRPr="00025F23">
        <w:t>Qué incluye</w:t>
      </w:r>
      <w:bookmarkEnd w:id="79"/>
    </w:p>
    <w:p w14:paraId="01FDF239" w14:textId="1E5EA185" w:rsidR="00A27ECC" w:rsidRPr="00025F23" w:rsidRDefault="00A27ECC" w:rsidP="00E5213A">
      <w:pPr>
        <w:pStyle w:val="Nivel1SM"/>
        <w:keepNext/>
        <w:spacing w:after="0"/>
      </w:pPr>
      <w:r w:rsidRPr="00025F23">
        <w:t xml:space="preserve">Incluye </w:t>
      </w:r>
      <w:r w:rsidR="00B42DCF" w:rsidRPr="00025F23">
        <w:t>3 </w:t>
      </w:r>
      <w:r w:rsidRPr="00025F23">
        <w:t>componentes:</w:t>
      </w:r>
    </w:p>
    <w:p w14:paraId="52725AF3" w14:textId="60392D43" w:rsidR="00123BBA" w:rsidRPr="00025F23" w:rsidRDefault="00123BBA" w:rsidP="00123BBA">
      <w:pPr>
        <w:pStyle w:val="Prrafodelista"/>
        <w:numPr>
          <w:ilvl w:val="0"/>
          <w:numId w:val="9"/>
        </w:numPr>
        <w:ind w:left="385" w:hanging="113"/>
        <w:rPr>
          <w:szCs w:val="16"/>
        </w:rPr>
      </w:pPr>
      <w:r w:rsidRPr="00025F23">
        <w:rPr>
          <w:i/>
          <w:iCs/>
          <w:szCs w:val="16"/>
          <w:u w:val="single"/>
        </w:rPr>
        <w:t>Formación bruta de capital fijo</w:t>
      </w:r>
      <w:r w:rsidRPr="00025F23">
        <w:rPr>
          <w:szCs w:val="16"/>
        </w:rPr>
        <w:t xml:space="preserve">: </w:t>
      </w:r>
      <w:r w:rsidR="008C0DBF" w:rsidRPr="00025F23">
        <w:rPr>
          <w:szCs w:val="16"/>
        </w:rPr>
        <w:t>C</w:t>
      </w:r>
      <w:r w:rsidRPr="00025F23">
        <w:rPr>
          <w:szCs w:val="16"/>
        </w:rPr>
        <w:t>omprende las adquisiciones menos las cesiones de activos fijos realizadas por los productores residentes durante un período determinado, más ciertos incrementos del valor de los activos no producidos derivados de la actividad productiva de las unidades de producción o de las unidades institucionales. Los activos fijos son activos producidos utilizados en la producción durante más de un año.</w:t>
      </w:r>
      <w:r w:rsidR="00B77084" w:rsidRPr="00025F23">
        <w:rPr>
          <w:szCs w:val="16"/>
        </w:rPr>
        <w:t xml:space="preserve"> La formación bruta de capital fijo está compuesta por:</w:t>
      </w:r>
    </w:p>
    <w:p w14:paraId="0ACC15F0" w14:textId="3098C585" w:rsidR="00123BBA" w:rsidRPr="00025F23" w:rsidRDefault="00123BBA" w:rsidP="00123BBA">
      <w:pPr>
        <w:pStyle w:val="Prrafodelista"/>
        <w:numPr>
          <w:ilvl w:val="1"/>
          <w:numId w:val="9"/>
        </w:numPr>
        <w:ind w:left="680" w:hanging="113"/>
        <w:rPr>
          <w:szCs w:val="16"/>
        </w:rPr>
      </w:pPr>
      <w:r w:rsidRPr="00025F23">
        <w:rPr>
          <w:i/>
          <w:iCs/>
          <w:szCs w:val="16"/>
        </w:rPr>
        <w:t>Consumo de capital fijo</w:t>
      </w:r>
      <w:r w:rsidR="00204AB8" w:rsidRPr="00025F23">
        <w:rPr>
          <w:szCs w:val="16"/>
        </w:rPr>
        <w:t xml:space="preserve">: </w:t>
      </w:r>
      <w:r w:rsidR="008C0DBF" w:rsidRPr="00025F23">
        <w:rPr>
          <w:szCs w:val="16"/>
        </w:rPr>
        <w:t>E</w:t>
      </w:r>
      <w:r w:rsidR="00204AB8" w:rsidRPr="00025F23">
        <w:rPr>
          <w:szCs w:val="16"/>
        </w:rPr>
        <w:t>s la pérdida de valor de los activos fijos que se poseen, como resultado del desgaste normal y la obsolescencia.</w:t>
      </w:r>
    </w:p>
    <w:p w14:paraId="4ADF5F8A" w14:textId="08304AB0" w:rsidR="00123BBA" w:rsidRPr="00025F23" w:rsidRDefault="00123BBA" w:rsidP="00123BBA">
      <w:pPr>
        <w:pStyle w:val="Prrafodelista"/>
        <w:numPr>
          <w:ilvl w:val="1"/>
          <w:numId w:val="9"/>
        </w:numPr>
        <w:ind w:left="680" w:hanging="113"/>
        <w:rPr>
          <w:i/>
          <w:iCs/>
          <w:szCs w:val="16"/>
        </w:rPr>
      </w:pPr>
      <w:r w:rsidRPr="00025F23">
        <w:rPr>
          <w:i/>
          <w:iCs/>
          <w:szCs w:val="16"/>
        </w:rPr>
        <w:t>Formación neta de capital fijo</w:t>
      </w:r>
    </w:p>
    <w:p w14:paraId="3FADEE25" w14:textId="498A5549" w:rsidR="00123BBA" w:rsidRPr="00025F23" w:rsidRDefault="00123BBA" w:rsidP="00123BBA">
      <w:pPr>
        <w:pStyle w:val="Prrafodelista"/>
        <w:keepNext/>
        <w:ind w:left="386"/>
        <w:rPr>
          <w:szCs w:val="16"/>
        </w:rPr>
      </w:pPr>
      <w:r w:rsidRPr="00025F23">
        <w:rPr>
          <w:szCs w:val="16"/>
        </w:rPr>
        <w:t>Se distinguen los siguientes tipos de formación bruta de capital fijo:</w:t>
      </w:r>
    </w:p>
    <w:p w14:paraId="5AF6B8EB" w14:textId="1289438E" w:rsidR="00123BBA" w:rsidRPr="00025F23" w:rsidRDefault="00123BBA" w:rsidP="00204AB8">
      <w:pPr>
        <w:pStyle w:val="Prrafodelista"/>
        <w:numPr>
          <w:ilvl w:val="2"/>
          <w:numId w:val="9"/>
        </w:numPr>
        <w:ind w:left="680" w:hanging="113"/>
        <w:rPr>
          <w:sz w:val="12"/>
          <w:szCs w:val="12"/>
        </w:rPr>
      </w:pPr>
      <w:r w:rsidRPr="00025F23">
        <w:rPr>
          <w:sz w:val="12"/>
          <w:szCs w:val="12"/>
        </w:rPr>
        <w:t>Viviendas</w:t>
      </w:r>
      <w:r w:rsidR="00B77084" w:rsidRPr="00025F23">
        <w:rPr>
          <w:rStyle w:val="Refdenotaalpie"/>
          <w:sz w:val="12"/>
          <w:szCs w:val="12"/>
        </w:rPr>
        <w:footnoteReference w:id="16"/>
      </w:r>
    </w:p>
    <w:p w14:paraId="24DA875C" w14:textId="0303B43C" w:rsidR="00123BBA" w:rsidRPr="00025F23" w:rsidRDefault="00123BBA" w:rsidP="00204AB8">
      <w:pPr>
        <w:pStyle w:val="Prrafodelista"/>
        <w:numPr>
          <w:ilvl w:val="2"/>
          <w:numId w:val="9"/>
        </w:numPr>
        <w:ind w:left="680" w:hanging="113"/>
        <w:rPr>
          <w:sz w:val="12"/>
          <w:szCs w:val="12"/>
        </w:rPr>
      </w:pPr>
      <w:r w:rsidRPr="00025F23">
        <w:rPr>
          <w:sz w:val="12"/>
          <w:szCs w:val="12"/>
        </w:rPr>
        <w:t>Edificios no residenciales y otras construcciones; esto incluye grandes mejoras de los terrenos.</w:t>
      </w:r>
    </w:p>
    <w:p w14:paraId="402613B3" w14:textId="1A674023" w:rsidR="00123BBA" w:rsidRPr="00025F23" w:rsidRDefault="00123BBA" w:rsidP="00204AB8">
      <w:pPr>
        <w:pStyle w:val="Prrafodelista"/>
        <w:numPr>
          <w:ilvl w:val="2"/>
          <w:numId w:val="9"/>
        </w:numPr>
        <w:ind w:left="680" w:hanging="113"/>
        <w:rPr>
          <w:sz w:val="12"/>
          <w:szCs w:val="12"/>
        </w:rPr>
      </w:pPr>
      <w:r w:rsidRPr="00025F23">
        <w:rPr>
          <w:sz w:val="12"/>
          <w:szCs w:val="12"/>
        </w:rPr>
        <w:t>Maquinaria y equipo, como buques, automóviles y ordenadores.</w:t>
      </w:r>
    </w:p>
    <w:p w14:paraId="06145171" w14:textId="12137EC2" w:rsidR="00123BBA" w:rsidRPr="00025F23" w:rsidRDefault="00204AB8" w:rsidP="00204AB8">
      <w:pPr>
        <w:pStyle w:val="Prrafodelista"/>
        <w:numPr>
          <w:ilvl w:val="2"/>
          <w:numId w:val="9"/>
        </w:numPr>
        <w:ind w:left="680" w:hanging="113"/>
        <w:rPr>
          <w:sz w:val="12"/>
          <w:szCs w:val="12"/>
        </w:rPr>
      </w:pPr>
      <w:r w:rsidRPr="00025F23">
        <w:rPr>
          <w:sz w:val="12"/>
          <w:szCs w:val="12"/>
        </w:rPr>
        <w:t>Sistemas de armamento.</w:t>
      </w:r>
    </w:p>
    <w:p w14:paraId="10F2A043" w14:textId="12A6CA72" w:rsidR="00204AB8" w:rsidRPr="00025F23" w:rsidRDefault="00204AB8" w:rsidP="00204AB8">
      <w:pPr>
        <w:pStyle w:val="Prrafodelista"/>
        <w:numPr>
          <w:ilvl w:val="2"/>
          <w:numId w:val="9"/>
        </w:numPr>
        <w:ind w:left="680" w:hanging="113"/>
        <w:rPr>
          <w:sz w:val="12"/>
          <w:szCs w:val="12"/>
        </w:rPr>
      </w:pPr>
      <w:r w:rsidRPr="00025F23">
        <w:rPr>
          <w:sz w:val="12"/>
          <w:szCs w:val="12"/>
        </w:rPr>
        <w:t>Recursos biológicos cultivados, por ejemplo árboles y ganado.</w:t>
      </w:r>
    </w:p>
    <w:p w14:paraId="23B12C64" w14:textId="071BD72C" w:rsidR="00204AB8" w:rsidRPr="00025F23" w:rsidRDefault="00204AB8" w:rsidP="00204AB8">
      <w:pPr>
        <w:pStyle w:val="Prrafodelista"/>
        <w:numPr>
          <w:ilvl w:val="2"/>
          <w:numId w:val="9"/>
        </w:numPr>
        <w:ind w:left="680" w:hanging="113"/>
        <w:rPr>
          <w:sz w:val="12"/>
          <w:szCs w:val="12"/>
        </w:rPr>
      </w:pPr>
      <w:r w:rsidRPr="00025F23">
        <w:rPr>
          <w:sz w:val="12"/>
          <w:szCs w:val="12"/>
        </w:rPr>
        <w:t>Gastos asociados a las transferencias de propiedad de los activos no producidos, tales como terrenos, contratos, arrendamientos y licencias.</w:t>
      </w:r>
    </w:p>
    <w:p w14:paraId="521A55C0" w14:textId="476A8B8E" w:rsidR="00204AB8" w:rsidRPr="00025F23" w:rsidRDefault="00204AB8" w:rsidP="00204AB8">
      <w:pPr>
        <w:pStyle w:val="Prrafodelista"/>
        <w:numPr>
          <w:ilvl w:val="2"/>
          <w:numId w:val="9"/>
        </w:numPr>
        <w:ind w:left="680" w:hanging="113"/>
        <w:rPr>
          <w:sz w:val="12"/>
          <w:szCs w:val="12"/>
        </w:rPr>
      </w:pPr>
      <w:r w:rsidRPr="00025F23">
        <w:rPr>
          <w:sz w:val="12"/>
          <w:szCs w:val="12"/>
        </w:rPr>
        <w:t>I+D, incluida la producción de I+D accesible gratuitamente; los gastos de I+D solo se registrarán como formación de capital fijo cuando las estimaciones de los Estados miembros tengan un nivel alto de fiabilidad y comparabilidad.</w:t>
      </w:r>
    </w:p>
    <w:p w14:paraId="5D789975" w14:textId="6EDCC2D1" w:rsidR="00204AB8" w:rsidRPr="00025F23" w:rsidRDefault="00204AB8" w:rsidP="00204AB8">
      <w:pPr>
        <w:pStyle w:val="Prrafodelista"/>
        <w:numPr>
          <w:ilvl w:val="2"/>
          <w:numId w:val="9"/>
        </w:numPr>
        <w:ind w:left="680" w:hanging="113"/>
        <w:rPr>
          <w:sz w:val="12"/>
          <w:szCs w:val="12"/>
        </w:rPr>
      </w:pPr>
      <w:r w:rsidRPr="00025F23">
        <w:rPr>
          <w:sz w:val="12"/>
          <w:szCs w:val="12"/>
        </w:rPr>
        <w:t>Prospección y evaluación minera y petrolera.</w:t>
      </w:r>
    </w:p>
    <w:p w14:paraId="262AB68D" w14:textId="3B9E04A8" w:rsidR="00204AB8" w:rsidRPr="00025F23" w:rsidRDefault="00204AB8" w:rsidP="00204AB8">
      <w:pPr>
        <w:pStyle w:val="Prrafodelista"/>
        <w:numPr>
          <w:ilvl w:val="2"/>
          <w:numId w:val="9"/>
        </w:numPr>
        <w:ind w:left="680" w:hanging="113"/>
        <w:rPr>
          <w:sz w:val="12"/>
          <w:szCs w:val="12"/>
        </w:rPr>
      </w:pPr>
      <w:r w:rsidRPr="00025F23">
        <w:rPr>
          <w:sz w:val="12"/>
          <w:szCs w:val="12"/>
        </w:rPr>
        <w:t>Programas informáticos y bases de datos.</w:t>
      </w:r>
    </w:p>
    <w:p w14:paraId="7EA68993" w14:textId="6775B241" w:rsidR="00204AB8" w:rsidRPr="00025F23" w:rsidRDefault="00204AB8" w:rsidP="00204AB8">
      <w:pPr>
        <w:pStyle w:val="Prrafodelista"/>
        <w:numPr>
          <w:ilvl w:val="2"/>
          <w:numId w:val="9"/>
        </w:numPr>
        <w:ind w:left="680" w:hanging="113"/>
        <w:rPr>
          <w:sz w:val="12"/>
          <w:szCs w:val="12"/>
        </w:rPr>
      </w:pPr>
      <w:r w:rsidRPr="00025F23">
        <w:rPr>
          <w:sz w:val="12"/>
          <w:szCs w:val="12"/>
        </w:rPr>
        <w:t>Originales de obras recreativas, literarias o artísticas.</w:t>
      </w:r>
    </w:p>
    <w:p w14:paraId="216CD88C" w14:textId="1896ACF3" w:rsidR="00204AB8" w:rsidRPr="00025F23" w:rsidRDefault="00204AB8" w:rsidP="00204AB8">
      <w:pPr>
        <w:pStyle w:val="Prrafodelista"/>
        <w:numPr>
          <w:ilvl w:val="2"/>
          <w:numId w:val="9"/>
        </w:numPr>
        <w:ind w:left="680" w:hanging="113"/>
        <w:rPr>
          <w:sz w:val="12"/>
          <w:szCs w:val="12"/>
        </w:rPr>
      </w:pPr>
      <w:r w:rsidRPr="00025F23">
        <w:rPr>
          <w:sz w:val="12"/>
          <w:szCs w:val="12"/>
        </w:rPr>
        <w:t>Otros derechos de propiedad intelectual.</w:t>
      </w:r>
    </w:p>
    <w:p w14:paraId="65B41F96" w14:textId="77777777" w:rsidR="008C0DBF" w:rsidRPr="00025F23" w:rsidRDefault="00123BBA" w:rsidP="008B1616">
      <w:pPr>
        <w:pStyle w:val="Prrafodelista"/>
        <w:numPr>
          <w:ilvl w:val="0"/>
          <w:numId w:val="9"/>
        </w:numPr>
        <w:ind w:left="385" w:hanging="113"/>
        <w:rPr>
          <w:szCs w:val="16"/>
        </w:rPr>
      </w:pPr>
      <w:r w:rsidRPr="00025F23">
        <w:rPr>
          <w:i/>
          <w:iCs/>
          <w:szCs w:val="16"/>
          <w:u w:val="single"/>
        </w:rPr>
        <w:t>Variación de</w:t>
      </w:r>
      <w:r w:rsidR="00A27ECC" w:rsidRPr="00025F23">
        <w:rPr>
          <w:i/>
          <w:iCs/>
          <w:szCs w:val="16"/>
          <w:u w:val="single"/>
        </w:rPr>
        <w:t xml:space="preserve"> existencias</w:t>
      </w:r>
      <w:r w:rsidR="00A27ECC" w:rsidRPr="00025F23">
        <w:rPr>
          <w:szCs w:val="16"/>
        </w:rPr>
        <w:t xml:space="preserve">: </w:t>
      </w:r>
      <w:r w:rsidR="008C0DBF" w:rsidRPr="00025F23">
        <w:rPr>
          <w:szCs w:val="16"/>
        </w:rPr>
        <w:t>La variación de existencias se mide por el valor de las entradas en existencias, menos el valor de las salidas y el valor de cualquier pérdida corriente de los bienes mantenidos en existencias.</w:t>
      </w:r>
    </w:p>
    <w:p w14:paraId="5B51E22F" w14:textId="47CF71F7" w:rsidR="00A27ECC" w:rsidRPr="00025F23" w:rsidRDefault="008C0DBF" w:rsidP="008C0DBF">
      <w:pPr>
        <w:pStyle w:val="Prrafodelista"/>
        <w:ind w:left="385"/>
        <w:rPr>
          <w:szCs w:val="16"/>
        </w:rPr>
      </w:pPr>
      <w:r w:rsidRPr="00025F23">
        <w:rPr>
          <w:szCs w:val="16"/>
        </w:rPr>
        <w:t>E</w:t>
      </w:r>
      <w:r w:rsidR="00A27ECC" w:rsidRPr="00025F23">
        <w:rPr>
          <w:szCs w:val="16"/>
        </w:rPr>
        <w:t>s típicamente un componente de la demanda agregada muy pequeño pero volátil.</w:t>
      </w:r>
      <w:r w:rsidR="00F037B9" w:rsidRPr="00025F23">
        <w:rPr>
          <w:szCs w:val="16"/>
        </w:rPr>
        <w:t xml:space="preserve"> Generalmente está asociado a un efecto anticíclico, pues ante una desaceleración disminuye la oferta y las existencias actúan como variable de ajuste.</w:t>
      </w:r>
    </w:p>
    <w:p w14:paraId="7C53F476" w14:textId="1B9C9D7A" w:rsidR="009B72F5" w:rsidRPr="00025F23" w:rsidRDefault="009B72F5" w:rsidP="008C0DBF">
      <w:pPr>
        <w:pStyle w:val="Prrafodelista"/>
        <w:ind w:left="385"/>
        <w:rPr>
          <w:szCs w:val="16"/>
        </w:rPr>
      </w:pPr>
      <w:r w:rsidRPr="00025F23">
        <w:rPr>
          <w:szCs w:val="16"/>
        </w:rPr>
        <w:t>Por lo general, dependen de las expectativas, y del cambio transitorio o temporal de las ventas realizadas. Las existencias actúan como un regulador entre la producción y el consumo. Una acumulación excesiva de stocks puede marcar el inicio de la fase depresiva del ciclo. Cuando la demanda crece de forma inesperada, el primer signo es una caída de las existencias.</w:t>
      </w:r>
    </w:p>
    <w:p w14:paraId="43CB3427" w14:textId="4A6E0A62" w:rsidR="00123BBA" w:rsidRPr="00025F23" w:rsidRDefault="00123BBA" w:rsidP="008C0DBF">
      <w:pPr>
        <w:pStyle w:val="Prrafodelista"/>
        <w:numPr>
          <w:ilvl w:val="0"/>
          <w:numId w:val="9"/>
        </w:numPr>
        <w:ind w:left="385" w:hanging="113"/>
        <w:rPr>
          <w:szCs w:val="16"/>
        </w:rPr>
      </w:pPr>
      <w:r w:rsidRPr="00025F23">
        <w:rPr>
          <w:i/>
          <w:iCs/>
          <w:szCs w:val="16"/>
          <w:u w:val="single"/>
        </w:rPr>
        <w:t>Adquisiciones menos cesiones de objetos valiosos</w:t>
      </w:r>
      <w:r w:rsidRPr="00025F23">
        <w:rPr>
          <w:szCs w:val="16"/>
        </w:rPr>
        <w:t>:</w:t>
      </w:r>
      <w:r w:rsidR="008C0DBF" w:rsidRPr="00025F23">
        <w:rPr>
          <w:szCs w:val="16"/>
        </w:rPr>
        <w:t xml:space="preserve"> Los objetos valiosos son bienes no financieros que no se utilizan principalmente para la producción o el consumo, ni se deterioran (físicamente) con el tiempo en circunstancias normales y que se adquieren y mantienen, principalmente, como depósitos de valor.</w:t>
      </w:r>
    </w:p>
    <w:p w14:paraId="449DD1B1" w14:textId="567D2759" w:rsidR="006B33DD" w:rsidRPr="00025F23" w:rsidRDefault="006B33DD" w:rsidP="006B33DD">
      <w:r w:rsidRPr="00025F23">
        <w:t xml:space="preserve">La inversión es </w:t>
      </w:r>
      <w:r w:rsidRPr="00025F23">
        <w:rPr>
          <w:i/>
          <w:iCs/>
        </w:rPr>
        <w:t>muy importante para el crecimiento a largo plazo</w:t>
      </w:r>
      <w:r w:rsidRPr="00025F23">
        <w:t xml:space="preserve"> ya que, además de ser un factor de demanda en el corto plazo, determina el crecimiento potencial a largo vía oferta. </w:t>
      </w:r>
    </w:p>
    <w:p w14:paraId="72787459" w14:textId="77777777" w:rsidR="001766D8" w:rsidRPr="00025F23" w:rsidRDefault="001766D8" w:rsidP="001766D8">
      <w:pPr>
        <w:pStyle w:val="Ttulo7"/>
      </w:pPr>
      <w:bookmarkStart w:id="80" w:name="_Toc173446270"/>
      <w:r w:rsidRPr="00025F23">
        <w:t>Hechos estilizados (comprobar si se cumplen)</w:t>
      </w:r>
      <w:bookmarkEnd w:id="80"/>
    </w:p>
    <w:p w14:paraId="61BDC3B4" w14:textId="236D3F69" w:rsidR="00717A38" w:rsidRPr="00025F23" w:rsidRDefault="00717A38" w:rsidP="00E5213A">
      <w:pPr>
        <w:pStyle w:val="Nivel1SM"/>
      </w:pPr>
      <w:r w:rsidRPr="00E5213A">
        <w:rPr>
          <w:i/>
          <w:u w:val="single"/>
        </w:rPr>
        <w:t>Peso relativo</w:t>
      </w:r>
      <w:r w:rsidRPr="00025F23">
        <w:t>:</w:t>
      </w:r>
      <w:r w:rsidR="006B33DD" w:rsidRPr="00025F23">
        <w:t xml:space="preserve"> </w:t>
      </w:r>
      <w:r w:rsidR="003F67CC" w:rsidRPr="00025F23">
        <w:t>R</w:t>
      </w:r>
      <w:r w:rsidR="006B33DD" w:rsidRPr="00025F23">
        <w:t>epresenta habitualmente en torno a un 20</w:t>
      </w:r>
      <w:r w:rsidR="003F67CC" w:rsidRPr="00025F23">
        <w:t> </w:t>
      </w:r>
      <w:r w:rsidR="006B33DD" w:rsidRPr="00025F23">
        <w:t xml:space="preserve">% del PIB en países desarrollados, siendo clave para el crecimiento a largo plazo, pues </w:t>
      </w:r>
      <w:r w:rsidR="006B33DD" w:rsidRPr="00025F23">
        <w:lastRenderedPageBreak/>
        <w:t>también afecta a la oferta y al potencial de producción futura (se acumula capital).</w:t>
      </w:r>
    </w:p>
    <w:p w14:paraId="4809CE45" w14:textId="1045638C" w:rsidR="00717A38" w:rsidRPr="00025F23" w:rsidRDefault="00717A38" w:rsidP="00E5213A">
      <w:pPr>
        <w:pStyle w:val="Nivel1SM"/>
      </w:pPr>
      <w:r w:rsidRPr="00E5213A">
        <w:rPr>
          <w:i/>
          <w:spacing w:val="-4"/>
          <w:u w:val="single"/>
        </w:rPr>
        <w:t>Volatilidad relativa</w:t>
      </w:r>
      <w:r w:rsidRPr="00025F23">
        <w:t>:</w:t>
      </w:r>
      <w:r w:rsidRPr="00025F23">
        <w:rPr>
          <w:szCs w:val="16"/>
        </w:rPr>
        <w:t xml:space="preserve"> </w:t>
      </w:r>
      <w:r w:rsidR="006B33DD" w:rsidRPr="00025F23">
        <w:rPr>
          <w:szCs w:val="16"/>
        </w:rPr>
        <w:t xml:space="preserve">Generalmente volátil </w:t>
      </w:r>
      <w:r w:rsidR="006B33DD" w:rsidRPr="00025F23">
        <w:t xml:space="preserve">(sujeto en gran medida a expectativas –los </w:t>
      </w:r>
      <w:r w:rsidR="006B33DD" w:rsidRPr="00025F23">
        <w:rPr>
          <w:i/>
        </w:rPr>
        <w:t xml:space="preserve">animal </w:t>
      </w:r>
      <w:proofErr w:type="spellStart"/>
      <w:r w:rsidR="006B33DD" w:rsidRPr="00025F23">
        <w:rPr>
          <w:i/>
        </w:rPr>
        <w:t>spirits</w:t>
      </w:r>
      <w:proofErr w:type="spellEnd"/>
      <w:r w:rsidR="006B33DD" w:rsidRPr="00025F23">
        <w:t xml:space="preserve"> de </w:t>
      </w:r>
      <w:r w:rsidR="006B33DD" w:rsidRPr="00025F23">
        <w:rPr>
          <w:smallCaps/>
        </w:rPr>
        <w:t>Keynes</w:t>
      </w:r>
      <w:r w:rsidR="003F67CC" w:rsidRPr="00025F23">
        <w:t>–</w:t>
      </w:r>
      <w:r w:rsidR="006B33DD" w:rsidRPr="00025F23">
        <w:t>)</w:t>
      </w:r>
      <w:r w:rsidR="006B33DD" w:rsidRPr="00025F23">
        <w:rPr>
          <w:szCs w:val="16"/>
        </w:rPr>
        <w:t>.</w:t>
      </w:r>
    </w:p>
    <w:p w14:paraId="3B3B0CE6" w14:textId="77777777" w:rsidR="00717A38" w:rsidRPr="00025F23" w:rsidRDefault="00717A38" w:rsidP="00E5213A">
      <w:pPr>
        <w:pStyle w:val="Nivel1SM"/>
        <w:keepNext/>
        <w:spacing w:after="0"/>
      </w:pPr>
      <w:proofErr w:type="spellStart"/>
      <w:r w:rsidRPr="00E5213A">
        <w:rPr>
          <w:i/>
          <w:spacing w:val="-4"/>
          <w:u w:val="single"/>
        </w:rPr>
        <w:t>Comovimientos</w:t>
      </w:r>
      <w:proofErr w:type="spellEnd"/>
      <w:r w:rsidRPr="00025F23">
        <w:t>:</w:t>
      </w:r>
    </w:p>
    <w:p w14:paraId="636AB99B" w14:textId="06148040" w:rsidR="00717A38" w:rsidRPr="00025F23" w:rsidRDefault="006B33DD" w:rsidP="00E5213A">
      <w:pPr>
        <w:pStyle w:val="Nivel2SM"/>
      </w:pPr>
      <w:r w:rsidRPr="00025F23">
        <w:t>Suele ser muy procíclica.</w:t>
      </w:r>
    </w:p>
    <w:p w14:paraId="105F5849" w14:textId="5A70686F" w:rsidR="00717A38" w:rsidRPr="00025F23" w:rsidRDefault="006B33DD" w:rsidP="00E5213A">
      <w:pPr>
        <w:pStyle w:val="Nivel2SM"/>
      </w:pPr>
      <w:r w:rsidRPr="00025F23">
        <w:t>Suele ir a</w:t>
      </w:r>
      <w:r w:rsidR="00717A38" w:rsidRPr="00025F23">
        <w:t>delantad</w:t>
      </w:r>
      <w:r w:rsidRPr="00025F23">
        <w:t>a al ciclo, permitiendo adelantar cambios en la situación cíclica.</w:t>
      </w:r>
    </w:p>
    <w:p w14:paraId="1D5BA213" w14:textId="77777777" w:rsidR="006B33DD" w:rsidRPr="00025F23" w:rsidRDefault="006B33DD" w:rsidP="00E5213A">
      <w:pPr>
        <w:pStyle w:val="Nivel1SM"/>
        <w:keepNext/>
        <w:spacing w:after="0"/>
      </w:pPr>
      <w:r w:rsidRPr="00E5213A">
        <w:rPr>
          <w:i/>
          <w:spacing w:val="-4"/>
          <w:u w:val="single"/>
        </w:rPr>
        <w:t>Conformidad</w:t>
      </w:r>
      <w:r w:rsidRPr="00025F23">
        <w:t xml:space="preserve">: Decimos que dos series presentan un alto grado de conformidad si las relaciones de </w:t>
      </w:r>
      <w:proofErr w:type="spellStart"/>
      <w:r w:rsidRPr="00025F23">
        <w:t>comovimiento</w:t>
      </w:r>
      <w:proofErr w:type="spellEnd"/>
      <w:r w:rsidRPr="00025F23">
        <w:t xml:space="preserve"> hasta ahora enunciadas se mantienen constantes para toda la muestra. Decimos que presenta un grado bajo de conformidad si las relaciones de </w:t>
      </w:r>
      <w:proofErr w:type="spellStart"/>
      <w:r w:rsidRPr="00025F23">
        <w:t>comovimiento</w:t>
      </w:r>
      <w:proofErr w:type="spellEnd"/>
      <w:r w:rsidRPr="00025F23">
        <w:t xml:space="preserve"> son inestables, es decir, sin empiezan siendo procíclicas y al cabo de algunos ciclos se muestran </w:t>
      </w:r>
      <w:proofErr w:type="spellStart"/>
      <w:r w:rsidRPr="00025F23">
        <w:t>contracíclicas</w:t>
      </w:r>
      <w:proofErr w:type="spellEnd"/>
      <w:r w:rsidRPr="00025F23">
        <w:t>.</w:t>
      </w:r>
    </w:p>
    <w:p w14:paraId="5F656B79" w14:textId="77777777" w:rsidR="006B33DD" w:rsidRPr="00025F23" w:rsidRDefault="006B33DD" w:rsidP="00E5213A">
      <w:pPr>
        <w:pStyle w:val="Nivel2SM"/>
      </w:pPr>
      <w:r w:rsidRPr="00025F23">
        <w:t>Por lo tanto, esto dependerá de la muestra que nos den.</w:t>
      </w:r>
    </w:p>
    <w:p w14:paraId="7FA9900E" w14:textId="77777777" w:rsidR="001766D8" w:rsidRPr="00025F23" w:rsidRDefault="001766D8" w:rsidP="001766D8">
      <w:pPr>
        <w:pStyle w:val="Ttulo7"/>
      </w:pPr>
      <w:bookmarkStart w:id="81" w:name="_Toc173446271"/>
      <w:r w:rsidRPr="00025F23">
        <w:t>Evolución observada</w:t>
      </w:r>
      <w:bookmarkEnd w:id="81"/>
    </w:p>
    <w:p w14:paraId="3365A160" w14:textId="677EF4EA" w:rsidR="006B33DD" w:rsidRPr="00025F23" w:rsidRDefault="006B33DD" w:rsidP="006B33DD">
      <w:pPr>
        <w:pStyle w:val="Desarrollocoyuntura"/>
      </w:pPr>
      <w:bookmarkStart w:id="82" w:name="_Toc173446272"/>
      <w:r w:rsidRPr="00025F23">
        <w:t>“La inversión se muestra volátil a lo largo del PIB, creciendo fuertemente en la primera mitad del ciclo y luego</w:t>
      </w:r>
      <w:r w:rsidR="00F733F1" w:rsidRPr="00025F23">
        <w:t xml:space="preserve"> </w:t>
      </w:r>
      <w:r w:rsidRPr="00025F23">
        <w:t>reduciéndose a partir del año 20xx, anticipando la recesión.”</w:t>
      </w:r>
      <w:bookmarkEnd w:id="82"/>
    </w:p>
    <w:p w14:paraId="0A31BCD2" w14:textId="08609AD9" w:rsidR="001766D8" w:rsidRPr="00025F23" w:rsidRDefault="001766D8" w:rsidP="001766D8">
      <w:pPr>
        <w:pStyle w:val="Ttulo7"/>
      </w:pPr>
      <w:bookmarkStart w:id="83" w:name="_Toc173446273"/>
      <w:r w:rsidRPr="00025F23">
        <w:t>Factores que lo han motivado</w:t>
      </w:r>
      <w:bookmarkEnd w:id="83"/>
    </w:p>
    <w:p w14:paraId="7EF04CE2" w14:textId="349F2C07" w:rsidR="004F07EB" w:rsidRPr="00025F23" w:rsidRDefault="004F07EB" w:rsidP="004F07EB">
      <w:pPr>
        <w:rPr>
          <w:i/>
        </w:rPr>
      </w:pPr>
      <m:oMathPara>
        <m:oMath>
          <m:r>
            <m:rPr>
              <m:nor/>
            </m:rPr>
            <w:rPr>
              <w:iCs/>
            </w:rPr>
            <m:t xml:space="preserve"> </m:t>
          </m:r>
          <m:r>
            <m:rPr>
              <m:nor/>
            </m:rPr>
            <w:rPr>
              <w:i/>
            </w:rPr>
            <m:t>I</m:t>
          </m:r>
          <m:r>
            <w:rPr>
              <w:rFonts w:ascii="Cambria Math" w:hAnsi="Cambria Math"/>
            </w:rPr>
            <m:t>=</m:t>
          </m:r>
          <m:r>
            <m:rPr>
              <m:nor/>
            </m:rPr>
            <w:rPr>
              <w:i/>
            </w:rPr>
            <m:t>f</m:t>
          </m:r>
          <m:d>
            <m:dPr>
              <m:ctrlPr>
                <w:rPr>
                  <w:rFonts w:ascii="Cambria Math" w:hAnsi="Cambria Math"/>
                  <w:i/>
                  <w:iCs/>
                </w:rPr>
              </m:ctrlPr>
            </m:dPr>
            <m:e>
              <m:r>
                <m:rPr>
                  <m:nor/>
                </m:rPr>
                <w:rPr>
                  <w:i/>
                </w:rPr>
                <m:t xml:space="preserve"> </m:t>
              </m:r>
              <m:limUpp>
                <m:limUppPr>
                  <m:ctrlPr>
                    <w:rPr>
                      <w:rFonts w:ascii="Cambria Math" w:hAnsi="Cambria Math"/>
                      <w:i/>
                    </w:rPr>
                  </m:ctrlPr>
                </m:limUppPr>
                <m:e>
                  <m:sSub>
                    <m:sSubPr>
                      <m:ctrlPr>
                        <w:rPr>
                          <w:rFonts w:ascii="Cambria Math" w:hAnsi="Cambria Math"/>
                          <w:i/>
                        </w:rPr>
                      </m:ctrlPr>
                    </m:sSubPr>
                    <m:e>
                      <m:r>
                        <m:rPr>
                          <m:nor/>
                        </m:rPr>
                        <w:rPr>
                          <w:i/>
                        </w:rPr>
                        <m:t>r</m:t>
                      </m:r>
                    </m:e>
                    <m:sub>
                      <m:r>
                        <m:rPr>
                          <m:nor/>
                        </m:rPr>
                        <w:rPr>
                          <w:i/>
                        </w:rPr>
                        <m:t>l/p</m:t>
                      </m:r>
                    </m:sub>
                  </m:sSub>
                </m:e>
                <m:lim>
                  <m:r>
                    <w:rPr>
                      <w:rFonts w:ascii="Cambria Math" w:hAnsi="Cambria Math"/>
                    </w:rPr>
                    <m:t>-</m:t>
                  </m:r>
                </m:lim>
              </m:limUpp>
              <m:r>
                <m:rPr>
                  <m:nor/>
                </m:rPr>
                <w:rPr>
                  <w:i/>
                </w:rPr>
                <m:t xml:space="preserve"> </m:t>
              </m:r>
              <m:r>
                <m:rPr>
                  <m:nor/>
                </m:rPr>
                <w:rPr>
                  <w:i/>
                  <w:sz w:val="14"/>
                  <w:szCs w:val="14"/>
                </w:rPr>
                <m:t xml:space="preserve">| </m:t>
              </m:r>
              <m:limUpp>
                <m:limUppPr>
                  <m:ctrlPr>
                    <w:rPr>
                      <w:rFonts w:ascii="Cambria Math" w:hAnsi="Cambria Math"/>
                      <w:i/>
                    </w:rPr>
                  </m:ctrlPr>
                </m:limUppPr>
                <m:e>
                  <m:r>
                    <m:rPr>
                      <m:nor/>
                    </m:rPr>
                    <w:rPr>
                      <w:i/>
                      <w:sz w:val="14"/>
                      <w:szCs w:val="20"/>
                    </w:rPr>
                    <m:t>Expectativas</m:t>
                  </m:r>
                </m:e>
                <m:lim>
                  <m:r>
                    <m:rPr>
                      <m:nor/>
                    </m:rPr>
                    <w:rPr>
                      <w:i/>
                    </w:rPr>
                    <m:t>¿</m:t>
                  </m:r>
                </m:lim>
              </m:limUpp>
              <m:r>
                <m:rPr>
                  <m:nor/>
                </m:rPr>
                <w:rPr>
                  <w:i/>
                </w:rPr>
                <m:t xml:space="preserve"> </m:t>
              </m:r>
              <m:r>
                <m:rPr>
                  <m:nor/>
                </m:rPr>
                <w:rPr>
                  <w:i/>
                  <w:sz w:val="14"/>
                  <w:szCs w:val="14"/>
                </w:rPr>
                <m:t>|</m:t>
              </m:r>
              <m:r>
                <m:rPr>
                  <m:nor/>
                </m:rPr>
                <w:rPr>
                  <w:i/>
                </w:rPr>
                <m:t xml:space="preserve"> </m:t>
              </m:r>
              <m:limUpp>
                <m:limUppPr>
                  <m:ctrlPr>
                    <w:rPr>
                      <w:rFonts w:ascii="Cambria Math" w:hAnsi="Cambria Math"/>
                      <w:i/>
                    </w:rPr>
                  </m:ctrlPr>
                </m:limUppPr>
                <m:e>
                  <m:r>
                    <m:rPr>
                      <m:nor/>
                    </m:rPr>
                    <w:rPr>
                      <w:i/>
                    </w:rPr>
                    <m:t>EBE</m:t>
                  </m:r>
                </m:e>
                <m:lim>
                  <m:r>
                    <m:rPr>
                      <m:nor/>
                    </m:rPr>
                    <w:rPr>
                      <w:i/>
                    </w:rPr>
                    <m:t>+</m:t>
                  </m:r>
                </m:lim>
              </m:limUpp>
              <m:r>
                <m:rPr>
                  <m:nor/>
                </m:rPr>
                <w:rPr>
                  <w:i/>
                </w:rPr>
                <m:t xml:space="preserve"> | </m:t>
              </m:r>
              <m:limUpp>
                <m:limUppPr>
                  <m:ctrlPr>
                    <w:rPr>
                      <w:rFonts w:ascii="Cambria Math" w:hAnsi="Cambria Math"/>
                      <w:i/>
                    </w:rPr>
                  </m:ctrlPr>
                </m:limUppPr>
                <m:e>
                  <m:r>
                    <m:rPr>
                      <m:nor/>
                    </m:rPr>
                    <w:rPr>
                      <w:i/>
                    </w:rPr>
                    <m:t>D</m:t>
                  </m:r>
                </m:e>
                <m:lim>
                  <m:r>
                    <m:rPr>
                      <m:nor/>
                    </m:rPr>
                    <w:rPr>
                      <w:i/>
                    </w:rPr>
                    <m:t>+</m:t>
                  </m:r>
                </m:lim>
              </m:limUpp>
              <m:r>
                <m:rPr>
                  <m:nor/>
                </m:rPr>
                <w:rPr>
                  <w:i/>
                </w:rPr>
                <m:t xml:space="preserve">  |</m:t>
              </m:r>
              <m:r>
                <m:rPr>
                  <m:nor/>
                </m:rPr>
                <w:rPr>
                  <w:i/>
                  <w:sz w:val="14"/>
                  <w:szCs w:val="14"/>
                </w:rPr>
                <m:t xml:space="preserve"> </m:t>
              </m:r>
              <m:limUpp>
                <m:limUppPr>
                  <m:ctrlPr>
                    <w:rPr>
                      <w:rFonts w:ascii="Cambria Math" w:hAnsi="Cambria Math"/>
                      <w:i/>
                    </w:rPr>
                  </m:ctrlPr>
                </m:limUppPr>
                <m:e>
                  <m:r>
                    <m:rPr>
                      <m:nor/>
                    </m:rPr>
                    <w:rPr>
                      <w:i/>
                    </w:rPr>
                    <m:t>π</m:t>
                  </m:r>
                </m:e>
                <m:lim>
                  <m:r>
                    <w:rPr>
                      <w:rFonts w:ascii="Cambria Math" w:hAnsi="Cambria Math"/>
                    </w:rPr>
                    <m:t>-</m:t>
                  </m:r>
                </m:lim>
              </m:limUpp>
              <m:r>
                <m:rPr>
                  <m:nor/>
                </m:rPr>
                <w:rPr>
                  <w:i/>
                  <w:sz w:val="14"/>
                  <w:szCs w:val="14"/>
                </w:rPr>
                <m:t xml:space="preserve"> </m:t>
              </m:r>
              <m:r>
                <m:rPr>
                  <m:nor/>
                </m:rPr>
                <w:rPr>
                  <w:i/>
                </w:rPr>
                <m:t xml:space="preserve">| </m:t>
              </m:r>
              <m:limUpp>
                <m:limUppPr>
                  <m:ctrlPr>
                    <w:rPr>
                      <w:rFonts w:ascii="Cambria Math" w:hAnsi="Cambria Math"/>
                      <w:i/>
                    </w:rPr>
                  </m:ctrlPr>
                </m:limUppPr>
                <m:e>
                  <m:r>
                    <m:rPr>
                      <m:nor/>
                    </m:rPr>
                    <w:rPr>
                      <w:i/>
                      <w:sz w:val="14"/>
                      <w:szCs w:val="14"/>
                    </w:rPr>
                    <m:t>Incertidumbre</m:t>
                  </m:r>
                </m:e>
                <m:lim>
                  <m:r>
                    <w:rPr>
                      <w:rFonts w:ascii="Cambria Math" w:hAnsi="Cambria Math"/>
                    </w:rPr>
                    <m:t>-</m:t>
                  </m:r>
                </m:lim>
              </m:limUpp>
              <m:r>
                <m:rPr>
                  <m:nor/>
                </m:rPr>
                <w:rPr>
                  <w:i/>
                </w:rPr>
                <m:t xml:space="preserve"> </m:t>
              </m:r>
              <m:r>
                <m:rPr>
                  <m:nor/>
                </m:rPr>
                <w:rPr>
                  <w:i/>
                </w:rPr>
                <m:t xml:space="preserve">| </m:t>
              </m:r>
              <m:limUpp>
                <m:limUppPr>
                  <m:ctrlPr>
                    <w:rPr>
                      <w:rFonts w:ascii="Cambria Math" w:hAnsi="Cambria Math"/>
                      <w:i/>
                    </w:rPr>
                  </m:ctrlPr>
                </m:limUppPr>
                <m:e>
                  <m:r>
                    <w:rPr>
                      <w:rFonts w:ascii="Cambria Math" w:hAnsi="Cambria Math"/>
                    </w:rPr>
                    <m:t>∆</m:t>
                  </m:r>
                  <m:r>
                    <m:rPr>
                      <m:nor/>
                    </m:rPr>
                    <w:rPr>
                      <w:i/>
                    </w:rPr>
                    <m:t>PIB</m:t>
                  </m:r>
                </m:e>
                <m:lim>
                  <m:r>
                    <w:rPr>
                      <w:rFonts w:ascii="Cambria Math" w:hAnsi="Cambria Math"/>
                    </w:rPr>
                    <m:t>+</m:t>
                  </m:r>
                </m:lim>
              </m:limUpp>
              <m:r>
                <m:rPr>
                  <m:nor/>
                </m:rPr>
                <w:rPr>
                  <w:i/>
                </w:rPr>
                <m:t xml:space="preserve"> | </m:t>
              </m:r>
              <m:limUpp>
                <m:limUppPr>
                  <m:ctrlPr>
                    <w:rPr>
                      <w:rFonts w:ascii="Cambria Math" w:hAnsi="Cambria Math"/>
                      <w:i/>
                    </w:rPr>
                  </m:ctrlPr>
                </m:limUppPr>
                <m:e>
                  <m:r>
                    <m:rPr>
                      <m:nor/>
                    </m:rPr>
                    <w:rPr>
                      <w:i/>
                    </w:rPr>
                    <m:t>PIB</m:t>
                  </m:r>
                </m:e>
                <m:lim>
                  <m:r>
                    <w:rPr>
                      <w:rFonts w:ascii="Cambria Math" w:hAnsi="Cambria Math"/>
                    </w:rPr>
                    <m:t>+</m:t>
                  </m:r>
                </m:lim>
              </m:limUpp>
              <m:r>
                <m:rPr>
                  <m:nor/>
                </m:rPr>
                <w:rPr>
                  <w:i/>
                  <w:sz w:val="14"/>
                  <w:szCs w:val="14"/>
                </w:rPr>
                <m:t>|</m:t>
              </m:r>
              <m:r>
                <m:rPr>
                  <m:nor/>
                </m:rPr>
                <w:rPr>
                  <w:i/>
                  <w:sz w:val="14"/>
                  <w:szCs w:val="14"/>
                </w:rPr>
                <m:t xml:space="preserve"> </m:t>
              </m:r>
              <m:limUpp>
                <m:limUppPr>
                  <m:ctrlPr>
                    <w:rPr>
                      <w:rFonts w:ascii="Cambria Math" w:hAnsi="Cambria Math"/>
                      <w:i/>
                    </w:rPr>
                  </m:ctrlPr>
                </m:limUppPr>
                <m:e>
                  <m:sSup>
                    <m:sSupPr>
                      <m:ctrlPr>
                        <w:rPr>
                          <w:rFonts w:ascii="Cambria Math" w:hAnsi="Cambria Math"/>
                          <w:i/>
                        </w:rPr>
                      </m:ctrlPr>
                    </m:sSupPr>
                    <m:e>
                      <m:r>
                        <m:rPr>
                          <m:nor/>
                        </m:rPr>
                        <w:rPr>
                          <w:i/>
                        </w:rPr>
                        <m:t>π</m:t>
                      </m:r>
                    </m:e>
                    <m:sup>
                      <m:r>
                        <m:rPr>
                          <m:nor/>
                        </m:rPr>
                        <w:rPr>
                          <w:i/>
                        </w:rPr>
                        <m:t>e</m:t>
                      </m:r>
                    </m:sup>
                  </m:sSup>
                </m:e>
                <m:lim>
                  <m:r>
                    <m:rPr>
                      <m:nor/>
                    </m:rPr>
                    <w:rPr>
                      <w:i/>
                    </w:rPr>
                    <m:t>+</m:t>
                  </m:r>
                </m:lim>
              </m:limUpp>
              <m:r>
                <m:rPr>
                  <m:nor/>
                </m:rPr>
                <w:rPr>
                  <w:i/>
                  <w:sz w:val="14"/>
                  <w:szCs w:val="14"/>
                </w:rPr>
                <m:t xml:space="preserve"> </m:t>
              </m:r>
            </m:e>
          </m:d>
        </m:oMath>
      </m:oMathPara>
    </w:p>
    <w:p w14:paraId="7D213B63" w14:textId="0BF8B436" w:rsidR="004F07EB" w:rsidRPr="00025F23" w:rsidRDefault="002D5BD1" w:rsidP="00E5213A">
      <w:pPr>
        <w:pStyle w:val="Nivel1SM"/>
        <w:keepNext/>
        <w:spacing w:after="0"/>
      </w:pPr>
      <w:r w:rsidRPr="00025F23">
        <w:t>En general, podemos considerar que la inversión privada:</w:t>
      </w:r>
    </w:p>
    <w:p w14:paraId="5F264472" w14:textId="5C530058" w:rsidR="002D5BD1" w:rsidRPr="00025F23" w:rsidRDefault="002D5BD1" w:rsidP="00E5213A">
      <w:pPr>
        <w:pStyle w:val="Nivel2SM"/>
        <w:keepNext/>
        <w:spacing w:after="0"/>
      </w:pPr>
      <w:r w:rsidRPr="00025F23">
        <w:t xml:space="preserve">Está correlacionada </w:t>
      </w:r>
      <w:r w:rsidRPr="00025F23">
        <w:rPr>
          <w:i/>
          <w:iCs/>
        </w:rPr>
        <w:t>positivamente</w:t>
      </w:r>
      <w:r w:rsidRPr="00025F23">
        <w:t xml:space="preserve"> </w:t>
      </w:r>
      <w:r w:rsidR="00A67B40" w:rsidRPr="00025F23">
        <w:t>(</w:t>
      </w:r>
      <m:oMath>
        <m:r>
          <w:rPr>
            <w:rFonts w:ascii="Cambria Math" w:hAnsi="Cambria Math"/>
          </w:rPr>
          <m:t>+</m:t>
        </m:r>
      </m:oMath>
      <w:r w:rsidR="00A67B40" w:rsidRPr="00025F23">
        <w:t xml:space="preserve">) </w:t>
      </w:r>
      <w:r w:rsidRPr="00025F23">
        <w:t>con:</w:t>
      </w:r>
    </w:p>
    <w:p w14:paraId="71CC5777" w14:textId="254F771C" w:rsidR="002D5BD1" w:rsidRPr="00025F23" w:rsidRDefault="002D5BD1" w:rsidP="00E5213A">
      <w:pPr>
        <w:pStyle w:val="Nivel3SM"/>
      </w:pPr>
      <w:r w:rsidRPr="00E5213A">
        <w:rPr>
          <w:b/>
          <w:bCs/>
        </w:rPr>
        <w:t>El crecimiento esperado del PIB</w:t>
      </w:r>
      <w:r w:rsidRPr="00025F23">
        <w:t>,</w:t>
      </w:r>
    </w:p>
    <w:p w14:paraId="6009AF94" w14:textId="0EA1AE6E" w:rsidR="002D5BD1" w:rsidRPr="00025F23" w:rsidRDefault="002D5BD1" w:rsidP="00E5213A">
      <w:pPr>
        <w:pStyle w:val="Nivel3SM"/>
      </w:pPr>
      <w:r w:rsidRPr="00E5213A">
        <w:rPr>
          <w:b/>
          <w:bCs/>
        </w:rPr>
        <w:t>La capacidad de utilización</w:t>
      </w:r>
      <w:r w:rsidR="0004771D" w:rsidRPr="00025F23">
        <w:t>,</w:t>
      </w:r>
    </w:p>
    <w:p w14:paraId="715E0A41" w14:textId="3FBC46B7" w:rsidR="005D50B8" w:rsidRPr="00025F23" w:rsidRDefault="002D5BD1" w:rsidP="00E5213A">
      <w:pPr>
        <w:pStyle w:val="Nivel3SM"/>
      </w:pPr>
      <w:r w:rsidRPr="00E5213A">
        <w:rPr>
          <w:b/>
          <w:bCs/>
        </w:rPr>
        <w:t>Incentivos fiscales</w:t>
      </w:r>
      <w:r w:rsidR="005D50B8" w:rsidRPr="00025F23">
        <w:t>,</w:t>
      </w:r>
    </w:p>
    <w:p w14:paraId="72CDBEEA" w14:textId="57A63F41" w:rsidR="002D5BD1" w:rsidRPr="00025F23" w:rsidRDefault="005D50B8" w:rsidP="00E5213A">
      <w:pPr>
        <w:pStyle w:val="Nivel3SM"/>
      </w:pPr>
      <w:r w:rsidRPr="00E5213A">
        <w:rPr>
          <w:b/>
          <w:bCs/>
        </w:rPr>
        <w:t>Demanda interna y externa</w:t>
      </w:r>
      <w:r w:rsidRPr="00025F23">
        <w:t xml:space="preserve"> (</w:t>
      </w:r>
      <m:oMath>
        <m:r>
          <m:rPr>
            <m:nor/>
          </m:rPr>
          <w:rPr>
            <w:i/>
          </w:rPr>
          <m:t>D</m:t>
        </m:r>
      </m:oMath>
      <w:r w:rsidRPr="00025F23">
        <w:t xml:space="preserve">): </w:t>
      </w:r>
      <w:r w:rsidR="003F67CC" w:rsidRPr="00025F23">
        <w:rPr>
          <w:sz w:val="14"/>
          <w:szCs w:val="14"/>
        </w:rPr>
        <w:t>L</w:t>
      </w:r>
      <w:r w:rsidRPr="00025F23">
        <w:rPr>
          <w:sz w:val="14"/>
          <w:szCs w:val="14"/>
        </w:rPr>
        <w:t>a evolución de la demanda es importante para las decisiones de oferta/inversión</w:t>
      </w:r>
      <w:r w:rsidRPr="00025F23">
        <w:t>, y</w:t>
      </w:r>
    </w:p>
    <w:p w14:paraId="27F572A9" w14:textId="55044C66" w:rsidR="00E5269F" w:rsidRPr="00025F23" w:rsidRDefault="00E5269F" w:rsidP="00E5213A">
      <w:pPr>
        <w:pStyle w:val="Nivel3SM"/>
        <w:keepNext/>
      </w:pPr>
      <w:r w:rsidRPr="00E5213A">
        <w:rPr>
          <w:b/>
          <w:bCs/>
        </w:rPr>
        <w:t>Excedente Bruto de Explotación</w:t>
      </w:r>
      <w:r w:rsidRPr="00025F23">
        <w:t xml:space="preserve"> (</w:t>
      </w:r>
      <m:oMath>
        <m:r>
          <m:rPr>
            <m:nor/>
          </m:rPr>
          <w:rPr>
            <w:i/>
          </w:rPr>
          <m:t>EBE</m:t>
        </m:r>
      </m:oMath>
      <w:r w:rsidRPr="00025F23">
        <w:t xml:space="preserve">) ~ margen de beneficio: </w:t>
      </w:r>
      <w:r w:rsidR="00C00403" w:rsidRPr="00025F23">
        <w:rPr>
          <w:sz w:val="14"/>
          <w:szCs w:val="14"/>
        </w:rPr>
        <w:t>I</w:t>
      </w:r>
      <w:r w:rsidRPr="00025F23">
        <w:rPr>
          <w:sz w:val="14"/>
          <w:szCs w:val="14"/>
        </w:rPr>
        <w:t xml:space="preserve">ncentiva la inversión ya que representa la rentabilidad empresarial. Los mayores excedentes vendrían explicados bien por un incremento de los precios de ventas, bien por menores costes unitarios. De ahí que, si carecemos de datos sobre el EBE, podamos calcular la evolución del </w:t>
      </w:r>
      <w:proofErr w:type="spellStart"/>
      <w:r w:rsidRPr="00025F23">
        <w:rPr>
          <w:sz w:val="14"/>
          <w:szCs w:val="14"/>
        </w:rPr>
        <w:t>mark</w:t>
      </w:r>
      <w:proofErr w:type="spellEnd"/>
      <w:r w:rsidRPr="00025F23">
        <w:rPr>
          <w:sz w:val="14"/>
          <w:szCs w:val="14"/>
        </w:rPr>
        <w:t>-up (evolución del margen empresarial)</w:t>
      </w:r>
      <w:r w:rsidR="00CC722F" w:rsidRPr="00025F23">
        <w:rPr>
          <w:rStyle w:val="Refdenotaalpie"/>
          <w:sz w:val="14"/>
          <w:szCs w:val="14"/>
        </w:rPr>
        <w:footnoteReference w:id="17"/>
      </w:r>
      <w:r w:rsidRPr="00025F23">
        <w:rPr>
          <w:sz w:val="14"/>
          <w:szCs w:val="14"/>
        </w:rPr>
        <w:t>:</w:t>
      </w:r>
    </w:p>
    <w:p w14:paraId="28042EF4" w14:textId="17B63357" w:rsidR="00E5269F" w:rsidRPr="00025F23" w:rsidRDefault="00652EE3" w:rsidP="00E5213A">
      <w:pPr>
        <w:pStyle w:val="Nivel4"/>
        <w:numPr>
          <w:ilvl w:val="0"/>
          <w:numId w:val="0"/>
        </w:numPr>
        <w:ind w:left="567" w:hanging="113"/>
        <w:rPr>
          <w:sz w:val="14"/>
          <w:szCs w:val="14"/>
          <w:lang w:val="en-US"/>
        </w:rPr>
      </w:pPr>
      <m:oMathPara>
        <m:oMathParaPr>
          <m:jc m:val="center"/>
        </m:oMathParaPr>
        <m:oMath>
          <m:r>
            <m:rPr>
              <m:nor/>
            </m:rPr>
            <w:rPr>
              <w:i/>
              <w:spacing w:val="-6"/>
              <w:szCs w:val="16"/>
            </w:rPr>
            <m:t>γ</m:t>
          </m:r>
          <m:r>
            <m:rPr>
              <m:nor/>
            </m:rPr>
            <w:rPr>
              <w:i/>
              <w:spacing w:val="-6"/>
              <w:sz w:val="14"/>
              <w:szCs w:val="14"/>
              <w:lang w:val="en-US"/>
            </w:rPr>
            <m:t xml:space="preserve"> mark-up</m:t>
          </m:r>
          <m:r>
            <w:rPr>
              <w:rFonts w:ascii="Cambria Math" w:hAnsi="Cambria Math"/>
              <w:sz w:val="14"/>
              <w:szCs w:val="14"/>
              <w:lang w:val="en-US"/>
            </w:rPr>
            <m:t>≈</m:t>
          </m:r>
          <m:r>
            <m:rPr>
              <m:nor/>
            </m:rPr>
            <w:rPr>
              <w:rFonts w:cs="Times New Roman"/>
              <w:i/>
              <w:iCs/>
              <w:sz w:val="14"/>
              <w:szCs w:val="14"/>
            </w:rPr>
            <m:t>γ</m:t>
          </m:r>
          <m:r>
            <m:rPr>
              <m:nor/>
            </m:rPr>
            <w:rPr>
              <w:rFonts w:cs="Times New Roman"/>
              <w:i/>
              <w:iCs/>
              <w:sz w:val="14"/>
              <w:szCs w:val="14"/>
              <w:lang w:val="en-US"/>
            </w:rPr>
            <m:t xml:space="preserve"> </m:t>
          </m:r>
          <m:sSub>
            <m:sSubPr>
              <m:ctrlPr>
                <w:rPr>
                  <w:rFonts w:ascii="Cambria Math" w:hAnsi="Cambria Math" w:cs="Times New Roman"/>
                  <w:i/>
                  <w:iCs/>
                  <w:sz w:val="14"/>
                  <w:szCs w:val="14"/>
                </w:rPr>
              </m:ctrlPr>
            </m:sSubPr>
            <m:e>
              <m:r>
                <m:rPr>
                  <m:nor/>
                </m:rPr>
                <w:rPr>
                  <w:rFonts w:cs="Times New Roman"/>
                  <w:i/>
                  <w:iCs/>
                  <w:sz w:val="14"/>
                  <w:szCs w:val="14"/>
                  <w:lang w:val="en-US"/>
                </w:rPr>
                <m:t>Deflactor</m:t>
              </m:r>
            </m:e>
            <m:sub>
              <m:r>
                <m:rPr>
                  <m:nor/>
                </m:rPr>
                <w:rPr>
                  <w:rFonts w:cs="Times New Roman"/>
                  <w:i/>
                  <w:iCs/>
                  <w:sz w:val="14"/>
                  <w:szCs w:val="14"/>
                  <w:lang w:val="en-US"/>
                </w:rPr>
                <m:t>PIB</m:t>
              </m:r>
            </m:sub>
          </m:sSub>
          <m:r>
            <w:rPr>
              <w:rFonts w:ascii="Cambria Math" w:hAnsi="Cambria Math" w:cs="Times New Roman"/>
              <w:sz w:val="14"/>
              <w:szCs w:val="14"/>
              <w:lang w:val="en-US"/>
            </w:rPr>
            <m:t>-</m:t>
          </m:r>
          <m:r>
            <m:rPr>
              <m:nor/>
            </m:rPr>
            <w:rPr>
              <w:rFonts w:cs="Times New Roman"/>
              <w:i/>
              <w:iCs/>
              <w:sz w:val="14"/>
              <w:szCs w:val="14"/>
            </w:rPr>
            <m:t>γ</m:t>
          </m:r>
          <m:r>
            <m:rPr>
              <m:nor/>
            </m:rPr>
            <w:rPr>
              <w:rFonts w:cs="Times New Roman"/>
              <w:i/>
              <w:iCs/>
              <w:sz w:val="14"/>
              <w:szCs w:val="14"/>
              <w:lang w:val="en-US"/>
            </w:rPr>
            <m:t xml:space="preserve"> CLUs</m:t>
          </m:r>
        </m:oMath>
      </m:oMathPara>
    </w:p>
    <w:p w14:paraId="0D813254" w14:textId="77777777" w:rsidR="00E5269F" w:rsidRPr="00025F23" w:rsidRDefault="00E5269F" w:rsidP="00E5213A">
      <w:pPr>
        <w:pStyle w:val="Nivel4"/>
        <w:numPr>
          <w:ilvl w:val="0"/>
          <w:numId w:val="0"/>
        </w:numPr>
        <w:ind w:left="567"/>
        <w:rPr>
          <w:sz w:val="14"/>
          <w:szCs w:val="14"/>
        </w:rPr>
      </w:pPr>
      <w:r w:rsidRPr="00025F23">
        <w:rPr>
          <w:sz w:val="14"/>
          <w:szCs w:val="14"/>
        </w:rPr>
        <w:t>Para lo anterior es necesario que los impuestos y los precios de los inputs se mantengan constantes.</w:t>
      </w:r>
    </w:p>
    <w:p w14:paraId="3C19A4A1" w14:textId="307478DD" w:rsidR="00E5269F" w:rsidRPr="00025F23" w:rsidRDefault="00E5269F" w:rsidP="00E5213A">
      <w:pPr>
        <w:pStyle w:val="Nivel4"/>
        <w:numPr>
          <w:ilvl w:val="0"/>
          <w:numId w:val="0"/>
        </w:numPr>
        <w:ind w:left="567"/>
        <w:rPr>
          <w:sz w:val="14"/>
          <w:szCs w:val="14"/>
        </w:rPr>
      </w:pPr>
      <w:r w:rsidRPr="00025F23">
        <w:rPr>
          <w:sz w:val="14"/>
          <w:szCs w:val="14"/>
        </w:rPr>
        <w:t>Para la inflación utilizar aquí γ deflactor PIB (es mejor índice para las decisiones empresariales).</w:t>
      </w:r>
    </w:p>
    <w:p w14:paraId="7E1699A9" w14:textId="7D5DB5DD" w:rsidR="002D5BD1" w:rsidRPr="00025F23" w:rsidRDefault="002D5BD1" w:rsidP="00E5213A">
      <w:pPr>
        <w:pStyle w:val="Nivel2SM"/>
        <w:keepNext/>
        <w:spacing w:after="0"/>
      </w:pPr>
      <w:r w:rsidRPr="00025F23">
        <w:t xml:space="preserve">Está correlacionada </w:t>
      </w:r>
      <w:r w:rsidRPr="00025F23">
        <w:rPr>
          <w:i/>
          <w:iCs/>
        </w:rPr>
        <w:t>negativamente</w:t>
      </w:r>
      <w:r w:rsidRPr="00025F23">
        <w:t xml:space="preserve"> </w:t>
      </w:r>
      <w:r w:rsidR="00A67B40" w:rsidRPr="00025F23">
        <w:t>(</w:t>
      </w:r>
      <m:oMath>
        <m:r>
          <w:rPr>
            <w:rFonts w:ascii="Cambria Math" w:hAnsi="Cambria Math"/>
          </w:rPr>
          <m:t>-</m:t>
        </m:r>
      </m:oMath>
      <w:r w:rsidR="00A67B40" w:rsidRPr="00025F23">
        <w:t xml:space="preserve">) </w:t>
      </w:r>
      <w:r w:rsidRPr="00025F23">
        <w:t>con:</w:t>
      </w:r>
    </w:p>
    <w:p w14:paraId="5C4F7C69" w14:textId="27CDFDC0" w:rsidR="002D5BD1" w:rsidRPr="00025F23" w:rsidRDefault="002D5BD1" w:rsidP="00E5213A">
      <w:pPr>
        <w:pStyle w:val="Nivel3SM"/>
      </w:pPr>
      <w:r w:rsidRPr="00025F23">
        <w:rPr>
          <w:b/>
          <w:bCs/>
        </w:rPr>
        <w:t>Tipo de interés real a largo plazo</w:t>
      </w:r>
      <w:r w:rsidR="0004771D" w:rsidRPr="00025F23">
        <w:t xml:space="preserve"> (</w:t>
      </w:r>
      <m:oMath>
        <m:sSub>
          <m:sSubPr>
            <m:ctrlPr>
              <w:rPr>
                <w:rFonts w:ascii="Cambria Math" w:hAnsi="Cambria Math"/>
                <w:i/>
                <w:iCs/>
              </w:rPr>
            </m:ctrlPr>
          </m:sSubPr>
          <m:e>
            <m:r>
              <m:rPr>
                <m:nor/>
              </m:rPr>
              <w:rPr>
                <w:i/>
                <w:iCs/>
              </w:rPr>
              <m:t>r</m:t>
            </m:r>
          </m:e>
          <m:sub>
            <m:r>
              <m:rPr>
                <m:nor/>
              </m:rPr>
              <w:rPr>
                <w:i/>
                <w:iCs/>
              </w:rPr>
              <m:t>l/p</m:t>
            </m:r>
          </m:sub>
        </m:sSub>
      </m:oMath>
      <w:r w:rsidR="0004771D" w:rsidRPr="00025F23">
        <w:t xml:space="preserve">) </w:t>
      </w:r>
      <w:r w:rsidR="0004771D" w:rsidRPr="00025F23">
        <w:rPr>
          <w:rStyle w:val="normaltextrun"/>
          <w:color w:val="000000"/>
          <w:sz w:val="14"/>
          <w:szCs w:val="20"/>
          <w:shd w:val="clear" w:color="auto" w:fill="FFFFFF"/>
        </w:rPr>
        <w:t>(</w:t>
      </w:r>
      <w:r w:rsidR="00131FFB">
        <w:rPr>
          <w:rStyle w:val="normaltextrun"/>
          <w:i/>
          <w:iCs/>
          <w:color w:val="000000"/>
          <w:sz w:val="14"/>
          <w:szCs w:val="20"/>
          <w:shd w:val="clear" w:color="auto" w:fill="FFFFFF"/>
        </w:rPr>
        <w:t>S</w:t>
      </w:r>
      <w:r w:rsidR="0004771D" w:rsidRPr="00025F23">
        <w:rPr>
          <w:rStyle w:val="normaltextrun"/>
          <w:i/>
          <w:iCs/>
          <w:color w:val="000000"/>
          <w:sz w:val="14"/>
          <w:szCs w:val="20"/>
          <w:shd w:val="clear" w:color="auto" w:fill="FFFFFF"/>
        </w:rPr>
        <w:t>i se puede</w:t>
      </w:r>
      <w:r w:rsidR="00131FFB">
        <w:rPr>
          <w:rStyle w:val="normaltextrun"/>
          <w:i/>
          <w:iCs/>
          <w:color w:val="000000"/>
          <w:sz w:val="14"/>
          <w:szCs w:val="20"/>
          <w:shd w:val="clear" w:color="auto" w:fill="FFFFFF"/>
        </w:rPr>
        <w:t xml:space="preserve"> es mejor</w:t>
      </w:r>
      <w:r w:rsidR="0004771D" w:rsidRPr="00025F23">
        <w:rPr>
          <w:rStyle w:val="normaltextrun"/>
          <w:i/>
          <w:iCs/>
          <w:color w:val="000000"/>
          <w:sz w:val="14"/>
          <w:szCs w:val="20"/>
          <w:shd w:val="clear" w:color="auto" w:fill="FFFFFF"/>
        </w:rPr>
        <w:t xml:space="preserve"> usar el </w:t>
      </w:r>
      <w:r w:rsidR="0004771D" w:rsidRPr="00025F23">
        <w:rPr>
          <w:rStyle w:val="normaltextrun"/>
          <w:i/>
          <w:iCs/>
          <w:color w:val="000000"/>
          <w:sz w:val="14"/>
          <w:szCs w:val="20"/>
          <w:u w:val="single"/>
          <w:shd w:val="clear" w:color="auto" w:fill="FFFFFF"/>
        </w:rPr>
        <w:t>deflactor del PIB</w:t>
      </w:r>
      <w:r w:rsidR="009252E1" w:rsidRPr="00025F23">
        <w:rPr>
          <w:rStyle w:val="normaltextrun"/>
          <w:i/>
          <w:iCs/>
          <w:color w:val="000000"/>
          <w:sz w:val="14"/>
          <w:szCs w:val="20"/>
          <w:shd w:val="clear" w:color="auto" w:fill="FFFFFF"/>
        </w:rPr>
        <w:t xml:space="preserve"> </w:t>
      </w:r>
      <w:r w:rsidR="009252E1" w:rsidRPr="00025F23">
        <w:rPr>
          <w:rStyle w:val="normaltextrun"/>
          <w:i/>
          <w:iCs/>
          <w:color w:val="000000"/>
          <w:sz w:val="12"/>
          <w:szCs w:val="12"/>
          <w:shd w:val="clear" w:color="auto" w:fill="FFFFFF"/>
        </w:rPr>
        <w:t>(</w:t>
      </w:r>
      <w:r w:rsidR="0004771D" w:rsidRPr="00025F23">
        <w:rPr>
          <w:rStyle w:val="normaltextrun"/>
          <w:i/>
          <w:iCs/>
          <w:color w:val="000000"/>
          <w:sz w:val="12"/>
          <w:szCs w:val="12"/>
          <w:shd w:val="clear" w:color="auto" w:fill="FFFFFF"/>
        </w:rPr>
        <w:t>y no el IPC</w:t>
      </w:r>
      <w:r w:rsidR="009252E1" w:rsidRPr="00025F23">
        <w:rPr>
          <w:rStyle w:val="normaltextrun"/>
          <w:i/>
          <w:iCs/>
          <w:color w:val="000000"/>
          <w:sz w:val="12"/>
          <w:szCs w:val="12"/>
          <w:shd w:val="clear" w:color="auto" w:fill="FFFFFF"/>
        </w:rPr>
        <w:t>)</w:t>
      </w:r>
      <w:r w:rsidR="0004771D" w:rsidRPr="00025F23">
        <w:rPr>
          <w:szCs w:val="14"/>
        </w:rPr>
        <w:t xml:space="preserve"> </w:t>
      </w:r>
      <w:r w:rsidR="0004771D" w:rsidRPr="00131FFB">
        <w:rPr>
          <w:i/>
          <w:iCs/>
          <w:sz w:val="14"/>
          <w:szCs w:val="14"/>
        </w:rPr>
        <w:t>para corregir tipos de interés nominales</w:t>
      </w:r>
      <w:r w:rsidR="0004771D" w:rsidRPr="00131FFB">
        <w:rPr>
          <w:rStyle w:val="normaltextrun"/>
          <w:color w:val="000000"/>
          <w:sz w:val="14"/>
          <w:szCs w:val="20"/>
          <w:shd w:val="clear" w:color="auto" w:fill="FFFFFF"/>
        </w:rPr>
        <w:t xml:space="preserve">. Si no lo tenemos, decirlo. Si no tuviéramos los </w:t>
      </w:r>
      <w:r w:rsidR="0004771D" w:rsidRPr="00131FFB">
        <w:rPr>
          <w:rStyle w:val="normaltextrun"/>
          <w:color w:val="000000"/>
          <w:sz w:val="14"/>
          <w:szCs w:val="20"/>
          <w:u w:val="single"/>
          <w:shd w:val="clear" w:color="auto" w:fill="FFFFFF"/>
        </w:rPr>
        <w:t>tipos de interés a largo plazo</w:t>
      </w:r>
      <w:r w:rsidR="0004771D" w:rsidRPr="00131FFB">
        <w:rPr>
          <w:rStyle w:val="normaltextrun"/>
          <w:color w:val="000000"/>
          <w:sz w:val="14"/>
          <w:szCs w:val="20"/>
          <w:shd w:val="clear" w:color="auto" w:fill="FFFFFF"/>
        </w:rPr>
        <w:t xml:space="preserve">, utilizar los de corto plazo, pero </w:t>
      </w:r>
      <w:r w:rsidR="0004771D" w:rsidRPr="00131FFB">
        <w:rPr>
          <w:rStyle w:val="normaltextrun"/>
          <w:b/>
          <w:bCs/>
          <w:color w:val="000000"/>
          <w:sz w:val="14"/>
          <w:szCs w:val="20"/>
          <w:shd w:val="clear" w:color="auto" w:fill="FFFFFF"/>
        </w:rPr>
        <w:t>decirlo</w:t>
      </w:r>
      <w:r w:rsidR="0004771D" w:rsidRPr="00025F23">
        <w:rPr>
          <w:rStyle w:val="normaltextrun"/>
          <w:color w:val="000000"/>
          <w:sz w:val="14"/>
          <w:szCs w:val="20"/>
          <w:shd w:val="clear" w:color="auto" w:fill="FFFFFF"/>
        </w:rPr>
        <w:t>)</w:t>
      </w:r>
      <w:r w:rsidR="00E5269F" w:rsidRPr="00025F23">
        <w:rPr>
          <w:rStyle w:val="Refdenotaalpie"/>
          <w:color w:val="000000"/>
          <w:sz w:val="14"/>
          <w:szCs w:val="20"/>
          <w:shd w:val="clear" w:color="auto" w:fill="FFFFFF"/>
        </w:rPr>
        <w:footnoteReference w:id="18"/>
      </w:r>
      <w:r w:rsidR="0004771D" w:rsidRPr="00025F23">
        <w:t>,</w:t>
      </w:r>
    </w:p>
    <w:p w14:paraId="2D5E7914" w14:textId="4136C72C" w:rsidR="002D5BD1" w:rsidRPr="00025F23" w:rsidRDefault="002D5BD1" w:rsidP="00E5213A">
      <w:pPr>
        <w:pStyle w:val="Nivel3SM"/>
      </w:pPr>
      <w:r w:rsidRPr="00025F23">
        <w:rPr>
          <w:b/>
          <w:bCs/>
        </w:rPr>
        <w:t>Output gap</w:t>
      </w:r>
      <w:r w:rsidRPr="00025F23">
        <w:t>,</w:t>
      </w:r>
    </w:p>
    <w:p w14:paraId="1FB1D25C" w14:textId="566815B8" w:rsidR="002D5BD1" w:rsidRPr="00025F23" w:rsidRDefault="002D5BD1" w:rsidP="00E5213A">
      <w:pPr>
        <w:pStyle w:val="Nivel3SM"/>
      </w:pPr>
      <w:r w:rsidRPr="00025F23">
        <w:rPr>
          <w:b/>
          <w:bCs/>
        </w:rPr>
        <w:t>Costes de construcción</w:t>
      </w:r>
      <w:r w:rsidRPr="00025F23">
        <w:t>,</w:t>
      </w:r>
    </w:p>
    <w:p w14:paraId="4F78E462" w14:textId="7F59E9AB" w:rsidR="002D5BD1" w:rsidRPr="00025F23" w:rsidRDefault="002D5BD1" w:rsidP="00E5213A">
      <w:pPr>
        <w:pStyle w:val="Nivel3SM"/>
      </w:pPr>
      <w:r w:rsidRPr="00025F23">
        <w:rPr>
          <w:b/>
          <w:bCs/>
        </w:rPr>
        <w:t>Coste real de la maquinaria y el equipamiento</w:t>
      </w:r>
      <w:r w:rsidRPr="00025F23">
        <w:t>,</w:t>
      </w:r>
      <w:r w:rsidR="005D50B8" w:rsidRPr="00025F23">
        <w:t xml:space="preserve"> y</w:t>
      </w:r>
    </w:p>
    <w:p w14:paraId="18BF6404" w14:textId="68871E05" w:rsidR="00D85CA3" w:rsidRPr="00025F23" w:rsidRDefault="00D85CA3" w:rsidP="00E5213A">
      <w:pPr>
        <w:pStyle w:val="Nivel3SM"/>
      </w:pPr>
      <w:r w:rsidRPr="00025F23">
        <w:rPr>
          <w:b/>
          <w:bCs/>
        </w:rPr>
        <w:t>Volatilidad e incertidumbre política y económica</w:t>
      </w:r>
      <w:r w:rsidR="007502D9" w:rsidRPr="00025F23">
        <w:rPr>
          <w:rStyle w:val="Refdenotaalpie"/>
        </w:rPr>
        <w:footnoteReference w:id="19"/>
      </w:r>
      <w:r w:rsidR="005D50B8" w:rsidRPr="00025F23">
        <w:t>.</w:t>
      </w:r>
    </w:p>
    <w:p w14:paraId="62BA0B2D" w14:textId="25220D4B" w:rsidR="005D50B8" w:rsidRPr="00025F23" w:rsidRDefault="005D50B8" w:rsidP="00E5213A">
      <w:pPr>
        <w:pStyle w:val="Nivel3SM"/>
      </w:pPr>
      <w:r w:rsidRPr="00025F23">
        <w:t xml:space="preserve">Además se puede hablar de un </w:t>
      </w:r>
      <w:r w:rsidRPr="00025F23">
        <w:rPr>
          <w:b/>
          <w:bCs/>
        </w:rPr>
        <w:t xml:space="preserve">efecto </w:t>
      </w:r>
      <w:proofErr w:type="spellStart"/>
      <w:r w:rsidRPr="00025F23">
        <w:rPr>
          <w:b/>
          <w:bCs/>
        </w:rPr>
        <w:t>crowding-out</w:t>
      </w:r>
      <w:proofErr w:type="spellEnd"/>
      <w:r w:rsidRPr="00025F23">
        <w:t xml:space="preserve"> si vemos un déficit público elevado y un aumento de los tipos de interés.  </w:t>
      </w:r>
    </w:p>
    <w:p w14:paraId="07E66B9F" w14:textId="4DFA24BA" w:rsidR="00E5269F" w:rsidRPr="00025F23" w:rsidRDefault="005D50B8" w:rsidP="00E5213A">
      <w:pPr>
        <w:pStyle w:val="Nivel2SM"/>
        <w:keepNext/>
        <w:spacing w:after="0"/>
      </w:pPr>
      <w:r w:rsidRPr="00025F23">
        <w:t>Asimismo</w:t>
      </w:r>
      <w:r w:rsidR="00E5269F" w:rsidRPr="00025F23">
        <w:t>, las</w:t>
      </w:r>
      <w:r w:rsidR="00E5269F" w:rsidRPr="00025F23">
        <w:rPr>
          <w:b/>
          <w:bCs/>
        </w:rPr>
        <w:t xml:space="preserve"> expectativas</w:t>
      </w:r>
      <w:r w:rsidR="00E5269F" w:rsidRPr="00025F23">
        <w:t>, también juegan un papel relevante (</w:t>
      </w:r>
      <w:r w:rsidR="00E5269F" w:rsidRPr="00025F23">
        <w:rPr>
          <w:i/>
          <w:iCs/>
        </w:rPr>
        <w:t xml:space="preserve">animal </w:t>
      </w:r>
      <w:proofErr w:type="spellStart"/>
      <w:r w:rsidR="00E5269F" w:rsidRPr="00025F23">
        <w:rPr>
          <w:i/>
          <w:iCs/>
        </w:rPr>
        <w:t>spirits</w:t>
      </w:r>
      <w:proofErr w:type="spellEnd"/>
      <w:r w:rsidR="00E5269F" w:rsidRPr="00025F23">
        <w:t>).</w:t>
      </w:r>
    </w:p>
    <w:p w14:paraId="2DBB5D53" w14:textId="19E7D3F7" w:rsidR="00E5269F" w:rsidRPr="00025F23" w:rsidRDefault="00E5269F" w:rsidP="00E5213A">
      <w:pPr>
        <w:pStyle w:val="Nivel3SM"/>
      </w:pPr>
      <w:r w:rsidRPr="00025F23">
        <w:t xml:space="preserve">Ver </w:t>
      </w:r>
      <w:r w:rsidRPr="00025F23">
        <w:rPr>
          <w:i/>
          <w:iCs/>
        </w:rPr>
        <w:t>los mismos indicadores</w:t>
      </w:r>
      <w:r w:rsidRPr="00025F23">
        <w:t xml:space="preserve"> que para el caso del consumo privado, con </w:t>
      </w:r>
      <w:r w:rsidRPr="00025F23">
        <w:rPr>
          <w:i/>
          <w:iCs/>
        </w:rPr>
        <w:t>especial atención</w:t>
      </w:r>
      <w:r w:rsidRPr="00025F23">
        <w:t xml:space="preserve"> a</w:t>
      </w:r>
      <w:r w:rsidRPr="00025F23">
        <w:rPr>
          <w:i/>
          <w:iCs/>
        </w:rPr>
        <w:t>:</w:t>
      </w:r>
    </w:p>
    <w:p w14:paraId="6DBB70B6" w14:textId="6971469A" w:rsidR="00E5269F" w:rsidRPr="00025F23" w:rsidRDefault="00E5269F" w:rsidP="00014B0A">
      <w:pPr>
        <w:pStyle w:val="Nivel5"/>
        <w:ind w:left="964"/>
      </w:pPr>
      <w:r w:rsidRPr="00025F23">
        <w:t>Clima de confianza de los empresarios,</w:t>
      </w:r>
    </w:p>
    <w:p w14:paraId="39AE69DF" w14:textId="242BC160" w:rsidR="00E5269F" w:rsidRPr="00025F23" w:rsidRDefault="00E5269F" w:rsidP="00014B0A">
      <w:pPr>
        <w:pStyle w:val="Nivel5"/>
        <w:ind w:left="964"/>
      </w:pPr>
      <w:r w:rsidRPr="00025F23">
        <w:t>Estabilidad del cuadro macroeconómico, y</w:t>
      </w:r>
    </w:p>
    <w:p w14:paraId="7EFF7390" w14:textId="59D12CDD" w:rsidR="00E5269F" w:rsidRPr="00025F23" w:rsidRDefault="00E5269F" w:rsidP="00014B0A">
      <w:pPr>
        <w:pStyle w:val="Nivel5"/>
        <w:ind w:left="964"/>
      </w:pPr>
      <w:r w:rsidRPr="00025F23">
        <w:t>Crecimiento económico</w:t>
      </w:r>
      <w:r w:rsidR="005D50B8" w:rsidRPr="00025F23">
        <w:t xml:space="preserve"> (curva de tipos)</w:t>
      </w:r>
      <w:r w:rsidRPr="00025F23">
        <w:t>.</w:t>
      </w:r>
    </w:p>
    <w:p w14:paraId="48B30B34" w14:textId="46DB2860" w:rsidR="005D50B8" w:rsidRPr="00025F23" w:rsidRDefault="005D50B8" w:rsidP="00E5213A">
      <w:pPr>
        <w:pStyle w:val="Nivel3SM"/>
      </w:pPr>
      <w:r w:rsidRPr="00E5213A">
        <w:rPr>
          <w:i/>
          <w:iCs/>
        </w:rPr>
        <w:t>En el caso de la inversión</w:t>
      </w:r>
      <w:r w:rsidRPr="00025F23">
        <w:t xml:space="preserve"> sí que es importante modelizar las expectativas haciendo uso de índices bursátiles o cualquier dato que nos faciliten. </w:t>
      </w:r>
      <w:r w:rsidRPr="00E5213A">
        <w:rPr>
          <w:i/>
          <w:iCs/>
        </w:rPr>
        <w:t>Si no tuviéramos nada, nos lo inventamos usando condicionales</w:t>
      </w:r>
      <w:r w:rsidRPr="00025F23">
        <w:t xml:space="preserve"> (p.ej. </w:t>
      </w:r>
      <w:r w:rsidRPr="00E5213A">
        <w:rPr>
          <w:i/>
          <w:iCs/>
        </w:rPr>
        <w:t>“es posible que un crecimiento de la renta en el resto del mundo esté generando unas expectativas que expliquen la evolución de la inversión”</w:t>
      </w:r>
      <w:r w:rsidRPr="00025F23">
        <w:t>).</w:t>
      </w:r>
    </w:p>
    <w:p w14:paraId="061F6BC2" w14:textId="43E8E52A" w:rsidR="00744FDE" w:rsidRPr="00025F23" w:rsidRDefault="005D50B8" w:rsidP="00744FDE">
      <w:pPr>
        <w:pStyle w:val="Ttulo6"/>
      </w:pPr>
      <w:bookmarkStart w:id="84" w:name="_(Consumo_e_inversión"/>
      <w:bookmarkStart w:id="85" w:name="_Toc88566121"/>
      <w:bookmarkStart w:id="86" w:name="_Toc173446274"/>
      <w:bookmarkStart w:id="87" w:name="_Toc189085779"/>
      <w:bookmarkEnd w:id="84"/>
      <w:r w:rsidRPr="00025F23">
        <w:t>(</w:t>
      </w:r>
      <w:r w:rsidR="00744FDE" w:rsidRPr="00025F23">
        <w:t>Consumo e inversión públicos</w:t>
      </w:r>
      <w:bookmarkEnd w:id="85"/>
      <w:r w:rsidRPr="00025F23">
        <w:t>)</w:t>
      </w:r>
      <w:bookmarkEnd w:id="86"/>
      <w:bookmarkEnd w:id="87"/>
    </w:p>
    <w:p w14:paraId="343234E1" w14:textId="51ECB9B3" w:rsidR="00744FDE" w:rsidRPr="00025F23" w:rsidRDefault="00744FDE" w:rsidP="00744FDE">
      <w:pPr>
        <w:pStyle w:val="Notaalopositor"/>
        <w:rPr>
          <w:sz w:val="14"/>
          <w:szCs w:val="14"/>
        </w:rPr>
      </w:pPr>
      <w:r w:rsidRPr="00025F23">
        <w:rPr>
          <w:sz w:val="14"/>
          <w:szCs w:val="14"/>
        </w:rPr>
        <w:t xml:space="preserve">Nota 27/09/2021: El manual dice que ya lo veremos cuando estudiemos el sector </w:t>
      </w:r>
      <w:r w:rsidR="00413CA5" w:rsidRPr="00025F23">
        <w:rPr>
          <w:sz w:val="14"/>
          <w:szCs w:val="14"/>
        </w:rPr>
        <w:t>público</w:t>
      </w:r>
      <w:r w:rsidRPr="00025F23">
        <w:rPr>
          <w:sz w:val="14"/>
          <w:szCs w:val="14"/>
        </w:rPr>
        <w:t xml:space="preserve"> en el tema</w:t>
      </w:r>
      <w:r w:rsidR="0097016E" w:rsidRPr="00025F23">
        <w:rPr>
          <w:sz w:val="14"/>
          <w:szCs w:val="14"/>
        </w:rPr>
        <w:t> </w:t>
      </w:r>
      <w:r w:rsidRPr="00025F23">
        <w:rPr>
          <w:sz w:val="14"/>
          <w:szCs w:val="14"/>
        </w:rPr>
        <w:t>5.</w:t>
      </w:r>
    </w:p>
    <w:p w14:paraId="30AD5AAF" w14:textId="7F4997B1" w:rsidR="00116E18" w:rsidRPr="00025F23" w:rsidRDefault="00F03FCC" w:rsidP="00116E18">
      <w:pPr>
        <w:rPr>
          <w:i/>
          <w:iCs/>
        </w:rPr>
      </w:pPr>
      <w:r w:rsidRPr="00025F23">
        <w:rPr>
          <w:i/>
          <w:iCs/>
        </w:rPr>
        <w:t>Poco que contar, gastos de personal, alquiler de edificios… Salvo que se observe algo raro.</w:t>
      </w:r>
    </w:p>
    <w:p w14:paraId="454D4CF9" w14:textId="16BF68A4" w:rsidR="00F03FCC" w:rsidRPr="00025F23" w:rsidRDefault="00F03FCC" w:rsidP="00116E18">
      <w:pPr>
        <w:rPr>
          <w:i/>
          <w:iCs/>
        </w:rPr>
      </w:pPr>
      <w:r w:rsidRPr="00025F23">
        <w:rPr>
          <w:i/>
          <w:iCs/>
        </w:rPr>
        <w:t>Generalmente se comportará de forma procíclica, aunque los determinantes son difíciles de encontrar, ya que en parte están determinados por factores políticos. Relacionar brevemente en caso de ser relevante con el déficit público y la deuda.</w:t>
      </w:r>
    </w:p>
    <w:p w14:paraId="481E1460" w14:textId="719526B0" w:rsidR="001F65F1" w:rsidRPr="00025F23" w:rsidRDefault="001F65F1" w:rsidP="001F65F1">
      <w:pPr>
        <w:pStyle w:val="Desarrollocoyuntura"/>
      </w:pPr>
      <w:bookmarkStart w:id="88" w:name="_Toc173446275"/>
      <w:r w:rsidRPr="00025F23">
        <w:t xml:space="preserve">“Los otros dos componentes de la demanda nacional, consumo e inversión públicos, pertenecen a la dimensión de la política fiscal y, como tal, se analizarán con más detalle en la pregunta correspondiente. Baste aquí señalar que la inversión pública muestra </w:t>
      </w:r>
      <w:r w:rsidRPr="00025F23">
        <w:rPr>
          <w:spacing w:val="-1"/>
        </w:rPr>
        <w:t>cierto</w:t>
      </w:r>
      <w:r w:rsidRPr="00025F23">
        <w:t xml:space="preserve"> comportamiento errático y que el consumo público presenta tasas de variación moderadas; llama la atención el fuerte crecimiento de ambas en el año de la irrupción de la crisis sanitaria (probablemente con una intención </w:t>
      </w:r>
      <w:proofErr w:type="spellStart"/>
      <w:r w:rsidRPr="00025F23">
        <w:t>contracíclica</w:t>
      </w:r>
      <w:proofErr w:type="spellEnd"/>
      <w:r w:rsidRPr="00025F23">
        <w:t>).”</w:t>
      </w:r>
      <w:bookmarkEnd w:id="88"/>
    </w:p>
    <w:p w14:paraId="7F697975" w14:textId="4A10EF80" w:rsidR="00744C94" w:rsidRPr="00025F23" w:rsidRDefault="00744C94" w:rsidP="00744C94">
      <w:pPr>
        <w:keepNext/>
        <w:spacing w:after="20"/>
      </w:pPr>
      <w:r w:rsidRPr="00025F23">
        <w:t xml:space="preserve">El </w:t>
      </w:r>
      <w:proofErr w:type="gramStart"/>
      <w:r w:rsidRPr="00025F23">
        <w:t>consumo público y la inversión pública</w:t>
      </w:r>
      <w:proofErr w:type="gramEnd"/>
      <w:r w:rsidRPr="00025F23">
        <w:t xml:space="preserve"> forman parte del gasto público del gobierno:</w:t>
      </w:r>
    </w:p>
    <w:p w14:paraId="06C0CE75" w14:textId="565DC883" w:rsidR="00744C94" w:rsidRPr="00025F23" w:rsidRDefault="00744C94" w:rsidP="00744C94">
      <w:pPr>
        <w:pStyle w:val="Nivel1"/>
        <w:spacing w:after="20"/>
      </w:pPr>
      <w:r w:rsidRPr="00025F23">
        <w:rPr>
          <w:b/>
          <w:bCs/>
        </w:rPr>
        <w:t>Consumo público</w:t>
      </w:r>
      <w:r w:rsidRPr="00025F23">
        <w:t>: Sus principales componentes son la compra de bienes y servicios y los gastos de personal. Es una variable política, más ajena en principio al resto de los indicadores y cuya importancia depende del papel que tenga el Sector Público en la economía concreta a analizar. Únicamente podremos decir que refuerza o compensa el efecto de otras variables.</w:t>
      </w:r>
    </w:p>
    <w:p w14:paraId="2A06FB15" w14:textId="6317A507" w:rsidR="00744C94" w:rsidRPr="00025F23" w:rsidRDefault="00744C94" w:rsidP="005E2E6A">
      <w:pPr>
        <w:pStyle w:val="Nivel1"/>
        <w:keepNext/>
        <w:spacing w:after="0"/>
      </w:pPr>
      <w:r w:rsidRPr="00025F23">
        <w:rPr>
          <w:b/>
          <w:bCs/>
        </w:rPr>
        <w:t>Inversión pública</w:t>
      </w:r>
      <w:r w:rsidRPr="00025F23">
        <w:t>: Suele incluirse como parte de la inversión en construcción. Reflejaría los gastos en infraestructuras y equipamiento realizados por las autoridades, con importantes efectos arrastre que se reflejan en mayores inversiones por parte del sector privado.</w:t>
      </w:r>
      <w:r w:rsidR="005E2E6A" w:rsidRPr="00025F23">
        <w:t xml:space="preserve"> Podría existir:</w:t>
      </w:r>
    </w:p>
    <w:p w14:paraId="1D22EFD0" w14:textId="2181CCCC" w:rsidR="005E2E6A" w:rsidRPr="00025F23" w:rsidRDefault="005E2E6A" w:rsidP="005E2E6A">
      <w:pPr>
        <w:pStyle w:val="Nivel2"/>
      </w:pPr>
      <w:proofErr w:type="spellStart"/>
      <w:r w:rsidRPr="00025F23">
        <w:rPr>
          <w:i/>
          <w:iCs/>
        </w:rPr>
        <w:t>Crowding-out</w:t>
      </w:r>
      <w:proofErr w:type="spellEnd"/>
      <w:r w:rsidRPr="00025F23">
        <w:rPr>
          <w:i/>
          <w:iCs/>
        </w:rPr>
        <w:t xml:space="preserve"> real</w:t>
      </w:r>
      <w:r w:rsidRPr="00025F23">
        <w:t xml:space="preserve">: </w:t>
      </w:r>
      <w:r w:rsidR="00C00403" w:rsidRPr="00025F23">
        <w:t>S</w:t>
      </w:r>
      <w:r w:rsidRPr="00025F23">
        <w:t>i la actividad del sector público expulsa la iniciativa privada porque se superponen.</w:t>
      </w:r>
    </w:p>
    <w:p w14:paraId="7975AC2D" w14:textId="3F8CC769" w:rsidR="005E2E6A" w:rsidRPr="00025F23" w:rsidRDefault="005E2E6A" w:rsidP="005E2E6A">
      <w:pPr>
        <w:pStyle w:val="Nivel2"/>
      </w:pPr>
      <w:proofErr w:type="spellStart"/>
      <w:r w:rsidRPr="00025F23">
        <w:rPr>
          <w:i/>
          <w:iCs/>
        </w:rPr>
        <w:t>Crowding-out</w:t>
      </w:r>
      <w:proofErr w:type="spellEnd"/>
      <w:r w:rsidRPr="00025F23">
        <w:rPr>
          <w:i/>
          <w:iCs/>
        </w:rPr>
        <w:t xml:space="preserve"> financiero</w:t>
      </w:r>
      <w:r w:rsidRPr="00025F23">
        <w:t xml:space="preserve">: </w:t>
      </w:r>
      <w:r w:rsidR="00C00403" w:rsidRPr="00025F23">
        <w:t>S</w:t>
      </w:r>
      <w:r w:rsidRPr="00025F23">
        <w:t>i el endeudamiento del sector público detrae recursos que se podrían destinar al sector privado.</w:t>
      </w:r>
    </w:p>
    <w:p w14:paraId="4D618C12" w14:textId="39894D76" w:rsidR="004A0FB7" w:rsidRPr="00025F23" w:rsidRDefault="004A0FB7" w:rsidP="00AD1AFB">
      <w:pPr>
        <w:pStyle w:val="Ttulo3"/>
        <w:rPr>
          <w:lang w:val="fr-FR"/>
        </w:rPr>
      </w:pPr>
      <w:bookmarkStart w:id="89" w:name="_Demanda_externa"/>
      <w:bookmarkStart w:id="90" w:name="_Toc88565983"/>
      <w:bookmarkStart w:id="91" w:name="_Toc88566122"/>
      <w:bookmarkStart w:id="92" w:name="_Toc173446276"/>
      <w:bookmarkStart w:id="93" w:name="_Toc189085780"/>
      <w:bookmarkEnd w:id="89"/>
      <w:r w:rsidRPr="00025F23">
        <w:rPr>
          <w:lang w:val="fr-FR"/>
        </w:rPr>
        <w:t xml:space="preserve">Demanda </w:t>
      </w:r>
      <w:proofErr w:type="spellStart"/>
      <w:r w:rsidRPr="00025F23">
        <w:rPr>
          <w:lang w:val="fr-FR"/>
        </w:rPr>
        <w:t>externa</w:t>
      </w:r>
      <w:bookmarkEnd w:id="90"/>
      <w:bookmarkEnd w:id="91"/>
      <w:bookmarkEnd w:id="92"/>
      <w:bookmarkEnd w:id="93"/>
      <w:proofErr w:type="spellEnd"/>
    </w:p>
    <w:p w14:paraId="266D8451" w14:textId="1C62A618" w:rsidR="00922A2B" w:rsidRPr="00025F23" w:rsidRDefault="00000000" w:rsidP="007840A0">
      <w:pPr>
        <w:keepNext/>
        <w:rPr>
          <w:rFonts w:eastAsiaTheme="minorEastAsia"/>
          <w:i/>
          <w:iCs/>
          <w:szCs w:val="16"/>
          <w:lang w:val="fr-FR"/>
        </w:rPr>
      </w:pPr>
      <m:oMathPara>
        <m:oMath>
          <m:sSub>
            <m:sSubPr>
              <m:ctrlPr>
                <w:rPr>
                  <w:rFonts w:ascii="Cambria Math" w:eastAsiaTheme="minorEastAsia" w:hAnsi="Cambria Math"/>
                  <w:i/>
                  <w:iCs/>
                  <w:szCs w:val="16"/>
                </w:rPr>
              </m:ctrlPr>
            </m:sSubPr>
            <m:e>
              <m:r>
                <m:rPr>
                  <m:nor/>
                </m:rPr>
                <w:rPr>
                  <w:rFonts w:eastAsiaTheme="minorEastAsia"/>
                  <w:i/>
                  <w:iCs/>
                  <w:szCs w:val="16"/>
                  <w:lang w:val="fr-FR"/>
                </w:rPr>
                <m:t>Demanda</m:t>
              </m:r>
            </m:e>
            <m:sub>
              <m:r>
                <m:rPr>
                  <m:nor/>
                </m:rPr>
                <w:rPr>
                  <w:rFonts w:eastAsiaTheme="minorEastAsia"/>
                  <w:i/>
                  <w:iCs/>
                  <w:szCs w:val="16"/>
                  <w:lang w:val="fr-FR"/>
                </w:rPr>
                <m:t>t</m:t>
              </m:r>
            </m:sub>
          </m:sSub>
          <m:r>
            <w:rPr>
              <w:rFonts w:ascii="Cambria Math" w:eastAsiaTheme="minorEastAsia" w:hAnsi="Cambria Math"/>
              <w:szCs w:val="16"/>
              <w:lang w:val="fr-FR"/>
            </w:rPr>
            <m:t>=</m:t>
          </m:r>
          <m:sSub>
            <m:sSubPr>
              <m:ctrlPr>
                <w:rPr>
                  <w:rFonts w:ascii="Cambria Math" w:eastAsiaTheme="minorEastAsia" w:hAnsi="Cambria Math"/>
                  <w:i/>
                  <w:szCs w:val="16"/>
                </w:rPr>
              </m:ctrlPr>
            </m:sSubPr>
            <m:e>
              <m:r>
                <m:rPr>
                  <m:nor/>
                </m:rPr>
                <w:rPr>
                  <w:rFonts w:eastAsiaTheme="minorEastAsia"/>
                  <w:i/>
                  <w:szCs w:val="16"/>
                  <w:lang w:val="fr-FR"/>
                </w:rPr>
                <m:t>Y</m:t>
              </m:r>
            </m:e>
            <m:sub>
              <m:r>
                <m:rPr>
                  <m:nor/>
                </m:rPr>
                <w:rPr>
                  <w:rFonts w:eastAsiaTheme="minorEastAsia"/>
                  <w:i/>
                  <w:szCs w:val="16"/>
                  <w:lang w:val="fr-FR"/>
                </w:rPr>
                <m:t>t</m:t>
              </m:r>
            </m:sub>
          </m:sSub>
          <m:r>
            <w:rPr>
              <w:rFonts w:ascii="Cambria Math" w:eastAsiaTheme="minorEastAsia" w:hAnsi="Cambria Math"/>
              <w:szCs w:val="16"/>
              <w:lang w:val="fr-FR"/>
            </w:rPr>
            <m:t>=</m:t>
          </m:r>
          <m:limLow>
            <m:limLowPr>
              <m:ctrlPr>
                <w:rPr>
                  <w:rFonts w:ascii="Cambria Math" w:hAnsi="Cambria Math"/>
                  <w:i/>
                  <w:iCs/>
                  <w:szCs w:val="16"/>
                </w:rPr>
              </m:ctrlPr>
            </m:limLowPr>
            <m:e>
              <m:groupChr>
                <m:groupChrPr>
                  <m:ctrlPr>
                    <w:rPr>
                      <w:rFonts w:ascii="Cambria Math" w:hAnsi="Cambria Math"/>
                      <w:i/>
                      <w:iCs/>
                      <w:szCs w:val="16"/>
                    </w:rPr>
                  </m:ctrlPr>
                </m:groupChrPr>
                <m:e>
                  <m:sSub>
                    <m:sSubPr>
                      <m:ctrlPr>
                        <w:rPr>
                          <w:rFonts w:ascii="Cambria Math" w:eastAsiaTheme="minorEastAsia" w:hAnsi="Cambria Math"/>
                          <w:i/>
                          <w:szCs w:val="16"/>
                        </w:rPr>
                      </m:ctrlPr>
                    </m:sSubPr>
                    <m:e>
                      <m:r>
                        <m:rPr>
                          <m:nor/>
                        </m:rPr>
                        <w:rPr>
                          <w:rFonts w:eastAsiaTheme="minorEastAsia"/>
                          <w:i/>
                          <w:szCs w:val="16"/>
                          <w:lang w:val="fr-FR"/>
                        </w:rPr>
                        <m:t>C</m:t>
                      </m:r>
                    </m:e>
                    <m:sub>
                      <m:r>
                        <m:rPr>
                          <m:nor/>
                        </m:rPr>
                        <w:rPr>
                          <w:rFonts w:eastAsiaTheme="minorEastAsia"/>
                          <w:i/>
                          <w:szCs w:val="16"/>
                          <w:lang w:val="fr-FR"/>
                        </w:rPr>
                        <m:t>t</m:t>
                      </m:r>
                    </m:sub>
                  </m:sSub>
                  <m:r>
                    <w:rPr>
                      <w:rFonts w:ascii="Cambria Math" w:hAnsi="Cambria Math"/>
                      <w:szCs w:val="16"/>
                      <w:lang w:val="fr-FR"/>
                    </w:rPr>
                    <m:t>+</m:t>
                  </m:r>
                  <m:sSub>
                    <m:sSubPr>
                      <m:ctrlPr>
                        <w:rPr>
                          <w:rFonts w:ascii="Cambria Math" w:eastAsiaTheme="minorEastAsia" w:hAnsi="Cambria Math"/>
                          <w:i/>
                          <w:szCs w:val="16"/>
                        </w:rPr>
                      </m:ctrlPr>
                    </m:sSubPr>
                    <m:e>
                      <m:r>
                        <m:rPr>
                          <m:nor/>
                        </m:rPr>
                        <w:rPr>
                          <w:rFonts w:eastAsiaTheme="minorEastAsia"/>
                          <w:i/>
                          <w:szCs w:val="16"/>
                          <w:lang w:val="fr-FR"/>
                        </w:rPr>
                        <m:t>I</m:t>
                      </m:r>
                    </m:e>
                    <m:sub>
                      <m:r>
                        <m:rPr>
                          <m:nor/>
                        </m:rPr>
                        <w:rPr>
                          <w:rFonts w:eastAsiaTheme="minorEastAsia"/>
                          <w:i/>
                          <w:szCs w:val="16"/>
                          <w:lang w:val="fr-FR"/>
                        </w:rPr>
                        <m:t>t</m:t>
                      </m:r>
                    </m:sub>
                  </m:sSub>
                  <m:r>
                    <w:rPr>
                      <w:rFonts w:ascii="Cambria Math" w:hAnsi="Cambria Math"/>
                      <w:szCs w:val="16"/>
                      <w:lang w:val="fr-FR"/>
                    </w:rPr>
                    <m:t>+</m:t>
                  </m:r>
                  <m:sSub>
                    <m:sSubPr>
                      <m:ctrlPr>
                        <w:rPr>
                          <w:rFonts w:ascii="Cambria Math" w:eastAsiaTheme="minorEastAsia" w:hAnsi="Cambria Math"/>
                          <w:i/>
                          <w:szCs w:val="16"/>
                        </w:rPr>
                      </m:ctrlPr>
                    </m:sSubPr>
                    <m:e>
                      <m:r>
                        <m:rPr>
                          <m:nor/>
                        </m:rPr>
                        <w:rPr>
                          <w:rFonts w:eastAsiaTheme="minorEastAsia"/>
                          <w:i/>
                          <w:szCs w:val="16"/>
                          <w:lang w:val="fr-FR"/>
                        </w:rPr>
                        <m:t>G</m:t>
                      </m:r>
                    </m:e>
                    <m:sub>
                      <m:r>
                        <m:rPr>
                          <m:nor/>
                        </m:rPr>
                        <w:rPr>
                          <w:rFonts w:eastAsiaTheme="minorEastAsia"/>
                          <w:i/>
                          <w:szCs w:val="16"/>
                          <w:lang w:val="fr-FR"/>
                        </w:rPr>
                        <m:t>t</m:t>
                      </m:r>
                    </m:sub>
                  </m:sSub>
                </m:e>
              </m:groupChr>
            </m:e>
            <m:lim>
              <m:r>
                <m:rPr>
                  <m:nor/>
                </m:rPr>
                <w:rPr>
                  <w:i/>
                  <w:iCs/>
                  <w:szCs w:val="16"/>
                  <w:lang w:val="fr-FR"/>
                </w:rPr>
                <m:t>Demanda interna</m:t>
              </m:r>
            </m:lim>
          </m:limLow>
          <m:r>
            <w:rPr>
              <w:rFonts w:ascii="Cambria Math" w:hAnsi="Cambria Math"/>
              <w:szCs w:val="16"/>
              <w:lang w:val="fr-FR"/>
            </w:rPr>
            <m:t>+</m:t>
          </m:r>
          <m:limLow>
            <m:limLowPr>
              <m:ctrlPr>
                <w:rPr>
                  <w:rFonts w:ascii="Cambria Math" w:hAnsi="Cambria Math"/>
                  <w:b/>
                  <w:bCs/>
                  <w:i/>
                  <w:iCs/>
                  <w:color w:val="800000"/>
                  <w:szCs w:val="16"/>
                </w:rPr>
              </m:ctrlPr>
            </m:limLowPr>
            <m:e>
              <m:groupChr>
                <m:groupChrPr>
                  <m:ctrlPr>
                    <w:rPr>
                      <w:rFonts w:ascii="Cambria Math" w:hAnsi="Cambria Math"/>
                      <w:b/>
                      <w:bCs/>
                      <w:i/>
                      <w:iCs/>
                      <w:color w:val="800000"/>
                      <w:szCs w:val="16"/>
                    </w:rPr>
                  </m:ctrlPr>
                </m:groupChrPr>
                <m:e>
                  <m:d>
                    <m:dPr>
                      <m:ctrlPr>
                        <w:rPr>
                          <w:rFonts w:ascii="Cambria Math" w:hAnsi="Cambria Math"/>
                          <w:b/>
                          <w:bCs/>
                          <w:i/>
                          <w:iCs/>
                          <w:color w:val="800000"/>
                          <w:szCs w:val="16"/>
                        </w:rPr>
                      </m:ctrlPr>
                    </m:dPr>
                    <m:e>
                      <m:sSub>
                        <m:sSubPr>
                          <m:ctrlPr>
                            <w:rPr>
                              <w:rFonts w:ascii="Cambria Math" w:eastAsiaTheme="minorEastAsia" w:hAnsi="Cambria Math"/>
                              <w:b/>
                              <w:bCs/>
                              <w:i/>
                              <w:color w:val="800000"/>
                              <w:szCs w:val="16"/>
                            </w:rPr>
                          </m:ctrlPr>
                        </m:sSubPr>
                        <m:e>
                          <m:r>
                            <m:rPr>
                              <m:nor/>
                            </m:rPr>
                            <w:rPr>
                              <w:rFonts w:eastAsiaTheme="minorEastAsia"/>
                              <w:b/>
                              <w:bCs/>
                              <w:i/>
                              <w:color w:val="800000"/>
                              <w:szCs w:val="16"/>
                              <w:lang w:val="fr-FR"/>
                            </w:rPr>
                            <m:t>X</m:t>
                          </m:r>
                        </m:e>
                        <m:sub>
                          <m:r>
                            <m:rPr>
                              <m:nor/>
                            </m:rPr>
                            <w:rPr>
                              <w:rFonts w:eastAsiaTheme="minorEastAsia"/>
                              <w:b/>
                              <w:bCs/>
                              <w:i/>
                              <w:color w:val="800000"/>
                              <w:szCs w:val="16"/>
                              <w:lang w:val="fr-FR"/>
                            </w:rPr>
                            <m:t>t</m:t>
                          </m:r>
                        </m:sub>
                      </m:sSub>
                      <m:r>
                        <m:rPr>
                          <m:sty m:val="bi"/>
                        </m:rPr>
                        <w:rPr>
                          <w:rFonts w:ascii="Cambria Math" w:hAnsi="Cambria Math" w:cs="Times New Roman"/>
                          <w:color w:val="800000"/>
                          <w:sz w:val="14"/>
                          <w:szCs w:val="14"/>
                          <w:lang w:val="fr-FR"/>
                        </w:rPr>
                        <m:t>-</m:t>
                      </m:r>
                      <m:sSub>
                        <m:sSubPr>
                          <m:ctrlPr>
                            <w:rPr>
                              <w:rFonts w:ascii="Cambria Math" w:eastAsiaTheme="minorEastAsia" w:hAnsi="Cambria Math"/>
                              <w:b/>
                              <w:bCs/>
                              <w:i/>
                              <w:color w:val="800000"/>
                              <w:szCs w:val="16"/>
                            </w:rPr>
                          </m:ctrlPr>
                        </m:sSubPr>
                        <m:e>
                          <m:r>
                            <m:rPr>
                              <m:nor/>
                            </m:rPr>
                            <w:rPr>
                              <w:rFonts w:eastAsiaTheme="minorEastAsia"/>
                              <w:b/>
                              <w:bCs/>
                              <w:i/>
                              <w:color w:val="800000"/>
                              <w:szCs w:val="16"/>
                              <w:lang w:val="fr-FR"/>
                            </w:rPr>
                            <m:t>M</m:t>
                          </m:r>
                        </m:e>
                        <m:sub>
                          <m:r>
                            <m:rPr>
                              <m:nor/>
                            </m:rPr>
                            <w:rPr>
                              <w:rFonts w:eastAsiaTheme="minorEastAsia"/>
                              <w:b/>
                              <w:bCs/>
                              <w:i/>
                              <w:color w:val="800000"/>
                              <w:szCs w:val="16"/>
                              <w:lang w:val="fr-FR"/>
                            </w:rPr>
                            <m:t>t</m:t>
                          </m:r>
                        </m:sub>
                      </m:sSub>
                    </m:e>
                  </m:d>
                </m:e>
              </m:groupChr>
            </m:e>
            <m:lim>
              <m:r>
                <m:rPr>
                  <m:nor/>
                </m:rPr>
                <w:rPr>
                  <w:b/>
                  <w:bCs/>
                  <w:i/>
                  <w:iCs/>
                  <w:color w:val="800000"/>
                  <w:szCs w:val="16"/>
                  <w:lang w:val="fr-FR"/>
                </w:rPr>
                <m:t>Demanda externa</m:t>
              </m:r>
            </m:lim>
          </m:limLow>
        </m:oMath>
      </m:oMathPara>
    </w:p>
    <w:p w14:paraId="641054D5" w14:textId="2F685102" w:rsidR="00F02263" w:rsidRPr="00025F23" w:rsidRDefault="00F02263" w:rsidP="00F02263">
      <w:pPr>
        <w:pStyle w:val="Desarrollocoyuntura"/>
      </w:pPr>
      <w:bookmarkStart w:id="94" w:name="_Toc88565984"/>
      <w:bookmarkStart w:id="95" w:name="_Toc173446277"/>
      <w:r w:rsidRPr="00025F23">
        <w:t>“</w:t>
      </w:r>
      <w:r w:rsidR="00E33909" w:rsidRPr="00025F23">
        <w:t>Tras el análisis de la demanda interna, p</w:t>
      </w:r>
      <w:r w:rsidRPr="00025F23">
        <w:t xml:space="preserve">asamos al análisis de la evolución del PIB desde el </w:t>
      </w:r>
      <w:r w:rsidRPr="00025F23">
        <w:rPr>
          <w:b/>
          <w:bCs/>
        </w:rPr>
        <w:t>punto de vista de la demanda externa</w:t>
      </w:r>
      <w:r w:rsidRPr="00025F23">
        <w:t>, que integra exportaciones e importaciones.”</w:t>
      </w:r>
      <w:bookmarkEnd w:id="94"/>
      <w:bookmarkEnd w:id="95"/>
    </w:p>
    <w:p w14:paraId="4FF88494" w14:textId="0ECEBB7A" w:rsidR="0062214F" w:rsidRPr="00025F23" w:rsidRDefault="0062214F" w:rsidP="00F02263">
      <w:pPr>
        <w:pStyle w:val="Desarrollocoyuntura"/>
      </w:pPr>
      <w:bookmarkStart w:id="96" w:name="_Toc173446278"/>
      <w:r w:rsidRPr="00025F23">
        <w:t xml:space="preserve">“Destaca el crecimiento continuo de las exportaciones de bienes y servicios de esta economía, sólo interrumpido por la brusca caída de 2020 debido, </w:t>
      </w:r>
      <w:r w:rsidRPr="00025F23">
        <w:rPr>
          <w:spacing w:val="-1"/>
        </w:rPr>
        <w:t>probablemente</w:t>
      </w:r>
      <w:r w:rsidRPr="00025F23">
        <w:t xml:space="preserve">, a las limitaciones del comercio mundial, a la disrupción internacional de las cadenas globales de valor y a la caída de las rentas de los países provocadas por la pandemia. En la etapa prepandémica, las exportaciones de este país </w:t>
      </w:r>
      <w:r w:rsidRPr="00025F23">
        <w:rPr>
          <w:spacing w:val="-1"/>
        </w:rPr>
        <w:t>parecen</w:t>
      </w:r>
      <w:r w:rsidRPr="00025F23">
        <w:t xml:space="preserve"> responder en cierta manera a la evolución de la competitividad-precio: por lo general, el crecimiento de las exportaciones de nuestra economía </w:t>
      </w:r>
      <w:r w:rsidRPr="00025F23">
        <w:rPr>
          <w:spacing w:val="-1"/>
        </w:rPr>
        <w:t>parece</w:t>
      </w:r>
      <w:r w:rsidRPr="00025F23">
        <w:t xml:space="preserve"> más pronunciado cuando el tipo de cambio efectivo real se deprecia, en línea con lo que predice la teoría económica. El crecimiento más moderado de las exportaciones en 20xx y 20x</w:t>
      </w:r>
      <w:r w:rsidR="003B4F7B" w:rsidRPr="00025F23">
        <w:t xml:space="preserve">x </w:t>
      </w:r>
      <w:r w:rsidRPr="00025F23">
        <w:rPr>
          <w:spacing w:val="-1"/>
        </w:rPr>
        <w:t>ser</w:t>
      </w:r>
      <w:r w:rsidR="003B4F7B" w:rsidRPr="00025F23">
        <w:rPr>
          <w:spacing w:val="-1"/>
        </w:rPr>
        <w:t>í</w:t>
      </w:r>
      <w:r w:rsidRPr="00025F23">
        <w:rPr>
          <w:spacing w:val="-1"/>
        </w:rPr>
        <w:t>a compatible con un posible</w:t>
      </w:r>
      <w:r w:rsidR="003B4F7B" w:rsidRPr="00025F23">
        <w:t xml:space="preserve"> r</w:t>
      </w:r>
      <w:r w:rsidRPr="00025F23">
        <w:t xml:space="preserve">epliegue de las empresas hacia el mercado nacional: en dichos años nuestra economía ya ha dejado atrás la Gran Recesión y la economía funciona a pleno rendimiento a juzgar por el output gap; ante esta consolidación de la demanda interna, las empresas </w:t>
      </w:r>
      <w:r w:rsidRPr="00025F23">
        <w:rPr>
          <w:spacing w:val="-1"/>
        </w:rPr>
        <w:t>podrían</w:t>
      </w:r>
      <w:r w:rsidRPr="00025F23">
        <w:t xml:space="preserve"> estar reorientando sus ventas al mercado nacional (más fácil y barato de satisfacer que los mercados extranjeros).”</w:t>
      </w:r>
      <w:bookmarkEnd w:id="96"/>
    </w:p>
    <w:p w14:paraId="58328BBA" w14:textId="56732CD7" w:rsidR="00455339" w:rsidRPr="00025F23" w:rsidRDefault="00455339" w:rsidP="00F02263">
      <w:pPr>
        <w:pStyle w:val="Desarrollocoyuntura"/>
      </w:pPr>
      <w:bookmarkStart w:id="97" w:name="_Toc173446279"/>
      <w:r w:rsidRPr="00025F23">
        <w:t xml:space="preserve">“Por su parte, las importaciones de este país crecen cuando hay crecimiento económico y viceversa (salvo en 20xx), lo que </w:t>
      </w:r>
      <w:r w:rsidRPr="00025F23">
        <w:rPr>
          <w:spacing w:val="-1"/>
        </w:rPr>
        <w:t>sugiere</w:t>
      </w:r>
      <w:r w:rsidRPr="00025F23">
        <w:t xml:space="preserve"> que la renta interna </w:t>
      </w:r>
      <w:r w:rsidRPr="00025F23">
        <w:rPr>
          <w:spacing w:val="-1"/>
        </w:rPr>
        <w:t>podría</w:t>
      </w:r>
      <w:r w:rsidRPr="00025F23">
        <w:t xml:space="preserve"> ser un factor explicativo de esta variable. El tipo de cambio efectivo real </w:t>
      </w:r>
      <w:r w:rsidRPr="00025F23">
        <w:rPr>
          <w:spacing w:val="-1"/>
        </w:rPr>
        <w:t>no parece</w:t>
      </w:r>
      <w:r w:rsidRPr="00025F23">
        <w:t xml:space="preserve"> ser, a simple vista un determinante clave</w:t>
      </w:r>
      <w:r w:rsidR="002218CE" w:rsidRPr="00025F23">
        <w:t xml:space="preserve"> </w:t>
      </w:r>
      <w:r w:rsidRPr="00025F23">
        <w:t>en la evolución de las importaciones de esta economía.”</w:t>
      </w:r>
      <w:bookmarkEnd w:id="97"/>
    </w:p>
    <w:p w14:paraId="597FAA0E" w14:textId="29D1D767" w:rsidR="00455339" w:rsidRPr="00025F23" w:rsidRDefault="00455339" w:rsidP="00F02263">
      <w:pPr>
        <w:pStyle w:val="Desarrollocoyuntura"/>
      </w:pPr>
      <w:bookmarkStart w:id="98" w:name="_Toc173446280"/>
      <w:r w:rsidRPr="00025F23">
        <w:t>“No hay que perder de vista que un factor importante de los flujos comerciales de un país es su competitividad no precio (calidad, percepción de marca, diferenciación, etc.), sobre la que no se ofrecen métricas en este cuadro macro.”</w:t>
      </w:r>
      <w:bookmarkEnd w:id="98"/>
    </w:p>
    <w:p w14:paraId="1C28CB6A" w14:textId="6DBFF47E" w:rsidR="00F02263" w:rsidRPr="00025F23" w:rsidRDefault="00D84C6C" w:rsidP="00366DB9">
      <w:pPr>
        <w:pStyle w:val="Notaalopositor"/>
        <w:rPr>
          <w:sz w:val="14"/>
          <w:szCs w:val="14"/>
        </w:rPr>
      </w:pPr>
      <w:r>
        <w:rPr>
          <w:sz w:val="14"/>
          <w:szCs w:val="14"/>
        </w:rPr>
        <w:lastRenderedPageBreak/>
        <w:t>Comentar brevemente, pero dejar el análisis para la pregunta de</w:t>
      </w:r>
      <w:r w:rsidR="00366DB9" w:rsidRPr="00025F23">
        <w:rPr>
          <w:sz w:val="14"/>
          <w:szCs w:val="14"/>
        </w:rPr>
        <w:t xml:space="preserve"> sector exterior</w:t>
      </w:r>
      <w:r>
        <w:rPr>
          <w:sz w:val="14"/>
          <w:szCs w:val="14"/>
        </w:rPr>
        <w:t>.</w:t>
      </w:r>
    </w:p>
    <w:p w14:paraId="2B61E6AD" w14:textId="2F839475" w:rsidR="005D50B8" w:rsidRPr="00025F23" w:rsidRDefault="005D50B8" w:rsidP="00E5213A">
      <w:pPr>
        <w:pStyle w:val="Nivel1SM"/>
      </w:pPr>
      <w:r w:rsidRPr="00025F23">
        <w:t>Para un análisis detallado hacen falta datos de exportaciones (</w:t>
      </w:r>
      <m:oMath>
        <m:r>
          <m:rPr>
            <m:nor/>
          </m:rPr>
          <w:rPr>
            <w:rFonts w:eastAsiaTheme="minorEastAsia"/>
            <w:i/>
            <w:szCs w:val="16"/>
          </w:rPr>
          <m:t>X</m:t>
        </m:r>
      </m:oMath>
      <w:r w:rsidRPr="00025F23">
        <w:t>) e importaciones (</w:t>
      </w:r>
      <m:oMath>
        <m:r>
          <m:rPr>
            <m:nor/>
          </m:rPr>
          <w:rPr>
            <w:rFonts w:eastAsiaTheme="minorEastAsia"/>
            <w:i/>
            <w:szCs w:val="16"/>
          </w:rPr>
          <m:t>M</m:t>
        </m:r>
      </m:oMath>
      <w:r w:rsidRPr="00025F23">
        <w:t>), tanto de bienes como de servicios. Si carecemos de ellos, “pedirlos” y utilizar la balanza comercial (sólo bienes) como aproximación.</w:t>
      </w:r>
    </w:p>
    <w:p w14:paraId="28DF4A2D" w14:textId="3D82B973" w:rsidR="005D50B8" w:rsidRPr="00025F23" w:rsidRDefault="005D50B8" w:rsidP="00E5213A">
      <w:pPr>
        <w:pStyle w:val="Nivel1SM"/>
        <w:keepNext/>
        <w:spacing w:after="0"/>
      </w:pPr>
      <w:r w:rsidRPr="00025F23">
        <w:t>Hay que analizar:</w:t>
      </w:r>
    </w:p>
    <w:p w14:paraId="7B93BF32" w14:textId="48D5FB2D" w:rsidR="005D50B8" w:rsidRPr="00025F23" w:rsidRDefault="005D50B8" w:rsidP="004409B7">
      <w:pPr>
        <w:pStyle w:val="Letra"/>
        <w:spacing w:after="0"/>
        <w:ind w:left="312" w:hanging="170"/>
      </w:pPr>
      <w:r w:rsidRPr="00025F23">
        <w:rPr>
          <w:i/>
          <w:iCs w:val="0"/>
          <w:u w:val="single"/>
        </w:rPr>
        <w:t xml:space="preserve">La evolución de </w:t>
      </w:r>
      <m:oMath>
        <m:r>
          <m:rPr>
            <m:nor/>
          </m:rPr>
          <w:rPr>
            <w:rFonts w:eastAsiaTheme="minorEastAsia"/>
            <w:i/>
            <w:szCs w:val="16"/>
            <w:u w:val="single"/>
          </w:rPr>
          <m:t>X</m:t>
        </m:r>
        <m:r>
          <w:rPr>
            <w:rFonts w:ascii="Cambria Math" w:eastAsiaTheme="minorEastAsia" w:hAnsi="Cambria Math"/>
            <w:szCs w:val="16"/>
            <w:u w:val="single"/>
          </w:rPr>
          <m:t xml:space="preserve"> y </m:t>
        </m:r>
        <m:r>
          <m:rPr>
            <m:nor/>
          </m:rPr>
          <w:rPr>
            <w:rFonts w:eastAsiaTheme="minorEastAsia"/>
            <w:i/>
            <w:szCs w:val="16"/>
            <w:u w:val="single"/>
          </w:rPr>
          <m:t>M</m:t>
        </m:r>
      </m:oMath>
      <w:r w:rsidRPr="00025F23">
        <w:rPr>
          <w:rFonts w:eastAsiaTheme="minorEastAsia"/>
          <w:iCs w:val="0"/>
          <w:szCs w:val="16"/>
        </w:rPr>
        <w:t>.</w:t>
      </w:r>
    </w:p>
    <w:p w14:paraId="3716558C" w14:textId="2CE87D42" w:rsidR="005D50B8" w:rsidRPr="00025F23" w:rsidRDefault="005D50B8" w:rsidP="004409B7">
      <w:pPr>
        <w:pStyle w:val="Letra"/>
        <w:keepNext/>
        <w:spacing w:after="0"/>
        <w:ind w:left="312" w:hanging="170"/>
      </w:pPr>
      <w:r w:rsidRPr="00025F23">
        <w:rPr>
          <w:i/>
          <w:iCs w:val="0"/>
          <w:u w:val="single"/>
        </w:rPr>
        <w:t>Los factores que afectan a</w:t>
      </w:r>
      <w:r w:rsidRPr="00025F23">
        <w:rPr>
          <w:rFonts w:eastAsiaTheme="minorEastAsia"/>
          <w:i/>
          <w:szCs w:val="16"/>
          <w:u w:val="single"/>
        </w:rPr>
        <w:t xml:space="preserve"> </w:t>
      </w:r>
      <m:oMath>
        <m:r>
          <m:rPr>
            <m:nor/>
          </m:rPr>
          <w:rPr>
            <w:rFonts w:eastAsiaTheme="minorEastAsia"/>
            <w:i/>
            <w:szCs w:val="16"/>
            <w:u w:val="single"/>
          </w:rPr>
          <m:t>X</m:t>
        </m:r>
      </m:oMath>
      <w:r w:rsidRPr="00025F23">
        <w:t>:</w:t>
      </w:r>
    </w:p>
    <w:p w14:paraId="4F87A224" w14:textId="10398BC9" w:rsidR="005D50B8" w:rsidRPr="00025F23" w:rsidRDefault="005D50B8" w:rsidP="00652EE3">
      <w:pPr>
        <w:pStyle w:val="Letra"/>
        <w:keepNext/>
        <w:numPr>
          <w:ilvl w:val="0"/>
          <w:numId w:val="0"/>
        </w:numPr>
        <w:spacing w:after="0"/>
        <w:ind w:left="425"/>
      </w:pPr>
      <m:oMathPara>
        <m:oMath>
          <m:r>
            <w:rPr>
              <w:rFonts w:ascii="Cambria Math" w:eastAsiaTheme="minorEastAsia" w:hAnsi="Cambria Math"/>
            </w:rPr>
            <m:t xml:space="preserve"> </m:t>
          </m:r>
          <m:r>
            <m:rPr>
              <m:nor/>
            </m:rPr>
            <w:rPr>
              <w:i/>
            </w:rPr>
            <m:t>X</m:t>
          </m:r>
          <m:r>
            <w:rPr>
              <w:rFonts w:ascii="Cambria Math" w:hAnsi="Cambria Math"/>
            </w:rPr>
            <m:t>=</m:t>
          </m:r>
          <m:r>
            <m:rPr>
              <m:nor/>
            </m:rPr>
            <w:rPr>
              <w:i/>
            </w:rPr>
            <m:t>f</m:t>
          </m:r>
          <m:d>
            <m:dPr>
              <m:ctrlPr>
                <w:rPr>
                  <w:rFonts w:ascii="Cambria Math" w:hAnsi="Cambria Math"/>
                  <w:i/>
                </w:rPr>
              </m:ctrlPr>
            </m:dPr>
            <m:e>
              <m:limUpp>
                <m:limUppPr>
                  <m:ctrlPr>
                    <w:rPr>
                      <w:rFonts w:ascii="Cambria Math" w:hAnsi="Cambria Math"/>
                      <w:i/>
                      <w:iCs w:val="0"/>
                    </w:rPr>
                  </m:ctrlPr>
                </m:limUppPr>
                <m:e>
                  <m:limLow>
                    <m:limLowPr>
                      <m:ctrlPr>
                        <w:rPr>
                          <w:rFonts w:ascii="Cambria Math" w:hAnsi="Cambria Math"/>
                          <w:i/>
                        </w:rPr>
                      </m:ctrlPr>
                    </m:limLowPr>
                    <m:e>
                      <m:groupChr>
                        <m:groupChrPr>
                          <m:ctrlPr>
                            <w:rPr>
                              <w:rFonts w:ascii="Cambria Math" w:hAnsi="Cambria Math"/>
                              <w:i/>
                            </w:rPr>
                          </m:ctrlPr>
                        </m:groupChrPr>
                        <m:e>
                          <m:r>
                            <m:rPr>
                              <m:nor/>
                            </m:rPr>
                            <w:rPr>
                              <w:i/>
                            </w:rPr>
                            <m:t>e</m:t>
                          </m:r>
                          <m:r>
                            <w:rPr>
                              <w:rFonts w:ascii="Cambria Math" w:hAnsi="Cambria Math"/>
                            </w:rPr>
                            <m:t>=</m:t>
                          </m:r>
                          <m:f>
                            <m:fPr>
                              <m:ctrlPr>
                                <w:rPr>
                                  <w:rFonts w:ascii="Cambria Math" w:hAnsi="Cambria Math"/>
                                  <w:i/>
                                </w:rPr>
                              </m:ctrlPr>
                            </m:fPr>
                            <m:num>
                              <m:r>
                                <m:rPr>
                                  <m:nor/>
                                </m:rPr>
                                <w:rPr>
                                  <w:i/>
                                </w:rPr>
                                <m:t>E</m:t>
                              </m:r>
                              <m:r>
                                <w:rPr>
                                  <w:rFonts w:ascii="Cambria Math" w:hAnsi="Cambria Math"/>
                                </w:rPr>
                                <m:t>∙</m:t>
                              </m:r>
                              <m:r>
                                <m:rPr>
                                  <m:nor/>
                                </m:rPr>
                                <w:rPr>
                                  <w:i/>
                                </w:rPr>
                                <m:t>P*</m:t>
                              </m:r>
                            </m:num>
                            <m:den>
                              <m:r>
                                <m:rPr>
                                  <m:nor/>
                                </m:rPr>
                                <w:rPr>
                                  <w:i/>
                                </w:rPr>
                                <m:t>P</m:t>
                              </m:r>
                            </m:den>
                          </m:f>
                        </m:e>
                      </m:groupChr>
                    </m:e>
                    <m:lim>
                      <m:eqArr>
                        <m:eqArrPr>
                          <m:ctrlPr>
                            <w:rPr>
                              <w:rFonts w:ascii="Cambria Math" w:hAnsi="Cambria Math"/>
                              <w:i/>
                            </w:rPr>
                          </m:ctrlPr>
                        </m:eqArrPr>
                        <m:e>
                          <m:r>
                            <m:rPr>
                              <m:nor/>
                            </m:rPr>
                            <w:rPr>
                              <w:i/>
                            </w:rPr>
                            <m:t>Competitividad</m:t>
                          </m:r>
                        </m:e>
                        <m:e>
                          <m:r>
                            <m:rPr>
                              <m:nor/>
                            </m:rPr>
                            <w:rPr>
                              <w:i/>
                            </w:rPr>
                            <m:t>precio</m:t>
                          </m:r>
                        </m:e>
                      </m:eqArr>
                    </m:lim>
                  </m:limLow>
                </m:e>
                <m:lim>
                  <m:r>
                    <w:rPr>
                      <w:rFonts w:ascii="Cambria Math" w:hAnsi="Cambria Math"/>
                    </w:rPr>
                    <m:t>+</m:t>
                  </m:r>
                </m:lim>
              </m:limUpp>
              <m:r>
                <m:rPr>
                  <m:nor/>
                </m:rPr>
                <w:rPr>
                  <w:i/>
                </w:rPr>
                <m:t xml:space="preserve"> </m:t>
              </m:r>
              <m:r>
                <m:rPr>
                  <m:nor/>
                </m:rPr>
                <w:rPr>
                  <w:i/>
                  <w:sz w:val="14"/>
                  <w:szCs w:val="14"/>
                </w:rPr>
                <m:t xml:space="preserve">| </m:t>
              </m:r>
              <m:limUpp>
                <m:limUppPr>
                  <m:ctrlPr>
                    <w:rPr>
                      <w:rFonts w:ascii="Cambria Math" w:hAnsi="Cambria Math"/>
                      <w:i/>
                      <w:iCs w:val="0"/>
                    </w:rPr>
                  </m:ctrlPr>
                </m:limUppPr>
                <m:e>
                  <m:eqArr>
                    <m:eqArrPr>
                      <m:ctrlPr>
                        <w:rPr>
                          <w:rFonts w:ascii="Cambria Math" w:hAnsi="Cambria Math"/>
                          <w:i/>
                        </w:rPr>
                      </m:ctrlPr>
                    </m:eqArrPr>
                    <m:e>
                      <m:r>
                        <m:rPr>
                          <m:nor/>
                        </m:rPr>
                        <w:rPr>
                          <w:i/>
                        </w:rPr>
                        <m:t>Competitividad</m:t>
                      </m:r>
                    </m:e>
                    <m:e>
                      <m:r>
                        <m:rPr>
                          <m:nor/>
                        </m:rPr>
                        <w:rPr>
                          <w:i/>
                        </w:rPr>
                        <m:t>no precio</m:t>
                      </m:r>
                    </m:e>
                  </m:eqArr>
                </m:e>
                <m:lim>
                  <m:r>
                    <w:rPr>
                      <w:rFonts w:ascii="Cambria Math" w:hAnsi="Cambria Math"/>
                    </w:rPr>
                    <m:t>+</m:t>
                  </m:r>
                </m:lim>
              </m:limUpp>
              <m:r>
                <m:rPr>
                  <m:nor/>
                </m:rPr>
                <w:rPr>
                  <w:i/>
                </w:rPr>
                <m:t xml:space="preserve"> </m:t>
              </m:r>
              <m:r>
                <m:rPr>
                  <m:nor/>
                </m:rPr>
                <w:rPr>
                  <w:i/>
                  <w:sz w:val="14"/>
                  <w:szCs w:val="14"/>
                </w:rPr>
                <m:t>|</m:t>
              </m:r>
              <m:r>
                <m:rPr>
                  <m:nor/>
                </m:rPr>
                <w:rPr>
                  <w:i/>
                </w:rPr>
                <m:t xml:space="preserve"> </m:t>
              </m:r>
              <m:limUpp>
                <m:limUppPr>
                  <m:ctrlPr>
                    <w:rPr>
                      <w:rFonts w:ascii="Cambria Math" w:hAnsi="Cambria Math"/>
                      <w:i/>
                      <w:iCs w:val="0"/>
                    </w:rPr>
                  </m:ctrlPr>
                </m:limUppPr>
                <m:e>
                  <m:r>
                    <m:rPr>
                      <m:nor/>
                    </m:rPr>
                    <w:rPr>
                      <w:i/>
                    </w:rPr>
                    <m:t>Y*</m:t>
                  </m:r>
                </m:e>
                <m:lim>
                  <m:r>
                    <w:rPr>
                      <w:rFonts w:ascii="Cambria Math" w:hAnsi="Cambria Math"/>
                    </w:rPr>
                    <m:t>+</m:t>
                  </m:r>
                </m:lim>
              </m:limUpp>
              <m:r>
                <m:rPr>
                  <m:nor/>
                </m:rPr>
                <w:rPr>
                  <w:i/>
                </w:rPr>
                <m:t xml:space="preserve"> | </m:t>
              </m:r>
              <m:limUpp>
                <m:limUppPr>
                  <m:ctrlPr>
                    <w:rPr>
                      <w:rFonts w:ascii="Cambria Math" w:hAnsi="Cambria Math"/>
                      <w:i/>
                      <w:iCs w:val="0"/>
                    </w:rPr>
                  </m:ctrlPr>
                </m:limUppPr>
                <m:e>
                  <m:eqArr>
                    <m:eqArrPr>
                      <m:ctrlPr>
                        <w:rPr>
                          <w:rFonts w:ascii="Cambria Math" w:hAnsi="Cambria Math"/>
                          <w:i/>
                        </w:rPr>
                      </m:ctrlPr>
                    </m:eqArrPr>
                    <m:e>
                      <m:r>
                        <m:rPr>
                          <m:nor/>
                        </m:rPr>
                        <w:rPr>
                          <w:i/>
                        </w:rPr>
                        <m:t xml:space="preserve">Demanda </m:t>
                      </m:r>
                    </m:e>
                    <m:e>
                      <m:r>
                        <m:rPr>
                          <m:nor/>
                        </m:rPr>
                        <w:rPr>
                          <w:i/>
                        </w:rPr>
                        <m:t>interna</m:t>
                      </m:r>
                    </m:e>
                  </m:eqArr>
                </m:e>
                <m:lim>
                  <m:r>
                    <w:rPr>
                      <w:rFonts w:ascii="Cambria Math" w:hAnsi="Cambria Math"/>
                    </w:rPr>
                    <m:t>-</m:t>
                  </m:r>
                </m:lim>
              </m:limUpp>
            </m:e>
          </m:d>
        </m:oMath>
      </m:oMathPara>
    </w:p>
    <w:p w14:paraId="7DB2C7BD" w14:textId="04584863" w:rsidR="005D50B8" w:rsidRPr="00025F23" w:rsidRDefault="005D50B8" w:rsidP="004409B7">
      <w:pPr>
        <w:pStyle w:val="Nivel3SM"/>
      </w:pPr>
      <w:r w:rsidRPr="00025F23">
        <w:rPr>
          <w:i/>
        </w:rPr>
        <w:t>Competitividad precio</w:t>
      </w:r>
      <w:r w:rsidRPr="00025F23">
        <w:t xml:space="preserve"> (</w:t>
      </w:r>
      <m:oMath>
        <m:r>
          <w:rPr>
            <w:rFonts w:ascii="Cambria Math" w:hAnsi="Cambria Math"/>
          </w:rPr>
          <m:t>+</m:t>
        </m:r>
      </m:oMath>
      <w:r w:rsidRPr="00025F23">
        <w:t>):</w:t>
      </w:r>
      <w:r w:rsidR="00C61D6A" w:rsidRPr="00025F23">
        <w:t xml:space="preserve"> </w:t>
      </w:r>
      <w:r w:rsidR="00652EE3" w:rsidRPr="00025F23">
        <w:t>S</w:t>
      </w:r>
      <w:r w:rsidR="00C61D6A" w:rsidRPr="00025F23">
        <w:t>e analiza a través del</w:t>
      </w:r>
      <w:r w:rsidRPr="00025F23">
        <w:t xml:space="preserve"> </w:t>
      </w:r>
      <w:r w:rsidRPr="00025F23">
        <w:rPr>
          <w:i/>
          <w:iCs/>
        </w:rPr>
        <w:t>tipo de cambio efectivo real</w:t>
      </w:r>
      <w:r w:rsidR="0046628C" w:rsidRPr="00025F23">
        <w:rPr>
          <w:rStyle w:val="Refdenotaalpie"/>
        </w:rPr>
        <w:footnoteReference w:id="20"/>
      </w:r>
      <w:r w:rsidR="00F10DB2" w:rsidRPr="00025F23">
        <w:rPr>
          <w:spacing w:val="-2"/>
        </w:rPr>
        <w:t xml:space="preserve"> </w:t>
      </w:r>
      <w:r w:rsidR="00F10DB2" w:rsidRPr="00025F23">
        <w:rPr>
          <w:spacing w:val="-4"/>
          <w:sz w:val="15"/>
          <w:szCs w:val="15"/>
        </w:rPr>
        <w:t xml:space="preserve">(es </w:t>
      </w:r>
      <w:r w:rsidR="00B33E0E" w:rsidRPr="00025F23">
        <w:rPr>
          <w:spacing w:val="-4"/>
          <w:sz w:val="15"/>
          <w:szCs w:val="15"/>
        </w:rPr>
        <w:t xml:space="preserve">muy </w:t>
      </w:r>
      <w:r w:rsidR="00F10DB2" w:rsidRPr="00025F23">
        <w:rPr>
          <w:spacing w:val="-4"/>
          <w:sz w:val="15"/>
          <w:szCs w:val="15"/>
        </w:rPr>
        <w:t xml:space="preserve">importante tener en cuenta si un aumento en </w:t>
      </w:r>
      <w:proofErr w:type="spellStart"/>
      <m:oMath>
        <m:r>
          <m:rPr>
            <m:nor/>
          </m:rPr>
          <w:rPr>
            <w:i/>
            <w:spacing w:val="-4"/>
            <w:sz w:val="15"/>
            <w:szCs w:val="15"/>
          </w:rPr>
          <m:t>e</m:t>
        </m:r>
      </m:oMath>
      <w:proofErr w:type="spellEnd"/>
      <w:r w:rsidR="00F10DB2" w:rsidRPr="00025F23">
        <w:rPr>
          <w:rFonts w:eastAsiaTheme="minorEastAsia"/>
          <w:spacing w:val="-4"/>
          <w:sz w:val="15"/>
          <w:szCs w:val="15"/>
        </w:rPr>
        <w:t xml:space="preserve"> supone una depreciación, como hemos supuesto aquí, o una apreciación</w:t>
      </w:r>
      <w:r w:rsidR="00F10DB2" w:rsidRPr="00025F23">
        <w:rPr>
          <w:spacing w:val="-4"/>
          <w:sz w:val="15"/>
          <w:szCs w:val="15"/>
        </w:rPr>
        <w:t>)</w:t>
      </w:r>
      <w:r w:rsidR="00B33E0E" w:rsidRPr="00025F23">
        <w:rPr>
          <w:spacing w:val="-2"/>
        </w:rPr>
        <w:t xml:space="preserve"> </w:t>
      </w:r>
      <w:r w:rsidRPr="00025F23">
        <w:t>[se analizará más en detalle en el apartado</w:t>
      </w:r>
      <w:r w:rsidR="00652EE3" w:rsidRPr="00025F23">
        <w:t> </w:t>
      </w:r>
      <w:r w:rsidRPr="00025F23">
        <w:fldChar w:fldCharType="begin"/>
      </w:r>
      <w:r w:rsidRPr="00025F23">
        <w:instrText xml:space="preserve"> REF _Ref97337372 \r \h  \* MERGEFORMAT </w:instrText>
      </w:r>
      <w:r w:rsidRPr="00025F23">
        <w:fldChar w:fldCharType="separate"/>
      </w:r>
      <w:r w:rsidR="00903E0C">
        <w:t>3.1</w:t>
      </w:r>
      <w:r w:rsidRPr="00025F23">
        <w:fldChar w:fldCharType="end"/>
      </w:r>
      <w:r w:rsidR="0046628C" w:rsidRPr="00025F23">
        <w:t>.</w:t>
      </w:r>
      <w:r w:rsidRPr="00025F23">
        <w:t xml:space="preserve"> </w:t>
      </w:r>
      <w:r w:rsidRPr="00025F23">
        <w:fldChar w:fldCharType="begin"/>
      </w:r>
      <w:r w:rsidRPr="00025F23">
        <w:instrText xml:space="preserve"> REF _Ref97337348 \h  \* MERGEFORMAT </w:instrText>
      </w:r>
      <w:r w:rsidRPr="00025F23">
        <w:fldChar w:fldCharType="separate"/>
      </w:r>
      <w:r w:rsidR="00903E0C" w:rsidRPr="00025F23">
        <w:t>Competitividad precio</w:t>
      </w:r>
      <w:r w:rsidRPr="00025F23">
        <w:fldChar w:fldCharType="end"/>
      </w:r>
      <w:r w:rsidRPr="00025F23">
        <w:t>],</w:t>
      </w:r>
    </w:p>
    <w:p w14:paraId="58789B7C" w14:textId="1D81A737" w:rsidR="005D50B8" w:rsidRPr="00025F23" w:rsidRDefault="005D50B8" w:rsidP="004409B7">
      <w:pPr>
        <w:pStyle w:val="Nivel3SM"/>
      </w:pPr>
      <w:r w:rsidRPr="00025F23">
        <w:rPr>
          <w:i/>
        </w:rPr>
        <w:t>Competitividad no precio</w:t>
      </w:r>
      <w:r w:rsidRPr="00025F23">
        <w:t xml:space="preserve"> (</w:t>
      </w:r>
      <m:oMath>
        <m:r>
          <w:rPr>
            <w:rFonts w:ascii="Cambria Math" w:hAnsi="Cambria Math"/>
          </w:rPr>
          <m:t>+</m:t>
        </m:r>
      </m:oMath>
      <w:r w:rsidRPr="00025F23">
        <w:t xml:space="preserve">): </w:t>
      </w:r>
      <w:r w:rsidR="00652EE3" w:rsidRPr="00025F23">
        <w:t>I</w:t>
      </w:r>
      <w:r w:rsidRPr="00025F23">
        <w:t>magen de marca, diferenciación, calidad, etc.,</w:t>
      </w:r>
    </w:p>
    <w:p w14:paraId="7FD927AC" w14:textId="5776598C" w:rsidR="005D50B8" w:rsidRPr="00025F23" w:rsidRDefault="005D50B8" w:rsidP="004409B7">
      <w:pPr>
        <w:pStyle w:val="Nivel3SM"/>
      </w:pPr>
      <w:r w:rsidRPr="00025F23">
        <w:rPr>
          <w:i/>
        </w:rPr>
        <w:t>Renta extranjera</w:t>
      </w:r>
      <w:r w:rsidRPr="00025F23">
        <w:t xml:space="preserve"> (</w:t>
      </w:r>
      <m:oMath>
        <m:r>
          <w:rPr>
            <w:rFonts w:ascii="Cambria Math" w:hAnsi="Cambria Math"/>
          </w:rPr>
          <m:t>+</m:t>
        </m:r>
      </m:oMath>
      <w:r w:rsidRPr="00025F23">
        <w:t>), y</w:t>
      </w:r>
    </w:p>
    <w:p w14:paraId="7890516F" w14:textId="3E19B58C" w:rsidR="005D50B8" w:rsidRPr="00025F23" w:rsidRDefault="005D50B8" w:rsidP="004409B7">
      <w:pPr>
        <w:pStyle w:val="Nivel3SM"/>
      </w:pPr>
      <w:r w:rsidRPr="00025F23">
        <w:rPr>
          <w:i/>
        </w:rPr>
        <w:t>Demanda interna</w:t>
      </w:r>
      <w:r w:rsidRPr="00025F23">
        <w:t xml:space="preserve"> (</w:t>
      </w:r>
      <m:oMath>
        <m:r>
          <w:rPr>
            <w:rFonts w:ascii="Cambria Math" w:hAnsi="Cambria Math"/>
          </w:rPr>
          <m:t>-</m:t>
        </m:r>
      </m:oMath>
      <w:r w:rsidRPr="00025F23">
        <w:t>): Recientemente se ha observado que las exportaciones de un país pueden depender también de la demanda interna: cuando ésta cae (p.ej. por una recesión), los empresarios buscan mercados alternativos al doméstico donde colocar sus productos. Y viceversa: cuando la demanda interna repunta, los exportadores se repliegan ante la mayor facilidad de colocar sus productos y servicios en el mercado nacional.</w:t>
      </w:r>
    </w:p>
    <w:p w14:paraId="2E186B6F" w14:textId="3ACDA153" w:rsidR="005D50B8" w:rsidRPr="00025F23" w:rsidRDefault="005D50B8" w:rsidP="004409B7">
      <w:pPr>
        <w:pStyle w:val="Letra"/>
        <w:keepNext/>
        <w:ind w:left="425" w:hanging="170"/>
      </w:pPr>
      <w:r w:rsidRPr="00025F23">
        <w:rPr>
          <w:i/>
          <w:iCs w:val="0"/>
          <w:u w:val="single"/>
        </w:rPr>
        <w:t xml:space="preserve">Los factores que afectan a </w:t>
      </w:r>
      <m:oMath>
        <m:r>
          <m:rPr>
            <m:nor/>
          </m:rPr>
          <w:rPr>
            <w:rFonts w:eastAsiaTheme="minorEastAsia"/>
            <w:i/>
            <w:szCs w:val="16"/>
            <w:u w:val="single"/>
          </w:rPr>
          <m:t>M</m:t>
        </m:r>
      </m:oMath>
      <w:r w:rsidRPr="00025F23">
        <w:t>:</w:t>
      </w:r>
    </w:p>
    <w:p w14:paraId="656B0A8E" w14:textId="7FDCCF23" w:rsidR="005D50B8" w:rsidRPr="00025F23" w:rsidRDefault="005D50B8" w:rsidP="00652EE3">
      <w:pPr>
        <w:pStyle w:val="Letra"/>
        <w:numPr>
          <w:ilvl w:val="0"/>
          <w:numId w:val="0"/>
        </w:numPr>
        <w:spacing w:after="0"/>
        <w:ind w:left="425"/>
        <w:rPr>
          <w:rFonts w:eastAsiaTheme="minorEastAsia"/>
        </w:rPr>
      </w:pPr>
      <m:oMathPara>
        <m:oMath>
          <m:r>
            <w:rPr>
              <w:rFonts w:ascii="Cambria Math" w:eastAsiaTheme="minorEastAsia" w:hAnsi="Cambria Math"/>
            </w:rPr>
            <m:t xml:space="preserve"> </m:t>
          </m:r>
          <m:r>
            <m:rPr>
              <m:nor/>
            </m:rPr>
            <w:rPr>
              <w:i/>
            </w:rPr>
            <m:t>M</m:t>
          </m:r>
          <m:r>
            <w:rPr>
              <w:rFonts w:ascii="Cambria Math" w:hAnsi="Cambria Math"/>
            </w:rPr>
            <m:t>=</m:t>
          </m:r>
          <m:r>
            <m:rPr>
              <m:nor/>
            </m:rPr>
            <w:rPr>
              <w:i/>
            </w:rPr>
            <m:t>f</m:t>
          </m:r>
          <m:d>
            <m:dPr>
              <m:ctrlPr>
                <w:rPr>
                  <w:rFonts w:ascii="Cambria Math" w:hAnsi="Cambria Math"/>
                  <w:i/>
                </w:rPr>
              </m:ctrlPr>
            </m:dPr>
            <m:e>
              <m:r>
                <m:rPr>
                  <m:nor/>
                </m:rPr>
                <w:rPr>
                  <w:i/>
                </w:rPr>
                <m:t xml:space="preserve"> </m:t>
              </m:r>
              <m:limUpp>
                <m:limUppPr>
                  <m:ctrlPr>
                    <w:rPr>
                      <w:rFonts w:ascii="Cambria Math" w:hAnsi="Cambria Math"/>
                      <w:i/>
                      <w:iCs w:val="0"/>
                    </w:rPr>
                  </m:ctrlPr>
                </m:limUppPr>
                <m:e>
                  <m:limLow>
                    <m:limLowPr>
                      <m:ctrlPr>
                        <w:rPr>
                          <w:rFonts w:ascii="Cambria Math" w:hAnsi="Cambria Math"/>
                          <w:i/>
                        </w:rPr>
                      </m:ctrlPr>
                    </m:limLowPr>
                    <m:e>
                      <m:groupChr>
                        <m:groupChrPr>
                          <m:ctrlPr>
                            <w:rPr>
                              <w:rFonts w:ascii="Cambria Math" w:hAnsi="Cambria Math"/>
                              <w:i/>
                            </w:rPr>
                          </m:ctrlPr>
                        </m:groupChrPr>
                        <m:e>
                          <m:r>
                            <m:rPr>
                              <m:nor/>
                            </m:rPr>
                            <w:rPr>
                              <w:i/>
                            </w:rPr>
                            <m:t>e</m:t>
                          </m:r>
                          <m:r>
                            <w:rPr>
                              <w:rFonts w:ascii="Cambria Math" w:hAnsi="Cambria Math"/>
                            </w:rPr>
                            <m:t>=</m:t>
                          </m:r>
                          <m:f>
                            <m:fPr>
                              <m:ctrlPr>
                                <w:rPr>
                                  <w:rFonts w:ascii="Cambria Math" w:hAnsi="Cambria Math"/>
                                  <w:i/>
                                </w:rPr>
                              </m:ctrlPr>
                            </m:fPr>
                            <m:num>
                              <m:r>
                                <m:rPr>
                                  <m:nor/>
                                </m:rPr>
                                <w:rPr>
                                  <w:i/>
                                </w:rPr>
                                <m:t>E</m:t>
                              </m:r>
                              <m:r>
                                <w:rPr>
                                  <w:rFonts w:ascii="Cambria Math" w:hAnsi="Cambria Math"/>
                                </w:rPr>
                                <m:t>∙</m:t>
                              </m:r>
                              <m:r>
                                <m:rPr>
                                  <m:nor/>
                                </m:rPr>
                                <w:rPr>
                                  <w:i/>
                                </w:rPr>
                                <m:t>P*</m:t>
                              </m:r>
                            </m:num>
                            <m:den>
                              <m:r>
                                <m:rPr>
                                  <m:nor/>
                                </m:rPr>
                                <w:rPr>
                                  <w:i/>
                                </w:rPr>
                                <m:t>P</m:t>
                              </m:r>
                            </m:den>
                          </m:f>
                        </m:e>
                      </m:groupChr>
                    </m:e>
                    <m:lim>
                      <m:eqArr>
                        <m:eqArrPr>
                          <m:ctrlPr>
                            <w:rPr>
                              <w:rFonts w:ascii="Cambria Math" w:hAnsi="Cambria Math"/>
                              <w:i/>
                            </w:rPr>
                          </m:ctrlPr>
                        </m:eqArrPr>
                        <m:e>
                          <m:r>
                            <m:rPr>
                              <m:nor/>
                            </m:rPr>
                            <w:rPr>
                              <w:i/>
                            </w:rPr>
                            <m:t>Competitividad</m:t>
                          </m:r>
                        </m:e>
                        <m:e>
                          <m:r>
                            <m:rPr>
                              <m:nor/>
                            </m:rPr>
                            <w:rPr>
                              <w:i/>
                            </w:rPr>
                            <m:t>precio</m:t>
                          </m:r>
                        </m:e>
                      </m:eqArr>
                    </m:lim>
                  </m:limLow>
                </m:e>
                <m:lim>
                  <m:r>
                    <w:rPr>
                      <w:rFonts w:ascii="Cambria Math" w:hAnsi="Cambria Math"/>
                    </w:rPr>
                    <m:t>-</m:t>
                  </m:r>
                </m:lim>
              </m:limUpp>
              <m:r>
                <m:rPr>
                  <m:nor/>
                </m:rPr>
                <w:rPr>
                  <w:i/>
                </w:rPr>
                <m:t xml:space="preserve"> </m:t>
              </m:r>
              <m:r>
                <m:rPr>
                  <m:nor/>
                </m:rPr>
                <w:rPr>
                  <w:i/>
                  <w:sz w:val="14"/>
                  <w:szCs w:val="14"/>
                </w:rPr>
                <m:t xml:space="preserve">| </m:t>
              </m:r>
              <m:limUpp>
                <m:limUppPr>
                  <m:ctrlPr>
                    <w:rPr>
                      <w:rFonts w:ascii="Cambria Math" w:hAnsi="Cambria Math"/>
                      <w:i/>
                      <w:iCs w:val="0"/>
                    </w:rPr>
                  </m:ctrlPr>
                </m:limUppPr>
                <m:e>
                  <m:eqArr>
                    <m:eqArrPr>
                      <m:ctrlPr>
                        <w:rPr>
                          <w:rFonts w:ascii="Cambria Math" w:hAnsi="Cambria Math"/>
                          <w:i/>
                        </w:rPr>
                      </m:ctrlPr>
                    </m:eqArrPr>
                    <m:e>
                      <m:r>
                        <m:rPr>
                          <m:nor/>
                        </m:rPr>
                        <w:rPr>
                          <w:i/>
                        </w:rPr>
                        <m:t>Competitividad</m:t>
                      </m:r>
                    </m:e>
                    <m:e>
                      <m:r>
                        <m:rPr>
                          <m:nor/>
                        </m:rPr>
                        <w:rPr>
                          <w:i/>
                        </w:rPr>
                        <m:t>no precio</m:t>
                      </m:r>
                    </m:e>
                  </m:eqArr>
                </m:e>
                <m:lim>
                  <m:r>
                    <w:rPr>
                      <w:rFonts w:ascii="Cambria Math" w:hAnsi="Cambria Math"/>
                    </w:rPr>
                    <m:t>-</m:t>
                  </m:r>
                </m:lim>
              </m:limUpp>
              <m:r>
                <m:rPr>
                  <m:nor/>
                </m:rPr>
                <w:rPr>
                  <w:i/>
                </w:rPr>
                <m:t xml:space="preserve"> </m:t>
              </m:r>
              <m:r>
                <m:rPr>
                  <m:nor/>
                </m:rPr>
                <w:rPr>
                  <w:i/>
                  <w:sz w:val="14"/>
                  <w:szCs w:val="14"/>
                </w:rPr>
                <m:t>|</m:t>
              </m:r>
              <m:r>
                <m:rPr>
                  <m:nor/>
                </m:rPr>
                <w:rPr>
                  <w:i/>
                </w:rPr>
                <m:t xml:space="preserve"> </m:t>
              </m:r>
              <m:limUpp>
                <m:limUppPr>
                  <m:ctrlPr>
                    <w:rPr>
                      <w:rFonts w:ascii="Cambria Math" w:hAnsi="Cambria Math"/>
                      <w:i/>
                      <w:iCs w:val="0"/>
                    </w:rPr>
                  </m:ctrlPr>
                </m:limUppPr>
                <m:e>
                  <m:r>
                    <m:rPr>
                      <m:nor/>
                    </m:rPr>
                    <w:rPr>
                      <w:i/>
                    </w:rPr>
                    <m:t>Y</m:t>
                  </m:r>
                </m:e>
                <m:lim>
                  <m:r>
                    <w:rPr>
                      <w:rFonts w:ascii="Cambria Math" w:hAnsi="Cambria Math"/>
                    </w:rPr>
                    <m:t>+</m:t>
                  </m:r>
                </m:lim>
              </m:limUpp>
            </m:e>
          </m:d>
        </m:oMath>
      </m:oMathPara>
    </w:p>
    <w:p w14:paraId="7DE310CF" w14:textId="5471DBBA" w:rsidR="005D50B8" w:rsidRPr="00025F23" w:rsidRDefault="005D50B8" w:rsidP="004409B7">
      <w:pPr>
        <w:pStyle w:val="Nivel3SM"/>
      </w:pPr>
      <w:r w:rsidRPr="004409B7">
        <w:rPr>
          <w:i/>
          <w:iCs/>
        </w:rPr>
        <w:t>Competitividad precio</w:t>
      </w:r>
      <w:r w:rsidRPr="00025F23">
        <w:t xml:space="preserve"> (</w:t>
      </w:r>
      <m:oMath>
        <m:r>
          <m:rPr>
            <m:sty m:val="p"/>
          </m:rPr>
          <w:rPr>
            <w:rFonts w:ascii="Cambria Math" w:hAnsi="Cambria Math"/>
          </w:rPr>
          <m:t>-</m:t>
        </m:r>
      </m:oMath>
      <w:r w:rsidRPr="00025F23">
        <w:t>)</w:t>
      </w:r>
      <w:r w:rsidRPr="00025F23">
        <w:rPr>
          <w:sz w:val="14"/>
          <w:szCs w:val="14"/>
        </w:rPr>
        <w:t>,</w:t>
      </w:r>
    </w:p>
    <w:p w14:paraId="0B08DE06" w14:textId="58881362" w:rsidR="005D50B8" w:rsidRPr="00025F23" w:rsidRDefault="005D50B8" w:rsidP="004409B7">
      <w:pPr>
        <w:pStyle w:val="Nivel3SM"/>
      </w:pPr>
      <w:r w:rsidRPr="004409B7">
        <w:rPr>
          <w:i/>
          <w:iCs/>
        </w:rPr>
        <w:t>Competitividad no precio</w:t>
      </w:r>
      <w:r w:rsidRPr="00025F23">
        <w:t xml:space="preserve"> (</w:t>
      </w:r>
      <m:oMath>
        <m:r>
          <m:rPr>
            <m:sty m:val="p"/>
          </m:rPr>
          <w:rPr>
            <w:rFonts w:ascii="Cambria Math" w:hAnsi="Cambria Math"/>
          </w:rPr>
          <m:t>-</m:t>
        </m:r>
      </m:oMath>
      <w:r w:rsidRPr="00025F23">
        <w:t>), y</w:t>
      </w:r>
    </w:p>
    <w:p w14:paraId="6E3A335D" w14:textId="2F07608A" w:rsidR="005D50B8" w:rsidRPr="00025F23" w:rsidRDefault="005D50B8" w:rsidP="004409B7">
      <w:pPr>
        <w:pStyle w:val="Nivel3SM"/>
      </w:pPr>
      <w:r w:rsidRPr="004409B7">
        <w:rPr>
          <w:i/>
          <w:iCs/>
        </w:rPr>
        <w:t>Renta nacional</w:t>
      </w:r>
      <w:r w:rsidRPr="00025F23">
        <w:t xml:space="preserve"> (</w:t>
      </w:r>
      <m:oMath>
        <m:r>
          <m:rPr>
            <m:sty m:val="p"/>
          </m:rPr>
          <w:rPr>
            <w:rFonts w:ascii="Cambria Math" w:hAnsi="Cambria Math"/>
          </w:rPr>
          <m:t>+</m:t>
        </m:r>
      </m:oMath>
      <w:r w:rsidRPr="00025F23">
        <w:t xml:space="preserve">): </w:t>
      </w:r>
      <w:r w:rsidRPr="00025F23">
        <w:rPr>
          <w:sz w:val="14"/>
          <w:szCs w:val="20"/>
        </w:rPr>
        <w:t xml:space="preserve">Las importaciones suelen ser </w:t>
      </w:r>
      <w:r w:rsidRPr="004409B7">
        <w:rPr>
          <w:i/>
          <w:iCs/>
          <w:sz w:val="14"/>
          <w:szCs w:val="20"/>
        </w:rPr>
        <w:t>procíclicas</w:t>
      </w:r>
      <w:r w:rsidRPr="00025F23">
        <w:rPr>
          <w:sz w:val="14"/>
          <w:szCs w:val="20"/>
        </w:rPr>
        <w:t xml:space="preserve"> por la </w:t>
      </w:r>
      <w:r w:rsidRPr="004409B7">
        <w:rPr>
          <w:i/>
          <w:iCs/>
          <w:sz w:val="14"/>
          <w:szCs w:val="20"/>
        </w:rPr>
        <w:t>elevada elasticidad positiva</w:t>
      </w:r>
      <w:r w:rsidRPr="00025F23">
        <w:rPr>
          <w:sz w:val="14"/>
          <w:szCs w:val="20"/>
        </w:rPr>
        <w:t xml:space="preserve"> que tienen hacia la renta nacional</w:t>
      </w:r>
      <w:r w:rsidRPr="00025F23">
        <w:t>.</w:t>
      </w:r>
    </w:p>
    <w:p w14:paraId="490F4C2C" w14:textId="77134FB9" w:rsidR="005D50B8" w:rsidRPr="00025F23" w:rsidRDefault="005D50B8" w:rsidP="004409B7">
      <w:pPr>
        <w:pStyle w:val="Nivel3SM"/>
        <w:rPr>
          <w:rFonts w:eastAsiaTheme="minorEastAsia"/>
        </w:rPr>
      </w:pPr>
      <m:oMath>
        <m:r>
          <m:rPr>
            <m:nor/>
          </m:rPr>
          <w:rPr>
            <w:i/>
            <w:iCs/>
          </w:rPr>
          <m:t>M</m:t>
        </m:r>
      </m:oMath>
      <w:r w:rsidRPr="00025F23">
        <w:rPr>
          <w:rFonts w:eastAsiaTheme="minorEastAsia"/>
        </w:rPr>
        <w:t xml:space="preserve"> depende de elementos estructurales como la </w:t>
      </w:r>
      <w:r w:rsidRPr="008D4C91">
        <w:rPr>
          <w:rFonts w:eastAsiaTheme="minorEastAsia"/>
          <w:i/>
          <w:iCs/>
        </w:rPr>
        <w:t>dependencia energética</w:t>
      </w:r>
      <w:r w:rsidRPr="00025F23">
        <w:rPr>
          <w:rFonts w:eastAsiaTheme="minorEastAsia"/>
        </w:rPr>
        <w:t xml:space="preserve">, </w:t>
      </w:r>
      <w:r w:rsidRPr="008D4C91">
        <w:rPr>
          <w:rFonts w:eastAsiaTheme="minorEastAsia"/>
          <w:i/>
          <w:iCs/>
        </w:rPr>
        <w:t>tecnológica</w:t>
      </w:r>
      <w:r w:rsidRPr="00025F23">
        <w:rPr>
          <w:rFonts w:eastAsiaTheme="minorEastAsia"/>
        </w:rPr>
        <w:t>, etc.</w:t>
      </w:r>
    </w:p>
    <w:p w14:paraId="021DEC36" w14:textId="197E2BD5" w:rsidR="005D50B8" w:rsidRPr="00025F23" w:rsidRDefault="005D50B8" w:rsidP="00C923B0">
      <w:pPr>
        <w:keepNext/>
        <w:spacing w:before="40" w:after="20"/>
        <w:rPr>
          <w:i/>
          <w:iCs/>
          <w:color w:val="767171" w:themeColor="background2" w:themeShade="80"/>
        </w:rPr>
      </w:pPr>
      <w:r w:rsidRPr="00025F23">
        <w:rPr>
          <w:color w:val="767171" w:themeColor="background2" w:themeShade="80"/>
        </w:rPr>
        <w:t>[</w:t>
      </w:r>
      <w:r w:rsidRPr="00025F23">
        <w:rPr>
          <w:i/>
          <w:iCs/>
          <w:color w:val="767171" w:themeColor="background2" w:themeShade="80"/>
        </w:rPr>
        <w:t xml:space="preserve">A partir de aquí opcionales – </w:t>
      </w:r>
      <w:r w:rsidR="00F65616" w:rsidRPr="00025F23">
        <w:rPr>
          <w:i/>
          <w:iCs/>
          <w:color w:val="767171" w:themeColor="background2" w:themeShade="80"/>
        </w:rPr>
        <w:t>sólo s</w:t>
      </w:r>
      <w:r w:rsidRPr="00025F23">
        <w:rPr>
          <w:i/>
          <w:iCs/>
          <w:color w:val="767171" w:themeColor="background2" w:themeShade="80"/>
        </w:rPr>
        <w:t>i hay tiempo</w:t>
      </w:r>
      <w:r w:rsidRPr="00025F23">
        <w:rPr>
          <w:color w:val="767171" w:themeColor="background2" w:themeShade="80"/>
        </w:rPr>
        <w:t>]</w:t>
      </w:r>
    </w:p>
    <w:p w14:paraId="1B424E52" w14:textId="377FA31C" w:rsidR="00A01A88" w:rsidRPr="00025F23" w:rsidRDefault="005D50B8" w:rsidP="004409B7">
      <w:pPr>
        <w:pStyle w:val="Letra"/>
        <w:keepNext/>
        <w:spacing w:after="0"/>
        <w:ind w:left="312" w:hanging="170"/>
      </w:pPr>
      <w:r w:rsidRPr="00025F23">
        <w:rPr>
          <w:i/>
          <w:iCs w:val="0"/>
          <w:u w:val="single"/>
        </w:rPr>
        <w:t>Apertura</w:t>
      </w:r>
      <w:r w:rsidR="0075272D" w:rsidRPr="00025F23">
        <w:t>, a precios corrientes</w:t>
      </w:r>
      <w:r w:rsidRPr="00025F23">
        <w:t>:</w:t>
      </w:r>
    </w:p>
    <w:p w14:paraId="6940C8FB" w14:textId="1C8012DA" w:rsidR="00A01A88" w:rsidRPr="00025F23" w:rsidRDefault="00A01A88" w:rsidP="00A01A88">
      <w:pPr>
        <w:pStyle w:val="Letra"/>
        <w:numPr>
          <w:ilvl w:val="0"/>
          <w:numId w:val="0"/>
        </w:numPr>
        <w:ind w:left="426"/>
        <w:rPr>
          <w:rFonts w:eastAsiaTheme="minorEastAsia"/>
          <w:i/>
        </w:rPr>
      </w:pPr>
      <m:oMathPara>
        <m:oMath>
          <m:r>
            <m:rPr>
              <m:nor/>
            </m:rPr>
            <w:rPr>
              <w:rFonts w:eastAsiaTheme="minorEastAsia"/>
              <w:i/>
              <w:iCs w:val="0"/>
            </w:rPr>
            <m:t>Apertura</m:t>
          </m:r>
          <m:r>
            <w:rPr>
              <w:rFonts w:ascii="Cambria Math" w:eastAsiaTheme="minorEastAsia" w:hAnsi="Cambria Math"/>
            </w:rPr>
            <m:t>=</m:t>
          </m:r>
          <m:f>
            <m:fPr>
              <m:ctrlPr>
                <w:rPr>
                  <w:rFonts w:ascii="Cambria Math" w:hAnsi="Cambria Math"/>
                  <w:i/>
                </w:rPr>
              </m:ctrlPr>
            </m:fPr>
            <m:num>
              <m:r>
                <m:rPr>
                  <m:nor/>
                </m:rPr>
                <w:rPr>
                  <w:i/>
                </w:rPr>
                <m:t>X</m:t>
              </m:r>
              <m:r>
                <w:rPr>
                  <w:rFonts w:ascii="Cambria Math" w:hAnsi="Cambria Math"/>
                </w:rPr>
                <m:t>+</m:t>
              </m:r>
              <m:r>
                <m:rPr>
                  <m:nor/>
                </m:rPr>
                <w:rPr>
                  <w:i/>
                </w:rPr>
                <m:t>M</m:t>
              </m:r>
            </m:num>
            <m:den>
              <m:r>
                <m:rPr>
                  <m:nor/>
                </m:rPr>
                <w:rPr>
                  <w:i/>
                </w:rPr>
                <m:t>PIB</m:t>
              </m:r>
            </m:den>
          </m:f>
        </m:oMath>
      </m:oMathPara>
    </w:p>
    <w:p w14:paraId="785FF2A2" w14:textId="2456CD80" w:rsidR="00A01A88" w:rsidRPr="00025F23" w:rsidRDefault="00A01A88" w:rsidP="008D4C91">
      <w:pPr>
        <w:pStyle w:val="Nivel3SM"/>
      </w:pPr>
      <w:r w:rsidRPr="00025F23">
        <w:t xml:space="preserve">Si </w:t>
      </w:r>
      <m:oMath>
        <m:r>
          <m:rPr>
            <m:nor/>
          </m:rPr>
          <w:rPr>
            <w:rFonts w:eastAsiaTheme="minorEastAsia"/>
            <w:i/>
            <w:iCs/>
          </w:rPr>
          <m:t>Apertura</m:t>
        </m:r>
        <m:r>
          <w:rPr>
            <w:rFonts w:ascii="Cambria Math" w:eastAsiaTheme="minorEastAsia" w:hAnsi="Cambria Math"/>
          </w:rPr>
          <m:t>&lt;</m:t>
        </m:r>
        <m:r>
          <m:rPr>
            <m:nor/>
          </m:rPr>
          <w:rPr>
            <w:rFonts w:eastAsiaTheme="minorEastAsia"/>
            <w:i/>
            <w:iCs/>
          </w:rPr>
          <m:t>15-20 %</m:t>
        </m:r>
      </m:oMath>
      <w:r w:rsidRPr="00025F23">
        <w:rPr>
          <w:rFonts w:eastAsiaTheme="minorEastAsia"/>
          <w:iCs/>
        </w:rPr>
        <w:t>:</w:t>
      </w:r>
      <w:r w:rsidRPr="00025F23">
        <w:t xml:space="preserve"> </w:t>
      </w:r>
      <w:r w:rsidRPr="00025F23">
        <w:rPr>
          <w:b/>
          <w:bCs/>
        </w:rPr>
        <w:t>Economía cerrada</w:t>
      </w:r>
      <w:r w:rsidRPr="00025F23">
        <w:t xml:space="preserve"> (generalmente país grande; en </w:t>
      </w:r>
      <w:r w:rsidR="00BB5DBC" w:rsidRPr="00025F23">
        <w:t>Estados Unidos</w:t>
      </w:r>
      <w:r w:rsidRPr="00025F23">
        <w:t xml:space="preserve"> entorno al 25</w:t>
      </w:r>
      <w:r w:rsidR="00652EE3" w:rsidRPr="00025F23">
        <w:t> </w:t>
      </w:r>
      <w:r w:rsidRPr="00025F23">
        <w:t>%);</w:t>
      </w:r>
    </w:p>
    <w:p w14:paraId="15E95998" w14:textId="1B8C1E95" w:rsidR="00A01A88" w:rsidRPr="00025F23" w:rsidRDefault="00A01A88" w:rsidP="008D4C91">
      <w:pPr>
        <w:pStyle w:val="Nivel3SM"/>
      </w:pPr>
      <w:r w:rsidRPr="00025F23">
        <w:t xml:space="preserve">Si </w:t>
      </w:r>
      <m:oMath>
        <m:r>
          <m:rPr>
            <m:nor/>
          </m:rPr>
          <w:rPr>
            <w:rFonts w:eastAsiaTheme="minorEastAsia"/>
            <w:i/>
            <w:iCs/>
          </w:rPr>
          <m:t>Apertura</m:t>
        </m:r>
        <m:r>
          <w:rPr>
            <w:rFonts w:ascii="Cambria Math" w:eastAsiaTheme="minorEastAsia" w:hAnsi="Cambria Math"/>
          </w:rPr>
          <m:t>~</m:t>
        </m:r>
        <m:r>
          <m:rPr>
            <m:nor/>
          </m:rPr>
          <w:rPr>
            <w:rFonts w:eastAsiaTheme="minorEastAsia"/>
            <w:i/>
            <w:iCs/>
          </w:rPr>
          <m:t>50 %</m:t>
        </m:r>
      </m:oMath>
      <w:r w:rsidRPr="00025F23">
        <w:rPr>
          <w:rFonts w:eastAsiaTheme="minorEastAsia"/>
          <w:iCs/>
        </w:rPr>
        <w:t>:</w:t>
      </w:r>
      <w:r w:rsidRPr="00025F23">
        <w:t xml:space="preserve"> </w:t>
      </w:r>
      <w:r w:rsidRPr="00025F23">
        <w:rPr>
          <w:b/>
          <w:bCs/>
        </w:rPr>
        <w:t>Normal</w:t>
      </w:r>
      <w:r w:rsidRPr="00025F23">
        <w:t xml:space="preserve"> (en España está en</w:t>
      </w:r>
      <w:r w:rsidR="002218CE" w:rsidRPr="00025F23">
        <w:t xml:space="preserve"> </w:t>
      </w:r>
      <w:r w:rsidRPr="00025F23">
        <w:t>torno al 60</w:t>
      </w:r>
      <w:r w:rsidR="00652EE3" w:rsidRPr="00025F23">
        <w:t> </w:t>
      </w:r>
      <w:r w:rsidRPr="00025F23">
        <w:t>%);</w:t>
      </w:r>
    </w:p>
    <w:p w14:paraId="375AA2E7" w14:textId="729C6EE7" w:rsidR="00A01A88" w:rsidRPr="00025F23" w:rsidRDefault="00A01A88" w:rsidP="008D4C91">
      <w:pPr>
        <w:pStyle w:val="Nivel3SM"/>
      </w:pPr>
      <w:r w:rsidRPr="00025F23">
        <w:t xml:space="preserve">Si </w:t>
      </w:r>
      <m:oMath>
        <m:r>
          <m:rPr>
            <m:nor/>
          </m:rPr>
          <w:rPr>
            <w:rFonts w:eastAsiaTheme="minorEastAsia"/>
            <w:i/>
            <w:iCs/>
          </w:rPr>
          <m:t>Apertura</m:t>
        </m:r>
        <m:r>
          <w:rPr>
            <w:rFonts w:ascii="Cambria Math" w:eastAsiaTheme="minorEastAsia" w:hAnsi="Cambria Math"/>
          </w:rPr>
          <m:t>&gt;</m:t>
        </m:r>
        <m:r>
          <m:rPr>
            <m:nor/>
          </m:rPr>
          <w:rPr>
            <w:rFonts w:eastAsiaTheme="minorEastAsia"/>
            <w:i/>
            <w:iCs/>
          </w:rPr>
          <m:t>75 %</m:t>
        </m:r>
      </m:oMath>
      <w:r w:rsidRPr="00025F23">
        <w:rPr>
          <w:rFonts w:eastAsiaTheme="minorEastAsia"/>
          <w:iCs/>
        </w:rPr>
        <w:t>:</w:t>
      </w:r>
      <w:r w:rsidRPr="00025F23">
        <w:t xml:space="preserve"> </w:t>
      </w:r>
      <w:r w:rsidRPr="00025F23">
        <w:rPr>
          <w:b/>
          <w:bCs/>
        </w:rPr>
        <w:t>Economía muy abierta</w:t>
      </w:r>
      <w:r w:rsidRPr="00025F23">
        <w:t xml:space="preserve"> (generalmente país pequeño que debe integrarse en el comercio internacional para disponer de una variedad amplia de productos; en Bélgica por ejemplo está entorno al 160</w:t>
      </w:r>
      <w:r w:rsidR="0097016E" w:rsidRPr="00025F23">
        <w:t> </w:t>
      </w:r>
      <w:r w:rsidRPr="00025F23">
        <w:t>%);</w:t>
      </w:r>
    </w:p>
    <w:p w14:paraId="65827A21" w14:textId="5994249B" w:rsidR="0075272D" w:rsidRPr="00025F23" w:rsidRDefault="005D50B8" w:rsidP="004409B7">
      <w:pPr>
        <w:pStyle w:val="Letra"/>
        <w:keepNext/>
        <w:spacing w:after="0"/>
        <w:ind w:left="312" w:hanging="170"/>
      </w:pPr>
      <w:r w:rsidRPr="00025F23">
        <w:rPr>
          <w:i/>
          <w:iCs w:val="0"/>
          <w:u w:val="single"/>
        </w:rPr>
        <w:t>Penetración de las importaciones</w:t>
      </w:r>
      <w:r w:rsidR="0075272D" w:rsidRPr="00025F23">
        <w:t>, a precios corrientes</w:t>
      </w:r>
      <w:r w:rsidRPr="00025F23">
        <w:t>:</w:t>
      </w:r>
    </w:p>
    <w:p w14:paraId="234D43F3" w14:textId="66347B7F" w:rsidR="0075272D" w:rsidRPr="00025F23" w:rsidRDefault="0075272D" w:rsidP="00652EE3">
      <w:pPr>
        <w:pStyle w:val="Letra"/>
        <w:keepNext/>
        <w:numPr>
          <w:ilvl w:val="0"/>
          <w:numId w:val="0"/>
        </w:numPr>
        <w:spacing w:after="0"/>
        <w:ind w:left="425"/>
      </w:pPr>
      <m:oMathPara>
        <m:oMath>
          <m:r>
            <m:rPr>
              <m:nor/>
            </m:rPr>
            <w:rPr>
              <w:i/>
              <w:iCs w:val="0"/>
            </w:rPr>
            <m:t>Penetración de las importaciones</m:t>
          </m:r>
          <m:r>
            <w:rPr>
              <w:rFonts w:ascii="Cambria Math" w:hAnsi="Cambria Math"/>
            </w:rPr>
            <m:t>=</m:t>
          </m:r>
          <m:f>
            <m:fPr>
              <m:ctrlPr>
                <w:rPr>
                  <w:rFonts w:ascii="Cambria Math" w:hAnsi="Cambria Math"/>
                  <w:i/>
                  <w:iCs w:val="0"/>
                </w:rPr>
              </m:ctrlPr>
            </m:fPr>
            <m:num>
              <m:r>
                <m:rPr>
                  <m:nor/>
                </m:rPr>
                <w:rPr>
                  <w:i/>
                  <w:iCs w:val="0"/>
                </w:rPr>
                <m:t>M</m:t>
              </m:r>
            </m:num>
            <m:den>
              <m:r>
                <m:rPr>
                  <m:nor/>
                </m:rPr>
                <w:rPr>
                  <w:i/>
                  <w:iCs w:val="0"/>
                </w:rPr>
                <m:t>PIB</m:t>
              </m:r>
            </m:den>
          </m:f>
        </m:oMath>
      </m:oMathPara>
    </w:p>
    <w:p w14:paraId="01194864" w14:textId="371DB566" w:rsidR="005D50B8" w:rsidRPr="008D4C91" w:rsidRDefault="0075272D" w:rsidP="008D4C91">
      <w:pPr>
        <w:pStyle w:val="Nivel3SM"/>
        <w:rPr>
          <w:spacing w:val="-2"/>
        </w:rPr>
      </w:pPr>
      <w:r w:rsidRPr="008D4C91">
        <w:rPr>
          <w:i/>
          <w:spacing w:val="-2"/>
        </w:rPr>
        <w:t>Incremento repentino</w:t>
      </w:r>
      <w:r w:rsidRPr="008D4C91">
        <w:rPr>
          <w:spacing w:val="-2"/>
        </w:rPr>
        <w:t xml:space="preserve">: </w:t>
      </w:r>
      <w:r w:rsidR="00652EE3" w:rsidRPr="008D4C91">
        <w:rPr>
          <w:spacing w:val="-2"/>
        </w:rPr>
        <w:t>E</w:t>
      </w:r>
      <w:r w:rsidRPr="008D4C91">
        <w:rPr>
          <w:spacing w:val="-2"/>
        </w:rPr>
        <w:t>l consumo crece más rápido de lo que la economía puede satisfacer (posible inflación y sobrecalentamiento).</w:t>
      </w:r>
    </w:p>
    <w:p w14:paraId="4A46D6B0" w14:textId="45618FD1" w:rsidR="0075272D" w:rsidRPr="008D4C91" w:rsidRDefault="0075272D" w:rsidP="008D4C91">
      <w:pPr>
        <w:pStyle w:val="Nivel3SM"/>
      </w:pPr>
      <w:r w:rsidRPr="008D4C91">
        <w:rPr>
          <w:i/>
        </w:rPr>
        <w:t>Reducción repentina</w:t>
      </w:r>
      <w:r w:rsidRPr="008D4C91">
        <w:t xml:space="preserve">: </w:t>
      </w:r>
      <w:r w:rsidR="00652EE3" w:rsidRPr="008D4C91">
        <w:t>P</w:t>
      </w:r>
      <w:r w:rsidRPr="008D4C91">
        <w:t>osible depreciación del tipo de cambio efectivo real.</w:t>
      </w:r>
    </w:p>
    <w:p w14:paraId="3236D36D" w14:textId="7C59CF9D" w:rsidR="0075272D" w:rsidRPr="00025F23" w:rsidRDefault="005D50B8" w:rsidP="008D4C91">
      <w:pPr>
        <w:pStyle w:val="Letra"/>
        <w:keepNext/>
        <w:spacing w:after="0"/>
        <w:ind w:left="312" w:hanging="170"/>
      </w:pPr>
      <w:r w:rsidRPr="00025F23">
        <w:rPr>
          <w:i/>
          <w:iCs w:val="0"/>
          <w:u w:val="single"/>
        </w:rPr>
        <w:t>Inflación importada</w:t>
      </w:r>
      <w:r w:rsidRPr="00025F23">
        <w:t>:</w:t>
      </w:r>
      <w:r w:rsidR="00A01A88" w:rsidRPr="00025F23">
        <w:t xml:space="preserve"> </w:t>
      </w:r>
      <w:r w:rsidR="0075272D" w:rsidRPr="00025F23">
        <w:t>Se estará importando inflación si el siguiente diferencial es positivo</w:t>
      </w:r>
      <w:r w:rsidR="00A01A88" w:rsidRPr="00025F23">
        <w:t>:</w:t>
      </w:r>
    </w:p>
    <w:p w14:paraId="170DEB14" w14:textId="0F04B12C" w:rsidR="0075272D" w:rsidRPr="00025F23" w:rsidRDefault="0075272D" w:rsidP="008D4C91">
      <w:pPr>
        <w:pStyle w:val="Letra"/>
        <w:keepNext/>
        <w:numPr>
          <w:ilvl w:val="0"/>
          <w:numId w:val="0"/>
        </w:numPr>
        <w:spacing w:after="0"/>
        <w:ind w:left="312" w:hanging="170"/>
        <w:rPr>
          <w:i/>
          <w:iCs w:val="0"/>
        </w:rPr>
      </w:pPr>
      <m:oMathPara>
        <m:oMath>
          <m:r>
            <m:rPr>
              <m:nor/>
            </m:rPr>
            <w:rPr>
              <w:i/>
            </w:rPr>
            <m:t xml:space="preserve">γ Deflactor </m:t>
          </m:r>
          <m:sSub>
            <m:sSubPr>
              <m:ctrlPr>
                <w:rPr>
                  <w:rFonts w:ascii="Cambria Math" w:hAnsi="Cambria Math"/>
                  <w:i/>
                  <w:iCs w:val="0"/>
                </w:rPr>
              </m:ctrlPr>
            </m:sSubPr>
            <m:e>
              <m:r>
                <m:rPr>
                  <m:nor/>
                </m:rPr>
                <w:rPr>
                  <w:i/>
                  <w:iCs w:val="0"/>
                </w:rPr>
                <m:t>P</m:t>
              </m:r>
            </m:e>
            <m:sub>
              <m:r>
                <m:rPr>
                  <m:nor/>
                </m:rPr>
                <w:rPr>
                  <w:i/>
                  <w:iCs w:val="0"/>
                </w:rPr>
                <m:t>M</m:t>
              </m:r>
            </m:sub>
          </m:sSub>
          <m:r>
            <w:rPr>
              <w:rFonts w:ascii="Cambria Math" w:hAnsi="Cambria Math"/>
            </w:rPr>
            <m:t>-</m:t>
          </m:r>
          <m:r>
            <m:rPr>
              <m:nor/>
            </m:rPr>
            <w:rPr>
              <w:i/>
            </w:rPr>
            <m:t>γ IPC</m:t>
          </m:r>
        </m:oMath>
      </m:oMathPara>
    </w:p>
    <w:p w14:paraId="26AFAF2D" w14:textId="2D5FD7C9" w:rsidR="0075272D" w:rsidRPr="00025F23" w:rsidRDefault="0075272D" w:rsidP="008D4C91">
      <w:pPr>
        <w:pStyle w:val="Letra"/>
        <w:numPr>
          <w:ilvl w:val="0"/>
          <w:numId w:val="0"/>
        </w:numPr>
        <w:ind w:left="312"/>
      </w:pPr>
      <w:r w:rsidRPr="00025F23">
        <w:t>Por el contrario, si el diferencial es negativo, será indicativo de falta de competitividad exterior.</w:t>
      </w:r>
    </w:p>
    <w:p w14:paraId="3D07EB4B" w14:textId="1A632CC6" w:rsidR="005D50B8" w:rsidRPr="00025F23" w:rsidRDefault="005D50B8" w:rsidP="004409B7">
      <w:pPr>
        <w:pStyle w:val="Letra"/>
        <w:keepNext/>
        <w:spacing w:after="0"/>
        <w:ind w:left="312" w:hanging="170"/>
      </w:pPr>
      <w:r w:rsidRPr="00025F23">
        <w:rPr>
          <w:i/>
          <w:iCs w:val="0"/>
          <w:u w:val="single"/>
        </w:rPr>
        <w:t>Relación Real de Intercambio</w:t>
      </w:r>
      <w:r w:rsidRPr="00025F23">
        <w:t xml:space="preserve"> (RRI):</w:t>
      </w:r>
    </w:p>
    <w:p w14:paraId="69B9696A" w14:textId="1C89C5E5" w:rsidR="0075272D" w:rsidRPr="00025F23" w:rsidRDefault="0075272D" w:rsidP="00652EE3">
      <w:pPr>
        <w:pStyle w:val="Letra"/>
        <w:keepNext/>
        <w:numPr>
          <w:ilvl w:val="0"/>
          <w:numId w:val="0"/>
        </w:numPr>
        <w:spacing w:after="0"/>
        <w:ind w:left="425"/>
        <w:rPr>
          <w:rFonts w:eastAsiaTheme="minorEastAsia"/>
          <w:iCs w:val="0"/>
        </w:rPr>
      </w:pPr>
      <m:oMathPara>
        <m:oMath>
          <m:r>
            <m:rPr>
              <m:nor/>
            </m:rPr>
            <w:rPr>
              <w:i/>
              <w:iCs w:val="0"/>
            </w:rPr>
            <m:t>RRI</m:t>
          </m:r>
          <m:r>
            <w:rPr>
              <w:rFonts w:ascii="Cambria Math" w:hAnsi="Cambria Math"/>
            </w:rPr>
            <m:t>=</m:t>
          </m:r>
          <m:f>
            <m:fPr>
              <m:ctrlPr>
                <w:rPr>
                  <w:rFonts w:ascii="Cambria Math" w:hAnsi="Cambria Math"/>
                  <w:i/>
                  <w:iCs w:val="0"/>
                </w:rPr>
              </m:ctrlPr>
            </m:fPr>
            <m:num>
              <m:sSub>
                <m:sSubPr>
                  <m:ctrlPr>
                    <w:rPr>
                      <w:rFonts w:ascii="Cambria Math" w:hAnsi="Cambria Math"/>
                      <w:i/>
                      <w:iCs w:val="0"/>
                    </w:rPr>
                  </m:ctrlPr>
                </m:sSubPr>
                <m:e>
                  <m:r>
                    <m:rPr>
                      <m:nor/>
                    </m:rPr>
                    <w:rPr>
                      <w:i/>
                      <w:iCs w:val="0"/>
                    </w:rPr>
                    <m:t>P</m:t>
                  </m:r>
                </m:e>
                <m:sub>
                  <m:r>
                    <m:rPr>
                      <m:nor/>
                    </m:rPr>
                    <w:rPr>
                      <w:i/>
                      <w:iCs w:val="0"/>
                    </w:rPr>
                    <m:t>X</m:t>
                  </m:r>
                </m:sub>
              </m:sSub>
            </m:num>
            <m:den>
              <m:sSub>
                <m:sSubPr>
                  <m:ctrlPr>
                    <w:rPr>
                      <w:rFonts w:ascii="Cambria Math" w:hAnsi="Cambria Math"/>
                      <w:i/>
                      <w:iCs w:val="0"/>
                    </w:rPr>
                  </m:ctrlPr>
                </m:sSubPr>
                <m:e>
                  <m:r>
                    <m:rPr>
                      <m:nor/>
                    </m:rPr>
                    <w:rPr>
                      <w:i/>
                      <w:iCs w:val="0"/>
                    </w:rPr>
                    <m:t>P</m:t>
                  </m:r>
                </m:e>
                <m:sub>
                  <m:r>
                    <m:rPr>
                      <m:nor/>
                    </m:rPr>
                    <w:rPr>
                      <w:i/>
                      <w:iCs w:val="0"/>
                    </w:rPr>
                    <m:t>M</m:t>
                  </m:r>
                </m:sub>
              </m:sSub>
            </m:den>
          </m:f>
        </m:oMath>
      </m:oMathPara>
    </w:p>
    <w:p w14:paraId="2664C13C" w14:textId="644C94D3" w:rsidR="0075272D" w:rsidRPr="00025F23" w:rsidRDefault="0075272D" w:rsidP="008D4C91">
      <w:pPr>
        <w:pStyle w:val="Nivel3SM"/>
        <w:keepNext/>
      </w:pPr>
      <w:r w:rsidRPr="008D4C91">
        <w:rPr>
          <w:i/>
          <w:iCs/>
        </w:rPr>
        <w:t>Indicadores</w:t>
      </w:r>
      <w:r w:rsidRPr="00025F23">
        <w:t>:</w:t>
      </w:r>
    </w:p>
    <w:p w14:paraId="68F647F4" w14:textId="1E2C31DC" w:rsidR="0075272D" w:rsidRPr="00025F23" w:rsidRDefault="0075272D" w:rsidP="0025009E">
      <w:pPr>
        <w:pStyle w:val="Nivel4"/>
      </w:pPr>
      <w:r w:rsidRPr="00025F23">
        <w:t xml:space="preserve">Deflactores de </w:t>
      </w:r>
      <m:oMath>
        <m:r>
          <m:rPr>
            <m:nor/>
          </m:rPr>
          <w:rPr>
            <w:i/>
          </w:rPr>
          <m:t>X</m:t>
        </m:r>
      </m:oMath>
      <w:r w:rsidRPr="00025F23">
        <w:rPr>
          <w:rFonts w:eastAsiaTheme="minorEastAsia"/>
        </w:rPr>
        <w:t xml:space="preserve"> y </w:t>
      </w:r>
      <m:oMath>
        <m:r>
          <m:rPr>
            <m:nor/>
          </m:rPr>
          <w:rPr>
            <w:i/>
          </w:rPr>
          <m:t>M</m:t>
        </m:r>
      </m:oMath>
      <w:r w:rsidRPr="00025F23">
        <w:rPr>
          <w:rFonts w:eastAsiaTheme="minorEastAsia"/>
        </w:rPr>
        <w:t>.</w:t>
      </w:r>
    </w:p>
    <w:p w14:paraId="208184E0" w14:textId="624B980B" w:rsidR="0075272D" w:rsidRPr="00025F23" w:rsidRDefault="0075272D" w:rsidP="0025009E">
      <w:pPr>
        <w:pStyle w:val="Nivel4"/>
      </w:pPr>
      <w:r w:rsidRPr="00025F23">
        <w:rPr>
          <w:rFonts w:eastAsiaTheme="minorEastAsia"/>
        </w:rPr>
        <w:t xml:space="preserve">Relación de los volúmenes y el valor (si el volumen de </w:t>
      </w:r>
      <m:oMath>
        <m:r>
          <m:rPr>
            <m:nor/>
          </m:rPr>
          <w:rPr>
            <w:i/>
          </w:rPr>
          <m:t>X</m:t>
        </m:r>
      </m:oMath>
      <w:r w:rsidRPr="00025F23">
        <w:rPr>
          <w:rFonts w:eastAsiaTheme="minorEastAsia"/>
        </w:rPr>
        <w:t xml:space="preserve"> aumenta pero no lo hace en valor, hay deterioro de </w:t>
      </w:r>
      <m:oMath>
        <m:sSub>
          <m:sSubPr>
            <m:ctrlPr>
              <w:rPr>
                <w:rFonts w:ascii="Cambria Math" w:hAnsi="Cambria Math"/>
                <w:i/>
              </w:rPr>
            </m:ctrlPr>
          </m:sSubPr>
          <m:e>
            <m:r>
              <m:rPr>
                <m:nor/>
              </m:rPr>
              <w:rPr>
                <w:i/>
              </w:rPr>
              <m:t>P</m:t>
            </m:r>
          </m:e>
          <m:sub>
            <m:r>
              <m:rPr>
                <m:nor/>
              </m:rPr>
              <w:rPr>
                <w:i/>
              </w:rPr>
              <m:t>X</m:t>
            </m:r>
          </m:sub>
        </m:sSub>
      </m:oMath>
      <w:r w:rsidRPr="00025F23">
        <w:rPr>
          <w:rFonts w:eastAsiaTheme="minorEastAsia"/>
        </w:rPr>
        <w:t xml:space="preserve"> y, por tanto de la </w:t>
      </w:r>
      <w:r w:rsidRPr="00025F23">
        <w:rPr>
          <w:rFonts w:eastAsiaTheme="minorEastAsia"/>
          <w:i/>
        </w:rPr>
        <w:t>RRI</w:t>
      </w:r>
      <w:r w:rsidRPr="00025F23">
        <w:rPr>
          <w:rFonts w:eastAsiaTheme="minorEastAsia"/>
        </w:rPr>
        <w:t>).</w:t>
      </w:r>
    </w:p>
    <w:p w14:paraId="0914CC98" w14:textId="257987DE" w:rsidR="0075272D" w:rsidRPr="00025F23" w:rsidRDefault="0075272D" w:rsidP="008D4C91">
      <w:pPr>
        <w:pStyle w:val="Nivel3SM"/>
        <w:keepNext/>
      </w:pPr>
      <w:r w:rsidRPr="008D4C91">
        <w:rPr>
          <w:i/>
          <w:iCs/>
        </w:rPr>
        <w:t>Interpretación de un aumento de la RRI</w:t>
      </w:r>
      <w:r w:rsidRPr="00025F23">
        <w:t>:</w:t>
      </w:r>
    </w:p>
    <w:p w14:paraId="425E08D2" w14:textId="2E1C61F6" w:rsidR="0075272D" w:rsidRPr="00025F23" w:rsidRDefault="0075272D" w:rsidP="0025009E">
      <w:pPr>
        <w:pStyle w:val="Nivel4"/>
      </w:pPr>
      <w:r w:rsidRPr="00025F23">
        <w:t>Pérdida de competitividad, o</w:t>
      </w:r>
    </w:p>
    <w:p w14:paraId="11E6EC1E" w14:textId="33486042" w:rsidR="0075272D" w:rsidRPr="00025F23" w:rsidRDefault="0075272D" w:rsidP="0025009E">
      <w:pPr>
        <w:pStyle w:val="Nivel4"/>
        <w:keepNext/>
      </w:pPr>
      <w:r w:rsidRPr="00025F23">
        <w:t>Enriquecimiento porque el mercado internacional valore más los productos nacionales (“compramos más por menos”).</w:t>
      </w:r>
    </w:p>
    <w:p w14:paraId="7AA1A082" w14:textId="30C54A32" w:rsidR="0075272D" w:rsidRPr="00025F23" w:rsidRDefault="0075272D" w:rsidP="0025009E">
      <w:pPr>
        <w:pStyle w:val="Nivel5"/>
      </w:pPr>
      <w:r w:rsidRPr="00025F23">
        <w:t>Para saber qué efecto predomina es necesario ver la evolución de los precios nacionales, pues en ausencia de inflación pronunciada podríamos hablar del efecto enriquecimiento.</w:t>
      </w:r>
    </w:p>
    <w:p w14:paraId="1BBC3C67" w14:textId="06FE09AD" w:rsidR="0075272D" w:rsidRPr="00025F23" w:rsidRDefault="0075272D" w:rsidP="0025009E">
      <w:pPr>
        <w:pStyle w:val="Nivel5"/>
      </w:pPr>
      <w:r w:rsidRPr="00025F23">
        <w:t>No obstante, dado que el objetivo de la RRI es expresar la competitividad del sector exterior de la economía, ello se hace mejor con el tipo de cambio efectivo real, que es menos ambiguo. Por lo tanto, en la medida de lo posible, acudir al tipo de cambio en lugar de a la RRI.</w:t>
      </w:r>
    </w:p>
    <w:p w14:paraId="6DA30DC0" w14:textId="46E8D2F1" w:rsidR="0043656E" w:rsidRDefault="00FF331B" w:rsidP="00FF331B">
      <w:pPr>
        <w:pStyle w:val="Desarrollocoyuntura"/>
      </w:pPr>
      <w:bookmarkStart w:id="99" w:name="_Toc173446281"/>
      <w:r w:rsidRPr="00025F23">
        <w:t xml:space="preserve">“En conclusión, </w:t>
      </w:r>
      <w:r w:rsidRPr="00025F23">
        <w:rPr>
          <w:iCs/>
        </w:rPr>
        <w:t xml:space="preserve">la demanda interna contribuye fuertemente al PIB en épocas de </w:t>
      </w:r>
      <w:r w:rsidRPr="00025F23">
        <w:t>bonanza</w:t>
      </w:r>
      <w:r w:rsidRPr="00025F23">
        <w:rPr>
          <w:i w:val="0"/>
          <w:iCs/>
        </w:rPr>
        <w:t>,</w:t>
      </w:r>
      <w:r w:rsidRPr="00025F23">
        <w:rPr>
          <w:iCs/>
        </w:rPr>
        <w:t xml:space="preserve"> pero se desploma durante las recesiones, siendo la demanda externa la que en esos períodos amortigua en parte la caída del PIB; la demanda interna juega, pues, un papel procíclico, y la externa, uno </w:t>
      </w:r>
      <w:proofErr w:type="spellStart"/>
      <w:r w:rsidRPr="00025F23">
        <w:rPr>
          <w:iCs/>
        </w:rPr>
        <w:t>contracíclico</w:t>
      </w:r>
      <w:proofErr w:type="spellEnd"/>
      <w:r w:rsidRPr="00025F23">
        <w:t>.”</w:t>
      </w:r>
      <w:bookmarkEnd w:id="99"/>
    </w:p>
    <w:p w14:paraId="36795D3B" w14:textId="05798A3D" w:rsidR="00DF3A91" w:rsidRDefault="00DF3A91" w:rsidP="00DF3A91">
      <w:pPr>
        <w:pStyle w:val="Ttuloimagen"/>
      </w:pPr>
      <w:r>
        <w:t>Imagen </w:t>
      </w:r>
      <w:r>
        <w:fldChar w:fldCharType="begin"/>
      </w:r>
      <w:r>
        <w:instrText xml:space="preserve"> SEQ Ilustración \* ARABIC </w:instrText>
      </w:r>
      <w:r>
        <w:fldChar w:fldCharType="separate"/>
      </w:r>
      <w:r w:rsidR="00903E0C">
        <w:t>3</w:t>
      </w:r>
      <w:r>
        <w:fldChar w:fldCharType="end"/>
      </w:r>
      <w:r w:rsidRPr="00DF3A91">
        <w:rPr>
          <w:smallCaps w:val="0"/>
        </w:rPr>
        <w:t xml:space="preserve">.– </w:t>
      </w:r>
      <w:r>
        <w:rPr>
          <w:i/>
          <w:iCs/>
          <w:smallCaps w:val="0"/>
        </w:rPr>
        <w:t>Evolución del PIB y del comercio mundiales</w:t>
      </w:r>
    </w:p>
    <w:p w14:paraId="5DEEF76C" w14:textId="73B65F77" w:rsidR="00DF3A91" w:rsidRDefault="00DF3A91" w:rsidP="00DF3A91">
      <w:pPr>
        <w:pStyle w:val="Imagen"/>
      </w:pPr>
      <w:r>
        <w:drawing>
          <wp:inline distT="0" distB="0" distL="0" distR="0" wp14:anchorId="6FE82CEB" wp14:editId="4E0D4B30">
            <wp:extent cx="2441028" cy="1250950"/>
            <wp:effectExtent l="0" t="0" r="0" b="6350"/>
            <wp:docPr id="960731619" name="Imagen 2" descr="Gráfico, Gráfico de rectángulo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0731619" name="Imagen 2" descr="Gráfico, Gráfico de rectángulos&#10;&#10;Descripción generada automáticamente"/>
                    <pic:cNvPicPr>
                      <a:picLocks noChangeAspect="1" noChangeArrowheads="1"/>
                    </pic:cNvPicPr>
                  </pic:nvPicPr>
                  <pic:blipFill>
                    <a:blip r:embed="rId19">
                      <a:extLst>
                        <a:ext uri="{28A0092B-C50C-407E-A947-70E740481C1C}">
                          <a14:useLocalDpi xmlns:a14="http://schemas.microsoft.com/office/drawing/2010/main"/>
                        </a:ext>
                      </a:extLst>
                    </a:blip>
                    <a:srcRect/>
                    <a:stretch>
                      <a:fillRect/>
                    </a:stretch>
                  </pic:blipFill>
                  <pic:spPr bwMode="auto">
                    <a:xfrm>
                      <a:off x="0" y="0"/>
                      <a:ext cx="2442209" cy="1251555"/>
                    </a:xfrm>
                    <a:prstGeom prst="rect">
                      <a:avLst/>
                    </a:prstGeom>
                    <a:noFill/>
                    <a:ln>
                      <a:noFill/>
                    </a:ln>
                  </pic:spPr>
                </pic:pic>
              </a:graphicData>
            </a:graphic>
          </wp:inline>
        </w:drawing>
      </w:r>
    </w:p>
    <w:p w14:paraId="631BFE0F" w14:textId="42769602" w:rsidR="00DF3A91" w:rsidRPr="00DF3A91" w:rsidRDefault="00DF3A91" w:rsidP="00DF3A91">
      <w:pPr>
        <w:pStyle w:val="Piedeimagen"/>
        <w:rPr>
          <w:i w:val="0"/>
          <w:iCs/>
        </w:rPr>
      </w:pPr>
      <w:r>
        <w:t>Fuente</w:t>
      </w:r>
      <w:r>
        <w:rPr>
          <w:i w:val="0"/>
          <w:iCs/>
        </w:rPr>
        <w:t xml:space="preserve">: European Central </w:t>
      </w:r>
      <w:r w:rsidRPr="00DF3A91">
        <w:rPr>
          <w:i w:val="0"/>
          <w:iCs/>
        </w:rPr>
        <w:t xml:space="preserve">Bank (2023). </w:t>
      </w:r>
      <w:r w:rsidRPr="00DF3A91">
        <w:t>Informe Anual 2022</w:t>
      </w:r>
      <w:r w:rsidRPr="00DF3A91">
        <w:rPr>
          <w:i w:val="0"/>
          <w:iCs/>
        </w:rPr>
        <w:t xml:space="preserve">. </w:t>
      </w:r>
      <w:hyperlink r:id="rId20" w:history="1">
        <w:r w:rsidR="00C166AD" w:rsidRPr="00C166AD">
          <w:rPr>
            <w:rStyle w:val="Hipervnculo"/>
            <w:i w:val="0"/>
            <w:iCs/>
          </w:rPr>
          <w:t>https://www.ecb.europa.eu/pub/annual/html/ecb.ar2022~8ae51d163b.es.html</w:t>
        </w:r>
      </w:hyperlink>
    </w:p>
    <w:p w14:paraId="0C216715" w14:textId="6518110E" w:rsidR="006225DE" w:rsidRPr="00025F23" w:rsidRDefault="001044B3" w:rsidP="00AD1AFB">
      <w:pPr>
        <w:pStyle w:val="Ttulo2"/>
      </w:pPr>
      <w:bookmarkStart w:id="100" w:name="_Toc88565985"/>
      <w:bookmarkStart w:id="101" w:name="_Toc88566125"/>
      <w:bookmarkStart w:id="102" w:name="_Toc173446282"/>
      <w:bookmarkStart w:id="103" w:name="_Toc189085781"/>
      <w:r w:rsidRPr="00025F23">
        <w:t>Oferta</w:t>
      </w:r>
      <w:bookmarkEnd w:id="100"/>
      <w:bookmarkEnd w:id="101"/>
      <w:bookmarkEnd w:id="102"/>
      <w:bookmarkEnd w:id="103"/>
    </w:p>
    <w:p w14:paraId="6753374D" w14:textId="2DDD67EE" w:rsidR="0011607B" w:rsidRPr="00025F23" w:rsidRDefault="0011607B" w:rsidP="008D4C91">
      <w:pPr>
        <w:pStyle w:val="Nivel1SM"/>
      </w:pPr>
      <w:r w:rsidRPr="00025F23">
        <w:t xml:space="preserve">El </w:t>
      </w:r>
      <w:r w:rsidRPr="00025F23">
        <w:rPr>
          <w:b/>
          <w:bCs/>
        </w:rPr>
        <w:t>objetivo</w:t>
      </w:r>
      <w:r w:rsidRPr="00025F23">
        <w:t xml:space="preserve"> de este apartado es explicar la evolución económica a través del enfoque de la producción del PIB.</w:t>
      </w:r>
    </w:p>
    <w:p w14:paraId="5CC2CE89" w14:textId="59EDDC9F" w:rsidR="00FD5702" w:rsidRPr="00025F23" w:rsidRDefault="00FD5702" w:rsidP="008D4C91">
      <w:pPr>
        <w:pStyle w:val="Nivel1SM"/>
      </w:pPr>
      <w:r w:rsidRPr="00025F23">
        <w:t>A corto plazo</w:t>
      </w:r>
      <w:r w:rsidR="009937E0" w:rsidRPr="00025F23">
        <w:t>,</w:t>
      </w:r>
      <w:r w:rsidRPr="00025F23">
        <w:t xml:space="preserve"> la economía está muy sometida a los vaivenes de la demanda. Sin embargo, la oferta es el factor determinante a </w:t>
      </w:r>
      <w:r w:rsidRPr="00025F23">
        <w:rPr>
          <w:b/>
          <w:bCs/>
        </w:rPr>
        <w:t>largo plazo</w:t>
      </w:r>
      <w:r w:rsidRPr="00025F23">
        <w:t>.</w:t>
      </w:r>
    </w:p>
    <w:p w14:paraId="1C4B1ECF" w14:textId="30FEE4F9" w:rsidR="005B1C65" w:rsidRPr="00025F23" w:rsidRDefault="00000000" w:rsidP="00FD5702">
      <w:pPr>
        <w:rPr>
          <w:rFonts w:eastAsiaTheme="minorEastAsia"/>
          <w:iCs/>
          <w:spacing w:val="-6"/>
          <w:szCs w:val="16"/>
          <w:lang w:val="fr-FR"/>
        </w:rPr>
      </w:pPr>
      <m:oMathPara>
        <m:oMath>
          <m:sSub>
            <m:sSubPr>
              <m:ctrlPr>
                <w:rPr>
                  <w:rFonts w:ascii="Cambria Math" w:eastAsiaTheme="minorEastAsia" w:hAnsi="Cambria Math"/>
                  <w:i/>
                  <w:szCs w:val="16"/>
                </w:rPr>
              </m:ctrlPr>
            </m:sSubPr>
            <m:e>
              <m:r>
                <m:rPr>
                  <m:nor/>
                </m:rPr>
                <w:rPr>
                  <w:i/>
                  <w:iCs/>
                  <w:spacing w:val="-6"/>
                  <w:szCs w:val="16"/>
                  <w:lang w:val="fr-FR"/>
                </w:rPr>
                <m:t>Oferta</m:t>
              </m:r>
            </m:e>
            <m:sub>
              <m:r>
                <m:rPr>
                  <m:nor/>
                </m:rPr>
                <w:rPr>
                  <w:rFonts w:eastAsiaTheme="minorEastAsia"/>
                  <w:i/>
                  <w:szCs w:val="16"/>
                  <w:lang w:val="fr-FR"/>
                </w:rPr>
                <m:t>t</m:t>
              </m:r>
            </m:sub>
          </m:sSub>
          <m:r>
            <w:rPr>
              <w:rFonts w:ascii="Cambria Math" w:eastAsiaTheme="minorEastAsia" w:hAnsi="Cambria Math"/>
              <w:szCs w:val="16"/>
              <w:lang w:val="fr-FR"/>
            </w:rPr>
            <m:t>=</m:t>
          </m:r>
          <m:sSub>
            <m:sSubPr>
              <m:ctrlPr>
                <w:rPr>
                  <w:rFonts w:ascii="Cambria Math" w:eastAsiaTheme="minorEastAsia" w:hAnsi="Cambria Math"/>
                  <w:i/>
                  <w:szCs w:val="16"/>
                </w:rPr>
              </m:ctrlPr>
            </m:sSubPr>
            <m:e>
              <m:r>
                <m:rPr>
                  <m:nor/>
                </m:rPr>
                <w:rPr>
                  <w:rFonts w:eastAsiaTheme="minorEastAsia"/>
                  <w:i/>
                  <w:szCs w:val="16"/>
                  <w:lang w:val="fr-FR"/>
                </w:rPr>
                <m:t>Y</m:t>
              </m:r>
            </m:e>
            <m:sub>
              <m:r>
                <m:rPr>
                  <m:nor/>
                </m:rPr>
                <w:rPr>
                  <w:rFonts w:eastAsiaTheme="minorEastAsia"/>
                  <w:i/>
                  <w:szCs w:val="16"/>
                  <w:lang w:val="fr-FR"/>
                </w:rPr>
                <m:t>t</m:t>
              </m:r>
            </m:sub>
          </m:sSub>
          <m:r>
            <w:rPr>
              <w:rFonts w:ascii="Cambria Math" w:eastAsiaTheme="minorEastAsia" w:hAnsi="Cambria Math"/>
              <w:spacing w:val="-6"/>
              <w:szCs w:val="16"/>
              <w:lang w:val="fr-FR"/>
            </w:rPr>
            <m:t>=</m:t>
          </m:r>
          <m:r>
            <m:rPr>
              <m:nor/>
            </m:rPr>
            <w:rPr>
              <w:rFonts w:eastAsiaTheme="minorEastAsia"/>
              <w:i/>
              <w:iCs/>
              <w:spacing w:val="-6"/>
              <w:szCs w:val="16"/>
              <w:lang w:val="fr-FR"/>
            </w:rPr>
            <m:t>F</m:t>
          </m:r>
          <m:d>
            <m:dPr>
              <m:ctrlPr>
                <w:rPr>
                  <w:rFonts w:ascii="Cambria Math" w:eastAsiaTheme="minorEastAsia" w:hAnsi="Cambria Math"/>
                  <w:i/>
                  <w:iCs/>
                  <w:spacing w:val="-6"/>
                  <w:szCs w:val="16"/>
                </w:rPr>
              </m:ctrlPr>
            </m:dPr>
            <m:e>
              <m:sSub>
                <m:sSubPr>
                  <m:ctrlPr>
                    <w:rPr>
                      <w:rFonts w:ascii="Cambria Math" w:eastAsiaTheme="minorEastAsia" w:hAnsi="Cambria Math"/>
                      <w:i/>
                      <w:szCs w:val="16"/>
                    </w:rPr>
                  </m:ctrlPr>
                </m:sSubPr>
                <m:e>
                  <m:r>
                    <m:rPr>
                      <m:nor/>
                    </m:rPr>
                    <w:rPr>
                      <w:rFonts w:eastAsiaTheme="minorEastAsia"/>
                      <w:i/>
                      <w:szCs w:val="16"/>
                      <w:lang w:val="fr-FR"/>
                    </w:rPr>
                    <m:t>A</m:t>
                  </m:r>
                </m:e>
                <m:sub>
                  <m:r>
                    <m:rPr>
                      <m:nor/>
                    </m:rPr>
                    <w:rPr>
                      <w:rFonts w:eastAsiaTheme="minorEastAsia"/>
                      <w:i/>
                      <w:szCs w:val="16"/>
                      <w:lang w:val="fr-FR"/>
                    </w:rPr>
                    <m:t>t</m:t>
                  </m:r>
                </m:sub>
              </m:sSub>
              <m:r>
                <m:rPr>
                  <m:nor/>
                </m:rPr>
                <w:rPr>
                  <w:rFonts w:eastAsiaTheme="minorEastAsia"/>
                  <w:i/>
                  <w:iCs/>
                  <w:spacing w:val="-6"/>
                  <w:szCs w:val="16"/>
                  <w:lang w:val="fr-FR"/>
                </w:rPr>
                <m:t>,</m:t>
              </m:r>
              <m:sSub>
                <m:sSubPr>
                  <m:ctrlPr>
                    <w:rPr>
                      <w:rFonts w:ascii="Cambria Math" w:eastAsiaTheme="minorEastAsia" w:hAnsi="Cambria Math"/>
                      <w:i/>
                      <w:szCs w:val="16"/>
                    </w:rPr>
                  </m:ctrlPr>
                </m:sSubPr>
                <m:e>
                  <m:r>
                    <m:rPr>
                      <m:nor/>
                    </m:rPr>
                    <w:rPr>
                      <w:rFonts w:eastAsiaTheme="minorEastAsia"/>
                      <w:i/>
                      <w:szCs w:val="16"/>
                      <w:lang w:val="fr-FR"/>
                    </w:rPr>
                    <m:t>K</m:t>
                  </m:r>
                </m:e>
                <m:sub>
                  <m:r>
                    <m:rPr>
                      <m:nor/>
                    </m:rPr>
                    <w:rPr>
                      <w:rFonts w:eastAsiaTheme="minorEastAsia"/>
                      <w:i/>
                      <w:szCs w:val="16"/>
                      <w:lang w:val="fr-FR"/>
                    </w:rPr>
                    <m:t>t</m:t>
                  </m:r>
                </m:sub>
              </m:sSub>
              <m:r>
                <m:rPr>
                  <m:nor/>
                </m:rPr>
                <w:rPr>
                  <w:rFonts w:eastAsiaTheme="minorEastAsia"/>
                  <w:i/>
                  <w:iCs/>
                  <w:spacing w:val="-6"/>
                  <w:szCs w:val="16"/>
                  <w:lang w:val="fr-FR"/>
                </w:rPr>
                <m:t>,</m:t>
              </m:r>
              <m:sSub>
                <m:sSubPr>
                  <m:ctrlPr>
                    <w:rPr>
                      <w:rFonts w:ascii="Cambria Math" w:eastAsiaTheme="minorEastAsia" w:hAnsi="Cambria Math"/>
                      <w:i/>
                      <w:szCs w:val="16"/>
                    </w:rPr>
                  </m:ctrlPr>
                </m:sSubPr>
                <m:e>
                  <m:r>
                    <m:rPr>
                      <m:nor/>
                    </m:rPr>
                    <w:rPr>
                      <w:rFonts w:eastAsiaTheme="minorEastAsia"/>
                      <w:i/>
                      <w:szCs w:val="16"/>
                      <w:lang w:val="fr-FR"/>
                    </w:rPr>
                    <m:t>L</m:t>
                  </m:r>
                </m:e>
                <m:sub>
                  <m:r>
                    <m:rPr>
                      <m:nor/>
                    </m:rPr>
                    <w:rPr>
                      <w:rFonts w:eastAsiaTheme="minorEastAsia"/>
                      <w:i/>
                      <w:szCs w:val="16"/>
                      <w:lang w:val="fr-FR"/>
                    </w:rPr>
                    <m:t>t</m:t>
                  </m:r>
                </m:sub>
              </m:sSub>
            </m:e>
          </m:d>
        </m:oMath>
      </m:oMathPara>
    </w:p>
    <w:p w14:paraId="6C0E5201" w14:textId="04D50997" w:rsidR="00671227" w:rsidRPr="00025F23" w:rsidRDefault="00FD0F11" w:rsidP="00FD0F11">
      <w:pPr>
        <w:pStyle w:val="Desarrollocoyuntura"/>
      </w:pPr>
      <w:bookmarkStart w:id="104" w:name="_Toc173446283"/>
      <w:r w:rsidRPr="00025F23">
        <w:t>“</w:t>
      </w:r>
      <w:r w:rsidR="00671227" w:rsidRPr="00025F23">
        <w:t xml:space="preserve">La variación del crecimiento desde la óptica de la oferta puede descomponerse en la variación de la acumulación de factores y la variación de la productividad de factores productivos. Si bien no tenemos datos agregados de la economía, haremos una aproximación a través del mercado de trabajo como su descomposición en la variación del empleo y de la </w:t>
      </w:r>
      <w:r w:rsidR="003B4F7B" w:rsidRPr="00025F23">
        <w:t>productividad aparente del trabajo</w:t>
      </w:r>
      <w:r w:rsidR="00671227" w:rsidRPr="00025F23">
        <w:t xml:space="preserve">. En este sentido, en el período 2012-2016 el motor del crecimiento sería el empleo; en 2017-2018, dominan los incrementos en la </w:t>
      </w:r>
      <w:r w:rsidR="003B4F7B" w:rsidRPr="00025F23">
        <w:t>productividad aparente del trabajo</w:t>
      </w:r>
      <w:r w:rsidR="00671227" w:rsidRPr="00025F23">
        <w:t xml:space="preserve">. Efectivamente, la variación de la </w:t>
      </w:r>
      <w:r w:rsidR="003B4F7B" w:rsidRPr="00025F23">
        <w:t>productividad aparente del trabajo</w:t>
      </w:r>
      <w:r w:rsidR="00671227" w:rsidRPr="00025F23">
        <w:t xml:space="preserve"> tiene una tendencia creciente a lo largo de la serie</w:t>
      </w:r>
      <w:r w:rsidR="009F0084" w:rsidRPr="00025F23">
        <w:t xml:space="preserve">; sin embargo, </w:t>
      </w:r>
      <w:r w:rsidR="009F0084" w:rsidRPr="00025F23">
        <w:rPr>
          <w:spacing w:val="-1"/>
        </w:rPr>
        <w:t>sería poco prudente</w:t>
      </w:r>
      <w:r w:rsidR="009F0084" w:rsidRPr="00025F23">
        <w:t xml:space="preserve"> concluir que la fase alcista del ciclo está guiada por un shock de productividad (recordemos que la </w:t>
      </w:r>
      <w:r w:rsidR="003B4F7B" w:rsidRPr="00025F23">
        <w:t>productividad aparente del trabajo</w:t>
      </w:r>
      <w:r w:rsidR="009F0084" w:rsidRPr="00025F23">
        <w:t xml:space="preserve"> es un indicador del cual resulta complejo extraer conclusiones en cuanto a la dirección de la causalidad)</w:t>
      </w:r>
      <w:r w:rsidR="00671227" w:rsidRPr="00025F23">
        <w:t>.”</w:t>
      </w:r>
      <w:bookmarkEnd w:id="104"/>
    </w:p>
    <w:p w14:paraId="7BD3A88F" w14:textId="49CD08BD" w:rsidR="00254F96" w:rsidRPr="00025F23" w:rsidRDefault="00671227" w:rsidP="00FD0F11">
      <w:pPr>
        <w:pStyle w:val="Desarrollocoyuntura"/>
        <w:rPr>
          <w:spacing w:val="-1"/>
        </w:rPr>
      </w:pPr>
      <w:bookmarkStart w:id="105" w:name="_Toc173446284"/>
      <w:r w:rsidRPr="00025F23">
        <w:rPr>
          <w:spacing w:val="-1"/>
        </w:rPr>
        <w:t>“</w:t>
      </w:r>
      <w:r w:rsidR="00FD0F11" w:rsidRPr="00025F23">
        <w:rPr>
          <w:spacing w:val="-1"/>
        </w:rPr>
        <w:t xml:space="preserve">De acuerdo con el cuadro macroeconómico, esta economía tiene una fuerte dependencia del turismo: en 2019 el </w:t>
      </w:r>
      <w:proofErr w:type="spellStart"/>
      <w:r w:rsidR="00FD0F11" w:rsidRPr="00025F23">
        <w:rPr>
          <w:spacing w:val="-1"/>
        </w:rPr>
        <w:t>xx,x</w:t>
      </w:r>
      <w:proofErr w:type="spellEnd"/>
      <w:r w:rsidR="0029172E" w:rsidRPr="00025F23">
        <w:rPr>
          <w:spacing w:val="-1"/>
        </w:rPr>
        <w:t> </w:t>
      </w:r>
      <w:r w:rsidR="00FD0F11" w:rsidRPr="00025F23">
        <w:rPr>
          <w:spacing w:val="-1"/>
        </w:rPr>
        <w:t>% del PIB tiene su origen en este sector, frente al 10,1</w:t>
      </w:r>
      <w:r w:rsidR="0029172E" w:rsidRPr="00025F23">
        <w:rPr>
          <w:spacing w:val="-1"/>
        </w:rPr>
        <w:t> </w:t>
      </w:r>
      <w:r w:rsidR="00FD0F11" w:rsidRPr="00025F23">
        <w:rPr>
          <w:spacing w:val="-1"/>
        </w:rPr>
        <w:t xml:space="preserve">% de media en la Unión Europea. Esto hace que su economía </w:t>
      </w:r>
      <w:r w:rsidR="003B4F7B" w:rsidRPr="00025F23">
        <w:rPr>
          <w:spacing w:val="-1"/>
        </w:rPr>
        <w:t xml:space="preserve">pudiera </w:t>
      </w:r>
      <w:r w:rsidR="00FD0F11" w:rsidRPr="00025F23">
        <w:rPr>
          <w:spacing w:val="-1"/>
        </w:rPr>
        <w:t>se</w:t>
      </w:r>
      <w:r w:rsidR="003B4F7B" w:rsidRPr="00025F23">
        <w:rPr>
          <w:spacing w:val="-1"/>
        </w:rPr>
        <w:t>r</w:t>
      </w:r>
      <w:r w:rsidR="00FD0F11" w:rsidRPr="00025F23">
        <w:rPr>
          <w:spacing w:val="-1"/>
        </w:rPr>
        <w:t xml:space="preserve"> más vulnerable a una pandemia, ya que el sector turístico es más intensivo en tareas que requieren mayor interacción social y depende en mayor medida de la movilidad de las personas. Por otro lado, este sector suele concentrar mayor porcentaje de trabajadores jóvenes, temporales, con poca formación y con bajos salarios, lo que aumenta la probabilidad de un impacto desigual de esta crisis.</w:t>
      </w:r>
      <w:bookmarkEnd w:id="105"/>
    </w:p>
    <w:p w14:paraId="3DA2F7ED" w14:textId="4218BB0F" w:rsidR="00FD0F11" w:rsidRPr="00025F23" w:rsidRDefault="00254F96" w:rsidP="00FD0F11">
      <w:pPr>
        <w:pStyle w:val="Desarrollocoyuntura"/>
      </w:pPr>
      <w:bookmarkStart w:id="106" w:name="_Toc173446285"/>
      <w:r w:rsidRPr="00025F23">
        <w:t xml:space="preserve">La mayor vulnerabilidad del sector turístico en la actual crisis se aprecia en las caídas del valor añadido bruto de los sectores de dicho ámbito: en 2020 la caída de la producción alcanzó cotas de dos dígitos en áreas como la hostelería o el ocio. Por el contrario, en el sector primerio apenas se redujo un </w:t>
      </w:r>
      <w:proofErr w:type="spellStart"/>
      <w:r w:rsidRPr="00025F23">
        <w:t>x,x</w:t>
      </w:r>
      <w:proofErr w:type="spellEnd"/>
      <w:r w:rsidR="0029172E" w:rsidRPr="00025F23">
        <w:t> </w:t>
      </w:r>
      <w:r w:rsidRPr="00025F23">
        <w:t>%.</w:t>
      </w:r>
      <w:r w:rsidR="00FD0F11" w:rsidRPr="00025F23">
        <w:t>”</w:t>
      </w:r>
      <w:bookmarkEnd w:id="106"/>
    </w:p>
    <w:p w14:paraId="240FA0F4" w14:textId="77777777" w:rsidR="00731777" w:rsidRPr="00025F23" w:rsidRDefault="00254F96" w:rsidP="00FD0F11">
      <w:pPr>
        <w:pStyle w:val="Desarrollocoyuntura"/>
      </w:pPr>
      <w:bookmarkStart w:id="107" w:name="_Toc173446286"/>
      <w:r w:rsidRPr="00025F23">
        <w:t>“En cuanto a las características del tejido productivo, en uno de los gráficos se muestra la alta fragmentación de la producción cuando se compara con la media de la UE…</w:t>
      </w:r>
      <w:bookmarkEnd w:id="107"/>
    </w:p>
    <w:p w14:paraId="55D51D2E" w14:textId="576B50B6" w:rsidR="00254F96" w:rsidRPr="00025F23" w:rsidRDefault="00731777" w:rsidP="00FD0F11">
      <w:pPr>
        <w:pStyle w:val="Desarrollocoyuntura"/>
      </w:pPr>
      <w:bookmarkStart w:id="108" w:name="_Toc173446287"/>
      <w:r w:rsidRPr="00025F23">
        <w:t xml:space="preserve">La atomización del universo empresarial </w:t>
      </w:r>
      <w:r w:rsidR="00707C80" w:rsidRPr="00025F23">
        <w:t xml:space="preserve">también </w:t>
      </w:r>
      <w:r w:rsidR="00707C80" w:rsidRPr="00025F23">
        <w:rPr>
          <w:spacing w:val="-1"/>
        </w:rPr>
        <w:t>pudiera</w:t>
      </w:r>
      <w:r w:rsidR="00707C80" w:rsidRPr="00025F23">
        <w:t xml:space="preserve"> hacer</w:t>
      </w:r>
      <w:r w:rsidRPr="00025F23">
        <w:t xml:space="preserve"> a este país especialmente vulnerable a las crisis económicas, sobre todo a la actual: las empresas pequeñas tienen más dificultades para implementar estrategias de distanciamiento social (como venta online o teletrabajo), además de las limitaciones habituales para la innovación, la formación, la internacionalización, </w:t>
      </w:r>
      <w:r w:rsidRPr="00025F23">
        <w:lastRenderedPageBreak/>
        <w:t>la financiación y, en definitiva, para impulsar todos aquellos factores que redundan en una mayor productividad.</w:t>
      </w:r>
      <w:r w:rsidR="00254F96" w:rsidRPr="00025F23">
        <w:t>”</w:t>
      </w:r>
      <w:bookmarkEnd w:id="108"/>
    </w:p>
    <w:p w14:paraId="643FE13F" w14:textId="7CA2D773" w:rsidR="00FD5702" w:rsidRPr="00025F23" w:rsidRDefault="00FD5702" w:rsidP="00AD1AFB">
      <w:pPr>
        <w:pStyle w:val="Ttulo3"/>
      </w:pPr>
      <w:bookmarkStart w:id="109" w:name="_Toc88565986"/>
      <w:bookmarkStart w:id="110" w:name="_Toc88566126"/>
      <w:bookmarkStart w:id="111" w:name="_Toc173446288"/>
      <w:bookmarkStart w:id="112" w:name="_Toc189085782"/>
      <w:r w:rsidRPr="00025F23">
        <w:t>Motor de crecimiento</w:t>
      </w:r>
      <w:bookmarkEnd w:id="109"/>
      <w:bookmarkEnd w:id="110"/>
      <w:bookmarkEnd w:id="111"/>
      <w:bookmarkEnd w:id="112"/>
    </w:p>
    <w:p w14:paraId="613B9AD6" w14:textId="7E4C5045" w:rsidR="00922A2B" w:rsidRPr="00025F23" w:rsidRDefault="00FD5702" w:rsidP="000A6E0C">
      <w:pPr>
        <w:pStyle w:val="Nivel1SM"/>
        <w:keepNext/>
        <w:spacing w:after="0"/>
      </w:pPr>
      <w:r w:rsidRPr="00025F23">
        <w:t xml:space="preserve">Mientras que por el lado de la demanda veíamos si el motor de crecimiento era la demanda interna o externa, por el lado de la oferta vemos si el patrón de crecimiento está basado en </w:t>
      </w:r>
      <w:r w:rsidRPr="00025F23">
        <w:rPr>
          <w:b/>
          <w:bCs/>
        </w:rPr>
        <w:t>mejoras de la productividad</w:t>
      </w:r>
      <w:r w:rsidRPr="00025F23">
        <w:t xml:space="preserve"> o en la </w:t>
      </w:r>
      <w:r w:rsidRPr="00025F23">
        <w:rPr>
          <w:b/>
          <w:bCs/>
        </w:rPr>
        <w:t>acumulación de factores</w:t>
      </w:r>
      <w:r w:rsidRPr="00025F23">
        <w:t>.</w:t>
      </w:r>
    </w:p>
    <w:p w14:paraId="5FE3AA29" w14:textId="2C4A8F59" w:rsidR="00922A2B" w:rsidRPr="00025F23" w:rsidRDefault="00922A2B" w:rsidP="00FD5702">
      <w:pPr>
        <w:rPr>
          <w:i/>
          <w:iCs/>
          <w:lang w:val="fr-FR"/>
        </w:rPr>
      </w:pPr>
      <m:oMathPara>
        <m:oMath>
          <m:r>
            <m:rPr>
              <m:nor/>
            </m:rPr>
            <w:rPr>
              <w:i/>
              <w:spacing w:val="-6"/>
              <w:szCs w:val="16"/>
            </w:rPr>
            <m:t>γ</m:t>
          </m:r>
          <m:sSub>
            <m:sSubPr>
              <m:ctrlPr>
                <w:rPr>
                  <w:rFonts w:ascii="Cambria Math" w:eastAsiaTheme="minorEastAsia" w:hAnsi="Cambria Math"/>
                  <w:i/>
                  <w:szCs w:val="16"/>
                </w:rPr>
              </m:ctrlPr>
            </m:sSubPr>
            <m:e>
              <m:r>
                <m:rPr>
                  <m:nor/>
                </m:rPr>
                <w:rPr>
                  <w:rFonts w:eastAsiaTheme="minorEastAsia"/>
                  <w:i/>
                  <w:szCs w:val="16"/>
                  <w:lang w:val="fr-FR"/>
                </w:rPr>
                <m:t>Y</m:t>
              </m:r>
            </m:e>
            <m:sub>
              <m:r>
                <m:rPr>
                  <m:nor/>
                </m:rPr>
                <w:rPr>
                  <w:rFonts w:eastAsiaTheme="minorEastAsia"/>
                  <w:i/>
                  <w:szCs w:val="16"/>
                  <w:lang w:val="fr-FR"/>
                </w:rPr>
                <m:t>t</m:t>
              </m:r>
            </m:sub>
          </m:sSub>
          <m:r>
            <w:rPr>
              <w:rFonts w:ascii="Cambria Math" w:eastAsiaTheme="minorEastAsia" w:hAnsi="Cambria Math"/>
              <w:spacing w:val="-6"/>
              <w:szCs w:val="16"/>
              <w:lang w:val="fr-FR"/>
            </w:rPr>
            <m:t>=</m:t>
          </m:r>
          <m:sSub>
            <m:sSubPr>
              <m:ctrlPr>
                <w:rPr>
                  <w:rFonts w:ascii="Cambria Math" w:eastAsiaTheme="minorEastAsia" w:hAnsi="Cambria Math"/>
                  <w:i/>
                  <w:iCs/>
                  <w:spacing w:val="-6"/>
                  <w:szCs w:val="16"/>
                </w:rPr>
              </m:ctrlPr>
            </m:sSubPr>
            <m:e>
              <m:r>
                <m:rPr>
                  <m:nor/>
                </m:rPr>
                <w:rPr>
                  <w:rFonts w:eastAsiaTheme="minorEastAsia"/>
                  <w:i/>
                  <w:iCs/>
                  <w:spacing w:val="-6"/>
                  <w:szCs w:val="16"/>
                  <w:lang w:val="fr-FR"/>
                </w:rPr>
                <m:t>s</m:t>
              </m:r>
            </m:e>
            <m:sub>
              <m:r>
                <m:rPr>
                  <m:nor/>
                </m:rPr>
                <w:rPr>
                  <w:rFonts w:eastAsiaTheme="minorEastAsia"/>
                  <w:i/>
                  <w:iCs/>
                  <w:spacing w:val="-6"/>
                  <w:szCs w:val="16"/>
                  <w:lang w:val="fr-FR"/>
                </w:rPr>
                <m:t>L</m:t>
              </m:r>
            </m:sub>
          </m:sSub>
          <m:r>
            <w:rPr>
              <w:rFonts w:ascii="Cambria Math" w:eastAsiaTheme="minorEastAsia" w:hAnsi="Cambria Math"/>
              <w:spacing w:val="-6"/>
              <w:szCs w:val="16"/>
              <w:lang w:val="fr-FR"/>
            </w:rPr>
            <m:t>∙</m:t>
          </m:r>
          <m:r>
            <m:rPr>
              <m:nor/>
            </m:rPr>
            <w:rPr>
              <w:i/>
              <w:iCs/>
              <w:spacing w:val="-6"/>
              <w:szCs w:val="16"/>
            </w:rPr>
            <m:t>γ</m:t>
          </m:r>
          <m:sSub>
            <m:sSubPr>
              <m:ctrlPr>
                <w:rPr>
                  <w:rFonts w:ascii="Cambria Math" w:eastAsiaTheme="minorEastAsia" w:hAnsi="Cambria Math"/>
                  <w:i/>
                  <w:iCs/>
                  <w:szCs w:val="16"/>
                </w:rPr>
              </m:ctrlPr>
            </m:sSubPr>
            <m:e>
              <m:r>
                <m:rPr>
                  <m:nor/>
                </m:rPr>
                <w:rPr>
                  <w:rFonts w:eastAsiaTheme="minorEastAsia"/>
                  <w:i/>
                  <w:iCs/>
                  <w:szCs w:val="16"/>
                  <w:lang w:val="fr-FR"/>
                </w:rPr>
                <m:t>L</m:t>
              </m:r>
            </m:e>
            <m:sub>
              <m:r>
                <m:rPr>
                  <m:nor/>
                </m:rPr>
                <w:rPr>
                  <w:rFonts w:eastAsiaTheme="minorEastAsia"/>
                  <w:i/>
                  <w:iCs/>
                  <w:szCs w:val="16"/>
                  <w:lang w:val="fr-FR"/>
                </w:rPr>
                <m:t>t</m:t>
              </m:r>
            </m:sub>
          </m:sSub>
          <m:r>
            <w:rPr>
              <w:rFonts w:ascii="Cambria Math" w:eastAsiaTheme="minorEastAsia" w:hAnsi="Cambria Math"/>
              <w:szCs w:val="16"/>
              <w:lang w:val="fr-FR"/>
            </w:rPr>
            <m:t>+</m:t>
          </m:r>
          <m:sSub>
            <m:sSubPr>
              <m:ctrlPr>
                <w:rPr>
                  <w:rFonts w:ascii="Cambria Math" w:eastAsiaTheme="minorEastAsia" w:hAnsi="Cambria Math"/>
                  <w:i/>
                  <w:iCs/>
                  <w:spacing w:val="-6"/>
                  <w:szCs w:val="16"/>
                </w:rPr>
              </m:ctrlPr>
            </m:sSubPr>
            <m:e>
              <m:r>
                <m:rPr>
                  <m:nor/>
                </m:rPr>
                <w:rPr>
                  <w:rFonts w:eastAsiaTheme="minorEastAsia"/>
                  <w:i/>
                  <w:iCs/>
                  <w:spacing w:val="-6"/>
                  <w:szCs w:val="16"/>
                  <w:lang w:val="fr-FR"/>
                </w:rPr>
                <m:t>s</m:t>
              </m:r>
            </m:e>
            <m:sub>
              <m:r>
                <m:rPr>
                  <m:nor/>
                </m:rPr>
                <w:rPr>
                  <w:rFonts w:eastAsiaTheme="minorEastAsia"/>
                  <w:i/>
                  <w:iCs/>
                  <w:spacing w:val="-6"/>
                  <w:szCs w:val="16"/>
                  <w:lang w:val="fr-FR"/>
                </w:rPr>
                <m:t>K</m:t>
              </m:r>
            </m:sub>
          </m:sSub>
          <m:r>
            <w:rPr>
              <w:rFonts w:ascii="Cambria Math" w:eastAsiaTheme="minorEastAsia" w:hAnsi="Cambria Math"/>
              <w:spacing w:val="-6"/>
              <w:szCs w:val="16"/>
              <w:lang w:val="fr-FR"/>
            </w:rPr>
            <m:t>∙</m:t>
          </m:r>
          <m:r>
            <m:rPr>
              <m:nor/>
            </m:rPr>
            <w:rPr>
              <w:i/>
              <w:iCs/>
              <w:spacing w:val="-6"/>
              <w:szCs w:val="16"/>
            </w:rPr>
            <m:t>γ</m:t>
          </m:r>
          <m:sSub>
            <m:sSubPr>
              <m:ctrlPr>
                <w:rPr>
                  <w:rFonts w:ascii="Cambria Math" w:eastAsiaTheme="minorEastAsia" w:hAnsi="Cambria Math"/>
                  <w:i/>
                  <w:iCs/>
                  <w:szCs w:val="16"/>
                </w:rPr>
              </m:ctrlPr>
            </m:sSubPr>
            <m:e>
              <m:r>
                <m:rPr>
                  <m:nor/>
                </m:rPr>
                <w:rPr>
                  <w:rFonts w:eastAsiaTheme="minorEastAsia"/>
                  <w:i/>
                  <w:iCs/>
                  <w:szCs w:val="16"/>
                  <w:lang w:val="fr-FR"/>
                </w:rPr>
                <m:t>K</m:t>
              </m:r>
            </m:e>
            <m:sub>
              <m:r>
                <m:rPr>
                  <m:nor/>
                </m:rPr>
                <w:rPr>
                  <w:rFonts w:eastAsiaTheme="minorEastAsia"/>
                  <w:i/>
                  <w:iCs/>
                  <w:szCs w:val="16"/>
                  <w:lang w:val="fr-FR"/>
                </w:rPr>
                <m:t>t</m:t>
              </m:r>
            </m:sub>
          </m:sSub>
          <m:r>
            <w:rPr>
              <w:rFonts w:ascii="Cambria Math" w:eastAsiaTheme="minorEastAsia" w:hAnsi="Cambria Math"/>
              <w:szCs w:val="16"/>
              <w:lang w:val="fr-FR"/>
            </w:rPr>
            <m:t>+</m:t>
          </m:r>
          <m:r>
            <m:rPr>
              <m:nor/>
            </m:rPr>
            <w:rPr>
              <w:i/>
              <w:spacing w:val="-6"/>
              <w:szCs w:val="16"/>
            </w:rPr>
            <m:t>γ</m:t>
          </m:r>
          <m:sSub>
            <m:sSubPr>
              <m:ctrlPr>
                <w:rPr>
                  <w:rFonts w:ascii="Cambria Math" w:eastAsiaTheme="minorEastAsia" w:hAnsi="Cambria Math"/>
                  <w:i/>
                  <w:szCs w:val="16"/>
                </w:rPr>
              </m:ctrlPr>
            </m:sSubPr>
            <m:e>
              <m:r>
                <m:rPr>
                  <m:nor/>
                </m:rPr>
                <w:rPr>
                  <w:rFonts w:eastAsiaTheme="minorEastAsia"/>
                  <w:i/>
                  <w:szCs w:val="16"/>
                  <w:lang w:val="fr-FR"/>
                </w:rPr>
                <m:t>A</m:t>
              </m:r>
            </m:e>
            <m:sub>
              <m:r>
                <m:rPr>
                  <m:nor/>
                </m:rPr>
                <w:rPr>
                  <w:rFonts w:eastAsiaTheme="minorEastAsia"/>
                  <w:i/>
                  <w:szCs w:val="16"/>
                  <w:lang w:val="fr-FR"/>
                </w:rPr>
                <m:t>t</m:t>
              </m:r>
            </m:sub>
          </m:sSub>
        </m:oMath>
      </m:oMathPara>
    </w:p>
    <w:p w14:paraId="77C9BE9E" w14:textId="63924E9B" w:rsidR="00FD5702" w:rsidRPr="00025F23" w:rsidRDefault="00FD5702" w:rsidP="008D4C91">
      <w:pPr>
        <w:pStyle w:val="Nivel1SM"/>
        <w:keepNext/>
        <w:spacing w:after="0"/>
      </w:pPr>
      <w:r w:rsidRPr="00025F23">
        <w:t xml:space="preserve">Si no disponemos de la </w:t>
      </w:r>
      <w:r w:rsidRPr="00025F23">
        <w:rPr>
          <w:b/>
          <w:bCs/>
        </w:rPr>
        <w:t>tasa de variación de la productividad total de los factores</w:t>
      </w:r>
      <w:r w:rsidRPr="00025F23">
        <w:t xml:space="preserve"> </w:t>
      </w:r>
      <w:r w:rsidR="0011607B" w:rsidRPr="00025F23">
        <w:t>(</w:t>
      </w:r>
      <m:oMath>
        <m:r>
          <m:rPr>
            <m:nor/>
          </m:rPr>
          <w:rPr>
            <w:i/>
            <w:spacing w:val="-6"/>
            <w:szCs w:val="16"/>
          </w:rPr>
          <m:t>γ</m:t>
        </m:r>
        <m:sSub>
          <m:sSubPr>
            <m:ctrlPr>
              <w:rPr>
                <w:rFonts w:ascii="Cambria Math" w:eastAsiaTheme="minorEastAsia" w:hAnsi="Cambria Math"/>
                <w:i/>
                <w:szCs w:val="16"/>
              </w:rPr>
            </m:ctrlPr>
          </m:sSubPr>
          <m:e>
            <m:r>
              <m:rPr>
                <m:nor/>
              </m:rPr>
              <w:rPr>
                <w:rFonts w:eastAsiaTheme="minorEastAsia"/>
                <w:i/>
                <w:szCs w:val="16"/>
              </w:rPr>
              <m:t>A</m:t>
            </m:r>
          </m:e>
          <m:sub>
            <m:r>
              <m:rPr>
                <m:nor/>
              </m:rPr>
              <w:rPr>
                <w:rFonts w:eastAsiaTheme="minorEastAsia"/>
                <w:i/>
                <w:szCs w:val="16"/>
              </w:rPr>
              <m:t>t</m:t>
            </m:r>
          </m:sub>
        </m:sSub>
      </m:oMath>
      <w:r w:rsidR="0011607B" w:rsidRPr="00025F23">
        <w:t xml:space="preserve">) </w:t>
      </w:r>
      <w:r w:rsidRPr="00025F23">
        <w:t>ni de las tasas de variación de todos los factores de producción</w:t>
      </w:r>
      <w:r w:rsidR="0011607B" w:rsidRPr="00025F23">
        <w:t xml:space="preserve"> (</w:t>
      </w:r>
      <m:oMath>
        <m:r>
          <m:rPr>
            <m:nor/>
          </m:rPr>
          <w:rPr>
            <w:i/>
            <w:spacing w:val="-6"/>
            <w:szCs w:val="16"/>
          </w:rPr>
          <m:t>γ</m:t>
        </m:r>
        <m:sSub>
          <m:sSubPr>
            <m:ctrlPr>
              <w:rPr>
                <w:rFonts w:ascii="Cambria Math" w:eastAsiaTheme="minorEastAsia" w:hAnsi="Cambria Math"/>
                <w:i/>
                <w:szCs w:val="16"/>
              </w:rPr>
            </m:ctrlPr>
          </m:sSubPr>
          <m:e>
            <m:r>
              <m:rPr>
                <m:nor/>
              </m:rPr>
              <w:rPr>
                <w:rFonts w:eastAsiaTheme="minorEastAsia"/>
                <w:i/>
                <w:szCs w:val="16"/>
              </w:rPr>
              <m:t>L</m:t>
            </m:r>
          </m:e>
          <m:sub>
            <m:r>
              <m:rPr>
                <m:nor/>
              </m:rPr>
              <w:rPr>
                <w:rFonts w:eastAsiaTheme="minorEastAsia"/>
                <w:i/>
                <w:szCs w:val="16"/>
              </w:rPr>
              <m:t>t</m:t>
            </m:r>
          </m:sub>
        </m:sSub>
        <m:r>
          <w:rPr>
            <w:rFonts w:ascii="Cambria Math" w:eastAsiaTheme="minorEastAsia" w:hAnsi="Cambria Math"/>
            <w:szCs w:val="16"/>
          </w:rPr>
          <m:t xml:space="preserve"> </m:t>
        </m:r>
      </m:oMath>
      <w:r w:rsidR="0011607B" w:rsidRPr="00025F23">
        <w:t xml:space="preserve">y </w:t>
      </w:r>
      <m:oMath>
        <m:r>
          <m:rPr>
            <m:nor/>
          </m:rPr>
          <w:rPr>
            <w:i/>
            <w:spacing w:val="-6"/>
            <w:szCs w:val="16"/>
          </w:rPr>
          <m:t>γ</m:t>
        </m:r>
        <m:sSub>
          <m:sSubPr>
            <m:ctrlPr>
              <w:rPr>
                <w:rFonts w:ascii="Cambria Math" w:eastAsiaTheme="minorEastAsia" w:hAnsi="Cambria Math"/>
                <w:i/>
                <w:szCs w:val="16"/>
              </w:rPr>
            </m:ctrlPr>
          </m:sSubPr>
          <m:e>
            <m:r>
              <m:rPr>
                <m:nor/>
              </m:rPr>
              <w:rPr>
                <w:rFonts w:eastAsiaTheme="minorEastAsia"/>
                <w:i/>
                <w:szCs w:val="16"/>
              </w:rPr>
              <m:t>K</m:t>
            </m:r>
          </m:e>
          <m:sub>
            <m:r>
              <m:rPr>
                <m:nor/>
              </m:rPr>
              <w:rPr>
                <w:rFonts w:eastAsiaTheme="minorEastAsia"/>
                <w:i/>
                <w:szCs w:val="16"/>
              </w:rPr>
              <m:t>t</m:t>
            </m:r>
          </m:sub>
        </m:sSub>
      </m:oMath>
      <w:r w:rsidR="0011607B" w:rsidRPr="00025F23">
        <w:t>)</w:t>
      </w:r>
      <w:r w:rsidRPr="00025F23">
        <w:t xml:space="preserve">, podemos hacer una aproximación a través de la </w:t>
      </w:r>
      <w:r w:rsidRPr="00025F23">
        <w:rPr>
          <w:b/>
          <w:bCs/>
        </w:rPr>
        <w:t>variación de la productividad aparente del trabajo</w:t>
      </w:r>
      <w:r w:rsidRPr="00025F23">
        <w:t>:</w:t>
      </w:r>
    </w:p>
    <w:p w14:paraId="07553BFE" w14:textId="278458F9" w:rsidR="00FD5702" w:rsidRPr="00025F23" w:rsidRDefault="00FD5702" w:rsidP="00652EE3">
      <w:pPr>
        <w:pStyle w:val="Nivel1"/>
        <w:keepNext/>
        <w:numPr>
          <w:ilvl w:val="0"/>
          <w:numId w:val="0"/>
        </w:numPr>
        <w:spacing w:after="0"/>
        <w:rPr>
          <w:rFonts w:eastAsiaTheme="minorEastAsia"/>
          <w:i/>
          <w:iCs w:val="0"/>
          <w:spacing w:val="-6"/>
          <w:szCs w:val="16"/>
        </w:rPr>
      </w:pPr>
      <m:oMathPara>
        <m:oMath>
          <m:r>
            <m:rPr>
              <m:nor/>
            </m:rPr>
            <w:rPr>
              <w:i/>
              <w:spacing w:val="-6"/>
              <w:szCs w:val="16"/>
            </w:rPr>
            <m:t>γ PAT</m:t>
          </m:r>
          <m:r>
            <m:rPr>
              <m:sty m:val="bi"/>
            </m:rPr>
            <w:rPr>
              <w:rFonts w:ascii="Cambria Math" w:hAnsi="Cambria Math"/>
              <w:spacing w:val="-6"/>
              <w:szCs w:val="16"/>
            </w:rPr>
            <m:t>=</m:t>
          </m:r>
          <m:r>
            <m:rPr>
              <m:nor/>
            </m:rPr>
            <w:rPr>
              <w:i/>
              <w:spacing w:val="-6"/>
              <w:szCs w:val="16"/>
            </w:rPr>
            <m:t xml:space="preserve">γ </m:t>
          </m:r>
          <m:sSub>
            <m:sSubPr>
              <m:ctrlPr>
                <w:rPr>
                  <w:rFonts w:ascii="Cambria Math" w:hAnsi="Cambria Math"/>
                  <w:i/>
                  <w:spacing w:val="-6"/>
                  <w:szCs w:val="16"/>
                </w:rPr>
              </m:ctrlPr>
            </m:sSubPr>
            <m:e>
              <m:r>
                <m:rPr>
                  <m:nor/>
                </m:rPr>
                <w:rPr>
                  <w:i/>
                  <w:spacing w:val="-6"/>
                  <w:szCs w:val="16"/>
                </w:rPr>
                <m:t>PIB</m:t>
              </m:r>
            </m:e>
            <m:sub>
              <m:r>
                <m:rPr>
                  <m:nor/>
                </m:rPr>
                <w:rPr>
                  <w:i/>
                  <w:spacing w:val="-6"/>
                  <w:szCs w:val="16"/>
                </w:rPr>
                <m:t>real</m:t>
              </m:r>
            </m:sub>
          </m:sSub>
          <m:r>
            <w:rPr>
              <w:rFonts w:ascii="Cambria Math" w:hAnsi="Cambria Math"/>
              <w:spacing w:val="-6"/>
              <w:szCs w:val="16"/>
            </w:rPr>
            <m:t>-</m:t>
          </m:r>
          <m:r>
            <m:rPr>
              <m:nor/>
            </m:rPr>
            <w:rPr>
              <w:i/>
              <w:spacing w:val="-6"/>
              <w:szCs w:val="16"/>
            </w:rPr>
            <m:t>γ Em</m:t>
          </m:r>
          <w:proofErr w:type="spellStart"/>
          <m:r>
            <m:rPr>
              <m:nor/>
            </m:rPr>
            <w:rPr>
              <w:i/>
              <w:iCs w:val="0"/>
              <w:spacing w:val="-6"/>
              <w:szCs w:val="16"/>
            </w:rPr>
            <m:t>pleo</m:t>
          </m:r>
        </m:oMath>
      </m:oMathPara>
      <w:proofErr w:type="spellEnd"/>
    </w:p>
    <w:p w14:paraId="18364495" w14:textId="41C9280E" w:rsidR="00FD5702" w:rsidRPr="00025F23" w:rsidRDefault="00FD5702" w:rsidP="00652EE3">
      <w:pPr>
        <w:pStyle w:val="Nivel1"/>
        <w:keepNext/>
        <w:numPr>
          <w:ilvl w:val="0"/>
          <w:numId w:val="0"/>
        </w:numPr>
        <w:spacing w:after="0"/>
        <w:rPr>
          <w:rFonts w:eastAsiaTheme="minorEastAsia"/>
          <w:i/>
          <w:iCs w:val="0"/>
          <w:spacing w:val="-6"/>
          <w:szCs w:val="16"/>
        </w:rPr>
      </w:pPr>
      <m:oMathPara>
        <m:oMath>
          <m:r>
            <m:rPr>
              <m:nor/>
            </m:rPr>
            <w:rPr>
              <w:i/>
              <w:spacing w:val="-6"/>
              <w:szCs w:val="16"/>
            </w:rPr>
            <m:t xml:space="preserve">γ </m:t>
          </m:r>
          <m:sSub>
            <m:sSubPr>
              <m:ctrlPr>
                <w:rPr>
                  <w:rFonts w:ascii="Cambria Math" w:hAnsi="Cambria Math"/>
                  <w:i/>
                  <w:spacing w:val="-6"/>
                  <w:szCs w:val="16"/>
                </w:rPr>
              </m:ctrlPr>
            </m:sSubPr>
            <m:e>
              <m:r>
                <m:rPr>
                  <m:nor/>
                </m:rPr>
                <w:rPr>
                  <w:i/>
                  <w:spacing w:val="-6"/>
                  <w:szCs w:val="16"/>
                </w:rPr>
                <m:t>PIB</m:t>
              </m:r>
            </m:e>
            <m:sub>
              <m:r>
                <m:rPr>
                  <m:nor/>
                </m:rPr>
                <w:rPr>
                  <w:i/>
                  <w:spacing w:val="-6"/>
                  <w:szCs w:val="16"/>
                </w:rPr>
                <m:t>real</m:t>
              </m:r>
            </m:sub>
          </m:sSub>
          <m:r>
            <w:rPr>
              <w:rFonts w:ascii="Cambria Math" w:hAnsi="Cambria Math"/>
              <w:spacing w:val="-6"/>
              <w:szCs w:val="16"/>
            </w:rPr>
            <m:t>=</m:t>
          </m:r>
          <m:r>
            <m:rPr>
              <m:nor/>
            </m:rPr>
            <w:rPr>
              <w:i/>
              <w:spacing w:val="-6"/>
              <w:szCs w:val="16"/>
            </w:rPr>
            <m:t>γ PAT</m:t>
          </m:r>
          <m:r>
            <w:rPr>
              <w:rFonts w:ascii="Cambria Math" w:hAnsi="Cambria Math"/>
              <w:spacing w:val="-6"/>
              <w:szCs w:val="16"/>
            </w:rPr>
            <m:t>+</m:t>
          </m:r>
          <m:r>
            <m:rPr>
              <m:nor/>
            </m:rPr>
            <w:rPr>
              <w:i/>
              <w:spacing w:val="-6"/>
              <w:szCs w:val="16"/>
            </w:rPr>
            <m:t>γ Em</m:t>
          </m:r>
          <w:proofErr w:type="spellStart"/>
          <m:r>
            <m:rPr>
              <m:nor/>
            </m:rPr>
            <w:rPr>
              <w:i/>
              <w:iCs w:val="0"/>
              <w:spacing w:val="-6"/>
              <w:szCs w:val="16"/>
            </w:rPr>
            <m:t>pleo</m:t>
          </m:r>
        </m:oMath>
      </m:oMathPara>
      <w:proofErr w:type="spellEnd"/>
    </w:p>
    <w:p w14:paraId="4BCF716F" w14:textId="3E59B2EB" w:rsidR="00E17732" w:rsidRPr="00025F23" w:rsidRDefault="00E17732" w:rsidP="008D4C91">
      <w:pPr>
        <w:pStyle w:val="Nivel2SM"/>
      </w:pPr>
      <w:r w:rsidRPr="00025F23">
        <w:t>De este modo podemos descomponer el crecimiento del PIB en el crecimiento de la productividad y el crecimiento del empleo.</w:t>
      </w:r>
    </w:p>
    <w:p w14:paraId="1231C40E" w14:textId="5F12B545" w:rsidR="000A6E0C" w:rsidRPr="00025F23" w:rsidRDefault="000A6E0C" w:rsidP="008D4C91">
      <w:pPr>
        <w:pStyle w:val="Nivel2SM"/>
      </w:pPr>
      <w:r w:rsidRPr="00025F23">
        <w:t>Caídas en el nivel de empleo pueden producir “aumentos” espurios de productividad.</w:t>
      </w:r>
    </w:p>
    <w:p w14:paraId="7E8F5DA3" w14:textId="6419BCA6" w:rsidR="00E17732" w:rsidRPr="00025F23" w:rsidRDefault="00E17732" w:rsidP="009252E1">
      <w:pPr>
        <w:pStyle w:val="Nivel1SM"/>
        <w:keepNext/>
      </w:pPr>
      <w:r w:rsidRPr="00025F23">
        <w:t xml:space="preserve">Nótese que, si una economía está creciendo y, </w:t>
      </w:r>
      <w:r w:rsidR="00EE4B3A" w:rsidRPr="00025F23">
        <w:t>aun</w:t>
      </w:r>
      <w:r w:rsidRPr="00025F23">
        <w:t xml:space="preserve"> así, sigue sin cerrar su output gap, es porque el </w:t>
      </w:r>
      <w:r w:rsidRPr="00025F23">
        <w:rPr>
          <w:b/>
          <w:bCs/>
        </w:rPr>
        <w:t xml:space="preserve">output potencial </w:t>
      </w:r>
      <w:r w:rsidRPr="00025F23">
        <w:t xml:space="preserve">también está </w:t>
      </w:r>
      <w:r w:rsidRPr="00025F23">
        <w:rPr>
          <w:b/>
          <w:bCs/>
        </w:rPr>
        <w:t>creciendo</w:t>
      </w:r>
      <w:r w:rsidRPr="00025F23">
        <w:t>.</w:t>
      </w:r>
    </w:p>
    <w:p w14:paraId="3406E8E2" w14:textId="6E6735D7" w:rsidR="00E17732" w:rsidRPr="00025F23" w:rsidRDefault="00E17732" w:rsidP="008D4C91">
      <w:pPr>
        <w:pStyle w:val="Nivel2SM"/>
      </w:pPr>
      <w:r w:rsidRPr="00025F23">
        <w:t xml:space="preserve">Así, si durante la serie el output gap no se cierra a pesar de un crecimiento sostenido del PIB, tenemos que ser cautos y no calificar </w:t>
      </w:r>
      <w:r w:rsidR="00C74929" w:rsidRPr="00025F23">
        <w:t xml:space="preserve">por </w:t>
      </w:r>
      <w:r w:rsidRPr="00025F23">
        <w:t>ese hecho al cuadro macro como “débil”, ya que el PIB potencial de la economía está creciendo a tasas importantes.</w:t>
      </w:r>
    </w:p>
    <w:p w14:paraId="63ECBE6B" w14:textId="182573CD" w:rsidR="00E17732" w:rsidRPr="00025F23" w:rsidRDefault="00E17732" w:rsidP="008D4C91">
      <w:pPr>
        <w:pStyle w:val="Nivel2SM"/>
      </w:pPr>
      <w:r w:rsidRPr="00025F23">
        <w:t>Y viceversa: una economía que cierra su output gap no tiene por qué ser dinámica, ya que si lo hace a una tasa de crecimiento del PIB baja entonces no sería necesariamente un buen signo.</w:t>
      </w:r>
    </w:p>
    <w:p w14:paraId="1B42EE2B" w14:textId="44E86A88" w:rsidR="00FD5702" w:rsidRPr="00025F23" w:rsidRDefault="00FD5702" w:rsidP="00FD5702">
      <w:pPr>
        <w:pStyle w:val="Nivel1"/>
        <w:numPr>
          <w:ilvl w:val="0"/>
          <w:numId w:val="0"/>
        </w:numPr>
        <w:rPr>
          <w:i/>
          <w:iCs w:val="0"/>
        </w:rPr>
      </w:pPr>
    </w:p>
    <w:p w14:paraId="51E05665" w14:textId="20767CEA" w:rsidR="006225DE" w:rsidRPr="00025F23" w:rsidRDefault="00FD5702" w:rsidP="00AD1AFB">
      <w:pPr>
        <w:pStyle w:val="Ttulo3"/>
      </w:pPr>
      <w:bookmarkStart w:id="113" w:name="_Toc88565987"/>
      <w:bookmarkStart w:id="114" w:name="_Toc88566127"/>
      <w:bookmarkStart w:id="115" w:name="_Toc173446289"/>
      <w:bookmarkStart w:id="116" w:name="_Toc189085783"/>
      <w:r w:rsidRPr="00025F23">
        <w:t>Sectores</w:t>
      </w:r>
      <w:bookmarkEnd w:id="113"/>
      <w:bookmarkEnd w:id="114"/>
      <w:bookmarkEnd w:id="115"/>
      <w:bookmarkEnd w:id="116"/>
    </w:p>
    <w:p w14:paraId="4DE92BD8" w14:textId="6AC378FE" w:rsidR="00FD5702" w:rsidRPr="00025F23" w:rsidRDefault="00A67446" w:rsidP="008D4C91">
      <w:pPr>
        <w:pStyle w:val="Nivel1SM"/>
      </w:pPr>
      <w:r w:rsidRPr="00025F23">
        <w:t>Otro enfoque para analizar el crecimiento en la producción desde el punto de vista de la oferta es pronosticar la producción para cada sector de forma separada y obtener la tasa de crecimiento del PIB real como una media ponderada del crecimiento de los sectores</w:t>
      </w:r>
      <w:r w:rsidR="00B0244C" w:rsidRPr="00025F23">
        <w:t>.</w:t>
      </w:r>
    </w:p>
    <w:p w14:paraId="68058568" w14:textId="5A87C04E" w:rsidR="00B0244C" w:rsidRPr="00025F23" w:rsidRDefault="00B0244C" w:rsidP="008D4C91">
      <w:pPr>
        <w:pStyle w:val="Nivel1SM"/>
        <w:keepNext/>
        <w:spacing w:after="0"/>
      </w:pPr>
      <w:r w:rsidRPr="00025F23">
        <w:t>Para ello, es interesante comprobar algunas cuestiones:</w:t>
      </w:r>
    </w:p>
    <w:p w14:paraId="1FD96DC0" w14:textId="7A497132" w:rsidR="00B0244C" w:rsidRPr="00025F23" w:rsidRDefault="00B0244C" w:rsidP="008D4C91">
      <w:pPr>
        <w:pStyle w:val="Nivel2SM"/>
      </w:pPr>
      <w:r w:rsidRPr="00025F23">
        <w:rPr>
          <w:i/>
        </w:rPr>
        <w:t>Cambio de estructura productiva</w:t>
      </w:r>
      <w:r w:rsidRPr="00025F23">
        <w:t xml:space="preserve">: </w:t>
      </w:r>
      <w:r w:rsidR="00552422" w:rsidRPr="00025F23">
        <w:t>P</w:t>
      </w:r>
      <w:r w:rsidRPr="00025F23">
        <w:t>or ejemplo, el paso del sector primario al industrial (industrialización) o al sector servicios (terciarización).</w:t>
      </w:r>
    </w:p>
    <w:p w14:paraId="03ED2E95" w14:textId="5E3882DC" w:rsidR="00B0244C" w:rsidRPr="00025F23" w:rsidRDefault="00B0244C" w:rsidP="008D4C91">
      <w:pPr>
        <w:pStyle w:val="Nivel2SM"/>
      </w:pPr>
      <w:r w:rsidRPr="00025F23">
        <w:rPr>
          <w:i/>
        </w:rPr>
        <w:t>Uso intensivo de factores productivos</w:t>
      </w:r>
      <w:r w:rsidRPr="00025F23">
        <w:t xml:space="preserve">: </w:t>
      </w:r>
      <w:r w:rsidR="00552422" w:rsidRPr="00025F23">
        <w:t>M</w:t>
      </w:r>
      <w:r w:rsidRPr="00025F23">
        <w:t>ano de obra, capital, I+D+i, energía, etc.</w:t>
      </w:r>
    </w:p>
    <w:p w14:paraId="0A808872" w14:textId="2AFE1D87" w:rsidR="00B0244C" w:rsidRPr="00025F23" w:rsidRDefault="00552422" w:rsidP="008D4C91">
      <w:pPr>
        <w:pStyle w:val="Nivel2SM"/>
      </w:pPr>
      <w:r w:rsidRPr="00025F23">
        <w:rPr>
          <w:i/>
        </w:rPr>
        <w:t>Eslabonamientos de cada sector</w:t>
      </w:r>
      <w:r w:rsidRPr="00025F23">
        <w:t>: Capacidad de un sector para “tirar” del resto de sectores.</w:t>
      </w:r>
    </w:p>
    <w:p w14:paraId="423F665B" w14:textId="5851E707" w:rsidR="00552422" w:rsidRPr="00025F23" w:rsidRDefault="00552422" w:rsidP="008D4C91">
      <w:pPr>
        <w:pStyle w:val="Nivel2SM"/>
      </w:pPr>
      <w:r w:rsidRPr="00025F23">
        <w:rPr>
          <w:i/>
        </w:rPr>
        <w:t>Externalidades</w:t>
      </w:r>
      <w:r w:rsidRPr="00025F23">
        <w:t>: Por ejemplo, la industria aeronáutica genera efectos desbordamiento positivos.</w:t>
      </w:r>
    </w:p>
    <w:p w14:paraId="7A64EC28" w14:textId="31C8929C" w:rsidR="00B0244C" w:rsidRPr="008D4C91" w:rsidRDefault="00552422" w:rsidP="008D4C91">
      <w:pPr>
        <w:pStyle w:val="Nivel1SM"/>
        <w:keepNext/>
        <w:spacing w:after="0"/>
        <w:rPr>
          <w:spacing w:val="-4"/>
        </w:rPr>
      </w:pPr>
      <w:r w:rsidRPr="008D4C91">
        <w:rPr>
          <w:spacing w:val="-4"/>
        </w:rPr>
        <w:t>Posteriormente, analizamos los diferentes sectores en los que se descompone la economía a través de la evolución de su valor añadido (VAB):</w:t>
      </w:r>
    </w:p>
    <w:p w14:paraId="1238179B" w14:textId="52D8297D" w:rsidR="00A01A88" w:rsidRPr="00025F23" w:rsidRDefault="00B0244C" w:rsidP="008D4C91">
      <w:pPr>
        <w:pStyle w:val="Nivel2SM"/>
        <w:keepNext/>
        <w:spacing w:after="0"/>
      </w:pPr>
      <w:r w:rsidRPr="00025F23">
        <w:rPr>
          <w:i/>
          <w:u w:val="single"/>
        </w:rPr>
        <w:t>Sector primario</w:t>
      </w:r>
      <w:r w:rsidRPr="00025F23">
        <w:t>: Generalmente acíclico</w:t>
      </w:r>
      <w:r w:rsidR="00AD6116" w:rsidRPr="00025F23">
        <w:t>.</w:t>
      </w:r>
    </w:p>
    <w:p w14:paraId="14650613" w14:textId="1096308B" w:rsidR="00AD6116" w:rsidRPr="00025F23" w:rsidRDefault="00AD6116" w:rsidP="008D4C91">
      <w:pPr>
        <w:pStyle w:val="Nivel3SM"/>
      </w:pPr>
      <w:r w:rsidRPr="008D4C91">
        <w:rPr>
          <w:i/>
          <w:iCs/>
        </w:rPr>
        <w:t>Intensivo en mano de obra</w:t>
      </w:r>
      <w:r w:rsidRPr="00025F23">
        <w:t>.</w:t>
      </w:r>
    </w:p>
    <w:p w14:paraId="30D6E572" w14:textId="58321539" w:rsidR="00D35723" w:rsidRPr="00025F23" w:rsidRDefault="00D35723" w:rsidP="008D4C91">
      <w:pPr>
        <w:pStyle w:val="Nivel3SM"/>
      </w:pPr>
      <w:r w:rsidRPr="008D4C91">
        <w:rPr>
          <w:i/>
          <w:iCs/>
        </w:rPr>
        <w:t>Posible protección arancelaria y subvenciones</w:t>
      </w:r>
      <w:r w:rsidRPr="00025F23">
        <w:t xml:space="preserve"> como elementos distorsionadores.</w:t>
      </w:r>
    </w:p>
    <w:p w14:paraId="5C1585CB" w14:textId="6CD0F905" w:rsidR="00D35723" w:rsidRPr="00025F23" w:rsidRDefault="00D35723" w:rsidP="008D4C91">
      <w:pPr>
        <w:pStyle w:val="Nivel3SM"/>
      </w:pPr>
      <w:r w:rsidRPr="008D4C91">
        <w:rPr>
          <w:i/>
          <w:iCs/>
        </w:rPr>
        <w:t>Menor elasticidad-renta</w:t>
      </w:r>
      <w:r w:rsidRPr="00025F23">
        <w:t>.</w:t>
      </w:r>
    </w:p>
    <w:p w14:paraId="27EE1B52" w14:textId="10CE1D86" w:rsidR="00AD6116" w:rsidRPr="00025F23" w:rsidRDefault="00AD6116" w:rsidP="008D4C91">
      <w:pPr>
        <w:pStyle w:val="Nivel3SM"/>
      </w:pPr>
      <w:r w:rsidRPr="008D4C91">
        <w:rPr>
          <w:i/>
          <w:iCs/>
        </w:rPr>
        <w:t>Mayor importancia cuanto menos desarrollado este el país</w:t>
      </w:r>
      <w:r w:rsidRPr="00025F23">
        <w:t>.</w:t>
      </w:r>
    </w:p>
    <w:p w14:paraId="7B0884FF" w14:textId="0FA0A2ED" w:rsidR="00B0244C" w:rsidRPr="00025F23" w:rsidRDefault="00B0244C" w:rsidP="008D4C91">
      <w:pPr>
        <w:pStyle w:val="Nivel2SM"/>
        <w:keepNext/>
        <w:spacing w:after="0"/>
      </w:pPr>
      <w:r w:rsidRPr="008D4C91">
        <w:rPr>
          <w:i/>
          <w:iCs/>
          <w:u w:val="single"/>
        </w:rPr>
        <w:t>Sector energético</w:t>
      </w:r>
      <w:r w:rsidRPr="00025F23">
        <w:t>:</w:t>
      </w:r>
    </w:p>
    <w:p w14:paraId="228852E4" w14:textId="5BA64F3C" w:rsidR="00D35723" w:rsidRPr="00025F23" w:rsidRDefault="00D35723" w:rsidP="008D4C91">
      <w:pPr>
        <w:pStyle w:val="Nivel3SM"/>
      </w:pPr>
      <w:r w:rsidRPr="00025F23">
        <w:rPr>
          <w:i/>
          <w:iCs/>
        </w:rPr>
        <w:t>Posibles subvenciones o impuestos</w:t>
      </w:r>
      <w:r w:rsidRPr="00025F23">
        <w:t xml:space="preserve"> (muchos países en vías de desarrollo subvencionan combustible).</w:t>
      </w:r>
    </w:p>
    <w:p w14:paraId="163A8B3D" w14:textId="2097268E" w:rsidR="00D35723" w:rsidRPr="00025F23" w:rsidRDefault="00D35723" w:rsidP="008D4C91">
      <w:pPr>
        <w:pStyle w:val="Nivel3SM"/>
      </w:pPr>
      <w:r w:rsidRPr="00025F23">
        <w:rPr>
          <w:i/>
          <w:iCs/>
        </w:rPr>
        <w:t>Posible dependencia energética</w:t>
      </w:r>
      <w:r w:rsidRPr="00025F23">
        <w:t>, con precios fijados en los mercados mundiales (y, por tanto, importando inflación).</w:t>
      </w:r>
    </w:p>
    <w:p w14:paraId="0F24B372" w14:textId="471E5D3F" w:rsidR="00AD6116" w:rsidRPr="00025F23" w:rsidRDefault="00AD6116" w:rsidP="008D4C91">
      <w:pPr>
        <w:pStyle w:val="Nivel3SM"/>
      </w:pPr>
      <w:r w:rsidRPr="00025F23">
        <w:rPr>
          <w:i/>
          <w:iCs/>
        </w:rPr>
        <w:t>Depende de los precios mundiales</w:t>
      </w:r>
      <w:r w:rsidRPr="00025F23">
        <w:t>.</w:t>
      </w:r>
    </w:p>
    <w:p w14:paraId="61AEE1DC" w14:textId="0E04C76D" w:rsidR="00AD6116" w:rsidRPr="00025F23" w:rsidRDefault="00AD6116" w:rsidP="008D4C91">
      <w:pPr>
        <w:pStyle w:val="Nivel3SM"/>
      </w:pPr>
      <w:r w:rsidRPr="00025F23">
        <w:rPr>
          <w:i/>
          <w:iCs/>
        </w:rPr>
        <w:t>Posible impacto sobre balanza comercial</w:t>
      </w:r>
      <w:r w:rsidRPr="00025F23">
        <w:t>.</w:t>
      </w:r>
    </w:p>
    <w:p w14:paraId="0247FC4A" w14:textId="007C54AD" w:rsidR="00D35723" w:rsidRPr="00025F23" w:rsidRDefault="00D35723" w:rsidP="008D4C91">
      <w:pPr>
        <w:pStyle w:val="Nivel3SM"/>
      </w:pPr>
      <w:r w:rsidRPr="00025F23">
        <w:rPr>
          <w:i/>
          <w:iCs/>
        </w:rPr>
        <w:t>Capacidad de refinado</w:t>
      </w:r>
      <w:r w:rsidRPr="00025F23">
        <w:t xml:space="preserve"> (algunos países en vías de desarrollo petrolíferos carecen de tecnología nacional y precisan de Inversión Directa Extranjera –IDE–).</w:t>
      </w:r>
    </w:p>
    <w:p w14:paraId="3CC91C28" w14:textId="1CC266AE" w:rsidR="00D35723" w:rsidRPr="00025F23" w:rsidRDefault="00D35723" w:rsidP="008D4C91">
      <w:pPr>
        <w:pStyle w:val="Nivel3SM"/>
      </w:pPr>
      <w:r w:rsidRPr="00025F23">
        <w:rPr>
          <w:i/>
          <w:iCs/>
        </w:rPr>
        <w:t>Posible enfermedad holandesa</w:t>
      </w:r>
      <w:r w:rsidRPr="00025F23">
        <w:t xml:space="preserve">: </w:t>
      </w:r>
      <w:r w:rsidR="00652EE3" w:rsidRPr="00025F23">
        <w:t>A</w:t>
      </w:r>
      <w:r w:rsidRPr="00025F23">
        <w:t>preciación del tipo de cambio real causada por un boom en un sector muy demandado en el exterior (p.ej. hidrocarburos).</w:t>
      </w:r>
    </w:p>
    <w:p w14:paraId="415D5848" w14:textId="77777777" w:rsidR="00621C68" w:rsidRPr="00025F23" w:rsidRDefault="00B0244C" w:rsidP="008D4C91">
      <w:pPr>
        <w:pStyle w:val="Nivel2SM"/>
        <w:keepNext/>
        <w:spacing w:after="0"/>
      </w:pPr>
      <w:r w:rsidRPr="008D4C91">
        <w:rPr>
          <w:i/>
          <w:iCs/>
          <w:u w:val="single"/>
        </w:rPr>
        <w:t xml:space="preserve">Sector </w:t>
      </w:r>
      <w:r w:rsidR="00621C68" w:rsidRPr="008D4C91">
        <w:rPr>
          <w:i/>
          <w:iCs/>
          <w:u w:val="single"/>
        </w:rPr>
        <w:t xml:space="preserve">de la </w:t>
      </w:r>
      <w:r w:rsidRPr="008D4C91">
        <w:rPr>
          <w:i/>
          <w:iCs/>
          <w:u w:val="single"/>
        </w:rPr>
        <w:t>construcción</w:t>
      </w:r>
      <w:r w:rsidRPr="00025F23">
        <w:t>:</w:t>
      </w:r>
    </w:p>
    <w:p w14:paraId="0738CFF9" w14:textId="36D476C2" w:rsidR="00621C68" w:rsidRPr="00025F23" w:rsidRDefault="00B0244C" w:rsidP="008D4C91">
      <w:pPr>
        <w:pStyle w:val="Nivel3SM"/>
      </w:pPr>
      <w:r w:rsidRPr="00025F23">
        <w:rPr>
          <w:i/>
          <w:iCs/>
        </w:rPr>
        <w:t>Grandes eslabonamientos hacia atrás</w:t>
      </w:r>
      <w:r w:rsidRPr="00025F23">
        <w:t xml:space="preserve"> </w:t>
      </w:r>
      <w:r w:rsidR="00621C68" w:rsidRPr="00025F23">
        <w:t>por requerir grandes cantidades de insumos.</w:t>
      </w:r>
    </w:p>
    <w:p w14:paraId="69BB05AC" w14:textId="77777777" w:rsidR="00621C68" w:rsidRPr="00025F23" w:rsidRDefault="00621C68" w:rsidP="008D4C91">
      <w:pPr>
        <w:pStyle w:val="Nivel3SM"/>
      </w:pPr>
      <w:r w:rsidRPr="00025F23">
        <w:t>I</w:t>
      </w:r>
      <w:r w:rsidR="00B0244C" w:rsidRPr="00025F23">
        <w:t xml:space="preserve">ntensivo en </w:t>
      </w:r>
      <w:r w:rsidR="00B0244C" w:rsidRPr="00025F23">
        <w:rPr>
          <w:i/>
          <w:iCs/>
        </w:rPr>
        <w:t>mano de obra</w:t>
      </w:r>
      <w:r w:rsidRPr="00025F23">
        <w:rPr>
          <w:i/>
          <w:iCs/>
        </w:rPr>
        <w:t xml:space="preserve"> poco cualificada</w:t>
      </w:r>
      <w:r w:rsidRPr="00025F23">
        <w:t>.</w:t>
      </w:r>
    </w:p>
    <w:p w14:paraId="321FC6AD" w14:textId="42CA60BB" w:rsidR="00621C68" w:rsidRPr="00025F23" w:rsidRDefault="00621C68" w:rsidP="008D4C91">
      <w:pPr>
        <w:pStyle w:val="Nivel3SM"/>
      </w:pPr>
      <w:r w:rsidRPr="00025F23">
        <w:t xml:space="preserve">Tiempo de </w:t>
      </w:r>
      <w:r w:rsidRPr="00025F23">
        <w:rPr>
          <w:i/>
          <w:iCs/>
        </w:rPr>
        <w:t>maduración</w:t>
      </w:r>
      <w:r w:rsidRPr="00025F23">
        <w:t xml:space="preserve"> elevado.</w:t>
      </w:r>
    </w:p>
    <w:p w14:paraId="68EDC876" w14:textId="12D69AFE" w:rsidR="00621C68" w:rsidRPr="00025F23" w:rsidRDefault="00621C68" w:rsidP="008D4C91">
      <w:pPr>
        <w:pStyle w:val="Nivel3SM"/>
      </w:pPr>
      <w:r w:rsidRPr="00025F23">
        <w:t xml:space="preserve">Demanda condicionada por la </w:t>
      </w:r>
      <w:r w:rsidRPr="00025F23">
        <w:rPr>
          <w:i/>
          <w:iCs/>
        </w:rPr>
        <w:t>demografía</w:t>
      </w:r>
      <w:r w:rsidRPr="00025F23">
        <w:t xml:space="preserve">, pero también por su carácter de </w:t>
      </w:r>
      <w:r w:rsidRPr="00025F23">
        <w:rPr>
          <w:i/>
          <w:iCs/>
        </w:rPr>
        <w:t>inversión</w:t>
      </w:r>
      <w:r w:rsidRPr="00025F23">
        <w:t>.</w:t>
      </w:r>
    </w:p>
    <w:p w14:paraId="4E04C39C" w14:textId="02359C1E" w:rsidR="00621C68" w:rsidRPr="00025F23" w:rsidRDefault="00621C68" w:rsidP="008D4C91">
      <w:pPr>
        <w:pStyle w:val="Nivel3SM"/>
        <w:rPr>
          <w:i/>
          <w:iCs/>
        </w:rPr>
      </w:pPr>
      <w:r w:rsidRPr="00025F23">
        <w:rPr>
          <w:i/>
          <w:iCs/>
        </w:rPr>
        <w:t>Posible burbuja</w:t>
      </w:r>
      <w:r w:rsidRPr="00025F23">
        <w:t xml:space="preserve"> o inflación de activos.</w:t>
      </w:r>
    </w:p>
    <w:p w14:paraId="5DB2D11C" w14:textId="4106A290" w:rsidR="00621C68" w:rsidRPr="00025F23" w:rsidRDefault="00621C68" w:rsidP="008D4C91">
      <w:pPr>
        <w:pStyle w:val="Nivel3SM"/>
        <w:rPr>
          <w:i/>
          <w:iCs/>
        </w:rPr>
      </w:pPr>
      <w:r w:rsidRPr="00025F23">
        <w:rPr>
          <w:i/>
          <w:iCs/>
        </w:rPr>
        <w:t>Fuerte efecto riqueza</w:t>
      </w:r>
      <w:r w:rsidRPr="00025F23">
        <w:t xml:space="preserve"> por ser el principal activo de los hogares.</w:t>
      </w:r>
    </w:p>
    <w:p w14:paraId="36973BB7" w14:textId="5368C8EA" w:rsidR="00621C68" w:rsidRPr="00025F23" w:rsidRDefault="00621C68" w:rsidP="008D4C91">
      <w:pPr>
        <w:pStyle w:val="Nivel3SM"/>
        <w:rPr>
          <w:i/>
          <w:iCs/>
        </w:rPr>
      </w:pPr>
      <w:r w:rsidRPr="00025F23">
        <w:rPr>
          <w:i/>
          <w:iCs/>
        </w:rPr>
        <w:t>Genera gran necesidad de endeudamiento y simbiosis</w:t>
      </w:r>
      <w:r w:rsidRPr="00025F23">
        <w:t xml:space="preserve"> con el sector financiero por círculos virtuosos o viciosos. Se consideran excesivos desembolsos superiores al 33</w:t>
      </w:r>
      <w:r w:rsidR="0097016E" w:rsidRPr="00025F23">
        <w:t> </w:t>
      </w:r>
      <w:r w:rsidRPr="00025F23">
        <w:t>% de la renta corriente en vivienda.</w:t>
      </w:r>
    </w:p>
    <w:p w14:paraId="7E57FA94" w14:textId="7B421B57" w:rsidR="00B0244C" w:rsidRPr="00025F23" w:rsidRDefault="00B0244C" w:rsidP="008D4C91">
      <w:pPr>
        <w:pStyle w:val="Nivel3SM"/>
      </w:pPr>
      <w:r w:rsidRPr="00025F23">
        <w:rPr>
          <w:i/>
          <w:iCs/>
        </w:rPr>
        <w:t>Oferta fija a corto plazo</w:t>
      </w:r>
      <w:r w:rsidRPr="00025F23">
        <w:t>.</w:t>
      </w:r>
    </w:p>
    <w:p w14:paraId="7B6F6A52" w14:textId="03BD2B0B" w:rsidR="00B0244C" w:rsidRPr="00025F23" w:rsidRDefault="00B0244C" w:rsidP="008D4C91">
      <w:pPr>
        <w:pStyle w:val="Nivel2SM"/>
        <w:keepNext/>
        <w:spacing w:after="0"/>
      </w:pPr>
      <w:r w:rsidRPr="008D4C91">
        <w:rPr>
          <w:i/>
          <w:iCs/>
          <w:u w:val="single"/>
        </w:rPr>
        <w:t>Sector industrial</w:t>
      </w:r>
      <w:r w:rsidRPr="00025F23">
        <w:t>:</w:t>
      </w:r>
    </w:p>
    <w:p w14:paraId="5776211D" w14:textId="0B28FE18" w:rsidR="00AD6116" w:rsidRPr="00025F23" w:rsidRDefault="00AD6116" w:rsidP="008D4C91">
      <w:pPr>
        <w:pStyle w:val="Nivel3SM"/>
      </w:pPr>
      <w:r w:rsidRPr="00025F23">
        <w:rPr>
          <w:i/>
          <w:iCs/>
        </w:rPr>
        <w:t>Menos intensivo en mano de obra</w:t>
      </w:r>
      <w:r w:rsidRPr="00025F23">
        <w:t xml:space="preserve"> que agricultura o servicios.</w:t>
      </w:r>
    </w:p>
    <w:p w14:paraId="6367B324" w14:textId="4EB02B33" w:rsidR="00AD6116" w:rsidRPr="00025F23" w:rsidRDefault="00AD6116" w:rsidP="008D4C91">
      <w:pPr>
        <w:pStyle w:val="Nivel3SM"/>
      </w:pPr>
      <w:r w:rsidRPr="00025F23">
        <w:t xml:space="preserve">Ver </w:t>
      </w:r>
      <w:r w:rsidRPr="00025F23">
        <w:rPr>
          <w:i/>
          <w:iCs/>
        </w:rPr>
        <w:t>correlación con las exportaciones</w:t>
      </w:r>
      <w:r w:rsidRPr="00025F23">
        <w:t xml:space="preserve"> y, si el país está en vías de desarrollo, ver si existe estrategia de industrialización orientada a la exportación.</w:t>
      </w:r>
    </w:p>
    <w:p w14:paraId="17CB8847" w14:textId="77777777" w:rsidR="008D4C91" w:rsidRDefault="00B0244C" w:rsidP="008D4C91">
      <w:pPr>
        <w:pStyle w:val="Nivel2SM"/>
        <w:keepNext/>
        <w:spacing w:after="0"/>
      </w:pPr>
      <w:r w:rsidRPr="00025F23">
        <w:rPr>
          <w:i/>
          <w:u w:val="single"/>
        </w:rPr>
        <w:t>Sector servicios</w:t>
      </w:r>
      <w:r w:rsidRPr="00025F23">
        <w:t>:</w:t>
      </w:r>
    </w:p>
    <w:p w14:paraId="1B8F279B" w14:textId="2DE3D0BC" w:rsidR="00B0244C" w:rsidRPr="00025F23" w:rsidRDefault="00B0244C" w:rsidP="008D4C91">
      <w:pPr>
        <w:pStyle w:val="Nivel3SM"/>
      </w:pPr>
      <w:r w:rsidRPr="00025F23">
        <w:t>Sector muy heterogéneo</w:t>
      </w:r>
      <w:r w:rsidR="00AD6116" w:rsidRPr="00025F23">
        <w:t xml:space="preserve"> con servicios de a</w:t>
      </w:r>
      <w:r w:rsidRPr="00025F23">
        <w:t>lto y bajo valor añadido</w:t>
      </w:r>
      <w:r w:rsidR="00AD6116" w:rsidRPr="00025F23">
        <w:t>, a</w:t>
      </w:r>
      <w:r w:rsidRPr="00025F23">
        <w:t xml:space="preserve"> menudo no </w:t>
      </w:r>
      <w:r w:rsidR="00D35723" w:rsidRPr="00025F23">
        <w:t>comercializable</w:t>
      </w:r>
      <w:r w:rsidR="00617E40">
        <w:t>s</w:t>
      </w:r>
      <w:r w:rsidRPr="00025F23">
        <w:t>.</w:t>
      </w:r>
    </w:p>
    <w:p w14:paraId="2656DD8E" w14:textId="481C8C3B" w:rsidR="00FA711C" w:rsidRPr="00025F23" w:rsidRDefault="00FA711C" w:rsidP="00AD1AFB">
      <w:pPr>
        <w:pStyle w:val="Ttulo2"/>
      </w:pPr>
      <w:bookmarkStart w:id="117" w:name="_Toc173446290"/>
      <w:bookmarkStart w:id="118" w:name="_Toc88565988"/>
      <w:bookmarkStart w:id="119" w:name="_Toc88566128"/>
      <w:bookmarkStart w:id="120" w:name="_Toc189085784"/>
      <w:r w:rsidRPr="00025F23">
        <w:t>Anticipación de diagnóstico</w:t>
      </w:r>
      <w:r w:rsidR="00876B1A">
        <w:br/>
      </w:r>
      <w:r w:rsidRPr="00025F23">
        <w:rPr>
          <w:sz w:val="14"/>
          <w:szCs w:val="14"/>
        </w:rPr>
        <w:t>(opcional y sólo si está claro y da tiempo)</w:t>
      </w:r>
      <w:bookmarkEnd w:id="117"/>
      <w:bookmarkEnd w:id="120"/>
    </w:p>
    <w:p w14:paraId="35BA1A46" w14:textId="77777777" w:rsidR="00FA711C" w:rsidRPr="00025F23" w:rsidRDefault="00FA711C" w:rsidP="00FA711C">
      <w:pPr>
        <w:pStyle w:val="Desarrollocoyuntura"/>
      </w:pPr>
      <w:bookmarkStart w:id="121" w:name="_Toc88565971"/>
      <w:bookmarkStart w:id="122" w:name="_Toc173446291"/>
      <w:r w:rsidRPr="00025F23">
        <w:t>“Como veremos, parece tratarse de una economía desarrollada/en vías de desarrollo cuyo crecimiento se fundamenta en […], pero presenta ciertos frenos/desequilibrios, como […], por lo que podemos considerar que su cuadro macroeconómico presenta buena/mala/mejorable salud.”</w:t>
      </w:r>
      <w:bookmarkEnd w:id="121"/>
      <w:bookmarkEnd w:id="122"/>
    </w:p>
    <w:p w14:paraId="22EDF2A7" w14:textId="231B0AD5" w:rsidR="00FA711C" w:rsidRPr="00025F23" w:rsidRDefault="00FA711C" w:rsidP="00FA711C">
      <w:pPr>
        <w:pStyle w:val="Ttulo3"/>
      </w:pPr>
      <w:bookmarkStart w:id="123" w:name="_Toc173446292"/>
      <w:bookmarkStart w:id="124" w:name="_Toc189085785"/>
      <w:r w:rsidRPr="00025F23">
        <w:t>Indicios de un país desarrollado o un país en vías de desarrollo</w:t>
      </w:r>
      <w:bookmarkEnd w:id="123"/>
      <w:bookmarkEnd w:id="124"/>
    </w:p>
    <w:p w14:paraId="3F8EBB55" w14:textId="104EA0F7" w:rsidR="00FA711C" w:rsidRDefault="00876B1A" w:rsidP="00876B1A">
      <w:pPr>
        <w:pStyle w:val="Nivel1"/>
        <w:keepNext/>
        <w:spacing w:after="0"/>
      </w:pPr>
      <w:r w:rsidRPr="00876B1A">
        <w:rPr>
          <w:i/>
          <w:iCs w:val="0"/>
          <w:u w:val="single"/>
        </w:rPr>
        <w:t>País desarrollado (PD)</w:t>
      </w:r>
      <w:r>
        <w:t>:</w:t>
      </w:r>
    </w:p>
    <w:p w14:paraId="15DC6CEE" w14:textId="19817F35" w:rsidR="00876B1A" w:rsidRDefault="00876B1A" w:rsidP="00876B1A">
      <w:pPr>
        <w:pStyle w:val="Nivel2"/>
      </w:pPr>
      <w:r w:rsidRPr="00876B1A">
        <w:rPr>
          <w:i/>
          <w:iCs/>
        </w:rPr>
        <w:t>Crecimiento</w:t>
      </w:r>
      <w:r>
        <w:t>: 2-4 %.</w:t>
      </w:r>
    </w:p>
    <w:p w14:paraId="7ABF1162" w14:textId="1597ED93" w:rsidR="00876B1A" w:rsidRDefault="00876B1A" w:rsidP="00876B1A">
      <w:pPr>
        <w:pStyle w:val="Nivel2"/>
      </w:pPr>
      <w:r w:rsidRPr="00876B1A">
        <w:rPr>
          <w:i/>
          <w:iCs/>
        </w:rPr>
        <w:t>Inflación</w:t>
      </w:r>
      <w:r>
        <w:t>: &lt;5 %.</w:t>
      </w:r>
    </w:p>
    <w:p w14:paraId="0FBB6FA3" w14:textId="2EB5B780" w:rsidR="00876B1A" w:rsidRDefault="00876B1A" w:rsidP="00876B1A">
      <w:pPr>
        <w:pStyle w:val="Nivel2"/>
      </w:pPr>
      <w:r w:rsidRPr="00876B1A">
        <w:rPr>
          <w:i/>
          <w:iCs/>
        </w:rPr>
        <w:t>Renta per cápita</w:t>
      </w:r>
      <w:r>
        <w:t xml:space="preserve">: Alta </w:t>
      </w:r>
      <w:r w:rsidRPr="00876B1A">
        <w:rPr>
          <w:sz w:val="14"/>
          <w:szCs w:val="20"/>
        </w:rPr>
        <w:t>(Estados Unidos $50.000, Alemania $36.000, España $30.000)</w:t>
      </w:r>
      <w:r>
        <w:t>, pero cuidado con los países petrolíferos que tienen rentas per cápita elevadas.</w:t>
      </w:r>
    </w:p>
    <w:p w14:paraId="144FD6CF" w14:textId="6A8D75BE" w:rsidR="00876B1A" w:rsidRDefault="00876B1A" w:rsidP="00876B1A">
      <w:pPr>
        <w:pStyle w:val="Nivel2"/>
      </w:pPr>
      <w:r w:rsidRPr="00876B1A">
        <w:rPr>
          <w:i/>
          <w:iCs/>
        </w:rPr>
        <w:t>Estabilidad macroeconómica</w:t>
      </w:r>
      <w:r>
        <w:t>: Inflación controlada, cuentas públicas saneadas.</w:t>
      </w:r>
    </w:p>
    <w:p w14:paraId="0371C18D" w14:textId="6D936F48" w:rsidR="00876B1A" w:rsidRDefault="00876B1A" w:rsidP="00876B1A">
      <w:pPr>
        <w:pStyle w:val="Nivel2"/>
      </w:pPr>
      <w:r w:rsidRPr="00876B1A">
        <w:rPr>
          <w:i/>
          <w:iCs/>
        </w:rPr>
        <w:t>Composición del producto</w:t>
      </w:r>
      <w:r>
        <w:t>: Primario ~10 %, Secundario ~20-30 %, Terciario ~60-80 %.</w:t>
      </w:r>
    </w:p>
    <w:p w14:paraId="02CC81EA" w14:textId="158BCA4B" w:rsidR="00876B1A" w:rsidRDefault="00876B1A" w:rsidP="00876B1A">
      <w:pPr>
        <w:pStyle w:val="Nivel1"/>
        <w:keepNext/>
        <w:spacing w:after="0"/>
      </w:pPr>
      <w:r w:rsidRPr="00876B1A">
        <w:rPr>
          <w:i/>
          <w:iCs w:val="0"/>
          <w:u w:val="single"/>
        </w:rPr>
        <w:t>País en vías de desarrollo (PED)</w:t>
      </w:r>
      <w:r>
        <w:t>:</w:t>
      </w:r>
    </w:p>
    <w:p w14:paraId="2C7A771D" w14:textId="6D9DFC27" w:rsidR="00876B1A" w:rsidRDefault="00876B1A" w:rsidP="00876B1A">
      <w:pPr>
        <w:pStyle w:val="Nivel2"/>
      </w:pPr>
      <w:r w:rsidRPr="00876B1A">
        <w:rPr>
          <w:i/>
          <w:iCs/>
        </w:rPr>
        <w:t>Crecimiento</w:t>
      </w:r>
      <w:r>
        <w:t>: &gt;5 % (alta volatilidad de las tasas de crecimiento por ausencia de estabilizadores automáticos).</w:t>
      </w:r>
    </w:p>
    <w:p w14:paraId="713857A4" w14:textId="17CBC9FD" w:rsidR="00876B1A" w:rsidRDefault="00876B1A" w:rsidP="00876B1A">
      <w:pPr>
        <w:pStyle w:val="Nivel2"/>
      </w:pPr>
      <w:r w:rsidRPr="00876B1A">
        <w:rPr>
          <w:i/>
          <w:iCs/>
        </w:rPr>
        <w:t>Inflación</w:t>
      </w:r>
      <w:r>
        <w:t>: Elevada o volátil.</w:t>
      </w:r>
    </w:p>
    <w:p w14:paraId="1987330E" w14:textId="5CF14146" w:rsidR="00876B1A" w:rsidRDefault="00876B1A" w:rsidP="00876B1A">
      <w:pPr>
        <w:pStyle w:val="Nivel2"/>
      </w:pPr>
      <w:r w:rsidRPr="00876B1A">
        <w:rPr>
          <w:i/>
          <w:iCs/>
        </w:rPr>
        <w:t>Renta per cápita</w:t>
      </w:r>
      <w:r>
        <w:t>: Baja.</w:t>
      </w:r>
    </w:p>
    <w:p w14:paraId="72BE58F4" w14:textId="49E144E0" w:rsidR="00876B1A" w:rsidRDefault="00876B1A" w:rsidP="00876B1A">
      <w:pPr>
        <w:pStyle w:val="Nivel2"/>
      </w:pPr>
      <w:r w:rsidRPr="00876B1A">
        <w:rPr>
          <w:i/>
          <w:iCs/>
        </w:rPr>
        <w:t>Estabilidad macroeconómica</w:t>
      </w:r>
      <w:r>
        <w:t>: Debilidad del sector financiero (prima de riesgo elevada, falta de credibilidad, fuertes variaciones de M3, monetización del déficit), altos tipos de interés, etc.</w:t>
      </w:r>
    </w:p>
    <w:p w14:paraId="0B6783AD" w14:textId="12590EF2" w:rsidR="00876B1A" w:rsidRDefault="00876B1A" w:rsidP="00876B1A">
      <w:pPr>
        <w:pStyle w:val="Nivel2"/>
      </w:pPr>
      <w:r w:rsidRPr="00876B1A">
        <w:rPr>
          <w:i/>
          <w:iCs/>
        </w:rPr>
        <w:t>Composición del producto</w:t>
      </w:r>
      <w:r>
        <w:t>: Primario &gt;30 %, Terciario &lt;30 %. En general, excesiva dependencia de algún sector.</w:t>
      </w:r>
    </w:p>
    <w:p w14:paraId="5B587569" w14:textId="670D6706" w:rsidR="00876B1A" w:rsidRDefault="00876B1A" w:rsidP="00876B1A">
      <w:pPr>
        <w:pStyle w:val="Nivel2"/>
      </w:pPr>
      <w:r>
        <w:rPr>
          <w:i/>
          <w:iCs/>
        </w:rPr>
        <w:t>Otros factores</w:t>
      </w:r>
      <w:r w:rsidRPr="00876B1A">
        <w:t>:</w:t>
      </w:r>
      <w:r>
        <w:t xml:space="preserve"> Transición demográfica inacabada, financiación fundamentada en remesas o en ingresos de exportación de materias primas, bajo índice de desarrollo humano, alto porcentaje de economía sumergida, participación reducida del gasto público.</w:t>
      </w:r>
    </w:p>
    <w:p w14:paraId="2015851D" w14:textId="2EC99DDE" w:rsidR="00FA711C" w:rsidRPr="00025F23" w:rsidRDefault="00FA711C" w:rsidP="00FA711C">
      <w:pPr>
        <w:pStyle w:val="Ttulo3"/>
      </w:pPr>
      <w:bookmarkStart w:id="125" w:name="_Toc173446293"/>
      <w:bookmarkStart w:id="126" w:name="_Toc189085786"/>
      <w:r w:rsidRPr="00025F23">
        <w:t xml:space="preserve">Principales desequilibrios </w:t>
      </w:r>
      <w:r w:rsidR="00876B1A">
        <w:t>(</w:t>
      </w:r>
      <w:r w:rsidRPr="00025F23">
        <w:t>y fortalezas</w:t>
      </w:r>
      <w:r w:rsidR="00876B1A">
        <w:t>)</w:t>
      </w:r>
      <w:bookmarkEnd w:id="125"/>
      <w:bookmarkEnd w:id="126"/>
    </w:p>
    <w:p w14:paraId="2427BBE5" w14:textId="5F614FF0" w:rsidR="00FA711C" w:rsidRDefault="00876B1A" w:rsidP="00876B1A">
      <w:pPr>
        <w:pStyle w:val="Nivel1"/>
      </w:pPr>
      <w:r w:rsidRPr="00876B1A">
        <w:rPr>
          <w:i/>
          <w:iCs w:val="0"/>
        </w:rPr>
        <w:t>Débil crecimiento/recesión</w:t>
      </w:r>
      <w:r>
        <w:t>:</w:t>
      </w:r>
      <w:r w:rsidR="00617E40">
        <w:t xml:space="preserve"> </w:t>
      </w:r>
      <m:oMath>
        <m:r>
          <m:rPr>
            <m:nor/>
          </m:rPr>
          <w:rPr>
            <w:i/>
            <w:szCs w:val="16"/>
          </w:rPr>
          <m:t xml:space="preserve">γ </m:t>
        </m:r>
        <m:sSub>
          <m:sSubPr>
            <m:ctrlPr>
              <w:rPr>
                <w:rFonts w:ascii="Cambria Math" w:hAnsi="Cambria Math"/>
                <w:i/>
                <w:szCs w:val="16"/>
              </w:rPr>
            </m:ctrlPr>
          </m:sSubPr>
          <m:e>
            <m:r>
              <m:rPr>
                <m:nor/>
              </m:rPr>
              <w:rPr>
                <w:i/>
                <w:szCs w:val="16"/>
              </w:rPr>
              <m:t>PIB</m:t>
            </m:r>
          </m:e>
          <m:sub>
            <m:r>
              <m:rPr>
                <m:nor/>
              </m:rPr>
              <w:rPr>
                <w:i/>
                <w:szCs w:val="16"/>
              </w:rPr>
              <m:t>real</m:t>
            </m:r>
          </m:sub>
        </m:sSub>
        <m:r>
          <w:rPr>
            <w:rFonts w:ascii="Cambria Math" w:hAnsi="Cambria Math"/>
            <w:szCs w:val="16"/>
          </w:rPr>
          <m:t>&lt;</m:t>
        </m:r>
        <m:r>
          <m:rPr>
            <m:nor/>
          </m:rPr>
          <w:rPr>
            <w:i/>
            <w:szCs w:val="16"/>
          </w:rPr>
          <m:t>0</m:t>
        </m:r>
      </m:oMath>
      <w:r w:rsidR="00617E40">
        <w:rPr>
          <w:rFonts w:eastAsiaTheme="minorEastAsia"/>
          <w:szCs w:val="16"/>
        </w:rPr>
        <w:t>.</w:t>
      </w:r>
    </w:p>
    <w:p w14:paraId="3EED666F" w14:textId="61FED5CF" w:rsidR="00876B1A" w:rsidRDefault="00876B1A" w:rsidP="00876B1A">
      <w:pPr>
        <w:pStyle w:val="Nivel1"/>
      </w:pPr>
      <w:r>
        <w:rPr>
          <w:i/>
          <w:iCs w:val="0"/>
        </w:rPr>
        <w:t>Consumo interno anémico</w:t>
      </w:r>
      <w:r>
        <w:t>:</w:t>
      </w:r>
      <w:r w:rsidR="00617E40">
        <w:t xml:space="preserve"> </w:t>
      </w:r>
      <m:oMath>
        <m:r>
          <m:rPr>
            <m:nor/>
          </m:rPr>
          <w:rPr>
            <w:i/>
            <w:szCs w:val="16"/>
          </w:rPr>
          <m:t xml:space="preserve">γ </m:t>
        </m:r>
        <m:sSub>
          <m:sSubPr>
            <m:ctrlPr>
              <w:rPr>
                <w:rFonts w:ascii="Cambria Math" w:hAnsi="Cambria Math"/>
                <w:i/>
                <w:szCs w:val="16"/>
              </w:rPr>
            </m:ctrlPr>
          </m:sSubPr>
          <m:e>
            <m:r>
              <m:rPr>
                <m:nor/>
              </m:rPr>
              <w:rPr>
                <w:i/>
                <w:szCs w:val="16"/>
              </w:rPr>
              <m:t>C</m:t>
            </m:r>
          </m:e>
          <m:sub>
            <m:r>
              <m:rPr>
                <m:nor/>
              </m:rPr>
              <w:rPr>
                <w:i/>
                <w:szCs w:val="16"/>
              </w:rPr>
              <m:t>priv</m:t>
            </m:r>
          </m:sub>
        </m:sSub>
      </m:oMath>
      <w:r w:rsidR="00617E40">
        <w:rPr>
          <w:rFonts w:eastAsiaTheme="minorEastAsia"/>
          <w:szCs w:val="16"/>
        </w:rPr>
        <w:t xml:space="preserve"> muy bajo.</w:t>
      </w:r>
    </w:p>
    <w:p w14:paraId="2AADC3C0" w14:textId="5F494716" w:rsidR="00876B1A" w:rsidRDefault="00876B1A" w:rsidP="00876B1A">
      <w:pPr>
        <w:pStyle w:val="Nivel1"/>
      </w:pPr>
      <w:r>
        <w:rPr>
          <w:i/>
          <w:iCs w:val="0"/>
        </w:rPr>
        <w:t>Inflación y sobrecalentamiento</w:t>
      </w:r>
      <w:r>
        <w:t>: Output gap sistemáticamente positivo, altas tasas de inflación y de crecimiento del consumo privado, reducciones drásticas de existencias, e incrementos drásticos de la penetración de importaciones.</w:t>
      </w:r>
    </w:p>
    <w:p w14:paraId="395F02D6" w14:textId="16B0D872" w:rsidR="00876B1A" w:rsidRPr="00876B1A" w:rsidRDefault="00876B1A" w:rsidP="00876B1A">
      <w:pPr>
        <w:pStyle w:val="Nivel1"/>
      </w:pPr>
      <w:r>
        <w:rPr>
          <w:i/>
          <w:iCs w:val="0"/>
        </w:rPr>
        <w:t>Mercado de trabajo deficiente</w:t>
      </w:r>
      <w:r w:rsidRPr="00876B1A">
        <w:t>:</w:t>
      </w:r>
      <w:r w:rsidR="00054A3C">
        <w:t xml:space="preserve"> Altas y persistentes tasas de desempleo y </w:t>
      </w:r>
      <w:proofErr w:type="spellStart"/>
      <w:r w:rsidR="00054A3C">
        <w:t>CLUs</w:t>
      </w:r>
      <w:proofErr w:type="spellEnd"/>
      <w:r w:rsidR="00054A3C">
        <w:t xml:space="preserve"> crecientes.</w:t>
      </w:r>
    </w:p>
    <w:p w14:paraId="635D78D5" w14:textId="49A8587F" w:rsidR="00876B1A" w:rsidRDefault="00876B1A" w:rsidP="00876B1A">
      <w:pPr>
        <w:pStyle w:val="Nivel1"/>
      </w:pPr>
      <w:proofErr w:type="gramStart"/>
      <w:r w:rsidRPr="00876B1A">
        <w:rPr>
          <w:i/>
          <w:iCs w:val="0"/>
        </w:rPr>
        <w:t>Déficit público y deuda pública</w:t>
      </w:r>
      <w:proofErr w:type="gramEnd"/>
      <w:r>
        <w:t>:</w:t>
      </w:r>
      <w:r w:rsidR="00054A3C">
        <w:t xml:space="preserve"> Altos y persistentes niveles de déficit y deuda pública, insostenibilidad del déficit.</w:t>
      </w:r>
    </w:p>
    <w:p w14:paraId="4C8213BD" w14:textId="58F004D3" w:rsidR="00876B1A" w:rsidRDefault="00876B1A" w:rsidP="00876B1A">
      <w:pPr>
        <w:pStyle w:val="Nivel1"/>
      </w:pPr>
      <w:r w:rsidRPr="00876B1A">
        <w:rPr>
          <w:i/>
          <w:iCs w:val="0"/>
        </w:rPr>
        <w:t>Déficit por cuenta corriente y deuda externa</w:t>
      </w:r>
      <w:r>
        <w:t>:</w:t>
      </w:r>
      <w:r w:rsidR="00054A3C">
        <w:t xml:space="preserve"> Altos y persistentes niveles de déficit por cuenta corriente y deuda externa, pérdida de competitividad exterior, elevada absorción, escasez de ahorro, exceso de inversión, y déficits públicos.</w:t>
      </w:r>
    </w:p>
    <w:p w14:paraId="521FA622" w14:textId="64FC8731" w:rsidR="00876B1A" w:rsidRDefault="00876B1A" w:rsidP="00876B1A">
      <w:pPr>
        <w:pStyle w:val="Nivel1"/>
      </w:pPr>
      <w:r w:rsidRPr="00876B1A">
        <w:rPr>
          <w:i/>
          <w:iCs w:val="0"/>
        </w:rPr>
        <w:t>Riesgos en el sistema financiero</w:t>
      </w:r>
      <w:r>
        <w:t>:</w:t>
      </w:r>
      <w:r w:rsidR="00EE5C16">
        <w:t xml:space="preserve"> Alta prima de riesgo, alto endeudamiento privado y público, elevadas tasas de morosidad, racionamiento del crédito, etc.</w:t>
      </w:r>
    </w:p>
    <w:p w14:paraId="3C25271B" w14:textId="3CF58CBA" w:rsidR="00876B1A" w:rsidRPr="00025F23" w:rsidRDefault="00876B1A" w:rsidP="00876B1A">
      <w:pPr>
        <w:pStyle w:val="Nivel1"/>
      </w:pPr>
      <w:r w:rsidRPr="00876B1A">
        <w:rPr>
          <w:i/>
          <w:iCs w:val="0"/>
        </w:rPr>
        <w:t>Estructura sectorial desequilibrada de la economía</w:t>
      </w:r>
      <w:r>
        <w:t xml:space="preserve">: Excesiva dependencia de un sector (p.ej. inmobiliario, energético, de </w:t>
      </w:r>
      <w:proofErr w:type="spellStart"/>
      <w:r>
        <w:rPr>
          <w:i/>
          <w:iCs w:val="0"/>
        </w:rPr>
        <w:t>commodities</w:t>
      </w:r>
      <w:proofErr w:type="spellEnd"/>
      <w:r w:rsidRPr="00876B1A">
        <w:t>,</w:t>
      </w:r>
      <w:r>
        <w:t xml:space="preserve"> etc.).</w:t>
      </w:r>
    </w:p>
    <w:p w14:paraId="08FDC455" w14:textId="7D259876" w:rsidR="00A67446" w:rsidRPr="00025F23" w:rsidRDefault="005F5398" w:rsidP="00AD1AFB">
      <w:pPr>
        <w:pStyle w:val="Ttulo2"/>
      </w:pPr>
      <w:bookmarkStart w:id="127" w:name="_Toc173446294"/>
      <w:bookmarkStart w:id="128" w:name="_Toc189085787"/>
      <w:r w:rsidRPr="00025F23">
        <w:t>Recomendaciones de política económica</w:t>
      </w:r>
      <w:bookmarkEnd w:id="118"/>
      <w:bookmarkEnd w:id="119"/>
      <w:bookmarkEnd w:id="127"/>
      <w:bookmarkEnd w:id="128"/>
    </w:p>
    <w:p w14:paraId="56B14496" w14:textId="7958C363" w:rsidR="005F5398" w:rsidRPr="00025F23" w:rsidRDefault="005F5398" w:rsidP="00AF41EA">
      <w:pPr>
        <w:pStyle w:val="Nivel1"/>
        <w:keepNext/>
        <w:spacing w:after="0"/>
      </w:pPr>
      <w:r w:rsidRPr="00025F23">
        <w:t xml:space="preserve">Indicios de necesidad de </w:t>
      </w:r>
      <w:r w:rsidRPr="00025F23">
        <w:rPr>
          <w:b/>
          <w:bCs/>
        </w:rPr>
        <w:t>reformas estructurales</w:t>
      </w:r>
      <w:r w:rsidR="00AF41EA" w:rsidRPr="00025F23">
        <w:t>:</w:t>
      </w:r>
    </w:p>
    <w:p w14:paraId="0227F5EE" w14:textId="4E872975" w:rsidR="005F5398" w:rsidRPr="00025F23" w:rsidRDefault="005F5398" w:rsidP="005F5398">
      <w:pPr>
        <w:pStyle w:val="Nivel2"/>
        <w:rPr>
          <w:i/>
        </w:rPr>
      </w:pPr>
      <m:oMath>
        <m:r>
          <m:rPr>
            <m:nor/>
          </m:rPr>
          <w:rPr>
            <w:i/>
            <w:szCs w:val="16"/>
          </w:rPr>
          <m:t>γ output gap</m:t>
        </m:r>
        <m:r>
          <w:rPr>
            <w:rFonts w:ascii="Cambria Math" w:eastAsiaTheme="minorEastAsia" w:hAnsi="Cambria Math"/>
            <w:szCs w:val="16"/>
          </w:rPr>
          <m:t>&gt;</m:t>
        </m:r>
        <m:r>
          <m:rPr>
            <m:nor/>
          </m:rPr>
          <w:rPr>
            <w:i/>
            <w:szCs w:val="16"/>
          </w:rPr>
          <m:t>γ PIB</m:t>
        </m:r>
      </m:oMath>
    </w:p>
    <w:p w14:paraId="324E5B6D" w14:textId="30505813" w:rsidR="005F5398" w:rsidRPr="00025F23" w:rsidRDefault="005F5398" w:rsidP="005F5398">
      <w:pPr>
        <w:pStyle w:val="Nivel2"/>
        <w:rPr>
          <w:i/>
        </w:rPr>
      </w:pPr>
      <w:r w:rsidRPr="00025F23">
        <w:rPr>
          <w:rFonts w:eastAsiaTheme="minorEastAsia"/>
          <w:iCs/>
          <w:szCs w:val="16"/>
        </w:rPr>
        <w:t>Disminución de la PAT</w:t>
      </w:r>
    </w:p>
    <w:p w14:paraId="154FAC8B" w14:textId="1EF51ABC" w:rsidR="005F5398" w:rsidRPr="00025F23" w:rsidRDefault="005F5398" w:rsidP="005F5398">
      <w:pPr>
        <w:pStyle w:val="Nivel2"/>
        <w:rPr>
          <w:i/>
        </w:rPr>
      </w:pPr>
      <w:r w:rsidRPr="00025F23">
        <w:rPr>
          <w:rFonts w:eastAsiaTheme="minorEastAsia"/>
          <w:iCs/>
          <w:szCs w:val="16"/>
        </w:rPr>
        <w:t>Alta NAIRU</w:t>
      </w:r>
    </w:p>
    <w:p w14:paraId="3C0F50CD" w14:textId="378C2995" w:rsidR="005F5398" w:rsidRPr="00025F23" w:rsidRDefault="005F5398" w:rsidP="005F5398">
      <w:pPr>
        <w:pStyle w:val="Nivel2"/>
        <w:rPr>
          <w:i/>
        </w:rPr>
      </w:pPr>
      <w:r w:rsidRPr="00025F23">
        <w:rPr>
          <w:rFonts w:eastAsiaTheme="minorEastAsia"/>
          <w:iCs/>
          <w:szCs w:val="16"/>
        </w:rPr>
        <w:t>Saldo de CC persistentemente negativo</w:t>
      </w:r>
    </w:p>
    <w:p w14:paraId="1724173E" w14:textId="40520338" w:rsidR="005F5398" w:rsidRPr="00025F23" w:rsidRDefault="005F5398" w:rsidP="00AF41EA">
      <w:pPr>
        <w:pStyle w:val="Nivel1"/>
        <w:keepNext/>
        <w:spacing w:after="0"/>
      </w:pPr>
      <w:r w:rsidRPr="00025F23">
        <w:rPr>
          <w:b/>
          <w:bCs/>
        </w:rPr>
        <w:t>Mejora de la productividad</w:t>
      </w:r>
      <w:r w:rsidR="00AF41EA" w:rsidRPr="00025F23">
        <w:t>:</w:t>
      </w:r>
    </w:p>
    <w:p w14:paraId="04907404" w14:textId="6DDB83E5" w:rsidR="005F5398" w:rsidRPr="00025F23" w:rsidRDefault="005F5398" w:rsidP="005F5398">
      <w:pPr>
        <w:pStyle w:val="Nivel2"/>
      </w:pPr>
      <w:r w:rsidRPr="00025F23">
        <w:t>Políticas educativas (capital humano)</w:t>
      </w:r>
    </w:p>
    <w:p w14:paraId="1A756AB5" w14:textId="0EC4056B" w:rsidR="005F5398" w:rsidRPr="00025F23" w:rsidRDefault="005F5398" w:rsidP="005F5398">
      <w:pPr>
        <w:pStyle w:val="Nivel2"/>
      </w:pPr>
      <w:r w:rsidRPr="00025F23">
        <w:t>Inversión en I+D</w:t>
      </w:r>
    </w:p>
    <w:p w14:paraId="11108076" w14:textId="19A9CABB" w:rsidR="005F5398" w:rsidRPr="00025F23" w:rsidRDefault="005F5398" w:rsidP="005F5398">
      <w:pPr>
        <w:pStyle w:val="Nivel2"/>
      </w:pPr>
      <w:r w:rsidRPr="00025F23">
        <w:t>Infraestructuras</w:t>
      </w:r>
    </w:p>
    <w:p w14:paraId="21D328C0" w14:textId="1F2EC0CB" w:rsidR="005F5398" w:rsidRPr="00025F23" w:rsidRDefault="005F5398" w:rsidP="005F5398">
      <w:pPr>
        <w:pStyle w:val="Nivel2"/>
      </w:pPr>
      <w:r w:rsidRPr="00025F23">
        <w:t>Liberalizaciones sectoriales y aumento de la competencia (apertura comercial)</w:t>
      </w:r>
    </w:p>
    <w:p w14:paraId="5FA6ECEF" w14:textId="4DFE798A" w:rsidR="005F5398" w:rsidRPr="00025F23" w:rsidRDefault="005F5398" w:rsidP="00DA75E7">
      <w:pPr>
        <w:pStyle w:val="Nivel2"/>
        <w:spacing w:after="0"/>
      </w:pPr>
      <w:r w:rsidRPr="00025F23">
        <w:t>Reducción de costes de los inputs</w:t>
      </w:r>
      <w:r w:rsidR="00AF41EA" w:rsidRPr="00025F23">
        <w:t>:</w:t>
      </w:r>
    </w:p>
    <w:p w14:paraId="27129CB3" w14:textId="2CEB59F5" w:rsidR="005F5398" w:rsidRPr="00025F23" w:rsidRDefault="005F5398" w:rsidP="005F5398">
      <w:pPr>
        <w:pStyle w:val="Nivel3"/>
      </w:pPr>
      <w:r w:rsidRPr="00025F23">
        <w:t>Reforma del sistema financiero (información asimétrica)</w:t>
      </w:r>
    </w:p>
    <w:p w14:paraId="5BE6E970" w14:textId="17E5ADD8" w:rsidR="005F5398" w:rsidRPr="00025F23" w:rsidRDefault="005F5398" w:rsidP="005F5398">
      <w:pPr>
        <w:pStyle w:val="Nivel3"/>
      </w:pPr>
      <w:r w:rsidRPr="00025F23">
        <w:t>Reforma del mercado laboral</w:t>
      </w:r>
    </w:p>
    <w:p w14:paraId="614AFE33" w14:textId="5F8DE692" w:rsidR="005F5398" w:rsidRPr="00025F23" w:rsidRDefault="005F5398" w:rsidP="005F5398">
      <w:pPr>
        <w:pStyle w:val="Nivel1"/>
      </w:pPr>
      <w:r w:rsidRPr="00025F23">
        <w:t xml:space="preserve">Efectos a largo plazo, plantear la posibilidad de </w:t>
      </w:r>
      <w:proofErr w:type="spellStart"/>
      <w:r w:rsidRPr="00025F23">
        <w:rPr>
          <w:i/>
          <w:iCs w:val="0"/>
        </w:rPr>
        <w:t>policy</w:t>
      </w:r>
      <w:proofErr w:type="spellEnd"/>
      <w:r w:rsidRPr="00025F23">
        <w:rPr>
          <w:i/>
          <w:iCs w:val="0"/>
        </w:rPr>
        <w:t>-mix</w:t>
      </w:r>
      <w:r w:rsidRPr="00025F23">
        <w:t>.</w:t>
      </w:r>
    </w:p>
    <w:p w14:paraId="6C7BA0D8" w14:textId="2FEB9E53" w:rsidR="00FA711C" w:rsidRPr="00025F23" w:rsidRDefault="005F5398" w:rsidP="002F49CB">
      <w:pPr>
        <w:pStyle w:val="Notaalopositor"/>
        <w:keepNext w:val="0"/>
      </w:pPr>
      <w:r w:rsidRPr="00025F23">
        <w:lastRenderedPageBreak/>
        <w:t>Se ha de ser especialmente precavido: los problemas estructurales son generalmente más difíciles de localizar con los meros datos.</w:t>
      </w:r>
    </w:p>
    <w:p w14:paraId="4CD9C75D" w14:textId="3A15140A" w:rsidR="002E0C48" w:rsidRPr="00025F23" w:rsidRDefault="001044B3" w:rsidP="007840A0">
      <w:pPr>
        <w:pStyle w:val="Ttulo1"/>
      </w:pPr>
      <w:bookmarkStart w:id="129" w:name="_Toc55381924"/>
      <w:bookmarkStart w:id="130" w:name="_Toc55382059"/>
      <w:bookmarkStart w:id="131" w:name="_Toc55382094"/>
      <w:bookmarkStart w:id="132" w:name="_Toc55382522"/>
      <w:bookmarkStart w:id="133" w:name="_Toc88565989"/>
      <w:bookmarkStart w:id="134" w:name="_Toc88566129"/>
      <w:bookmarkStart w:id="135" w:name="_Toc173446295"/>
      <w:bookmarkStart w:id="136" w:name="_Toc189085788"/>
      <w:bookmarkEnd w:id="129"/>
      <w:bookmarkEnd w:id="130"/>
      <w:bookmarkEnd w:id="131"/>
      <w:bookmarkEnd w:id="132"/>
      <w:r w:rsidRPr="00025F23">
        <w:t>MERCADOS DE FACTORES</w:t>
      </w:r>
      <w:bookmarkEnd w:id="133"/>
      <w:bookmarkEnd w:id="134"/>
      <w:bookmarkEnd w:id="135"/>
      <w:bookmarkEnd w:id="136"/>
    </w:p>
    <w:p w14:paraId="447D5A6C" w14:textId="635A679A" w:rsidR="00886932" w:rsidRPr="00025F23" w:rsidRDefault="001044B3" w:rsidP="00AD1AFB">
      <w:pPr>
        <w:pStyle w:val="Ttulo2"/>
      </w:pPr>
      <w:bookmarkStart w:id="137" w:name="_Mercado_de_trabajo"/>
      <w:bookmarkStart w:id="138" w:name="_Toc88565990"/>
      <w:bookmarkStart w:id="139" w:name="_Toc88566130"/>
      <w:bookmarkStart w:id="140" w:name="_Toc173446296"/>
      <w:bookmarkStart w:id="141" w:name="_Toc189085789"/>
      <w:bookmarkEnd w:id="137"/>
      <w:r w:rsidRPr="00025F23">
        <w:t>M</w:t>
      </w:r>
      <w:r w:rsidR="00886932" w:rsidRPr="00025F23">
        <w:t>ercado de trabajo</w:t>
      </w:r>
      <w:bookmarkEnd w:id="138"/>
      <w:bookmarkEnd w:id="139"/>
      <w:bookmarkEnd w:id="140"/>
      <w:bookmarkEnd w:id="141"/>
    </w:p>
    <w:p w14:paraId="080C199C" w14:textId="048CCBF1" w:rsidR="006220EE" w:rsidRPr="00025F23" w:rsidRDefault="006220EE" w:rsidP="00DB7236">
      <w:pPr>
        <w:pStyle w:val="Notaalopositor"/>
        <w:rPr>
          <w:i/>
          <w:iCs/>
        </w:rPr>
      </w:pPr>
      <w:r w:rsidRPr="00025F23">
        <w:rPr>
          <w:i/>
          <w:iCs/>
        </w:rPr>
        <w:t xml:space="preserve">Esta es una de las preguntas donde suele haber preguntas muy concretas. Importante </w:t>
      </w:r>
      <w:r w:rsidRPr="00025F23">
        <w:rPr>
          <w:i/>
          <w:iCs/>
          <w:u w:val="single"/>
        </w:rPr>
        <w:t>subrayar</w:t>
      </w:r>
      <w:r w:rsidRPr="00025F23">
        <w:rPr>
          <w:i/>
          <w:iCs/>
        </w:rPr>
        <w:t xml:space="preserve"> aquellas partes que responden a preguntas específicas, e incidir en ellos al cantar.</w:t>
      </w:r>
    </w:p>
    <w:p w14:paraId="03866830" w14:textId="5657B47B" w:rsidR="005F5398" w:rsidRPr="00025F23" w:rsidRDefault="005F5398" w:rsidP="00DB7236">
      <w:pPr>
        <w:pStyle w:val="Cajadeanotaciones"/>
        <w:jc w:val="center"/>
        <w:rPr>
          <w:sz w:val="18"/>
          <w:szCs w:val="18"/>
        </w:rPr>
      </w:pPr>
      <w:r w:rsidRPr="00025F23">
        <w:rPr>
          <w:sz w:val="18"/>
          <w:szCs w:val="18"/>
        </w:rPr>
        <w:t>¿Es flexible en precios el mercado de trabajo? ¿Es competitivo?</w:t>
      </w:r>
    </w:p>
    <w:p w14:paraId="3519484B" w14:textId="191C6A7A" w:rsidR="0043656E" w:rsidRPr="00025F23" w:rsidRDefault="00385008" w:rsidP="008D4C91">
      <w:pPr>
        <w:pStyle w:val="Nivel1SM"/>
      </w:pPr>
      <w:r w:rsidRPr="00025F23">
        <w:t>Desde un punto de vista macroeconómico, el trabajo es uno de los principales factores de producción junto con la tierra y el trabajo (por simplicidad, la tierra es habitualmente incluida en el capital, por lo que solo utilizaremos trabajo y capital). Por lo tanto, es esencial revisar algunas definiciones y medidas de la cantidad y el coste de este factor.</w:t>
      </w:r>
    </w:p>
    <w:p w14:paraId="5B68C252" w14:textId="012C5A16" w:rsidR="00BB6017" w:rsidRPr="00025F23" w:rsidRDefault="00BB6017" w:rsidP="00AD1AFB">
      <w:pPr>
        <w:pStyle w:val="Ttulo3"/>
      </w:pPr>
      <w:bookmarkStart w:id="142" w:name="_Toc88565991"/>
      <w:bookmarkStart w:id="143" w:name="_Toc88566131"/>
      <w:bookmarkStart w:id="144" w:name="_Toc173446297"/>
      <w:bookmarkStart w:id="145" w:name="_Toc189085790"/>
      <w:r w:rsidRPr="00025F23">
        <w:t>Indicadores</w:t>
      </w:r>
      <w:bookmarkEnd w:id="142"/>
      <w:bookmarkEnd w:id="143"/>
      <w:bookmarkEnd w:id="144"/>
      <w:bookmarkEnd w:id="145"/>
    </w:p>
    <w:p w14:paraId="78BAADD5" w14:textId="69A3FE89" w:rsidR="00BB6017" w:rsidRPr="00025F23" w:rsidRDefault="00BB6017" w:rsidP="00AF41EA">
      <w:pPr>
        <w:pStyle w:val="Nivel1"/>
        <w:keepNext/>
      </w:pPr>
      <w:r w:rsidRPr="00025F23">
        <w:rPr>
          <w:b/>
          <w:bCs/>
        </w:rPr>
        <w:t>Población en edad de trabajar</w:t>
      </w:r>
      <w:r w:rsidRPr="00025F23">
        <w:t>: Toda la población en edad de trabajar (habitualmente de 16 a 64</w:t>
      </w:r>
      <w:r w:rsidR="0097016E" w:rsidRPr="00025F23">
        <w:t> </w:t>
      </w:r>
      <w:r w:rsidRPr="00025F23">
        <w:t>años)</w:t>
      </w:r>
      <w:r w:rsidR="00BC1B07" w:rsidRPr="00025F23">
        <w:t>.</w:t>
      </w:r>
    </w:p>
    <w:p w14:paraId="22A488DA" w14:textId="5B666B68" w:rsidR="00AF4460" w:rsidRPr="00025F23" w:rsidRDefault="00AF4460" w:rsidP="0011607B">
      <w:pPr>
        <w:pStyle w:val="Nivel2"/>
      </w:pPr>
      <w:r w:rsidRPr="00025F23">
        <w:rPr>
          <w:i/>
          <w:iCs/>
        </w:rPr>
        <w:t>Factor demográfico</w:t>
      </w:r>
      <w:r w:rsidRPr="00025F23">
        <w:t>:</w:t>
      </w:r>
      <w:r w:rsidRPr="00025F23">
        <w:rPr>
          <w:i/>
        </w:rPr>
        <w:t xml:space="preserve"> </w:t>
      </w:r>
      <m:oMath>
        <m:f>
          <m:fPr>
            <m:ctrlPr>
              <w:rPr>
                <w:rFonts w:ascii="Cambria Math" w:hAnsi="Cambria Math"/>
                <w:i/>
              </w:rPr>
            </m:ctrlPr>
          </m:fPr>
          <m:num>
            <m:r>
              <m:rPr>
                <m:nor/>
              </m:rPr>
              <m:t>Población en edad de trabajar</m:t>
            </m:r>
          </m:num>
          <m:den>
            <m:r>
              <m:rPr>
                <m:nor/>
              </m:rPr>
              <m:t>Población total</m:t>
            </m:r>
          </m:den>
        </m:f>
        <m:r>
          <w:rPr>
            <w:rFonts w:ascii="Cambria Math" w:hAnsi="Cambria Math"/>
          </w:rPr>
          <m:t>×</m:t>
        </m:r>
        <m:r>
          <m:rPr>
            <m:nor/>
          </m:rPr>
          <m:t>100</m:t>
        </m:r>
      </m:oMath>
      <w:r w:rsidRPr="00025F23">
        <w:rPr>
          <w:rFonts w:eastAsiaTheme="minorEastAsia"/>
          <w:iCs/>
        </w:rPr>
        <w:t>.</w:t>
      </w:r>
    </w:p>
    <w:p w14:paraId="1D9BD02A" w14:textId="12C21BBC" w:rsidR="00BB6017" w:rsidRPr="00025F23" w:rsidRDefault="00BB6017" w:rsidP="00AF41EA">
      <w:pPr>
        <w:pStyle w:val="Nivel1"/>
        <w:keepNext/>
      </w:pPr>
      <w:r w:rsidRPr="00025F23">
        <w:rPr>
          <w:b/>
          <w:bCs/>
        </w:rPr>
        <w:t>Población activa</w:t>
      </w:r>
      <w:r w:rsidRPr="00025F23">
        <w:t>: Incluye a todos los individuos en edad de trabajar que trabajan o se encuentran en búsqueda activa de empleo.</w:t>
      </w:r>
    </w:p>
    <w:p w14:paraId="1B9FC7DE" w14:textId="5169EFB0" w:rsidR="007E7562" w:rsidRPr="00025F23" w:rsidRDefault="007E7562" w:rsidP="0011607B">
      <w:pPr>
        <w:pStyle w:val="Nivel2"/>
        <w:spacing w:after="60" w:line="20" w:lineRule="atLeast"/>
        <w:contextualSpacing w:val="0"/>
      </w:pPr>
      <w:r w:rsidRPr="00025F23">
        <w:rPr>
          <w:i/>
          <w:iCs/>
        </w:rPr>
        <w:t>Tasa de participación</w:t>
      </w:r>
      <w:r w:rsidRPr="00025F23">
        <w:t xml:space="preserve">: </w:t>
      </w:r>
      <m:oMath>
        <m:f>
          <m:fPr>
            <m:ctrlPr>
              <w:rPr>
                <w:rFonts w:ascii="Cambria Math" w:hAnsi="Cambria Math"/>
                <w:i/>
              </w:rPr>
            </m:ctrlPr>
          </m:fPr>
          <m:num>
            <m:r>
              <m:rPr>
                <m:nor/>
              </m:rPr>
              <m:t>Población activa</m:t>
            </m:r>
          </m:num>
          <m:den>
            <m:r>
              <m:rPr>
                <m:nor/>
              </m:rPr>
              <m:t>Población total</m:t>
            </m:r>
          </m:den>
        </m:f>
        <m:r>
          <w:rPr>
            <w:rFonts w:ascii="Cambria Math" w:hAnsi="Cambria Math"/>
          </w:rPr>
          <m:t>×</m:t>
        </m:r>
        <m:r>
          <m:rPr>
            <m:nor/>
          </m:rPr>
          <m:t>100</m:t>
        </m:r>
      </m:oMath>
      <w:r w:rsidRPr="00025F23">
        <w:rPr>
          <w:rFonts w:eastAsiaTheme="minorEastAsia"/>
        </w:rPr>
        <w:t>.</w:t>
      </w:r>
    </w:p>
    <w:p w14:paraId="0CD770E5" w14:textId="19E90634" w:rsidR="00BC1B07" w:rsidRPr="00025F23" w:rsidRDefault="00BB6017" w:rsidP="0011607B">
      <w:pPr>
        <w:pStyle w:val="Nivel2"/>
        <w:spacing w:line="20" w:lineRule="atLeast"/>
      </w:pPr>
      <w:r w:rsidRPr="00025F23">
        <w:rPr>
          <w:i/>
          <w:iCs/>
        </w:rPr>
        <w:t>Tasa de actividad</w:t>
      </w:r>
      <w:r w:rsidRPr="00025F23">
        <w:t xml:space="preserve">: </w:t>
      </w:r>
      <m:oMath>
        <m:f>
          <m:fPr>
            <m:ctrlPr>
              <w:rPr>
                <w:rFonts w:ascii="Cambria Math" w:hAnsi="Cambria Math"/>
                <w:i/>
              </w:rPr>
            </m:ctrlPr>
          </m:fPr>
          <m:num>
            <m:r>
              <m:rPr>
                <m:nor/>
              </m:rPr>
              <m:t>Población activa</m:t>
            </m:r>
          </m:num>
          <m:den>
            <m:r>
              <m:rPr>
                <m:nor/>
              </m:rPr>
              <m:t>Población en edad de trabajar</m:t>
            </m:r>
          </m:den>
        </m:f>
        <m:r>
          <w:rPr>
            <w:rFonts w:ascii="Cambria Math" w:hAnsi="Cambria Math"/>
          </w:rPr>
          <m:t>×</m:t>
        </m:r>
        <m:r>
          <m:rPr>
            <m:nor/>
          </m:rPr>
          <m:t>100</m:t>
        </m:r>
      </m:oMath>
      <w:r w:rsidRPr="00025F23">
        <w:rPr>
          <w:rFonts w:eastAsiaTheme="minorEastAsia"/>
        </w:rPr>
        <w:t>.</w:t>
      </w:r>
    </w:p>
    <w:p w14:paraId="3A951C17" w14:textId="4AF90FF2" w:rsidR="00BB6017" w:rsidRPr="00025F23" w:rsidRDefault="00BB6017" w:rsidP="00BC1B07">
      <w:pPr>
        <w:pStyle w:val="Nivel2"/>
        <w:numPr>
          <w:ilvl w:val="0"/>
          <w:numId w:val="0"/>
        </w:numPr>
        <w:ind w:left="426"/>
      </w:pPr>
      <w:r w:rsidRPr="00025F23">
        <w:rPr>
          <w:rFonts w:eastAsiaTheme="minorEastAsia"/>
        </w:rPr>
        <w:t xml:space="preserve">Es importante para la sostenibilidad del sistema de bienestar. Depende de la demografía. </w:t>
      </w:r>
      <w:r w:rsidR="00BC1B07" w:rsidRPr="00025F23">
        <w:rPr>
          <w:rFonts w:eastAsiaTheme="minorEastAsia"/>
        </w:rPr>
        <w:t>En la OCDE la t</w:t>
      </w:r>
      <w:r w:rsidRPr="00025F23">
        <w:rPr>
          <w:rFonts w:eastAsiaTheme="minorEastAsia"/>
        </w:rPr>
        <w:t xml:space="preserve">asa de actividad </w:t>
      </w:r>
      <w:r w:rsidR="00BC1B07" w:rsidRPr="00025F23">
        <w:rPr>
          <w:rFonts w:eastAsiaTheme="minorEastAsia"/>
        </w:rPr>
        <w:t>se sitúa en torno al</w:t>
      </w:r>
      <w:r w:rsidRPr="00025F23">
        <w:rPr>
          <w:rFonts w:eastAsiaTheme="minorEastAsia"/>
        </w:rPr>
        <w:t xml:space="preserve"> 70</w:t>
      </w:r>
      <w:r w:rsidR="00652EE3" w:rsidRPr="00025F23">
        <w:rPr>
          <w:rFonts w:eastAsiaTheme="minorEastAsia"/>
        </w:rPr>
        <w:t> </w:t>
      </w:r>
      <w:r w:rsidRPr="00025F23">
        <w:rPr>
          <w:rFonts w:eastAsiaTheme="minorEastAsia"/>
        </w:rPr>
        <w:t>% (60</w:t>
      </w:r>
      <w:r w:rsidR="00652EE3" w:rsidRPr="00025F23">
        <w:rPr>
          <w:rFonts w:eastAsiaTheme="minorEastAsia"/>
        </w:rPr>
        <w:t> </w:t>
      </w:r>
      <w:r w:rsidRPr="00025F23">
        <w:rPr>
          <w:rFonts w:eastAsiaTheme="minorEastAsia"/>
        </w:rPr>
        <w:t>% para mujeres), pero</w:t>
      </w:r>
      <w:r w:rsidR="00BC1B07" w:rsidRPr="00025F23">
        <w:rPr>
          <w:rFonts w:eastAsiaTheme="minorEastAsia"/>
        </w:rPr>
        <w:t xml:space="preserve"> en</w:t>
      </w:r>
      <w:r w:rsidRPr="00025F23">
        <w:rPr>
          <w:rFonts w:eastAsiaTheme="minorEastAsia"/>
        </w:rPr>
        <w:t xml:space="preserve"> España </w:t>
      </w:r>
      <w:r w:rsidR="00BC1B07" w:rsidRPr="00025F23">
        <w:rPr>
          <w:rFonts w:eastAsiaTheme="minorEastAsia"/>
        </w:rPr>
        <w:t xml:space="preserve">es de tan sólo el </w:t>
      </w:r>
      <w:r w:rsidRPr="00025F23">
        <w:rPr>
          <w:rFonts w:eastAsiaTheme="minorEastAsia"/>
        </w:rPr>
        <w:t>60</w:t>
      </w:r>
      <w:r w:rsidR="00652EE3" w:rsidRPr="00025F23">
        <w:rPr>
          <w:rFonts w:eastAsiaTheme="minorEastAsia"/>
        </w:rPr>
        <w:t> </w:t>
      </w:r>
      <w:r w:rsidRPr="00025F23">
        <w:rPr>
          <w:rFonts w:eastAsiaTheme="minorEastAsia"/>
        </w:rPr>
        <w:t>%.</w:t>
      </w:r>
    </w:p>
    <w:p w14:paraId="683625B1" w14:textId="49F67284" w:rsidR="00BB6017" w:rsidRPr="00025F23" w:rsidRDefault="00BB6017" w:rsidP="00AF41EA">
      <w:pPr>
        <w:pStyle w:val="Nivel1"/>
        <w:keepNext/>
      </w:pPr>
      <w:r w:rsidRPr="00025F23">
        <w:rPr>
          <w:b/>
          <w:bCs/>
        </w:rPr>
        <w:t>Población ocupada</w:t>
      </w:r>
      <w:r w:rsidRPr="00025F23">
        <w:t>: Todas las personas, tanto empleados como autónomos</w:t>
      </w:r>
      <w:r w:rsidR="00BC1B07" w:rsidRPr="00025F23">
        <w:t xml:space="preserve"> que participan en alguna actividad productiva.</w:t>
      </w:r>
    </w:p>
    <w:p w14:paraId="070DE789" w14:textId="77777777" w:rsidR="00BC1B07" w:rsidRPr="00025F23" w:rsidRDefault="00BB6017" w:rsidP="0011607B">
      <w:pPr>
        <w:pStyle w:val="Nivel2"/>
      </w:pPr>
      <w:r w:rsidRPr="00025F23">
        <w:rPr>
          <w:i/>
          <w:iCs/>
        </w:rPr>
        <w:t>Tasa de ocupación</w:t>
      </w:r>
      <w:r w:rsidRPr="00025F23">
        <w:t xml:space="preserve">: </w:t>
      </w:r>
      <m:oMath>
        <m:f>
          <m:fPr>
            <m:ctrlPr>
              <w:rPr>
                <w:rFonts w:ascii="Cambria Math" w:hAnsi="Cambria Math"/>
                <w:i/>
              </w:rPr>
            </m:ctrlPr>
          </m:fPr>
          <m:num>
            <m:r>
              <m:rPr>
                <m:nor/>
              </m:rPr>
              <m:t>Ocupados</m:t>
            </m:r>
          </m:num>
          <m:den>
            <m:r>
              <m:rPr>
                <m:nor/>
              </m:rPr>
              <m:t>Población en edad de trabajar</m:t>
            </m:r>
          </m:den>
        </m:f>
        <m:r>
          <w:rPr>
            <w:rFonts w:ascii="Cambria Math" w:hAnsi="Cambria Math"/>
          </w:rPr>
          <m:t>×</m:t>
        </m:r>
        <m:r>
          <m:rPr>
            <m:nor/>
          </m:rPr>
          <m:t>100</m:t>
        </m:r>
      </m:oMath>
      <w:r w:rsidRPr="00025F23">
        <w:t>.</w:t>
      </w:r>
    </w:p>
    <w:p w14:paraId="3ECEC1B3" w14:textId="448ABFB3" w:rsidR="00BB6017" w:rsidRPr="00025F23" w:rsidRDefault="00BB6017" w:rsidP="00BC1B07">
      <w:pPr>
        <w:pStyle w:val="Nivel2"/>
        <w:numPr>
          <w:ilvl w:val="0"/>
          <w:numId w:val="0"/>
        </w:numPr>
        <w:ind w:left="426"/>
      </w:pPr>
      <w:r w:rsidRPr="00025F23">
        <w:t xml:space="preserve">La variación de la ocupación se calcula como la tasa de creación de empleo menos la tasa de destrucción de empleo. </w:t>
      </w:r>
      <w:r w:rsidR="007E7562" w:rsidRPr="00025F23">
        <w:t>Es importante a</w:t>
      </w:r>
      <w:r w:rsidRPr="00025F23">
        <w:t>nalizar la evolución del empleo (creación o destrucción), viendo elasticidades y umbrales de creación de empleo.</w:t>
      </w:r>
    </w:p>
    <w:p w14:paraId="562D36DC" w14:textId="3BD049D9" w:rsidR="00BB6017" w:rsidRPr="00025F23" w:rsidRDefault="007E7562" w:rsidP="00AF41EA">
      <w:pPr>
        <w:pStyle w:val="Nivel1"/>
        <w:keepNext/>
      </w:pPr>
      <w:r w:rsidRPr="00025F23">
        <w:rPr>
          <w:b/>
          <w:bCs/>
        </w:rPr>
        <w:t>Población desempleada</w:t>
      </w:r>
      <w:r w:rsidRPr="00025F23">
        <w:t xml:space="preserve">: </w:t>
      </w:r>
      <w:r w:rsidR="00826CAD" w:rsidRPr="00025F23">
        <w:t>Personas activas que no disponen de un trabajo, es decir, personas en búsqueda activa de empleo.</w:t>
      </w:r>
    </w:p>
    <w:p w14:paraId="1F1D64C8" w14:textId="33BD7EE7" w:rsidR="007E7562" w:rsidRPr="00025F23" w:rsidRDefault="007E7562" w:rsidP="0011607B">
      <w:pPr>
        <w:pStyle w:val="Nivel2"/>
      </w:pPr>
      <w:r w:rsidRPr="00025F23">
        <w:rPr>
          <w:i/>
          <w:iCs/>
        </w:rPr>
        <w:t>Tasa de desempleo</w:t>
      </w:r>
      <w:r w:rsidRPr="00025F23">
        <w:t xml:space="preserve">: </w:t>
      </w:r>
      <m:oMath>
        <m:f>
          <m:fPr>
            <m:ctrlPr>
              <w:rPr>
                <w:rFonts w:ascii="Cambria Math" w:hAnsi="Cambria Math"/>
                <w:iCs/>
              </w:rPr>
            </m:ctrlPr>
          </m:fPr>
          <m:num>
            <m:r>
              <m:rPr>
                <m:nor/>
              </m:rPr>
              <w:rPr>
                <w:iCs/>
              </w:rPr>
              <m:t xml:space="preserve">Población activa </m:t>
            </m:r>
            <m:r>
              <m:rPr>
                <m:sty m:val="p"/>
              </m:rPr>
              <w:rPr>
                <w:rFonts w:ascii="Cambria Math" w:hAnsi="Cambria Math"/>
              </w:rPr>
              <m:t>-</m:t>
            </m:r>
            <m:r>
              <m:rPr>
                <m:nor/>
              </m:rPr>
              <w:rPr>
                <w:iCs/>
              </w:rPr>
              <m:t xml:space="preserve"> Ocupados</m:t>
            </m:r>
          </m:num>
          <m:den>
            <m:r>
              <m:rPr>
                <m:nor/>
              </m:rPr>
              <w:rPr>
                <w:iCs/>
              </w:rPr>
              <m:t>Población activa</m:t>
            </m:r>
          </m:den>
        </m:f>
        <m:r>
          <w:rPr>
            <w:rFonts w:ascii="Cambria Math" w:hAnsi="Cambria Math"/>
          </w:rPr>
          <m:t>×</m:t>
        </m:r>
        <m:r>
          <m:rPr>
            <m:nor/>
          </m:rPr>
          <m:t>100</m:t>
        </m:r>
      </m:oMath>
      <w:r w:rsidRPr="00025F23">
        <w:rPr>
          <w:rFonts w:eastAsiaTheme="minorEastAsia"/>
        </w:rPr>
        <w:t>.</w:t>
      </w:r>
    </w:p>
    <w:p w14:paraId="37003257" w14:textId="22F4C343" w:rsidR="00AD4D32" w:rsidRPr="00025F23" w:rsidRDefault="00AD4D32" w:rsidP="00AD1AFB">
      <w:pPr>
        <w:pStyle w:val="Ttulo3"/>
      </w:pPr>
      <w:bookmarkStart w:id="146" w:name="_Productividad_del_trabajo"/>
      <w:bookmarkStart w:id="147" w:name="_Toc88565992"/>
      <w:bookmarkStart w:id="148" w:name="_Toc88566132"/>
      <w:bookmarkStart w:id="149" w:name="_Toc173446298"/>
      <w:bookmarkStart w:id="150" w:name="_Toc189085791"/>
      <w:bookmarkEnd w:id="146"/>
      <w:r w:rsidRPr="00025F23">
        <w:t>Productividad del trabajo</w:t>
      </w:r>
      <w:bookmarkEnd w:id="147"/>
      <w:bookmarkEnd w:id="148"/>
      <w:bookmarkEnd w:id="149"/>
      <w:bookmarkEnd w:id="150"/>
    </w:p>
    <w:p w14:paraId="572ABBF9" w14:textId="12E3E8A2" w:rsidR="00AD4D32" w:rsidRPr="00F123C1" w:rsidRDefault="00AD4D32" w:rsidP="00A01A88">
      <w:pPr>
        <w:keepNext/>
        <w:spacing w:after="0"/>
        <w:rPr>
          <w:rFonts w:eastAsiaTheme="minorEastAsia"/>
          <w:iCs/>
          <w:spacing w:val="-1"/>
        </w:rPr>
      </w:pPr>
      <w:r w:rsidRPr="00F123C1">
        <w:rPr>
          <w:rFonts w:eastAsiaTheme="minorEastAsia"/>
          <w:iCs/>
          <w:spacing w:val="-1"/>
        </w:rPr>
        <w:t>La productividad se define como la ratio de producto respecto a la cantidad de input utilizado. Por lo tanto</w:t>
      </w:r>
      <w:r w:rsidR="00A029CC" w:rsidRPr="00F123C1">
        <w:rPr>
          <w:rFonts w:eastAsiaTheme="minorEastAsia"/>
          <w:iCs/>
          <w:spacing w:val="-1"/>
        </w:rPr>
        <w:t>,</w:t>
      </w:r>
      <w:r w:rsidRPr="00F123C1">
        <w:rPr>
          <w:rFonts w:eastAsiaTheme="minorEastAsia"/>
          <w:iCs/>
          <w:spacing w:val="-1"/>
        </w:rPr>
        <w:t xml:space="preserve"> la productividad del trabajo será</w:t>
      </w:r>
      <w:r w:rsidR="009C0A99" w:rsidRPr="00F123C1">
        <w:rPr>
          <w:rStyle w:val="Refdenotaalpie"/>
          <w:rFonts w:eastAsiaTheme="minorEastAsia"/>
          <w:iCs/>
          <w:spacing w:val="-1"/>
        </w:rPr>
        <w:footnoteReference w:id="21"/>
      </w:r>
      <w:r w:rsidRPr="00F123C1">
        <w:rPr>
          <w:rFonts w:eastAsiaTheme="minorEastAsia"/>
          <w:iCs/>
          <w:spacing w:val="-1"/>
        </w:rPr>
        <w:t>:</w:t>
      </w:r>
    </w:p>
    <w:p w14:paraId="38A564C6" w14:textId="47D41A04" w:rsidR="00AD4D32" w:rsidRPr="00025F23" w:rsidRDefault="00A01A88" w:rsidP="00AD4D32">
      <w:pPr>
        <w:rPr>
          <w:rFonts w:eastAsiaTheme="minorEastAsia"/>
          <w:iCs/>
        </w:rPr>
      </w:pPr>
      <m:oMathPara>
        <m:oMath>
          <m:r>
            <m:rPr>
              <m:nor/>
            </m:rPr>
            <w:rPr>
              <w:iCs/>
            </w:rPr>
            <m:t xml:space="preserve"> </m:t>
          </m:r>
          <m:r>
            <m:rPr>
              <m:nor/>
            </m:rPr>
            <w:rPr>
              <w:i/>
            </w:rPr>
            <m:t xml:space="preserve">Productividad aparente del trabajo </m:t>
          </m:r>
          <m:r>
            <m:rPr>
              <m:nor/>
            </m:rPr>
            <w:rPr>
              <w:iCs/>
            </w:rPr>
            <m:t>(PAT)</m:t>
          </m:r>
          <m:r>
            <w:rPr>
              <w:rFonts w:ascii="Cambria Math" w:hAnsi="Cambria Math"/>
            </w:rPr>
            <m:t>=</m:t>
          </m:r>
          <m:f>
            <m:fPr>
              <m:ctrlPr>
                <w:rPr>
                  <w:rFonts w:ascii="Cambria Math" w:hAnsi="Cambria Math"/>
                  <w:i/>
                </w:rPr>
              </m:ctrlPr>
            </m:fPr>
            <m:num>
              <m:r>
                <m:rPr>
                  <m:nor/>
                </m:rPr>
                <w:rPr>
                  <w:i/>
                </w:rPr>
                <m:t>Y</m:t>
              </m:r>
              <m:d>
                <m:dPr>
                  <m:ctrlPr>
                    <w:rPr>
                      <w:rFonts w:ascii="Cambria Math" w:hAnsi="Cambria Math"/>
                      <w:i/>
                    </w:rPr>
                  </m:ctrlPr>
                </m:dPr>
                <m:e>
                  <m:r>
                    <m:rPr>
                      <m:nor/>
                    </m:rPr>
                    <w:rPr>
                      <w:i/>
                      <w:iCs/>
                    </w:rPr>
                    <m:t>A, K, L</m:t>
                  </m:r>
                </m:e>
              </m:d>
            </m:num>
            <m:den>
              <m:r>
                <m:rPr>
                  <m:nor/>
                </m:rPr>
                <w:rPr>
                  <w:i/>
                </w:rPr>
                <m:t>L</m:t>
              </m:r>
            </m:den>
          </m:f>
        </m:oMath>
      </m:oMathPara>
    </w:p>
    <w:p w14:paraId="464AA4E9" w14:textId="1B045EB9" w:rsidR="00AD4D32" w:rsidRDefault="00AD4D32" w:rsidP="00AD4D32">
      <w:r w:rsidRPr="00025F23">
        <w:t xml:space="preserve">donde </w:t>
      </w:r>
      <w:r w:rsidRPr="00025F23">
        <w:rPr>
          <w:i/>
          <w:iCs/>
        </w:rPr>
        <w:t>Y</w:t>
      </w:r>
      <w:r w:rsidRPr="00025F23">
        <w:t xml:space="preserve"> es la producción (generalmente medido utilizando un índice de valor añadido como el PIB real) y </w:t>
      </w:r>
      <w:r w:rsidRPr="00025F23">
        <w:rPr>
          <w:i/>
          <w:iCs/>
        </w:rPr>
        <w:t>L</w:t>
      </w:r>
      <w:r w:rsidRPr="00025F23">
        <w:t xml:space="preserve"> es la cantidad utilizada de factor trabajo (generalmente medido utilizando las horas trabajadas</w:t>
      </w:r>
      <w:r w:rsidR="00A205F4" w:rsidRPr="00025F23">
        <w:t xml:space="preserve"> o el número de trabajadores</w:t>
      </w:r>
      <w:r w:rsidRPr="00025F23">
        <w:t>)</w:t>
      </w:r>
      <w:r w:rsidR="00A205F4" w:rsidRPr="00025F23">
        <w:t>.</w:t>
      </w:r>
    </w:p>
    <w:p w14:paraId="0083788D" w14:textId="4BA25101" w:rsidR="005E2367" w:rsidRDefault="005E2367" w:rsidP="005E2367">
      <w:pPr>
        <w:keepNext/>
        <w:spacing w:after="0"/>
      </w:pPr>
      <w:r>
        <w:t>De este modo, los crecimientos en la producción se pueden deber a aumentos en el empleo o a aumentos en la productividad. Esta descomposición nos permitirá calcular la evolución de la PAT real</w:t>
      </w:r>
      <w:r>
        <w:rPr>
          <w:rStyle w:val="Refdenotaalpie"/>
        </w:rPr>
        <w:footnoteReference w:id="22"/>
      </w:r>
      <w:r>
        <w:t>:</w:t>
      </w:r>
    </w:p>
    <w:p w14:paraId="593A4607" w14:textId="77777777" w:rsidR="005E2367" w:rsidRPr="00EA49D7" w:rsidRDefault="00000000" w:rsidP="005E2367">
      <w:pPr>
        <w:pStyle w:val="Nivel2"/>
        <w:numPr>
          <w:ilvl w:val="0"/>
          <w:numId w:val="0"/>
        </w:numPr>
        <w:rPr>
          <w:rFonts w:eastAsiaTheme="minorEastAsia"/>
          <w:b/>
          <w:bCs/>
          <w:spacing w:val="-6"/>
          <w:szCs w:val="16"/>
        </w:rPr>
      </w:pPr>
      <m:oMathPara>
        <m:oMath>
          <m:m>
            <m:mPr>
              <m:mcs>
                <m:mc>
                  <m:mcPr>
                    <m:count m:val="1"/>
                    <m:mcJc m:val="center"/>
                  </m:mcPr>
                </m:mc>
              </m:mcs>
              <m:ctrlPr>
                <w:rPr>
                  <w:rFonts w:ascii="Cambria Math" w:hAnsi="Cambria Math"/>
                  <w:i/>
                  <w:spacing w:val="-6"/>
                  <w:szCs w:val="16"/>
                </w:rPr>
              </m:ctrlPr>
            </m:mPr>
            <m:mr>
              <m:e>
                <m:r>
                  <m:rPr>
                    <m:nor/>
                  </m:rPr>
                  <w:rPr>
                    <w:i/>
                    <w:spacing w:val="-6"/>
                    <w:szCs w:val="16"/>
                  </w:rPr>
                  <m:t xml:space="preserve">γ </m:t>
                </m:r>
                <m:sSub>
                  <m:sSubPr>
                    <m:ctrlPr>
                      <w:rPr>
                        <w:rFonts w:ascii="Cambria Math" w:hAnsi="Cambria Math"/>
                        <w:i/>
                        <w:spacing w:val="-6"/>
                        <w:szCs w:val="16"/>
                      </w:rPr>
                    </m:ctrlPr>
                  </m:sSubPr>
                  <m:e>
                    <m:r>
                      <m:rPr>
                        <m:nor/>
                      </m:rPr>
                      <w:rPr>
                        <w:i/>
                        <w:spacing w:val="-6"/>
                        <w:szCs w:val="16"/>
                      </w:rPr>
                      <m:t>PIB</m:t>
                    </m:r>
                  </m:e>
                  <m:sub>
                    <m:r>
                      <m:rPr>
                        <m:nor/>
                      </m:rPr>
                      <w:rPr>
                        <w:i/>
                        <w:spacing w:val="-6"/>
                        <w:szCs w:val="16"/>
                      </w:rPr>
                      <m:t>real</m:t>
                    </m:r>
                  </m:sub>
                </m:sSub>
                <m:r>
                  <w:rPr>
                    <w:rFonts w:ascii="Cambria Math" w:hAnsi="Cambria Math"/>
                    <w:spacing w:val="-6"/>
                    <w:szCs w:val="16"/>
                  </w:rPr>
                  <m:t>=</m:t>
                </m:r>
                <m:r>
                  <m:rPr>
                    <m:nor/>
                  </m:rPr>
                  <w:rPr>
                    <w:i/>
                    <w:spacing w:val="-6"/>
                    <w:szCs w:val="16"/>
                  </w:rPr>
                  <m:t xml:space="preserve">γ </m:t>
                </m:r>
                <m:sSub>
                  <m:sSubPr>
                    <m:ctrlPr>
                      <w:rPr>
                        <w:rFonts w:ascii="Cambria Math" w:hAnsi="Cambria Math"/>
                        <w:i/>
                      </w:rPr>
                    </m:ctrlPr>
                  </m:sSubPr>
                  <m:e>
                    <m:r>
                      <m:rPr>
                        <m:nor/>
                      </m:rPr>
                      <w:rPr>
                        <w:i/>
                      </w:rPr>
                      <m:t>PAT</m:t>
                    </m:r>
                  </m:e>
                  <m:sub>
                    <m:r>
                      <m:rPr>
                        <m:nor/>
                      </m:rPr>
                      <w:rPr>
                        <w:i/>
                        <w:spacing w:val="-6"/>
                        <w:szCs w:val="16"/>
                      </w:rPr>
                      <m:t>real</m:t>
                    </m:r>
                  </m:sub>
                </m:sSub>
                <m:r>
                  <w:rPr>
                    <w:rFonts w:ascii="Cambria Math" w:hAnsi="Cambria Math"/>
                    <w:spacing w:val="-6"/>
                    <w:szCs w:val="16"/>
                  </w:rPr>
                  <m:t>+</m:t>
                </m:r>
                <m:r>
                  <m:rPr>
                    <m:nor/>
                  </m:rPr>
                  <w:rPr>
                    <w:i/>
                    <w:spacing w:val="-6"/>
                    <w:szCs w:val="16"/>
                  </w:rPr>
                  <m:t>γ Empleo</m:t>
                </m:r>
              </m:e>
            </m:mr>
            <m:mr>
              <m:e>
                <m:r>
                  <w:rPr>
                    <w:rFonts w:ascii="Cambria Math" w:hAnsi="Cambria Math"/>
                    <w:spacing w:val="-6"/>
                    <w:szCs w:val="16"/>
                  </w:rPr>
                  <m:t>⇓</m:t>
                </m:r>
              </m:e>
            </m:mr>
            <m:mr>
              <m:e>
                <m:r>
                  <m:rPr>
                    <m:nor/>
                  </m:rPr>
                  <w:rPr>
                    <w:b/>
                    <w:bCs/>
                    <w:i/>
                    <w:spacing w:val="-6"/>
                    <w:szCs w:val="16"/>
                  </w:rPr>
                  <m:t xml:space="preserve">γ </m:t>
                </m:r>
                <m:sSub>
                  <m:sSubPr>
                    <m:ctrlPr>
                      <w:rPr>
                        <w:rFonts w:ascii="Cambria Math" w:hAnsi="Cambria Math"/>
                        <w:b/>
                        <w:bCs/>
                        <w:i/>
                      </w:rPr>
                    </m:ctrlPr>
                  </m:sSubPr>
                  <m:e>
                    <m:r>
                      <m:rPr>
                        <m:nor/>
                      </m:rPr>
                      <w:rPr>
                        <w:b/>
                        <w:bCs/>
                        <w:i/>
                      </w:rPr>
                      <m:t>PAT</m:t>
                    </m:r>
                  </m:e>
                  <m:sub>
                    <m:r>
                      <m:rPr>
                        <m:nor/>
                      </m:rPr>
                      <w:rPr>
                        <w:b/>
                        <w:bCs/>
                        <w:i/>
                        <w:spacing w:val="-6"/>
                        <w:szCs w:val="16"/>
                      </w:rPr>
                      <m:t>real</m:t>
                    </m:r>
                  </m:sub>
                </m:sSub>
                <m:r>
                  <m:rPr>
                    <m:sty m:val="bi"/>
                  </m:rPr>
                  <w:rPr>
                    <w:rFonts w:ascii="Cambria Math" w:hAnsi="Cambria Math"/>
                    <w:spacing w:val="-6"/>
                    <w:szCs w:val="16"/>
                  </w:rPr>
                  <m:t>=</m:t>
                </m:r>
                <m:r>
                  <m:rPr>
                    <m:nor/>
                  </m:rPr>
                  <w:rPr>
                    <w:i/>
                    <w:spacing w:val="-6"/>
                    <w:szCs w:val="16"/>
                  </w:rPr>
                  <m:t xml:space="preserve">γ </m:t>
                </m:r>
                <m:sSub>
                  <m:sSubPr>
                    <m:ctrlPr>
                      <w:rPr>
                        <w:rFonts w:ascii="Cambria Math" w:hAnsi="Cambria Math"/>
                        <w:i/>
                        <w:spacing w:val="-6"/>
                        <w:szCs w:val="16"/>
                      </w:rPr>
                    </m:ctrlPr>
                  </m:sSubPr>
                  <m:e>
                    <m:r>
                      <m:rPr>
                        <m:nor/>
                      </m:rPr>
                      <w:rPr>
                        <w:i/>
                        <w:spacing w:val="-6"/>
                        <w:szCs w:val="16"/>
                      </w:rPr>
                      <m:t>PIB</m:t>
                    </m:r>
                  </m:e>
                  <m:sub>
                    <m:r>
                      <m:rPr>
                        <m:nor/>
                      </m:rPr>
                      <w:rPr>
                        <w:i/>
                        <w:spacing w:val="-6"/>
                        <w:szCs w:val="16"/>
                      </w:rPr>
                      <m:t>real</m:t>
                    </m:r>
                  </m:sub>
                </m:sSub>
                <m:r>
                  <w:rPr>
                    <w:rFonts w:ascii="Cambria Math" w:hAnsi="Cambria Math"/>
                    <w:spacing w:val="-6"/>
                    <w:szCs w:val="16"/>
                  </w:rPr>
                  <m:t>-</m:t>
                </m:r>
                <m:r>
                  <m:rPr>
                    <m:nor/>
                  </m:rPr>
                  <w:rPr>
                    <w:i/>
                    <w:spacing w:val="-6"/>
                    <w:szCs w:val="16"/>
                  </w:rPr>
                  <m:t>γ Empleo</m:t>
                </m:r>
              </m:e>
            </m:mr>
          </m:m>
        </m:oMath>
      </m:oMathPara>
    </w:p>
    <w:p w14:paraId="11B29323" w14:textId="6C5AA393" w:rsidR="003C5798" w:rsidRPr="00025F23" w:rsidRDefault="005E2367" w:rsidP="00AD4D32">
      <w:r>
        <w:t>L</w:t>
      </w:r>
      <w:r w:rsidR="003C5798" w:rsidRPr="00025F23">
        <w:t xml:space="preserve">a productividad del trabajo </w:t>
      </w:r>
      <w:r w:rsidR="00F5184A" w:rsidRPr="00025F23">
        <w:t>no sólo refleja las capacidades personales de los trabajadores o la intensidad de su esfuerzo. Su productividad se ve afectada por la presencia de otros factores productivos, como el capital o la tecnología.</w:t>
      </w:r>
    </w:p>
    <w:p w14:paraId="181A32AC" w14:textId="7FB3D1B3" w:rsidR="00F5184A" w:rsidRPr="00025F23" w:rsidRDefault="00F5184A" w:rsidP="002F49CB">
      <w:pPr>
        <w:keepNext/>
        <w:spacing w:after="0"/>
      </w:pPr>
      <w:r w:rsidRPr="00025F23">
        <w:t xml:space="preserve">Hay, por lo tanto, </w:t>
      </w:r>
      <w:r w:rsidR="00090215">
        <w:t>2 </w:t>
      </w:r>
      <w:r w:rsidRPr="00025F23">
        <w:t>maneras en las que la productividad del trabajo puede crecer:</w:t>
      </w:r>
    </w:p>
    <w:p w14:paraId="46F76893" w14:textId="1212254A" w:rsidR="00F5184A" w:rsidRPr="008D4C91" w:rsidRDefault="00F5184A" w:rsidP="008D4C91">
      <w:pPr>
        <w:pStyle w:val="Nivel2SM"/>
        <w:rPr>
          <w:spacing w:val="-2"/>
        </w:rPr>
      </w:pPr>
      <w:r w:rsidRPr="008D4C91">
        <w:rPr>
          <w:i/>
          <w:iCs/>
          <w:spacing w:val="-2"/>
        </w:rPr>
        <w:t>Intensificación del capital</w:t>
      </w:r>
      <w:r w:rsidRPr="008D4C91">
        <w:rPr>
          <w:spacing w:val="-2"/>
        </w:rPr>
        <w:t xml:space="preserve"> </w:t>
      </w:r>
      <m:oMath>
        <m:d>
          <m:dPr>
            <m:ctrlPr>
              <w:rPr>
                <w:rFonts w:ascii="Cambria Math" w:hAnsi="Cambria Math"/>
                <w:i/>
                <w:spacing w:val="-2"/>
              </w:rPr>
            </m:ctrlPr>
          </m:dPr>
          <m:e>
            <m:r>
              <m:rPr>
                <m:nor/>
              </m:rPr>
              <w:rPr>
                <w:rFonts w:cs="Times New Roman"/>
                <w:i/>
                <w:iCs/>
                <w:spacing w:val="-2"/>
              </w:rPr>
              <m:t>↑</m:t>
            </m:r>
            <m:f>
              <m:fPr>
                <m:type m:val="lin"/>
                <m:ctrlPr>
                  <w:rPr>
                    <w:rFonts w:ascii="Cambria Math" w:hAnsi="Cambria Math"/>
                    <w:i/>
                    <w:iCs/>
                    <w:spacing w:val="-2"/>
                  </w:rPr>
                </m:ctrlPr>
              </m:fPr>
              <m:num>
                <m:r>
                  <m:rPr>
                    <m:nor/>
                  </m:rPr>
                  <w:rPr>
                    <w:i/>
                    <w:iCs/>
                    <w:spacing w:val="-2"/>
                  </w:rPr>
                  <m:t>K</m:t>
                </m:r>
              </m:num>
              <m:den>
                <m:r>
                  <m:rPr>
                    <m:nor/>
                  </m:rPr>
                  <w:rPr>
                    <w:i/>
                    <w:iCs/>
                    <w:spacing w:val="-2"/>
                  </w:rPr>
                  <m:t>L</m:t>
                </m:r>
              </m:den>
            </m:f>
          </m:e>
        </m:d>
      </m:oMath>
      <w:r w:rsidRPr="008D4C91">
        <w:rPr>
          <w:spacing w:val="-2"/>
        </w:rPr>
        <w:t>: Surge de aumentos en la inversión neta.</w:t>
      </w:r>
    </w:p>
    <w:p w14:paraId="71A6FE8D" w14:textId="27078A5F" w:rsidR="00F5184A" w:rsidRPr="008D4C91" w:rsidRDefault="00F5184A" w:rsidP="008D4C91">
      <w:pPr>
        <w:pStyle w:val="Nivel2SM"/>
        <w:rPr>
          <w:spacing w:val="-2"/>
        </w:rPr>
      </w:pPr>
      <w:r w:rsidRPr="008D4C91">
        <w:rPr>
          <w:i/>
          <w:iCs/>
          <w:spacing w:val="-2"/>
        </w:rPr>
        <w:t>Progreso tecnológico</w:t>
      </w:r>
      <w:r w:rsidRPr="008D4C91">
        <w:rPr>
          <w:spacing w:val="-2"/>
        </w:rPr>
        <w:t xml:space="preserve"> </w:t>
      </w:r>
      <m:oMath>
        <m:d>
          <m:dPr>
            <m:ctrlPr>
              <w:rPr>
                <w:rFonts w:ascii="Cambria Math" w:hAnsi="Cambria Math"/>
                <w:i/>
                <w:spacing w:val="-2"/>
              </w:rPr>
            </m:ctrlPr>
          </m:dPr>
          <m:e>
            <m:r>
              <m:rPr>
                <m:nor/>
              </m:rPr>
              <w:rPr>
                <w:rFonts w:cs="Times New Roman"/>
                <w:i/>
                <w:iCs/>
                <w:spacing w:val="-2"/>
              </w:rPr>
              <m:t>↑</m:t>
            </m:r>
            <m:r>
              <m:rPr>
                <m:nor/>
              </m:rPr>
              <w:rPr>
                <w:i/>
                <w:iCs/>
                <w:spacing w:val="-2"/>
              </w:rPr>
              <m:t>A</m:t>
            </m:r>
          </m:e>
        </m:d>
      </m:oMath>
      <w:r w:rsidRPr="008D4C91">
        <w:rPr>
          <w:spacing w:val="-2"/>
        </w:rPr>
        <w:t>: Permite el aumento de la productividad del trabajo sin necesidad de acumulación de capital.</w:t>
      </w:r>
    </w:p>
    <w:p w14:paraId="67542B16" w14:textId="65E6F67F" w:rsidR="00582DB2" w:rsidRPr="00025F23" w:rsidRDefault="00582DB2" w:rsidP="00582DB2">
      <w:pPr>
        <w:pStyle w:val="Nivel2"/>
        <w:numPr>
          <w:ilvl w:val="0"/>
          <w:numId w:val="0"/>
        </w:numPr>
      </w:pPr>
      <w:r w:rsidRPr="00025F23">
        <w:t>Esta descomposición es relevante para entender la causa tras cualquier cambio en productividad del trabajo: aumentos en la inversión en capital físico o inversión en capital intangible (</w:t>
      </w:r>
      <w:proofErr w:type="spellStart"/>
      <w:r w:rsidRPr="00025F23">
        <w:t>e.g</w:t>
      </w:r>
      <w:proofErr w:type="spellEnd"/>
      <w:r w:rsidRPr="00025F23">
        <w:t>. innovación, cambios organizacionales o I+D)</w:t>
      </w:r>
      <w:r w:rsidR="00A01A88" w:rsidRPr="00025F23">
        <w:t>.</w:t>
      </w:r>
    </w:p>
    <w:p w14:paraId="12AEE4AE" w14:textId="5A87B596" w:rsidR="00EA49D7" w:rsidRPr="00025F23" w:rsidRDefault="003C5798" w:rsidP="00AD4D32">
      <w:r w:rsidRPr="00025F23">
        <w:t>La productividad del trabajo es importante porque a nivel agregado, la productividad del trabajo se traduce (con algunos ajustes) en renta per cápita, una medida de la calidad de vida</w:t>
      </w:r>
      <w:r w:rsidR="00C41A35" w:rsidRPr="00025F23">
        <w:rPr>
          <w:rStyle w:val="Refdenotaalpie"/>
        </w:rPr>
        <w:footnoteReference w:id="23"/>
      </w:r>
      <w:r w:rsidRPr="00025F23">
        <w:t>.</w:t>
      </w:r>
    </w:p>
    <w:p w14:paraId="5D416CC8" w14:textId="7969C7CE" w:rsidR="00582DB2" w:rsidRPr="00025F23" w:rsidRDefault="00582DB2" w:rsidP="00AD1AFB">
      <w:pPr>
        <w:pStyle w:val="Ttulo3"/>
      </w:pPr>
      <w:bookmarkStart w:id="151" w:name="_Salarios_y_Costes"/>
      <w:bookmarkStart w:id="152" w:name="_Toc88565993"/>
      <w:bookmarkStart w:id="153" w:name="_Toc88566133"/>
      <w:bookmarkStart w:id="154" w:name="_Toc173446299"/>
      <w:bookmarkStart w:id="155" w:name="_Toc189085792"/>
      <w:bookmarkEnd w:id="151"/>
      <w:r w:rsidRPr="00025F23">
        <w:t>Salarios y Costes Laborales Unitarios (</w:t>
      </w:r>
      <w:proofErr w:type="spellStart"/>
      <w:r w:rsidRPr="00025F23">
        <w:t>CLUs</w:t>
      </w:r>
      <w:proofErr w:type="spellEnd"/>
      <w:r w:rsidRPr="00025F23">
        <w:t>)</w:t>
      </w:r>
      <w:bookmarkEnd w:id="152"/>
      <w:bookmarkEnd w:id="153"/>
      <w:bookmarkEnd w:id="154"/>
      <w:bookmarkEnd w:id="155"/>
    </w:p>
    <w:p w14:paraId="236D6C6B" w14:textId="77777777" w:rsidR="00A029CC" w:rsidRPr="00025F23" w:rsidRDefault="00A029CC" w:rsidP="00652EE3">
      <w:pPr>
        <w:keepNext/>
      </w:pPr>
      <w:r w:rsidRPr="00025F23">
        <w:rPr>
          <w:spacing w:val="-1"/>
        </w:rPr>
        <w:t>Los salarios son un componente importante de la renta de los trabajadores.</w:t>
      </w:r>
      <w:r w:rsidRPr="00025F23">
        <w:t xml:space="preserve"> Como en el caso del PIB, distinguimos entre salarios nominales y reales:</w:t>
      </w:r>
    </w:p>
    <w:p w14:paraId="3FCA332F" w14:textId="6B8591AF" w:rsidR="00A029CC" w:rsidRPr="00025F23" w:rsidRDefault="00A029CC" w:rsidP="00C41A35">
      <w:pPr>
        <w:pStyle w:val="Nivel1"/>
      </w:pPr>
      <w:r w:rsidRPr="00025F23">
        <w:t xml:space="preserve">Los </w:t>
      </w:r>
      <w:r w:rsidRPr="00025F23">
        <w:rPr>
          <w:i/>
          <w:iCs w:val="0"/>
        </w:rPr>
        <w:t>salarios reales</w:t>
      </w:r>
      <w:r w:rsidRPr="00025F23">
        <w:t xml:space="preserve"> se obtienen deflactando los </w:t>
      </w:r>
      <w:r w:rsidRPr="00025F23">
        <w:rPr>
          <w:i/>
          <w:iCs w:val="0"/>
        </w:rPr>
        <w:t>salarios nominales</w:t>
      </w:r>
      <w:r w:rsidRPr="00025F23">
        <w:t xml:space="preserve"> por el índice de precios apropiado</w:t>
      </w:r>
      <w:r w:rsidR="00C41A35" w:rsidRPr="00025F23">
        <w:t>. En el largo plazo, la tasa de crecimiento del salario real suele estar relacionado con el aumento de la productividad del trabajo.</w:t>
      </w:r>
    </w:p>
    <w:p w14:paraId="7E32CC2C" w14:textId="3372C73F" w:rsidR="007460A9" w:rsidRPr="00025F23" w:rsidRDefault="007460A9" w:rsidP="00A01A88">
      <w:pPr>
        <w:pStyle w:val="Nivel1"/>
        <w:keepNext/>
      </w:pPr>
      <w:r w:rsidRPr="00025F23">
        <w:t xml:space="preserve">El </w:t>
      </w:r>
      <w:r w:rsidRPr="00025F23">
        <w:rPr>
          <w:i/>
          <w:iCs w:val="0"/>
        </w:rPr>
        <w:t>Coste Laboral Unitario</w:t>
      </w:r>
      <w:r w:rsidRPr="00025F23">
        <w:t xml:space="preserve"> </w:t>
      </w:r>
      <w:r w:rsidR="00B44712" w:rsidRPr="00025F23">
        <w:rPr>
          <w:i/>
          <w:iCs w:val="0"/>
        </w:rPr>
        <w:t xml:space="preserve">nominal </w:t>
      </w:r>
      <w:r w:rsidRPr="00025F23">
        <w:t>(</w:t>
      </w:r>
      <m:oMath>
        <m:sSub>
          <m:sSubPr>
            <m:ctrlPr>
              <w:rPr>
                <w:rFonts w:ascii="Cambria Math" w:hAnsi="Cambria Math"/>
                <w:i/>
              </w:rPr>
            </m:ctrlPr>
          </m:sSubPr>
          <m:e>
            <m:r>
              <m:rPr>
                <m:nor/>
              </m:rPr>
              <w:rPr>
                <w:i/>
              </w:rPr>
              <m:t>CLU</m:t>
            </m:r>
          </m:e>
          <m:sub>
            <m:r>
              <m:rPr>
                <m:nor/>
              </m:rPr>
              <w:rPr>
                <w:i/>
              </w:rPr>
              <m:t>nominales</m:t>
            </m:r>
          </m:sub>
        </m:sSub>
      </m:oMath>
      <w:r w:rsidRPr="00025F23">
        <w:t>)</w:t>
      </w:r>
      <w:r w:rsidR="00DB7236" w:rsidRPr="00025F23">
        <w:rPr>
          <w:rStyle w:val="Refdenotaalpie"/>
        </w:rPr>
        <w:footnoteReference w:id="24"/>
      </w:r>
      <w:r w:rsidRPr="00025F23">
        <w:t xml:space="preserve"> se define como la compensación del trabajador (medida aproximada por los salarios nominales) por unidad de producto. Teniendo en cuenta que la productividad del trabajo se puede definir como el nivel de producción por unidad de trabajo, podemos expresar el CLU de la sigui</w:t>
      </w:r>
      <w:r w:rsidR="007D3BB3" w:rsidRPr="00025F23">
        <w:t>ente manera:</w:t>
      </w:r>
    </w:p>
    <w:p w14:paraId="55F8C71C" w14:textId="6D7C967A" w:rsidR="00AC0DB4" w:rsidRPr="00025F23" w:rsidRDefault="006220EE" w:rsidP="00AC0DB4">
      <w:pPr>
        <w:rPr>
          <w:rFonts w:eastAsiaTheme="minorEastAsia"/>
          <w:iCs/>
        </w:rPr>
      </w:pPr>
      <m:oMathPara>
        <m:oMath>
          <m:r>
            <m:rPr>
              <m:nor/>
            </m:rPr>
            <w:rPr>
              <w:iCs/>
            </w:rPr>
            <m:t xml:space="preserve"> </m:t>
          </m:r>
          <m:sSub>
            <m:sSubPr>
              <m:ctrlPr>
                <w:rPr>
                  <w:rFonts w:ascii="Cambria Math" w:hAnsi="Cambria Math"/>
                  <w:i/>
                </w:rPr>
              </m:ctrlPr>
            </m:sSubPr>
            <m:e>
              <m:r>
                <m:rPr>
                  <m:nor/>
                </m:rPr>
                <w:rPr>
                  <w:i/>
                </w:rPr>
                <m:t>CLU</m:t>
              </m:r>
            </m:e>
            <m:sub>
              <m:r>
                <m:rPr>
                  <m:nor/>
                </m:rPr>
                <w:rPr>
                  <w:i/>
                </w:rPr>
                <m:t>nominales</m:t>
              </m:r>
            </m:sub>
          </m:sSub>
          <m:r>
            <w:rPr>
              <w:rFonts w:ascii="Cambria Math" w:hAnsi="Cambria Math"/>
            </w:rPr>
            <m:t>=</m:t>
          </m:r>
          <m:f>
            <m:fPr>
              <m:ctrlPr>
                <w:rPr>
                  <w:rFonts w:ascii="Cambria Math" w:hAnsi="Cambria Math"/>
                  <w:i/>
                  <w:iCs/>
                </w:rPr>
              </m:ctrlPr>
            </m:fPr>
            <m:num>
              <m:r>
                <m:rPr>
                  <m:nor/>
                </m:rPr>
                <w:rPr>
                  <w:i/>
                </w:rPr>
                <m:t>W</m:t>
              </m:r>
              <m:r>
                <w:rPr>
                  <w:rFonts w:ascii="Cambria Math" w:hAnsi="Cambria Math"/>
                </w:rPr>
                <m:t>∙</m:t>
              </m:r>
              <m:r>
                <m:rPr>
                  <m:nor/>
                </m:rPr>
                <w:rPr>
                  <w:i/>
                  <w:iCs/>
                </w:rPr>
                <m:t>L</m:t>
              </m:r>
            </m:num>
            <m:den>
              <m:r>
                <m:rPr>
                  <m:nor/>
                </m:rPr>
                <w:rPr>
                  <w:i/>
                </w:rPr>
                <m:t>Y</m:t>
              </m:r>
              <m:d>
                <m:dPr>
                  <m:ctrlPr>
                    <w:rPr>
                      <w:rFonts w:ascii="Cambria Math" w:hAnsi="Cambria Math"/>
                      <w:i/>
                    </w:rPr>
                  </m:ctrlPr>
                </m:dPr>
                <m:e>
                  <m:r>
                    <m:rPr>
                      <m:nor/>
                    </m:rPr>
                    <w:rPr>
                      <w:i/>
                      <w:iCs/>
                    </w:rPr>
                    <m:t>A, K, L</m:t>
                  </m:r>
                </m:e>
              </m:d>
            </m:den>
          </m:f>
          <m:r>
            <w:rPr>
              <w:rFonts w:ascii="Cambria Math" w:hAnsi="Cambria Math"/>
            </w:rPr>
            <m:t>=</m:t>
          </m:r>
          <m:f>
            <m:fPr>
              <m:ctrlPr>
                <w:rPr>
                  <w:rFonts w:ascii="Cambria Math" w:hAnsi="Cambria Math"/>
                  <w:i/>
                </w:rPr>
              </m:ctrlPr>
            </m:fPr>
            <m:num>
              <m:r>
                <m:rPr>
                  <m:nor/>
                </m:rPr>
                <w:rPr>
                  <w:i/>
                </w:rPr>
                <m:t>W</m:t>
              </m:r>
            </m:num>
            <m:den>
              <m:f>
                <m:fPr>
                  <m:type m:val="lin"/>
                  <m:ctrlPr>
                    <w:rPr>
                      <w:rFonts w:ascii="Cambria Math" w:hAnsi="Cambria Math"/>
                      <w:i/>
                    </w:rPr>
                  </m:ctrlPr>
                </m:fPr>
                <m:num>
                  <m:r>
                    <m:rPr>
                      <m:nor/>
                    </m:rPr>
                    <w:rPr>
                      <w:i/>
                    </w:rPr>
                    <m:t>Y</m:t>
                  </m:r>
                </m:num>
                <m:den>
                  <m:r>
                    <m:rPr>
                      <m:nor/>
                    </m:rPr>
                    <w:rPr>
                      <w:i/>
                      <w:iCs/>
                    </w:rPr>
                    <m:t>L</m:t>
                  </m:r>
                </m:den>
              </m:f>
            </m:den>
          </m:f>
          <m:r>
            <w:rPr>
              <w:rFonts w:ascii="Cambria Math" w:hAnsi="Cambria Math"/>
            </w:rPr>
            <m:t>=</m:t>
          </m:r>
          <m:f>
            <m:fPr>
              <m:ctrlPr>
                <w:rPr>
                  <w:rFonts w:ascii="Cambria Math" w:hAnsi="Cambria Math"/>
                  <w:i/>
                  <w:iCs/>
                </w:rPr>
              </m:ctrlPr>
            </m:fPr>
            <m:num>
              <m:r>
                <m:rPr>
                  <m:nor/>
                </m:rPr>
                <w:rPr>
                  <w:i/>
                </w:rPr>
                <m:t>Salario nominal</m:t>
              </m:r>
            </m:num>
            <m:den>
              <m:r>
                <m:rPr>
                  <m:nor/>
                </m:rPr>
                <w:rPr>
                  <w:i/>
                </w:rPr>
                <m:t>Productividad media del trabajo</m:t>
              </m:r>
            </m:den>
          </m:f>
          <m:r>
            <m:rPr>
              <m:sty m:val="p"/>
            </m:rPr>
            <w:rPr>
              <w:rFonts w:ascii="Cambria Math" w:hAnsi="Cambria Math"/>
            </w:rPr>
            <w:br/>
          </m:r>
        </m:oMath>
        <m:oMath>
          <m:r>
            <m:rPr>
              <m:nor/>
            </m:rPr>
            <w:rPr>
              <w:iCs/>
            </w:rPr>
            <m:t xml:space="preserve"> </m:t>
          </m:r>
          <m:r>
            <m:rPr>
              <m:nor/>
            </m:rPr>
            <w:rPr>
              <w:b/>
              <w:bCs/>
              <w:i/>
              <w:spacing w:val="-6"/>
              <w:szCs w:val="16"/>
            </w:rPr>
            <m:t xml:space="preserve">γ </m:t>
          </m:r>
          <m:sSub>
            <m:sSubPr>
              <m:ctrlPr>
                <w:rPr>
                  <w:rFonts w:ascii="Cambria Math" w:hAnsi="Cambria Math"/>
                  <w:b/>
                  <w:bCs/>
                  <w:i/>
                </w:rPr>
              </m:ctrlPr>
            </m:sSubPr>
            <m:e>
              <m:r>
                <m:rPr>
                  <m:nor/>
                </m:rPr>
                <w:rPr>
                  <w:b/>
                  <w:bCs/>
                  <w:i/>
                </w:rPr>
                <m:t>CLU</m:t>
              </m:r>
            </m:e>
            <m:sub>
              <m:r>
                <m:rPr>
                  <m:nor/>
                </m:rPr>
                <w:rPr>
                  <w:b/>
                  <w:bCs/>
                  <w:i/>
                </w:rPr>
                <m:t>nominales</m:t>
              </m:r>
            </m:sub>
          </m:sSub>
          <m:r>
            <w:rPr>
              <w:rFonts w:ascii="Cambria Math" w:hAnsi="Cambria Math"/>
            </w:rPr>
            <m:t>=</m:t>
          </m:r>
          <m:limLow>
            <m:limLowPr>
              <m:ctrlPr>
                <w:rPr>
                  <w:rFonts w:ascii="Cambria Math" w:hAnsi="Cambria Math"/>
                  <w:i/>
                  <w:spacing w:val="-6"/>
                  <w:szCs w:val="16"/>
                </w:rPr>
              </m:ctrlPr>
            </m:limLowPr>
            <m:e>
              <m:groupChr>
                <m:groupChrPr>
                  <m:ctrlPr>
                    <w:rPr>
                      <w:rFonts w:ascii="Cambria Math" w:hAnsi="Cambria Math"/>
                      <w:i/>
                      <w:spacing w:val="-6"/>
                      <w:szCs w:val="16"/>
                    </w:rPr>
                  </m:ctrlPr>
                </m:groupChrPr>
                <m:e>
                  <m:r>
                    <m:rPr>
                      <m:nor/>
                    </m:rPr>
                    <w:rPr>
                      <w:i/>
                      <w:spacing w:val="-6"/>
                      <w:szCs w:val="16"/>
                    </w:rPr>
                    <m:t xml:space="preserve">γ </m:t>
                  </m:r>
                  <m:sSub>
                    <m:sSubPr>
                      <m:ctrlPr>
                        <w:rPr>
                          <w:rFonts w:ascii="Cambria Math" w:hAnsi="Cambria Math"/>
                          <w:i/>
                          <w:spacing w:val="-6"/>
                          <w:szCs w:val="16"/>
                        </w:rPr>
                      </m:ctrlPr>
                    </m:sSubPr>
                    <m:e>
                      <m:r>
                        <m:rPr>
                          <m:nor/>
                        </m:rPr>
                        <w:rPr>
                          <w:i/>
                          <w:spacing w:val="-6"/>
                          <w:szCs w:val="16"/>
                        </w:rPr>
                        <m:t>W</m:t>
                      </m:r>
                    </m:e>
                    <m:sub>
                      <m:r>
                        <m:rPr>
                          <m:nor/>
                        </m:rPr>
                        <w:rPr>
                          <w:i/>
                          <w:spacing w:val="-6"/>
                          <w:szCs w:val="16"/>
                        </w:rPr>
                        <m:t>nominal</m:t>
                      </m:r>
                    </m:sub>
                  </m:sSub>
                </m:e>
              </m:groupChr>
            </m:e>
            <m:lim>
              <m:r>
                <m:rPr>
                  <m:nor/>
                </m:rPr>
                <w:rPr>
                  <w:i/>
                  <w:spacing w:val="-6"/>
                  <w:szCs w:val="16"/>
                </w:rPr>
                <m:t>γ Salario nominal</m:t>
              </m:r>
            </m:lim>
          </m:limLow>
          <m:r>
            <w:rPr>
              <w:rFonts w:ascii="Cambria Math" w:hAnsi="Cambria Math"/>
              <w:spacing w:val="-6"/>
              <w:szCs w:val="16"/>
            </w:rPr>
            <m:t>-</m:t>
          </m:r>
          <m:limLow>
            <m:limLowPr>
              <m:ctrlPr>
                <w:rPr>
                  <w:rFonts w:ascii="Cambria Math" w:hAnsi="Cambria Math"/>
                  <w:i/>
                  <w:iCs/>
                </w:rPr>
              </m:ctrlPr>
            </m:limLowPr>
            <m:e>
              <m:groupChr>
                <m:groupChrPr>
                  <m:ctrlPr>
                    <w:rPr>
                      <w:rFonts w:ascii="Cambria Math" w:hAnsi="Cambria Math"/>
                      <w:i/>
                      <w:iCs/>
                    </w:rPr>
                  </m:ctrlPr>
                </m:groupChrPr>
                <m:e>
                  <m:d>
                    <m:dPr>
                      <m:ctrlPr>
                        <w:rPr>
                          <w:rFonts w:ascii="Cambria Math" w:hAnsi="Cambria Math"/>
                          <w:i/>
                          <w:iCs/>
                        </w:rPr>
                      </m:ctrlPr>
                    </m:dPr>
                    <m:e>
                      <m:r>
                        <m:rPr>
                          <m:nor/>
                        </m:rPr>
                        <w:rPr>
                          <w:i/>
                          <w:spacing w:val="-6"/>
                          <w:szCs w:val="16"/>
                        </w:rPr>
                        <m:t xml:space="preserve">γ </m:t>
                      </m:r>
                      <m:sSub>
                        <m:sSubPr>
                          <m:ctrlPr>
                            <w:rPr>
                              <w:rFonts w:ascii="Cambria Math" w:hAnsi="Cambria Math"/>
                              <w:i/>
                              <w:spacing w:val="-6"/>
                              <w:szCs w:val="16"/>
                            </w:rPr>
                          </m:ctrlPr>
                        </m:sSubPr>
                        <m:e>
                          <m:r>
                            <m:rPr>
                              <m:nor/>
                            </m:rPr>
                            <w:rPr>
                              <w:i/>
                              <w:spacing w:val="-6"/>
                              <w:szCs w:val="16"/>
                            </w:rPr>
                            <m:t>PIB</m:t>
                          </m:r>
                        </m:e>
                        <m:sub>
                          <m:r>
                            <m:rPr>
                              <m:nor/>
                            </m:rPr>
                            <w:rPr>
                              <w:i/>
                              <w:spacing w:val="-6"/>
                              <w:szCs w:val="16"/>
                            </w:rPr>
                            <m:t>real</m:t>
                          </m:r>
                        </m:sub>
                      </m:sSub>
                      <m:r>
                        <w:rPr>
                          <w:rFonts w:ascii="Cambria Math" w:hAnsi="Cambria Math"/>
                          <w:spacing w:val="-6"/>
                          <w:szCs w:val="16"/>
                        </w:rPr>
                        <m:t>-</m:t>
                      </m:r>
                      <m:r>
                        <m:rPr>
                          <m:nor/>
                        </m:rPr>
                        <w:rPr>
                          <w:i/>
                          <w:spacing w:val="-6"/>
                          <w:szCs w:val="16"/>
                        </w:rPr>
                        <m:t>γ Empleo</m:t>
                      </m:r>
                    </m:e>
                  </m:d>
                </m:e>
              </m:groupChr>
            </m:e>
            <m:lim>
              <m:r>
                <m:rPr>
                  <m:nor/>
                </m:rPr>
                <w:rPr>
                  <w:i/>
                  <w:spacing w:val="-6"/>
                  <w:szCs w:val="16"/>
                </w:rPr>
                <m:t xml:space="preserve">γ </m:t>
              </m:r>
              <m:sSub>
                <m:sSubPr>
                  <m:ctrlPr>
                    <w:rPr>
                      <w:rFonts w:ascii="Cambria Math" w:hAnsi="Cambria Math"/>
                      <w:i/>
                    </w:rPr>
                  </m:ctrlPr>
                </m:sSubPr>
                <m:e>
                  <m:r>
                    <m:rPr>
                      <m:nor/>
                    </m:rPr>
                    <w:rPr>
                      <w:i/>
                    </w:rPr>
                    <m:t>PAT</m:t>
                  </m:r>
                </m:e>
                <m:sub>
                  <m:r>
                    <m:rPr>
                      <m:nor/>
                    </m:rPr>
                    <w:rPr>
                      <w:i/>
                      <w:spacing w:val="-6"/>
                      <w:szCs w:val="16"/>
                    </w:rPr>
                    <m:t>real</m:t>
                  </m:r>
                </m:sub>
              </m:sSub>
            </m:lim>
          </m:limLow>
        </m:oMath>
      </m:oMathPara>
    </w:p>
    <w:p w14:paraId="37705635" w14:textId="751F1A98" w:rsidR="00AC0DB4" w:rsidRPr="00025F23" w:rsidRDefault="007D3BB3" w:rsidP="00505189">
      <w:pPr>
        <w:keepNext/>
        <w:spacing w:after="0"/>
        <w:ind w:left="227"/>
      </w:pPr>
      <w:r w:rsidRPr="00025F23">
        <w:t>Como el CLU puede ser entendido como una compensación ajustada a la productividad, es un indicado</w:t>
      </w:r>
      <w:r w:rsidR="001644F4">
        <w:t>r</w:t>
      </w:r>
      <w:r w:rsidRPr="00025F23">
        <w:t xml:space="preserve"> importante de la competitividad de una economía. Además, como el trabajo es habitualmente el componente más cuantioso de los costes de producción, el CLU es un indicador importante de la tendencia de los costes de producción, los precios de las acciones y la inflación, ya que </w:t>
      </w:r>
      <w:proofErr w:type="spellStart"/>
      <w:r w:rsidRPr="00025F23">
        <w:rPr>
          <w:i/>
          <w:iCs/>
        </w:rPr>
        <w:t>ceteris</w:t>
      </w:r>
      <w:proofErr w:type="spellEnd"/>
      <w:r w:rsidRPr="00025F23">
        <w:rPr>
          <w:i/>
          <w:iCs/>
        </w:rPr>
        <w:t xml:space="preserve"> </w:t>
      </w:r>
      <w:proofErr w:type="spellStart"/>
      <w:r w:rsidRPr="00025F23">
        <w:rPr>
          <w:i/>
          <w:iCs/>
        </w:rPr>
        <w:t>paribus</w:t>
      </w:r>
      <w:proofErr w:type="spellEnd"/>
      <w:r w:rsidRPr="00025F23">
        <w:t>:</w:t>
      </w:r>
    </w:p>
    <w:p w14:paraId="7B9EB8E3" w14:textId="276551C3" w:rsidR="007D3BB3" w:rsidRPr="00025F23" w:rsidRDefault="003D0479" w:rsidP="00505189">
      <w:pPr>
        <w:pStyle w:val="Nmeroromano"/>
        <w:spacing w:after="0"/>
      </w:pPr>
      <w:r w:rsidRPr="00025F23">
        <w:t>Un aumento sostenido en el CLU causará un aumento en los costes totales de producción;</w:t>
      </w:r>
    </w:p>
    <w:p w14:paraId="74FE6959" w14:textId="16A5C89B" w:rsidR="003D0479" w:rsidRPr="00025F23" w:rsidRDefault="003D0479" w:rsidP="00505189">
      <w:pPr>
        <w:pStyle w:val="Nmeroromano"/>
        <w:spacing w:after="0"/>
      </w:pPr>
      <w:r w:rsidRPr="00025F23">
        <w:t xml:space="preserve">Un aumento en los costes de producción reducirá los beneficios, y si los efectos se extienden a lo largo de la economía se reflejará en una bajada de los precios </w:t>
      </w:r>
      <w:r w:rsidR="00C575DA" w:rsidRPr="00025F23">
        <w:t>de las acciones;</w:t>
      </w:r>
      <w:r w:rsidR="001644F4">
        <w:t xml:space="preserve"> y</w:t>
      </w:r>
    </w:p>
    <w:p w14:paraId="6B204FAB" w14:textId="54BDA418" w:rsidR="00C575DA" w:rsidRPr="00025F23" w:rsidRDefault="00C575DA" w:rsidP="003D0479">
      <w:pPr>
        <w:pStyle w:val="Nmeroromano"/>
      </w:pPr>
      <w:r w:rsidRPr="00025F23">
        <w:t>Las empresas que se enfrentan a un aumento en el CLU se verán presionadas a subir los precios, lo que puede causar un aumento de la inflación.</w:t>
      </w:r>
    </w:p>
    <w:p w14:paraId="0A4D01EA" w14:textId="402BD41F" w:rsidR="00C64861" w:rsidRPr="00025F23" w:rsidRDefault="00C64861" w:rsidP="009E5B28">
      <w:pPr>
        <w:keepNext/>
        <w:spacing w:after="0"/>
        <w:ind w:left="227"/>
      </w:pPr>
      <w:r w:rsidRPr="00025F23">
        <w:t>Otra manera de verlo sería en relación a la participación del trabajo en el nivel de producción:</w:t>
      </w:r>
    </w:p>
    <w:p w14:paraId="6C756CFF" w14:textId="05A72551" w:rsidR="00C64861" w:rsidRPr="00025F23" w:rsidRDefault="006220EE" w:rsidP="009E5B28">
      <w:pPr>
        <w:spacing w:after="0"/>
        <w:rPr>
          <w:rFonts w:eastAsiaTheme="minorEastAsia"/>
        </w:rPr>
      </w:pPr>
      <m:oMathPara>
        <m:oMath>
          <m:r>
            <w:rPr>
              <w:rFonts w:ascii="Cambria Math" w:eastAsiaTheme="minorEastAsia" w:hAnsi="Cambria Math"/>
            </w:rPr>
            <m:t xml:space="preserve"> </m:t>
          </m:r>
          <m:sSub>
            <m:sSubPr>
              <m:ctrlPr>
                <w:rPr>
                  <w:rFonts w:ascii="Cambria Math" w:hAnsi="Cambria Math"/>
                  <w:i/>
                </w:rPr>
              </m:ctrlPr>
            </m:sSubPr>
            <m:e>
              <m:r>
                <m:rPr>
                  <m:nor/>
                </m:rPr>
                <w:rPr>
                  <w:i/>
                </w:rPr>
                <m:t>CLU</m:t>
              </m:r>
            </m:e>
            <m:sub>
              <m:r>
                <m:rPr>
                  <m:nor/>
                </m:rPr>
                <w:rPr>
                  <w:i/>
                </w:rPr>
                <m:t>nominales</m:t>
              </m:r>
            </m:sub>
          </m:sSub>
          <m:r>
            <w:rPr>
              <w:rFonts w:ascii="Cambria Math" w:hAnsi="Cambria Math"/>
            </w:rPr>
            <m:t>=</m:t>
          </m:r>
          <m:f>
            <m:fPr>
              <m:ctrlPr>
                <w:rPr>
                  <w:rFonts w:ascii="Cambria Math" w:hAnsi="Cambria Math"/>
                  <w:i/>
                  <w:iCs/>
                </w:rPr>
              </m:ctrlPr>
            </m:fPr>
            <m:num>
              <m:r>
                <m:rPr>
                  <m:nor/>
                </m:rPr>
                <w:rPr>
                  <w:i/>
                </w:rPr>
                <m:t>W</m:t>
              </m:r>
              <m:r>
                <w:rPr>
                  <w:rFonts w:ascii="Cambria Math" w:hAnsi="Cambria Math"/>
                </w:rPr>
                <m:t>∙</m:t>
              </m:r>
              <m:r>
                <m:rPr>
                  <m:nor/>
                </m:rPr>
                <w:rPr>
                  <w:i/>
                  <w:iCs/>
                </w:rPr>
                <m:t>L</m:t>
              </m:r>
            </m:num>
            <m:den>
              <m:r>
                <m:rPr>
                  <m:nor/>
                </m:rPr>
                <w:rPr>
                  <w:i/>
                </w:rPr>
                <m:t>Y</m:t>
              </m:r>
            </m:den>
          </m:f>
          <m:r>
            <w:rPr>
              <w:rFonts w:ascii="Cambria Math" w:hAnsi="Cambria Math"/>
            </w:rPr>
            <m:t>=</m:t>
          </m:r>
          <m:r>
            <m:rPr>
              <m:nor/>
            </m:rPr>
            <w:rPr>
              <w:i/>
            </w:rPr>
            <m:t>P</m:t>
          </m:r>
          <m:r>
            <w:rPr>
              <w:rFonts w:ascii="Cambria Math" w:hAnsi="Cambria Math"/>
            </w:rPr>
            <m:t>∙</m:t>
          </m:r>
          <m:d>
            <m:dPr>
              <m:ctrlPr>
                <w:rPr>
                  <w:rFonts w:ascii="Cambria Math" w:hAnsi="Cambria Math"/>
                  <w:i/>
                </w:rPr>
              </m:ctrlPr>
            </m:dPr>
            <m:e>
              <m:f>
                <m:fPr>
                  <m:ctrlPr>
                    <w:rPr>
                      <w:rFonts w:ascii="Cambria Math" w:hAnsi="Cambria Math"/>
                      <w:i/>
                      <w:iCs/>
                    </w:rPr>
                  </m:ctrlPr>
                </m:fPr>
                <m:num>
                  <m:r>
                    <m:rPr>
                      <m:nor/>
                    </m:rPr>
                    <w:rPr>
                      <w:i/>
                    </w:rPr>
                    <m:t>W</m:t>
                  </m:r>
                  <m:r>
                    <w:rPr>
                      <w:rFonts w:ascii="Cambria Math" w:hAnsi="Cambria Math"/>
                    </w:rPr>
                    <m:t>∙</m:t>
                  </m:r>
                  <m:r>
                    <m:rPr>
                      <m:nor/>
                    </m:rPr>
                    <w:rPr>
                      <w:i/>
                      <w:iCs/>
                    </w:rPr>
                    <m:t>L</m:t>
                  </m:r>
                </m:num>
                <m:den>
                  <m:r>
                    <m:rPr>
                      <m:nor/>
                    </m:rPr>
                    <w:rPr>
                      <w:i/>
                    </w:rPr>
                    <m:t>P</m:t>
                  </m:r>
                  <m:r>
                    <w:rPr>
                      <w:rFonts w:ascii="Cambria Math" w:hAnsi="Cambria Math"/>
                    </w:rPr>
                    <m:t>∙</m:t>
                  </m:r>
                  <m:r>
                    <m:rPr>
                      <m:nor/>
                    </m:rPr>
                    <w:rPr>
                      <w:i/>
                    </w:rPr>
                    <m:t>Y</m:t>
                  </m:r>
                </m:den>
              </m:f>
            </m:e>
          </m:d>
          <m:r>
            <w:rPr>
              <w:rFonts w:ascii="Cambria Math" w:hAnsi="Cambria Math"/>
            </w:rPr>
            <m:t>=</m:t>
          </m:r>
          <m:r>
            <m:rPr>
              <m:nor/>
            </m:rPr>
            <w:rPr>
              <w:i/>
            </w:rPr>
            <m:t>P</m:t>
          </m:r>
          <m:r>
            <w:rPr>
              <w:rFonts w:ascii="Cambria Math" w:hAnsi="Cambria Math"/>
            </w:rPr>
            <m:t>∙</m:t>
          </m:r>
          <m:sSub>
            <m:sSubPr>
              <m:ctrlPr>
                <w:rPr>
                  <w:rFonts w:ascii="Cambria Math" w:hAnsi="Cambria Math"/>
                  <w:i/>
                </w:rPr>
              </m:ctrlPr>
            </m:sSubPr>
            <m:e>
              <m:r>
                <m:rPr>
                  <m:nor/>
                </m:rPr>
                <w:rPr>
                  <w:i/>
                  <w:iCs/>
                </w:rPr>
                <m:t>s</m:t>
              </m:r>
            </m:e>
            <m:sub>
              <m:r>
                <m:rPr>
                  <m:nor/>
                </m:rPr>
                <w:rPr>
                  <w:i/>
                  <w:iCs/>
                </w:rPr>
                <m:t>L</m:t>
              </m:r>
            </m:sub>
          </m:sSub>
        </m:oMath>
      </m:oMathPara>
    </w:p>
    <w:p w14:paraId="398045AB" w14:textId="5E9A29A7" w:rsidR="00C64861" w:rsidRPr="00025F23" w:rsidRDefault="00C64861" w:rsidP="00CE2F86">
      <w:pPr>
        <w:ind w:left="227"/>
        <w:rPr>
          <w:rFonts w:eastAsiaTheme="minorEastAsia"/>
        </w:rPr>
      </w:pPr>
      <w:r w:rsidRPr="00025F23">
        <w:rPr>
          <w:rFonts w:eastAsiaTheme="minorEastAsia"/>
        </w:rPr>
        <w:t xml:space="preserve">De esta forma, si la </w:t>
      </w:r>
      <w:r w:rsidR="00382492" w:rsidRPr="00025F23">
        <w:rPr>
          <w:rFonts w:eastAsiaTheme="minorEastAsia"/>
        </w:rPr>
        <w:t>participación</w:t>
      </w:r>
      <w:r w:rsidRPr="00025F23">
        <w:rPr>
          <w:rFonts w:eastAsiaTheme="minorEastAsia"/>
        </w:rPr>
        <w:t xml:space="preserve"> de los salarios en la renta total (</w:t>
      </w:r>
      <m:oMath>
        <m:sSub>
          <m:sSubPr>
            <m:ctrlPr>
              <w:rPr>
                <w:rFonts w:ascii="Cambria Math" w:hAnsi="Cambria Math"/>
                <w:i/>
              </w:rPr>
            </m:ctrlPr>
          </m:sSubPr>
          <m:e>
            <m:r>
              <m:rPr>
                <m:nor/>
              </m:rPr>
              <w:rPr>
                <w:i/>
                <w:iCs/>
              </w:rPr>
              <m:t>s</m:t>
            </m:r>
          </m:e>
          <m:sub>
            <m:r>
              <m:rPr>
                <m:nor/>
              </m:rPr>
              <w:rPr>
                <w:i/>
                <w:iCs/>
              </w:rPr>
              <m:t>L</m:t>
            </m:r>
          </m:sub>
        </m:sSub>
      </m:oMath>
      <w:r w:rsidRPr="00025F23">
        <w:rPr>
          <w:rFonts w:eastAsiaTheme="minorEastAsia"/>
        </w:rPr>
        <w:t>) aumenta, la proporción de los beneficios en la renta total (</w:t>
      </w:r>
      <m:oMath>
        <m:sSub>
          <m:sSubPr>
            <m:ctrlPr>
              <w:rPr>
                <w:rFonts w:ascii="Cambria Math" w:hAnsi="Cambria Math"/>
                <w:i/>
              </w:rPr>
            </m:ctrlPr>
          </m:sSubPr>
          <m:e>
            <m:r>
              <m:rPr>
                <m:nor/>
              </m:rPr>
              <w:rPr>
                <w:i/>
                <w:iCs/>
              </w:rPr>
              <m:t>s</m:t>
            </m:r>
          </m:e>
          <m:sub>
            <m:r>
              <m:rPr>
                <m:nor/>
              </m:rPr>
              <w:rPr>
                <w:i/>
                <w:iCs/>
              </w:rPr>
              <m:t>K</m:t>
            </m:r>
          </m:sub>
        </m:sSub>
      </m:oMath>
      <w:r w:rsidRPr="00025F23">
        <w:rPr>
          <w:rFonts w:eastAsiaTheme="minorEastAsia"/>
        </w:rPr>
        <w:t>) debe caer. Por lo tanto, un aumento en el CLU es comúnmente interpretado como una caída en la rentabilidad.</w:t>
      </w:r>
    </w:p>
    <w:p w14:paraId="5B3CCB0D" w14:textId="11C25033" w:rsidR="00CE2F86" w:rsidRPr="00025F23" w:rsidRDefault="00CE2F86" w:rsidP="00B44712">
      <w:pPr>
        <w:pStyle w:val="Nivel1"/>
        <w:numPr>
          <w:ilvl w:val="0"/>
          <w:numId w:val="0"/>
        </w:numPr>
        <w:ind w:left="227"/>
      </w:pPr>
      <w:r w:rsidRPr="00025F23">
        <w:t xml:space="preserve">La mayoría de las instituciones internacionales utilizan los </w:t>
      </w:r>
      <m:oMath>
        <m:sSub>
          <m:sSubPr>
            <m:ctrlPr>
              <w:rPr>
                <w:rFonts w:ascii="Cambria Math" w:hAnsi="Cambria Math"/>
                <w:i/>
              </w:rPr>
            </m:ctrlPr>
          </m:sSubPr>
          <m:e>
            <m:r>
              <m:rPr>
                <m:nor/>
              </m:rPr>
              <w:rPr>
                <w:i/>
              </w:rPr>
              <m:t>CLU</m:t>
            </m:r>
          </m:e>
          <m:sub>
            <m:r>
              <m:rPr>
                <m:nor/>
              </m:rPr>
              <w:rPr>
                <w:i/>
              </w:rPr>
              <m:t>nominales</m:t>
            </m:r>
          </m:sub>
        </m:sSub>
      </m:oMath>
      <w:r w:rsidRPr="00025F23">
        <w:t>, ya que permiten subrayar la relación entre aumentos de precios y aumentos de salarios y observar cambios relativos en la competitividad exterior de los países.</w:t>
      </w:r>
    </w:p>
    <w:p w14:paraId="719D9168" w14:textId="566D81BB" w:rsidR="00CE2F86" w:rsidRPr="00025F23" w:rsidRDefault="00CE2F86" w:rsidP="00E339F3">
      <w:pPr>
        <w:pStyle w:val="Nivel1"/>
        <w:keepNext/>
        <w:numPr>
          <w:ilvl w:val="0"/>
          <w:numId w:val="0"/>
        </w:numPr>
        <w:spacing w:after="0"/>
        <w:ind w:left="227"/>
      </w:pPr>
      <w:r w:rsidRPr="00025F23">
        <w:t xml:space="preserve">En concreto, el uso de </w:t>
      </w:r>
      <m:oMath>
        <m:sSub>
          <m:sSubPr>
            <m:ctrlPr>
              <w:rPr>
                <w:rFonts w:ascii="Cambria Math" w:hAnsi="Cambria Math"/>
                <w:i/>
              </w:rPr>
            </m:ctrlPr>
          </m:sSubPr>
          <m:e>
            <m:r>
              <m:rPr>
                <m:nor/>
              </m:rPr>
              <w:rPr>
                <w:i/>
              </w:rPr>
              <m:t>CLU</m:t>
            </m:r>
          </m:e>
          <m:sub>
            <m:r>
              <m:rPr>
                <m:nor/>
              </m:rPr>
              <w:rPr>
                <w:i/>
              </w:rPr>
              <m:t>nominales</m:t>
            </m:r>
          </m:sub>
        </m:sSub>
      </m:oMath>
      <w:r w:rsidRPr="00025F23">
        <w:rPr>
          <w:rFonts w:eastAsiaTheme="minorEastAsia"/>
        </w:rPr>
        <w:t xml:space="preserve"> permite saber si los </w:t>
      </w:r>
      <w:r w:rsidRPr="00025F23">
        <w:rPr>
          <w:rFonts w:eastAsiaTheme="minorEastAsia"/>
          <w:i/>
          <w:iCs w:val="0"/>
        </w:rPr>
        <w:t>CLU</w:t>
      </w:r>
      <w:r w:rsidRPr="00025F23">
        <w:rPr>
          <w:rFonts w:eastAsiaTheme="minorEastAsia"/>
        </w:rPr>
        <w:t xml:space="preserve"> siguen la misma evolución de los precios, o si:</w:t>
      </w:r>
    </w:p>
    <w:p w14:paraId="2A3E85BE" w14:textId="0F245E48" w:rsidR="00CE2F86" w:rsidRPr="008D4C91" w:rsidRDefault="00B44712" w:rsidP="008D4C91">
      <w:pPr>
        <w:pStyle w:val="Nivel3SM"/>
        <w:rPr>
          <w:spacing w:val="-3"/>
        </w:rPr>
      </w:pPr>
      <m:oMath>
        <m:r>
          <m:rPr>
            <m:nor/>
          </m:rPr>
          <w:rPr>
            <w:i/>
            <w:spacing w:val="-3"/>
            <w:szCs w:val="16"/>
          </w:rPr>
          <m:t xml:space="preserve">γ </m:t>
        </m:r>
        <m:sSub>
          <m:sSubPr>
            <m:ctrlPr>
              <w:rPr>
                <w:rFonts w:ascii="Cambria Math" w:hAnsi="Cambria Math"/>
                <w:i/>
                <w:spacing w:val="-3"/>
              </w:rPr>
            </m:ctrlPr>
          </m:sSubPr>
          <m:e>
            <m:r>
              <m:rPr>
                <m:nor/>
              </m:rPr>
              <w:rPr>
                <w:i/>
                <w:spacing w:val="-3"/>
              </w:rPr>
              <m:t>CLU</m:t>
            </m:r>
          </m:e>
          <m:sub>
            <m:r>
              <m:rPr>
                <m:nor/>
              </m:rPr>
              <w:rPr>
                <w:i/>
                <w:spacing w:val="-3"/>
              </w:rPr>
              <m:t>nominales</m:t>
            </m:r>
          </m:sub>
        </m:sSub>
        <m:r>
          <w:rPr>
            <w:rFonts w:ascii="Cambria Math" w:hAnsi="Cambria Math"/>
            <w:spacing w:val="-3"/>
          </w:rPr>
          <m:t>&gt;</m:t>
        </m:r>
        <m:r>
          <m:rPr>
            <m:nor/>
          </m:rPr>
          <w:rPr>
            <w:i/>
            <w:spacing w:val="-3"/>
          </w:rPr>
          <m:t>Inflación</m:t>
        </m:r>
      </m:oMath>
      <w:r w:rsidR="00CE2F86" w:rsidRPr="008D4C91">
        <w:rPr>
          <w:spacing w:val="-3"/>
        </w:rPr>
        <w:t xml:space="preserve"> (i.e. crecen los </w:t>
      </w:r>
      <m:oMath>
        <m:sSub>
          <m:sSubPr>
            <m:ctrlPr>
              <w:rPr>
                <w:rFonts w:ascii="Cambria Math" w:hAnsi="Cambria Math"/>
                <w:i/>
                <w:spacing w:val="-3"/>
              </w:rPr>
            </m:ctrlPr>
          </m:sSubPr>
          <m:e>
            <m:r>
              <m:rPr>
                <m:nor/>
              </m:rPr>
              <w:rPr>
                <w:i/>
                <w:spacing w:val="-3"/>
              </w:rPr>
              <m:t>CLU</m:t>
            </m:r>
          </m:e>
          <m:sub>
            <m:r>
              <m:rPr>
                <m:nor/>
              </m:rPr>
              <w:rPr>
                <w:i/>
                <w:spacing w:val="-3"/>
              </w:rPr>
              <m:t>reales</m:t>
            </m:r>
          </m:sub>
        </m:sSub>
      </m:oMath>
      <w:r w:rsidR="00CE2F86" w:rsidRPr="008D4C91">
        <w:rPr>
          <w:spacing w:val="-3"/>
        </w:rPr>
        <w:t xml:space="preserve">), </w:t>
      </w:r>
      <w:r w:rsidRPr="008D4C91">
        <w:rPr>
          <w:spacing w:val="-3"/>
        </w:rPr>
        <w:t>podemos hablar de una acumulación de crecimiento salarial no absorbido por aumentos de precios, lo que puede anticipar presiones inflacionistas.</w:t>
      </w:r>
    </w:p>
    <w:p w14:paraId="0141B23F" w14:textId="7CCABD73" w:rsidR="00B44712" w:rsidRPr="008D4C91" w:rsidRDefault="00B44712" w:rsidP="008D4C91">
      <w:pPr>
        <w:pStyle w:val="Nivel3SM"/>
        <w:rPr>
          <w:spacing w:val="-3"/>
        </w:rPr>
      </w:pPr>
      <m:oMath>
        <m:r>
          <m:rPr>
            <m:nor/>
          </m:rPr>
          <w:rPr>
            <w:i/>
            <w:spacing w:val="-3"/>
            <w:szCs w:val="16"/>
          </w:rPr>
          <m:t xml:space="preserve">γ </m:t>
        </m:r>
        <m:sSub>
          <m:sSubPr>
            <m:ctrlPr>
              <w:rPr>
                <w:rFonts w:ascii="Cambria Math" w:hAnsi="Cambria Math"/>
                <w:i/>
                <w:spacing w:val="-3"/>
              </w:rPr>
            </m:ctrlPr>
          </m:sSubPr>
          <m:e>
            <m:r>
              <m:rPr>
                <m:nor/>
              </m:rPr>
              <w:rPr>
                <w:i/>
                <w:spacing w:val="-3"/>
              </w:rPr>
              <m:t>CLU</m:t>
            </m:r>
          </m:e>
          <m:sub>
            <m:r>
              <m:rPr>
                <m:nor/>
              </m:rPr>
              <w:rPr>
                <w:i/>
                <w:spacing w:val="-3"/>
              </w:rPr>
              <m:t>nominales</m:t>
            </m:r>
          </m:sub>
        </m:sSub>
        <m:r>
          <w:rPr>
            <w:rFonts w:ascii="Cambria Math" w:hAnsi="Cambria Math"/>
            <w:spacing w:val="-3"/>
          </w:rPr>
          <m:t>&lt;</m:t>
        </m:r>
        <m:r>
          <m:rPr>
            <m:nor/>
          </m:rPr>
          <w:rPr>
            <w:i/>
            <w:spacing w:val="-3"/>
          </w:rPr>
          <m:t>Inflación</m:t>
        </m:r>
      </m:oMath>
      <w:r w:rsidRPr="008D4C91">
        <w:rPr>
          <w:spacing w:val="-3"/>
        </w:rPr>
        <w:t xml:space="preserve"> (i.e. caen los </w:t>
      </w:r>
      <m:oMath>
        <m:sSub>
          <m:sSubPr>
            <m:ctrlPr>
              <w:rPr>
                <w:rFonts w:ascii="Cambria Math" w:hAnsi="Cambria Math"/>
                <w:i/>
                <w:spacing w:val="-3"/>
              </w:rPr>
            </m:ctrlPr>
          </m:sSubPr>
          <m:e>
            <m:r>
              <m:rPr>
                <m:nor/>
              </m:rPr>
              <w:rPr>
                <w:i/>
                <w:spacing w:val="-3"/>
              </w:rPr>
              <m:t>CLU</m:t>
            </m:r>
          </m:e>
          <m:sub>
            <m:r>
              <m:rPr>
                <m:nor/>
              </m:rPr>
              <w:rPr>
                <w:i/>
                <w:spacing w:val="-3"/>
              </w:rPr>
              <m:t>reales</m:t>
            </m:r>
          </m:sub>
        </m:sSub>
      </m:oMath>
      <w:r w:rsidRPr="008D4C91">
        <w:rPr>
          <w:spacing w:val="-3"/>
        </w:rPr>
        <w:t>), entonces no se dan las condiciones para que se generen presiones inflacionistas.</w:t>
      </w:r>
    </w:p>
    <w:p w14:paraId="0BB8AD1E" w14:textId="5FD75596" w:rsidR="00B44712" w:rsidRPr="00025F23" w:rsidRDefault="00B44712" w:rsidP="00B44712">
      <w:pPr>
        <w:pStyle w:val="Nivel1"/>
        <w:numPr>
          <w:ilvl w:val="0"/>
          <w:numId w:val="0"/>
        </w:numPr>
        <w:ind w:left="227"/>
      </w:pPr>
      <w:r w:rsidRPr="00025F23">
        <w:t xml:space="preserve">Además, los CLU nominales permiten realizar comparaciones sobre la evolución de la competitividad-precio exterior de la economía, aunque </w:t>
      </w:r>
      <w:r w:rsidRPr="00025F23">
        <w:lastRenderedPageBreak/>
        <w:t>para esto es necesario disponer de la evolución de los CLU de los principales socios comerciales.</w:t>
      </w:r>
    </w:p>
    <w:p w14:paraId="78B3ACA4" w14:textId="6D426E51" w:rsidR="00B44712" w:rsidRPr="00025F23" w:rsidRDefault="00B44712" w:rsidP="00B44712">
      <w:pPr>
        <w:pStyle w:val="Nivel1"/>
        <w:keepNext/>
        <w:numPr>
          <w:ilvl w:val="0"/>
          <w:numId w:val="0"/>
        </w:numPr>
        <w:spacing w:after="0"/>
        <w:ind w:left="227"/>
      </w:pPr>
      <w:r w:rsidRPr="00025F23">
        <w:t xml:space="preserve">Así, por tanto, es conveniente calcular los </w:t>
      </w:r>
      <m:oMath>
        <m:sSub>
          <m:sSubPr>
            <m:ctrlPr>
              <w:rPr>
                <w:rFonts w:ascii="Cambria Math" w:hAnsi="Cambria Math"/>
                <w:i/>
              </w:rPr>
            </m:ctrlPr>
          </m:sSubPr>
          <m:e>
            <m:r>
              <m:rPr>
                <m:nor/>
              </m:rPr>
              <w:rPr>
                <w:i/>
              </w:rPr>
              <m:t>CLU</m:t>
            </m:r>
          </m:e>
          <m:sub>
            <m:r>
              <m:rPr>
                <m:nor/>
              </m:rPr>
              <w:rPr>
                <w:i/>
              </w:rPr>
              <m:t>nominales</m:t>
            </m:r>
          </m:sub>
        </m:sSub>
      </m:oMath>
      <w:r w:rsidRPr="00025F23">
        <w:rPr>
          <w:rFonts w:eastAsiaTheme="minorEastAsia"/>
        </w:rPr>
        <w:t>:</w:t>
      </w:r>
    </w:p>
    <w:p w14:paraId="66FD8C0F" w14:textId="0A6CF797" w:rsidR="00B44712" w:rsidRPr="00025F23" w:rsidRDefault="00B44712" w:rsidP="00B44712">
      <w:pPr>
        <w:pStyle w:val="Nivel2"/>
      </w:pPr>
      <w:r w:rsidRPr="00025F23">
        <w:t xml:space="preserve">Por un lado, para compararlos con la inflación, y así poder extraer conclusiones sobre presiones inflacionistas futuras (que lo serán por tanto en términos de los </w:t>
      </w:r>
      <m:oMath>
        <m:sSub>
          <m:sSubPr>
            <m:ctrlPr>
              <w:rPr>
                <w:rFonts w:ascii="Cambria Math" w:hAnsi="Cambria Math"/>
                <w:i/>
              </w:rPr>
            </m:ctrlPr>
          </m:sSubPr>
          <m:e>
            <m:r>
              <m:rPr>
                <m:nor/>
              </m:rPr>
              <w:rPr>
                <w:i/>
              </w:rPr>
              <m:t>CLU</m:t>
            </m:r>
          </m:e>
          <m:sub>
            <m:r>
              <m:rPr>
                <m:nor/>
              </m:rPr>
              <w:rPr>
                <w:i/>
              </w:rPr>
              <m:t>reales</m:t>
            </m:r>
          </m:sub>
        </m:sSub>
      </m:oMath>
      <w:r w:rsidRPr="00025F23">
        <w:t>).</w:t>
      </w:r>
    </w:p>
    <w:p w14:paraId="11631D92" w14:textId="231EB6D1" w:rsidR="00B44712" w:rsidRPr="00025F23" w:rsidRDefault="00B44712" w:rsidP="00B44712">
      <w:pPr>
        <w:pStyle w:val="Nivel2"/>
      </w:pPr>
      <w:r w:rsidRPr="00025F23">
        <w:t>Por otro lado, para realizar el análisis de la competitividad exterior, que, al calcular los tipos de cambio efecti</w:t>
      </w:r>
      <w:r w:rsidR="00B577D5" w:rsidRPr="00025F23">
        <w:t>v</w:t>
      </w:r>
      <w:r w:rsidRPr="00025F23">
        <w:t>o</w:t>
      </w:r>
      <w:r w:rsidR="00EA7BBA">
        <w:t>s</w:t>
      </w:r>
      <w:r w:rsidRPr="00025F23">
        <w:t xml:space="preserve"> reales en términos de CLU</w:t>
      </w:r>
      <w:r w:rsidR="00B577D5" w:rsidRPr="00025F23">
        <w:t>, variarán según c</w:t>
      </w:r>
      <w:r w:rsidR="00174906">
        <w:t>ó</w:t>
      </w:r>
      <w:r w:rsidR="00B577D5" w:rsidRPr="00025F23">
        <w:t>mo cambien los salarios nominales del país en relación con los salarios nominales extranjeros.</w:t>
      </w:r>
    </w:p>
    <w:p w14:paraId="0384551C" w14:textId="77777777" w:rsidR="00174906" w:rsidRDefault="00174906" w:rsidP="00174906">
      <w:pPr>
        <w:keepNext/>
        <w:spacing w:after="0"/>
        <w:ind w:left="227"/>
      </w:pPr>
      <w:r>
        <w:t>Un aumento de los costes laborales unitarios implicaría:</w:t>
      </w:r>
    </w:p>
    <w:p w14:paraId="39CBEF06" w14:textId="77777777" w:rsidR="00174906" w:rsidRDefault="00174906">
      <w:pPr>
        <w:pStyle w:val="Letra"/>
        <w:numPr>
          <w:ilvl w:val="0"/>
          <w:numId w:val="32"/>
        </w:numPr>
        <w:spacing w:after="0"/>
        <w:ind w:left="567" w:hanging="57"/>
      </w:pPr>
      <w:r>
        <w:t xml:space="preserve">Una evolución de los salarios que </w:t>
      </w:r>
      <w:r w:rsidRPr="00C20C1A">
        <w:rPr>
          <w:i/>
          <w:iCs w:val="0"/>
        </w:rPr>
        <w:t>no se corresponde</w:t>
      </w:r>
      <w:r>
        <w:t xml:space="preserve"> con la relativa a la productividad del trabajo, bien porque esa remuneración ha crecido más que la productividad, o porque esta última ha caído sin un reflejo equivalente en los salarios.</w:t>
      </w:r>
    </w:p>
    <w:p w14:paraId="5E7CD026" w14:textId="28D3F2C1" w:rsidR="00174906" w:rsidRDefault="00174906">
      <w:pPr>
        <w:pStyle w:val="Letra"/>
        <w:numPr>
          <w:ilvl w:val="0"/>
          <w:numId w:val="32"/>
        </w:numPr>
        <w:spacing w:after="0"/>
        <w:ind w:left="567" w:hanging="57"/>
      </w:pPr>
      <w:r>
        <w:t xml:space="preserve">Un encarecimiento del factor trabajo respecto al factor capital que en el medio plazo se traducirá en la </w:t>
      </w:r>
      <w:r w:rsidRPr="00C20C1A">
        <w:rPr>
          <w:i/>
          <w:iCs w:val="0"/>
        </w:rPr>
        <w:t>sustitución</w:t>
      </w:r>
      <w:r>
        <w:t xml:space="preserve"> efectiva del mismo, reduciendo la tasa de empleo </w:t>
      </w:r>
      <w:r w:rsidR="00C20C1A">
        <w:t xml:space="preserve">e </w:t>
      </w:r>
      <w:r>
        <w:t>incrementando el paro.</w:t>
      </w:r>
    </w:p>
    <w:p w14:paraId="617BECF9" w14:textId="61BF46F6" w:rsidR="00174906" w:rsidRPr="00C20C1A" w:rsidRDefault="00174906">
      <w:pPr>
        <w:pStyle w:val="Letra"/>
        <w:numPr>
          <w:ilvl w:val="0"/>
          <w:numId w:val="32"/>
        </w:numPr>
        <w:ind w:left="567" w:hanging="57"/>
        <w:rPr>
          <w:spacing w:val="-1"/>
        </w:rPr>
      </w:pPr>
      <w:r w:rsidRPr="00C20C1A">
        <w:rPr>
          <w:i/>
          <w:iCs w:val="0"/>
          <w:spacing w:val="-1"/>
        </w:rPr>
        <w:t>Riesgos inflacionistas</w:t>
      </w:r>
      <w:r w:rsidRPr="00C20C1A">
        <w:rPr>
          <w:spacing w:val="-1"/>
        </w:rPr>
        <w:t xml:space="preserve">, al incrementar los costes e inducir a </w:t>
      </w:r>
      <w:r w:rsidR="00C20C1A" w:rsidRPr="00C20C1A">
        <w:rPr>
          <w:spacing w:val="-1"/>
        </w:rPr>
        <w:t>subida</w:t>
      </w:r>
      <w:r w:rsidRPr="00C20C1A">
        <w:rPr>
          <w:spacing w:val="-1"/>
        </w:rPr>
        <w:t>s de precios para mantener los márgenes de beneficio empresariales.</w:t>
      </w:r>
    </w:p>
    <w:p w14:paraId="431BAB3B" w14:textId="0FE50EF8" w:rsidR="00CE2F86" w:rsidRPr="00025F23" w:rsidRDefault="00B577D5" w:rsidP="00CE2F86">
      <w:pPr>
        <w:pStyle w:val="Nivel1"/>
      </w:pPr>
      <w:r w:rsidRPr="00025F23">
        <w:t xml:space="preserve">Por su parte, los </w:t>
      </w:r>
      <m:oMath>
        <m:sSub>
          <m:sSubPr>
            <m:ctrlPr>
              <w:rPr>
                <w:rFonts w:ascii="Cambria Math" w:hAnsi="Cambria Math"/>
                <w:i/>
              </w:rPr>
            </m:ctrlPr>
          </m:sSubPr>
          <m:e>
            <m:r>
              <m:rPr>
                <m:nor/>
              </m:rPr>
              <w:rPr>
                <w:i/>
              </w:rPr>
              <m:t>CLU</m:t>
            </m:r>
          </m:e>
          <m:sub>
            <m:r>
              <m:rPr>
                <m:nor/>
              </m:rPr>
              <w:rPr>
                <w:i/>
              </w:rPr>
              <m:t>reales</m:t>
            </m:r>
          </m:sub>
        </m:sSub>
      </m:oMath>
      <w:r w:rsidRPr="00025F23">
        <w:rPr>
          <w:rFonts w:eastAsiaTheme="minorEastAsia"/>
        </w:rPr>
        <w:t xml:space="preserve"> calculados deflactando el salario nominal con el deflactor del PIB, son más relevantes como determinantes de la evolución del empleo y el desempleo</w:t>
      </w:r>
      <w:r w:rsidR="002F608C" w:rsidRPr="00025F23">
        <w:rPr>
          <w:rStyle w:val="Refdenotaalpie"/>
          <w:rFonts w:eastAsiaTheme="minorEastAsia"/>
        </w:rPr>
        <w:footnoteReference w:id="25"/>
      </w:r>
      <w:r w:rsidRPr="00025F23">
        <w:rPr>
          <w:rFonts w:eastAsiaTheme="minorEastAsia"/>
        </w:rPr>
        <w:t>.</w:t>
      </w:r>
    </w:p>
    <w:p w14:paraId="07BA3166" w14:textId="6E95D66B" w:rsidR="00B6316F" w:rsidRPr="00025F23" w:rsidRDefault="00B6316F" w:rsidP="00AD1AFB">
      <w:pPr>
        <w:pStyle w:val="Ttulo3"/>
      </w:pPr>
      <w:bookmarkStart w:id="156" w:name="_Toc88565994"/>
      <w:bookmarkStart w:id="157" w:name="_Toc88566134"/>
      <w:bookmarkStart w:id="158" w:name="_Toc173446300"/>
      <w:bookmarkStart w:id="159" w:name="_Toc189085793"/>
      <w:r w:rsidRPr="00025F23">
        <w:t>Análisis del mercado de trabajo</w:t>
      </w:r>
      <w:bookmarkEnd w:id="156"/>
      <w:bookmarkEnd w:id="157"/>
      <w:bookmarkEnd w:id="158"/>
      <w:bookmarkEnd w:id="159"/>
    </w:p>
    <w:p w14:paraId="2D7B97A2" w14:textId="79F6FC81" w:rsidR="00B00030" w:rsidRPr="00025F23" w:rsidRDefault="00360D96" w:rsidP="00360D96">
      <w:pPr>
        <w:pStyle w:val="Desarrollocoyuntura"/>
      </w:pPr>
      <w:bookmarkStart w:id="160" w:name="_Toc173446301"/>
      <w:r w:rsidRPr="00025F23">
        <w:t>“</w:t>
      </w:r>
      <w:r w:rsidR="00B00030" w:rsidRPr="00025F23">
        <w:t>El mercado laboral muestra un comportamiento marcadamente procíclico: el desempleo se reduce fuertemente según se alcanza en la fase alcista, y los salarios reales crecen de manera acelerada (posiblemente señalando un alto grado de tensión en el mercado de trabajo, ello corroborado por un output gap positivo al final de la serie).</w:t>
      </w:r>
      <w:r w:rsidR="00052176" w:rsidRPr="00025F23">
        <w:t>”</w:t>
      </w:r>
      <w:bookmarkEnd w:id="160"/>
    </w:p>
    <w:p w14:paraId="1341CF9C" w14:textId="0660ECF1" w:rsidR="00052176" w:rsidRPr="00025F23" w:rsidRDefault="00052176" w:rsidP="00360D96">
      <w:pPr>
        <w:pStyle w:val="Desarrollocoyuntura"/>
      </w:pPr>
      <w:bookmarkStart w:id="161" w:name="_Toc173446302"/>
      <w:r w:rsidRPr="00025F23">
        <w:t xml:space="preserve">“Así, el incremento de la PAT </w:t>
      </w:r>
      <w:r w:rsidRPr="00025F23">
        <w:rPr>
          <w:spacing w:val="-1"/>
        </w:rPr>
        <w:t>podría</w:t>
      </w:r>
      <w:r w:rsidRPr="00025F23">
        <w:t xml:space="preserve"> estar guiando el aumento de la demanda de trabajo y el aumento de los salarios reales guiaría el de la oferta</w:t>
      </w:r>
      <w:r w:rsidR="003121A2" w:rsidRPr="00025F23">
        <w:t>.</w:t>
      </w:r>
      <w:r w:rsidRPr="00025F23">
        <w:t>”</w:t>
      </w:r>
      <w:bookmarkEnd w:id="161"/>
    </w:p>
    <w:p w14:paraId="054FADC0" w14:textId="534F8A5B" w:rsidR="00360D96" w:rsidRPr="00025F23" w:rsidRDefault="00360D96" w:rsidP="00360D96">
      <w:pPr>
        <w:pStyle w:val="Desarrollocoyuntura"/>
      </w:pPr>
      <w:bookmarkStart w:id="162" w:name="_Toc173446303"/>
      <w:r w:rsidRPr="00025F23">
        <w:t>La demanda de empleo se podría aproximar (salvando los problemas de endogeneidad) a través del número de horas trabajadas: cae en los primeros años de crisis económica, crece tímidamente en los años posteriores, se derrumba en el año de la pandemia y se recupera fuertemente después.”</w:t>
      </w:r>
      <w:bookmarkEnd w:id="162"/>
    </w:p>
    <w:p w14:paraId="38B6B0A5" w14:textId="256C8CAA" w:rsidR="00360D96" w:rsidRPr="00025F23" w:rsidRDefault="00360D96" w:rsidP="00360D96">
      <w:pPr>
        <w:pStyle w:val="Desarrollocoyuntura"/>
      </w:pPr>
      <w:bookmarkStart w:id="163" w:name="_Toc173446304"/>
      <w:r w:rsidRPr="00025F23">
        <w:t xml:space="preserve">“De entre los posibles factores detrás de esta evolución resulta difícil identificar un único elemento determinante. El crecimiento de la actividad económica, representada por el PIB real, </w:t>
      </w:r>
      <w:r w:rsidRPr="00025F23">
        <w:rPr>
          <w:spacing w:val="-1"/>
        </w:rPr>
        <w:t>parece correlacionar</w:t>
      </w:r>
      <w:r w:rsidRPr="00025F23">
        <w:t xml:space="preserve"> bien con la creación de empleo en términos de horas trabajadas, como era de esperar. También el crecimiento de las exportaciones coincide </w:t>
      </w:r>
      <w:r w:rsidRPr="00025F23">
        <w:rPr>
          <w:spacing w:val="-1"/>
        </w:rPr>
        <w:t>en cierta manera</w:t>
      </w:r>
      <w:r w:rsidRPr="00025F23">
        <w:t xml:space="preserve"> con la creación de empleo, lo que </w:t>
      </w:r>
      <w:r w:rsidRPr="00025F23">
        <w:rPr>
          <w:spacing w:val="-1"/>
        </w:rPr>
        <w:t>podría estar mostrando</w:t>
      </w:r>
      <w:r w:rsidRPr="00025F23">
        <w:t xml:space="preserve"> una economía con vocación exportadora. Ni el crecimiento de los Costes Laborales Unitarios por hora trabajada, ni el de los márgenes empresariales (aproximados como la diferencia entre el deflactor del PIB y de los Costes Laborales Unitarios) </w:t>
      </w:r>
      <w:r w:rsidRPr="00025F23">
        <w:rPr>
          <w:spacing w:val="-1"/>
        </w:rPr>
        <w:t>parecen explicar</w:t>
      </w:r>
      <w:r w:rsidRPr="00025F23">
        <w:t xml:space="preserve"> a simple vista la dinámica de creación de empleo, aunque el persistente crecimiento de los Costes Laborales unitarios y la crónica caída de los márgenes empresariales durante toda la serie </w:t>
      </w:r>
      <w:r w:rsidRPr="00025F23">
        <w:rPr>
          <w:spacing w:val="-1"/>
        </w:rPr>
        <w:t>podrían</w:t>
      </w:r>
      <w:r w:rsidRPr="00025F23">
        <w:t xml:space="preserve"> estar detrás de las tímidas tasas de creación de empleo de esta economía.”</w:t>
      </w:r>
      <w:bookmarkEnd w:id="163"/>
    </w:p>
    <w:p w14:paraId="505D13DF" w14:textId="2B7FBD92" w:rsidR="00360D96" w:rsidRPr="00025F23" w:rsidRDefault="00360D96" w:rsidP="00360D96">
      <w:pPr>
        <w:pStyle w:val="Desarrollocoyuntura"/>
      </w:pPr>
      <w:bookmarkStart w:id="164" w:name="_Toc173446305"/>
      <w:r w:rsidRPr="00025F23">
        <w:t>“Llama la atención el persistente alto desempleo de esta economía, cuyo registro más bajo en toda la serie es 10</w:t>
      </w:r>
      <w:r w:rsidR="0061676E">
        <w:t> </w:t>
      </w:r>
      <w:r w:rsidRPr="00025F23">
        <w:t xml:space="preserve">% en 20xx. Los factores explicativos de esta falta de dinamismo </w:t>
      </w:r>
      <w:r w:rsidRPr="00025F23">
        <w:rPr>
          <w:spacing w:val="-1"/>
        </w:rPr>
        <w:t>podrían</w:t>
      </w:r>
      <w:r w:rsidRPr="00025F23">
        <w:t xml:space="preserve"> ser múltiples: el crecimiento persistente de los salarios por encima de la productividad, la caída continua de la rentabilidad empresarial o posibles factores institucionales que limiten la flexibilidad del mercado de trabajo (por ejemplo indexación de salarios, elevados costes de contratación y despido, dualidad laboral, etc.)</w:t>
      </w:r>
      <w:r w:rsidR="009775AB" w:rsidRPr="00025F23">
        <w:t>.</w:t>
      </w:r>
      <w:r w:rsidRPr="00025F23">
        <w:t>”</w:t>
      </w:r>
      <w:bookmarkEnd w:id="164"/>
    </w:p>
    <w:p w14:paraId="22D096BD" w14:textId="567902B2" w:rsidR="009775AB" w:rsidRPr="00025F23" w:rsidRDefault="009775AB" w:rsidP="00360D96">
      <w:pPr>
        <w:pStyle w:val="Desarrollocoyuntura"/>
      </w:pPr>
      <w:bookmarkStart w:id="165" w:name="_Toc173446306"/>
      <w:r w:rsidRPr="00025F23">
        <w:t xml:space="preserve">“Por último, se observa que los indicadores de empleo y paro no se hundieron en el año de la pandemia. Esto </w:t>
      </w:r>
      <w:r w:rsidRPr="00025F23">
        <w:rPr>
          <w:spacing w:val="-1"/>
        </w:rPr>
        <w:t>podría deberse a</w:t>
      </w:r>
      <w:r w:rsidRPr="00025F23">
        <w:t xml:space="preserve"> varios factores no directamente contrastables en el cuadro macro ofrecido: i)</w:t>
      </w:r>
      <w:r w:rsidR="001644F4">
        <w:t> </w:t>
      </w:r>
      <w:r w:rsidRPr="00025F23">
        <w:t xml:space="preserve">efecto amortiguador de los esquemas de protección de rentas que habitualmente se han puesto en marcha durante la pandemia; </w:t>
      </w:r>
      <w:proofErr w:type="spellStart"/>
      <w:r w:rsidRPr="00025F23">
        <w:t>ii</w:t>
      </w:r>
      <w:proofErr w:type="spellEnd"/>
      <w:r w:rsidRPr="00025F23">
        <w:t>)</w:t>
      </w:r>
      <w:r w:rsidR="001644F4">
        <w:t> </w:t>
      </w:r>
      <w:r w:rsidRPr="00025F23">
        <w:t xml:space="preserve">efecto estadístico de que estas métricas no descuentan a los trabajadores acogidos a estos esquemas de protección; y </w:t>
      </w:r>
      <w:proofErr w:type="spellStart"/>
      <w:r w:rsidRPr="00025F23">
        <w:t>iii</w:t>
      </w:r>
      <w:proofErr w:type="spellEnd"/>
      <w:r w:rsidRPr="00025F23">
        <w:t>)</w:t>
      </w:r>
      <w:r w:rsidR="001644F4">
        <w:t> </w:t>
      </w:r>
      <w:r w:rsidRPr="00025F23">
        <w:t>posible aumento del empleo público (especialmente en sanidad y educación) para hacer frente a las necesidades especiales derivadas de la pandemia.”</w:t>
      </w:r>
      <w:bookmarkEnd w:id="165"/>
    </w:p>
    <w:p w14:paraId="0C392B13" w14:textId="03D6BD55" w:rsidR="00B6316F" w:rsidRPr="00025F23" w:rsidRDefault="00B6316F" w:rsidP="00CC7158">
      <w:pPr>
        <w:pStyle w:val="Letramayscula"/>
        <w:ind w:left="369" w:hanging="227"/>
        <w:rPr>
          <w:sz w:val="24"/>
          <w:szCs w:val="24"/>
        </w:rPr>
      </w:pPr>
      <w:r w:rsidRPr="00025F23">
        <w:t>Análisis de nivel</w:t>
      </w:r>
      <w:r w:rsidR="00CC7158" w:rsidRPr="00025F23">
        <w:t xml:space="preserve"> de desempleo</w:t>
      </w:r>
      <w:r w:rsidRPr="00025F23">
        <w:rPr>
          <w:i w:val="0"/>
          <w:iCs w:val="0"/>
          <w:u w:val="none"/>
        </w:rPr>
        <w:t>:</w:t>
      </w:r>
      <w:r w:rsidR="00011C67" w:rsidRPr="00025F23">
        <w:rPr>
          <w:i w:val="0"/>
          <w:iCs w:val="0"/>
          <w:u w:val="none"/>
        </w:rPr>
        <w:t xml:space="preserve"> Por ejemplo, desempleo</w:t>
      </w:r>
      <w:r w:rsidR="009D590C" w:rsidRPr="00025F23">
        <w:rPr>
          <w:i w:val="0"/>
          <w:iCs w:val="0"/>
          <w:u w:val="none"/>
        </w:rPr>
        <w:t>s</w:t>
      </w:r>
      <w:r w:rsidR="00011C67" w:rsidRPr="00025F23">
        <w:rPr>
          <w:i w:val="0"/>
          <w:iCs w:val="0"/>
          <w:u w:val="none"/>
        </w:rPr>
        <w:t xml:space="preserve"> de</w:t>
      </w:r>
      <w:r w:rsidR="009D590C" w:rsidRPr="00025F23">
        <w:rPr>
          <w:i w:val="0"/>
          <w:iCs w:val="0"/>
          <w:u w:val="none"/>
        </w:rPr>
        <w:t xml:space="preserve"> aproximadamente</w:t>
      </w:r>
      <w:r w:rsidR="00011C67" w:rsidRPr="00025F23">
        <w:rPr>
          <w:i w:val="0"/>
          <w:iCs w:val="0"/>
          <w:u w:val="none"/>
        </w:rPr>
        <w:t xml:space="preserve"> </w:t>
      </w:r>
      <w:r w:rsidR="009D590C" w:rsidRPr="00025F23">
        <w:rPr>
          <w:i w:val="0"/>
          <w:iCs w:val="0"/>
          <w:u w:val="none"/>
        </w:rPr>
        <w:t>3</w:t>
      </w:r>
      <w:r w:rsidR="00D002E0" w:rsidRPr="00025F23">
        <w:rPr>
          <w:i w:val="0"/>
          <w:iCs w:val="0"/>
          <w:u w:val="none"/>
        </w:rPr>
        <w:t> </w:t>
      </w:r>
      <w:r w:rsidR="009D590C" w:rsidRPr="00025F23">
        <w:rPr>
          <w:i w:val="0"/>
          <w:iCs w:val="0"/>
          <w:u w:val="none"/>
        </w:rPr>
        <w:t>%-6</w:t>
      </w:r>
      <w:r w:rsidR="00D002E0" w:rsidRPr="00025F23">
        <w:rPr>
          <w:i w:val="0"/>
          <w:iCs w:val="0"/>
          <w:u w:val="none"/>
        </w:rPr>
        <w:t> </w:t>
      </w:r>
      <w:r w:rsidR="00011C67" w:rsidRPr="00025F23">
        <w:rPr>
          <w:i w:val="0"/>
          <w:iCs w:val="0"/>
          <w:u w:val="none"/>
        </w:rPr>
        <w:t>% podría</w:t>
      </w:r>
      <w:r w:rsidR="009D590C" w:rsidRPr="00025F23">
        <w:rPr>
          <w:i w:val="0"/>
          <w:iCs w:val="0"/>
          <w:u w:val="none"/>
        </w:rPr>
        <w:t>n ser</w:t>
      </w:r>
      <w:r w:rsidR="00011C67" w:rsidRPr="00025F23">
        <w:rPr>
          <w:i w:val="0"/>
          <w:iCs w:val="0"/>
          <w:u w:val="none"/>
        </w:rPr>
        <w:t xml:space="preserve"> considera</w:t>
      </w:r>
      <w:r w:rsidR="009D590C" w:rsidRPr="00025F23">
        <w:rPr>
          <w:i w:val="0"/>
          <w:iCs w:val="0"/>
          <w:u w:val="none"/>
        </w:rPr>
        <w:t>dos</w:t>
      </w:r>
      <w:r w:rsidR="00011C67" w:rsidRPr="00025F23">
        <w:rPr>
          <w:i w:val="0"/>
          <w:iCs w:val="0"/>
          <w:u w:val="none"/>
        </w:rPr>
        <w:t xml:space="preserve"> pleno empleo</w:t>
      </w:r>
      <w:r w:rsidR="001A427E" w:rsidRPr="00025F23">
        <w:rPr>
          <w:i w:val="0"/>
          <w:iCs w:val="0"/>
          <w:u w:val="none"/>
        </w:rPr>
        <w:t xml:space="preserve"> </w:t>
      </w:r>
      <w:r w:rsidR="009D590C" w:rsidRPr="00025F23">
        <w:rPr>
          <w:i w:val="0"/>
          <w:iCs w:val="0"/>
          <w:u w:val="none"/>
        </w:rPr>
        <w:t>en algunas economías desarrolladas</w:t>
      </w:r>
      <w:r w:rsidR="001A427E" w:rsidRPr="00025F23">
        <w:rPr>
          <w:rStyle w:val="Refdenotaalpie"/>
          <w:i w:val="0"/>
          <w:iCs w:val="0"/>
        </w:rPr>
        <w:footnoteReference w:id="26"/>
      </w:r>
      <w:r w:rsidR="000548FB" w:rsidRPr="00025F23">
        <w:rPr>
          <w:i w:val="0"/>
          <w:iCs w:val="0"/>
          <w:u w:val="none"/>
        </w:rPr>
        <w:t>.</w:t>
      </w:r>
    </w:p>
    <w:p w14:paraId="0A68F6DE" w14:textId="77777777" w:rsidR="00B814C1" w:rsidRPr="00025F23" w:rsidRDefault="00011C67" w:rsidP="009C57C8">
      <w:pPr>
        <w:pStyle w:val="Prrafodelista"/>
        <w:keepNext/>
        <w:numPr>
          <w:ilvl w:val="0"/>
          <w:numId w:val="6"/>
        </w:numPr>
        <w:spacing w:after="0"/>
        <w:ind w:left="369" w:hanging="227"/>
      </w:pPr>
      <w:r w:rsidRPr="00025F23">
        <w:rPr>
          <w:i/>
          <w:iCs/>
          <w:szCs w:val="16"/>
          <w:u w:val="single"/>
        </w:rPr>
        <w:t>Análisis de la evolución cíclica y de la volatilidad</w:t>
      </w:r>
      <w:r w:rsidRPr="00025F23">
        <w:rPr>
          <w:szCs w:val="16"/>
        </w:rPr>
        <w:t>:</w:t>
      </w:r>
    </w:p>
    <w:p w14:paraId="50A99573" w14:textId="71AADC2C" w:rsidR="00011C67" w:rsidRPr="00025F23" w:rsidRDefault="002F49CB" w:rsidP="00B814C1">
      <w:pPr>
        <w:pStyle w:val="Prrafodelista"/>
        <w:numPr>
          <w:ilvl w:val="1"/>
          <w:numId w:val="6"/>
        </w:numPr>
        <w:ind w:left="538" w:hanging="113"/>
      </w:pPr>
      <w:r w:rsidRPr="00025F23">
        <w:rPr>
          <w:szCs w:val="16"/>
        </w:rPr>
        <w:t>Analizar la tasa de crecimiento de la economía a partir de la cual disminuye el desempleo (aunque esta relación no suele ser lineal ni constante en el tiempo).</w:t>
      </w:r>
    </w:p>
    <w:p w14:paraId="42CD6D2F" w14:textId="32B3EBFB" w:rsidR="00B814C1" w:rsidRPr="00025F23" w:rsidRDefault="00B814C1" w:rsidP="00B814C1">
      <w:pPr>
        <w:pStyle w:val="Prrafodelista"/>
        <w:keepNext/>
        <w:numPr>
          <w:ilvl w:val="1"/>
          <w:numId w:val="6"/>
        </w:numPr>
        <w:spacing w:after="0"/>
        <w:ind w:left="538" w:hanging="113"/>
      </w:pPr>
      <w:r w:rsidRPr="00025F23">
        <w:rPr>
          <w:szCs w:val="16"/>
        </w:rPr>
        <w:t>Hay diferentes tipos de desempleo en función de la causa que los genera</w:t>
      </w:r>
      <w:r w:rsidR="00A43C9C">
        <w:rPr>
          <w:rStyle w:val="Refdenotaalpie"/>
          <w:szCs w:val="16"/>
        </w:rPr>
        <w:footnoteReference w:id="27"/>
      </w:r>
      <w:r w:rsidRPr="00025F23">
        <w:rPr>
          <w:szCs w:val="16"/>
        </w:rPr>
        <w:t>:</w:t>
      </w:r>
    </w:p>
    <w:p w14:paraId="1BBFF771" w14:textId="1C470BD4" w:rsidR="00CE6897" w:rsidRPr="00025F23" w:rsidRDefault="00B814C1" w:rsidP="00B814C1">
      <w:pPr>
        <w:pStyle w:val="Prrafodelista"/>
        <w:numPr>
          <w:ilvl w:val="2"/>
          <w:numId w:val="6"/>
        </w:numPr>
        <w:ind w:left="822" w:hanging="113"/>
      </w:pPr>
      <w:r w:rsidRPr="00025F23">
        <w:rPr>
          <w:i/>
          <w:iCs/>
        </w:rPr>
        <w:t>Clásico</w:t>
      </w:r>
      <w:r w:rsidRPr="00025F23">
        <w:t>: Salarios reales demasiado altos (por rigideces como salarios mínimos, poder de mercado de sindicatos, etc.)</w:t>
      </w:r>
      <w:r w:rsidR="008D4C91">
        <w:t>.</w:t>
      </w:r>
    </w:p>
    <w:p w14:paraId="5508B8D5" w14:textId="2EB2CD46" w:rsidR="00B814C1" w:rsidRPr="00025F23" w:rsidRDefault="00B814C1" w:rsidP="00B814C1">
      <w:pPr>
        <w:pStyle w:val="Prrafodelista"/>
        <w:numPr>
          <w:ilvl w:val="2"/>
          <w:numId w:val="6"/>
        </w:numPr>
        <w:ind w:left="822" w:hanging="113"/>
      </w:pPr>
      <w:r w:rsidRPr="00025F23">
        <w:rPr>
          <w:i/>
          <w:iCs/>
        </w:rPr>
        <w:t>Keynesiano</w:t>
      </w:r>
      <w:r w:rsidRPr="00025F23">
        <w:t>: Insuficiente demanda agregada.</w:t>
      </w:r>
    </w:p>
    <w:p w14:paraId="1C79CAA7" w14:textId="08DDD259" w:rsidR="00B814C1" w:rsidRPr="00025F23" w:rsidRDefault="00B814C1" w:rsidP="00B814C1">
      <w:pPr>
        <w:pStyle w:val="Prrafodelista"/>
        <w:numPr>
          <w:ilvl w:val="2"/>
          <w:numId w:val="6"/>
        </w:numPr>
        <w:ind w:left="822" w:hanging="113"/>
      </w:pPr>
      <w:r w:rsidRPr="00025F23">
        <w:rPr>
          <w:i/>
          <w:iCs/>
        </w:rPr>
        <w:t>Friccional</w:t>
      </w:r>
      <w:r w:rsidRPr="00025F23">
        <w:t>: Procesos de búsqueda.</w:t>
      </w:r>
    </w:p>
    <w:p w14:paraId="5EF0C9F0" w14:textId="1A91ECB7" w:rsidR="00B814C1" w:rsidRPr="00025F23" w:rsidRDefault="00B814C1" w:rsidP="00B814C1">
      <w:pPr>
        <w:pStyle w:val="Prrafodelista"/>
        <w:numPr>
          <w:ilvl w:val="2"/>
          <w:numId w:val="6"/>
        </w:numPr>
        <w:ind w:left="822" w:hanging="113"/>
      </w:pPr>
      <w:r w:rsidRPr="00025F23">
        <w:rPr>
          <w:i/>
          <w:iCs/>
        </w:rPr>
        <w:t>De larga duración</w:t>
      </w:r>
      <w:r w:rsidRPr="00025F23">
        <w:t>: Es una de las causas de histéresis.</w:t>
      </w:r>
    </w:p>
    <w:p w14:paraId="6B32E4B8" w14:textId="680EDB85" w:rsidR="00B814C1" w:rsidRPr="00025F23" w:rsidRDefault="00B814C1" w:rsidP="00B814C1">
      <w:pPr>
        <w:pStyle w:val="Prrafodelista"/>
        <w:numPr>
          <w:ilvl w:val="1"/>
          <w:numId w:val="6"/>
        </w:numPr>
        <w:ind w:left="538" w:hanging="113"/>
      </w:pPr>
      <w:r w:rsidRPr="00025F23">
        <w:t xml:space="preserve">Una </w:t>
      </w:r>
      <w:r w:rsidRPr="00025F23">
        <w:rPr>
          <w:b/>
          <w:bCs/>
        </w:rPr>
        <w:t>disminución de la población activa</w:t>
      </w:r>
      <w:r w:rsidRPr="00025F23">
        <w:t xml:space="preserve"> (p.ej. emigración de los desempleados) lleva consigo, </w:t>
      </w:r>
      <w:proofErr w:type="spellStart"/>
      <w:r w:rsidRPr="00025F23">
        <w:t>ceteris</w:t>
      </w:r>
      <w:proofErr w:type="spellEnd"/>
      <w:r w:rsidRPr="00025F23">
        <w:t xml:space="preserve"> </w:t>
      </w:r>
      <w:proofErr w:type="spellStart"/>
      <w:r w:rsidRPr="00025F23">
        <w:t>paribus</w:t>
      </w:r>
      <w:proofErr w:type="spellEnd"/>
      <w:r w:rsidRPr="00025F23">
        <w:t xml:space="preserve">, la contención de los niveles de paro, pero puede suponer un </w:t>
      </w:r>
      <w:proofErr w:type="spellStart"/>
      <w:r w:rsidRPr="00025F23">
        <w:rPr>
          <w:i/>
          <w:iCs/>
        </w:rPr>
        <w:t>brain</w:t>
      </w:r>
      <w:proofErr w:type="spellEnd"/>
      <w:r w:rsidRPr="00025F23">
        <w:rPr>
          <w:i/>
          <w:iCs/>
        </w:rPr>
        <w:t xml:space="preserve"> </w:t>
      </w:r>
      <w:proofErr w:type="spellStart"/>
      <w:r w:rsidRPr="00025F23">
        <w:rPr>
          <w:i/>
          <w:iCs/>
        </w:rPr>
        <w:t>drain</w:t>
      </w:r>
      <w:proofErr w:type="spellEnd"/>
      <w:r w:rsidRPr="00025F23">
        <w:t xml:space="preserve">. Por el contrario, un </w:t>
      </w:r>
      <w:r w:rsidRPr="00025F23">
        <w:rPr>
          <w:b/>
          <w:bCs/>
        </w:rPr>
        <w:t>aumento de la población activa</w:t>
      </w:r>
      <w:r w:rsidRPr="00025F23">
        <w:t xml:space="preserve"> (p.ej. inmigración) inicialmente aumenta el desempleo, pero después hace aumentar el crecimiento potencial.</w:t>
      </w:r>
    </w:p>
    <w:p w14:paraId="1D086F23" w14:textId="0CCAE16E" w:rsidR="00B814C1" w:rsidRPr="00025F23" w:rsidRDefault="00B814C1" w:rsidP="00B814C1">
      <w:pPr>
        <w:pStyle w:val="Prrafodelista"/>
        <w:numPr>
          <w:ilvl w:val="1"/>
          <w:numId w:val="6"/>
        </w:numPr>
        <w:ind w:left="538" w:hanging="113"/>
      </w:pPr>
      <w:r w:rsidRPr="00025F23">
        <w:t>Podría ocurrir que el empleo y el paro aumenten simultáneamente si, aunque se cree empleo, llegan por ejemplo inmigrantes en una cantidad mayor. Y viceversa: podría ocurrir que disminuyan tanto el</w:t>
      </w:r>
      <w:r w:rsidR="00663AA0" w:rsidRPr="00025F23">
        <w:t xml:space="preserve"> empleo como el paro si, aunque se destruya empleo, se produce una fuga de cerebros en una mayor cuantía.</w:t>
      </w:r>
    </w:p>
    <w:p w14:paraId="63683B41" w14:textId="6BB5C033" w:rsidR="00011C67" w:rsidRPr="00025F23" w:rsidRDefault="00011C67" w:rsidP="00014B0A">
      <w:pPr>
        <w:pStyle w:val="Prrafodelista"/>
        <w:keepNext/>
        <w:numPr>
          <w:ilvl w:val="0"/>
          <w:numId w:val="6"/>
        </w:numPr>
        <w:ind w:left="426" w:hanging="284"/>
      </w:pPr>
      <w:r w:rsidRPr="00025F23">
        <w:rPr>
          <w:i/>
          <w:iCs/>
          <w:szCs w:val="16"/>
          <w:u w:val="single"/>
        </w:rPr>
        <w:t>Demanda de trabajo</w:t>
      </w:r>
      <w:r w:rsidRPr="00025F23">
        <w:rPr>
          <w:szCs w:val="16"/>
        </w:rPr>
        <w:t>:</w:t>
      </w:r>
      <w:r w:rsidR="00014B0A" w:rsidRPr="00025F23">
        <w:rPr>
          <w:szCs w:val="16"/>
        </w:rPr>
        <w:t xml:space="preserve"> Nos fijamos en la </w:t>
      </w:r>
      <w:r w:rsidR="00014B0A" w:rsidRPr="00025F23">
        <w:rPr>
          <w:i/>
          <w:iCs/>
          <w:szCs w:val="16"/>
        </w:rPr>
        <w:t>población ocupada</w:t>
      </w:r>
      <w:r w:rsidR="00014B0A" w:rsidRPr="00025F23">
        <w:rPr>
          <w:szCs w:val="16"/>
        </w:rPr>
        <w:t>. Depende de:</w:t>
      </w:r>
    </w:p>
    <w:p w14:paraId="5902CDCB" w14:textId="27F13164" w:rsidR="00014B0A" w:rsidRPr="00025F23" w:rsidRDefault="00000000" w:rsidP="000C57BF">
      <w:pPr>
        <w:pStyle w:val="Letramayscula"/>
        <w:numPr>
          <w:ilvl w:val="0"/>
          <w:numId w:val="0"/>
        </w:numPr>
        <w:rPr>
          <w:rFonts w:eastAsiaTheme="minorEastAsia"/>
          <w:sz w:val="14"/>
          <w:szCs w:val="14"/>
          <w:u w:val="none"/>
        </w:rPr>
      </w:pPr>
      <m:oMathPara>
        <m:oMath>
          <m:sSup>
            <m:sSupPr>
              <m:ctrlPr>
                <w:rPr>
                  <w:rFonts w:ascii="Cambria Math" w:hAnsi="Cambria Math"/>
                  <w:sz w:val="14"/>
                  <w:szCs w:val="14"/>
                  <w:u w:val="none"/>
                </w:rPr>
              </m:ctrlPr>
            </m:sSupPr>
            <m:e>
              <m:r>
                <m:rPr>
                  <m:nor/>
                </m:rPr>
                <w:rPr>
                  <w:sz w:val="14"/>
                  <w:szCs w:val="14"/>
                  <w:u w:val="none"/>
                  <w:lang w:val="fr-FR"/>
                </w:rPr>
                <m:t>L</m:t>
              </m:r>
            </m:e>
            <m:sup>
              <m:r>
                <m:rPr>
                  <m:nor/>
                </m:rPr>
                <w:rPr>
                  <w:sz w:val="14"/>
                  <w:szCs w:val="14"/>
                  <w:u w:val="none"/>
                  <w:lang w:val="fr-FR"/>
                </w:rPr>
                <m:t>D</m:t>
              </m:r>
            </m:sup>
          </m:sSup>
          <m:r>
            <w:rPr>
              <w:rFonts w:ascii="Cambria Math" w:hAnsi="Cambria Math"/>
              <w:sz w:val="14"/>
              <w:szCs w:val="14"/>
              <w:u w:val="none"/>
              <w:lang w:val="fr-FR"/>
            </w:rPr>
            <m:t>=</m:t>
          </m:r>
          <m:r>
            <m:rPr>
              <m:nor/>
            </m:rPr>
            <w:rPr>
              <w:sz w:val="14"/>
              <w:szCs w:val="14"/>
              <w:u w:val="none"/>
              <w:lang w:val="fr-FR"/>
            </w:rPr>
            <m:t>f</m:t>
          </m:r>
          <m:d>
            <m:dPr>
              <m:ctrlPr>
                <w:rPr>
                  <w:rFonts w:ascii="Cambria Math" w:hAnsi="Cambria Math"/>
                  <w:sz w:val="14"/>
                  <w:szCs w:val="14"/>
                  <w:u w:val="none"/>
                </w:rPr>
              </m:ctrlPr>
            </m:dPr>
            <m:e>
              <m:limUpp>
                <m:limUppPr>
                  <m:ctrlPr>
                    <w:rPr>
                      <w:rFonts w:ascii="Cambria Math" w:hAnsi="Cambria Math"/>
                      <w:sz w:val="14"/>
                      <w:szCs w:val="14"/>
                      <w:u w:val="none"/>
                    </w:rPr>
                  </m:ctrlPr>
                </m:limUppPr>
                <m:e>
                  <m:sSub>
                    <m:sSubPr>
                      <m:ctrlPr>
                        <w:rPr>
                          <w:rFonts w:ascii="Cambria Math" w:hAnsi="Cambria Math"/>
                          <w:iCs w:val="0"/>
                          <w:sz w:val="14"/>
                          <w:szCs w:val="14"/>
                          <w:u w:val="none"/>
                        </w:rPr>
                      </m:ctrlPr>
                    </m:sSubPr>
                    <m:e>
                      <m:r>
                        <m:rPr>
                          <m:nor/>
                        </m:rPr>
                        <w:rPr>
                          <w:iCs w:val="0"/>
                          <w:sz w:val="14"/>
                          <w:szCs w:val="14"/>
                          <w:lang w:val="fr-FR"/>
                        </w:rPr>
                        <m:t>CLU</m:t>
                      </m:r>
                    </m:e>
                    <m:sub>
                      <m:r>
                        <m:rPr>
                          <m:nor/>
                        </m:rPr>
                        <w:rPr>
                          <w:iCs w:val="0"/>
                          <w:sz w:val="14"/>
                          <w:szCs w:val="14"/>
                          <w:lang w:val="fr-FR"/>
                        </w:rPr>
                        <m:t>nom</m:t>
                      </m:r>
                    </m:sub>
                  </m:sSub>
                </m:e>
                <m:lim>
                  <m:r>
                    <w:rPr>
                      <w:rFonts w:ascii="Cambria Math" w:hAnsi="Cambria Math"/>
                      <w:sz w:val="14"/>
                      <w:szCs w:val="14"/>
                      <w:u w:val="none"/>
                      <w:lang w:val="fr-FR"/>
                    </w:rPr>
                    <m:t>-</m:t>
                  </m:r>
                </m:lim>
              </m:limUpp>
              <m:r>
                <m:rPr>
                  <m:nor/>
                </m:rPr>
                <w:rPr>
                  <w:sz w:val="14"/>
                  <w:szCs w:val="14"/>
                  <w:u w:val="none"/>
                  <w:lang w:val="fr-FR"/>
                </w:rPr>
                <m:t xml:space="preserve"> | </m:t>
              </m:r>
              <m:limUpp>
                <m:limUppPr>
                  <m:ctrlPr>
                    <w:rPr>
                      <w:rFonts w:ascii="Cambria Math" w:hAnsi="Cambria Math"/>
                      <w:sz w:val="14"/>
                      <w:szCs w:val="14"/>
                      <w:u w:val="none"/>
                    </w:rPr>
                  </m:ctrlPr>
                </m:limUppPr>
                <m:e>
                  <m:r>
                    <m:rPr>
                      <m:nor/>
                    </m:rPr>
                    <w:rPr>
                      <w:sz w:val="14"/>
                      <w:szCs w:val="14"/>
                      <w:u w:val="none"/>
                      <w:lang w:val="fr-FR"/>
                    </w:rPr>
                    <m:t>EBE</m:t>
                  </m:r>
                  <m:r>
                    <w:rPr>
                      <w:rFonts w:ascii="Cambria Math" w:hAnsi="Cambria Math"/>
                      <w:sz w:val="14"/>
                      <w:szCs w:val="14"/>
                      <w:u w:val="none"/>
                      <w:lang w:val="fr-FR"/>
                    </w:rPr>
                    <m:t xml:space="preserve"> </m:t>
                  </m:r>
                  <m:r>
                    <m:rPr>
                      <m:nor/>
                    </m:rPr>
                    <w:rPr>
                      <w:sz w:val="14"/>
                      <w:szCs w:val="14"/>
                      <w:u w:val="none"/>
                      <w:lang w:val="fr-FR"/>
                    </w:rPr>
                    <m:t xml:space="preserve">&amp; </m:t>
                  </m:r>
                  <m:limUpp>
                    <m:limUppPr>
                      <m:ctrlPr>
                        <w:rPr>
                          <w:rFonts w:ascii="Cambria Math" w:hAnsi="Cambria Math"/>
                          <w:sz w:val="14"/>
                          <w:szCs w:val="14"/>
                          <w:u w:val="none"/>
                        </w:rPr>
                      </m:ctrlPr>
                    </m:limUppPr>
                    <m:e>
                      <m:groupChr>
                        <m:groupChrPr>
                          <m:chr m:val="⏞"/>
                          <m:pos m:val="top"/>
                          <m:vertJc m:val="bot"/>
                          <m:ctrlPr>
                            <w:rPr>
                              <w:rFonts w:ascii="Cambria Math" w:hAnsi="Cambria Math"/>
                              <w:sz w:val="14"/>
                              <w:szCs w:val="14"/>
                              <w:u w:val="none"/>
                            </w:rPr>
                          </m:ctrlPr>
                        </m:groupChrPr>
                        <m:e>
                          <m:r>
                            <m:rPr>
                              <m:nor/>
                            </m:rPr>
                            <w:rPr>
                              <w:iCs w:val="0"/>
                              <w:sz w:val="14"/>
                              <w:szCs w:val="14"/>
                              <w:u w:val="none"/>
                            </w:rPr>
                            <m:t>μ</m:t>
                          </m:r>
                        </m:e>
                      </m:groupChr>
                    </m:e>
                    <m:lim>
                      <m:r>
                        <m:rPr>
                          <m:nor/>
                        </m:rPr>
                        <w:rPr>
                          <w:sz w:val="14"/>
                          <w:szCs w:val="14"/>
                          <w:u w:val="none"/>
                          <w:lang w:val="fr-FR"/>
                        </w:rPr>
                        <m:t>mark-up</m:t>
                      </m:r>
                    </m:lim>
                  </m:limUpp>
                </m:e>
                <m:lim>
                  <m:r>
                    <w:rPr>
                      <w:rFonts w:ascii="Cambria Math" w:hAnsi="Cambria Math"/>
                      <w:sz w:val="14"/>
                      <w:szCs w:val="14"/>
                      <w:u w:val="none"/>
                      <w:lang w:val="fr-FR"/>
                    </w:rPr>
                    <m:t>+</m:t>
                  </m:r>
                </m:lim>
              </m:limUpp>
              <m:r>
                <m:rPr>
                  <m:nor/>
                </m:rPr>
                <w:rPr>
                  <w:sz w:val="14"/>
                  <w:szCs w:val="14"/>
                  <w:u w:val="none"/>
                  <w:lang w:val="fr-FR"/>
                </w:rPr>
                <m:t xml:space="preserve"> | </m:t>
              </m:r>
              <m:limUpp>
                <m:limUppPr>
                  <m:ctrlPr>
                    <w:rPr>
                      <w:rFonts w:ascii="Cambria Math" w:hAnsi="Cambria Math"/>
                      <w:sz w:val="14"/>
                      <w:szCs w:val="14"/>
                      <w:u w:val="none"/>
                    </w:rPr>
                  </m:ctrlPr>
                </m:limUppPr>
                <m:e>
                  <m:r>
                    <m:rPr>
                      <m:nor/>
                    </m:rPr>
                    <w:rPr>
                      <w:sz w:val="14"/>
                      <w:szCs w:val="14"/>
                      <w:u w:val="none"/>
                      <w:lang w:val="fr-FR"/>
                    </w:rPr>
                    <m:t>Demanda interna</m:t>
                  </m:r>
                </m:e>
                <m:lim>
                  <m:r>
                    <w:rPr>
                      <w:rFonts w:ascii="Cambria Math" w:hAnsi="Cambria Math"/>
                      <w:sz w:val="14"/>
                      <w:szCs w:val="14"/>
                      <w:u w:val="none"/>
                      <w:lang w:val="fr-FR"/>
                    </w:rPr>
                    <m:t>+</m:t>
                  </m:r>
                </m:lim>
              </m:limUpp>
              <m:r>
                <m:rPr>
                  <m:nor/>
                </m:rPr>
                <w:rPr>
                  <w:sz w:val="14"/>
                  <w:szCs w:val="14"/>
                  <w:u w:val="none"/>
                  <w:lang w:val="fr-FR"/>
                </w:rPr>
                <m:t xml:space="preserve">| </m:t>
              </m:r>
              <m:limUpp>
                <m:limUppPr>
                  <m:ctrlPr>
                    <w:rPr>
                      <w:rFonts w:ascii="Cambria Math" w:hAnsi="Cambria Math"/>
                      <w:sz w:val="14"/>
                      <w:szCs w:val="14"/>
                      <w:u w:val="none"/>
                    </w:rPr>
                  </m:ctrlPr>
                </m:limUppPr>
                <m:e>
                  <m:r>
                    <m:rPr>
                      <m:nor/>
                    </m:rPr>
                    <w:rPr>
                      <w:sz w:val="14"/>
                      <w:szCs w:val="14"/>
                      <w:u w:val="none"/>
                      <w:lang w:val="fr-FR"/>
                    </w:rPr>
                    <m:t>Export.</m:t>
                  </m:r>
                </m:e>
                <m:lim>
                  <m:r>
                    <w:rPr>
                      <w:rFonts w:ascii="Cambria Math" w:hAnsi="Cambria Math"/>
                      <w:sz w:val="14"/>
                      <w:szCs w:val="14"/>
                      <w:u w:val="none"/>
                      <w:lang w:val="fr-FR"/>
                    </w:rPr>
                    <m:t>+</m:t>
                  </m:r>
                </m:lim>
              </m:limUpp>
              <m:r>
                <m:rPr>
                  <m:nor/>
                </m:rPr>
                <w:rPr>
                  <w:sz w:val="14"/>
                  <w:szCs w:val="14"/>
                  <w:u w:val="none"/>
                </w:rPr>
                <m:t>|</m:t>
              </m:r>
              <m:limUpp>
                <m:limUppPr>
                  <m:ctrlPr>
                    <w:rPr>
                      <w:rFonts w:ascii="Cambria Math" w:hAnsi="Cambria Math"/>
                      <w:sz w:val="14"/>
                      <w:szCs w:val="14"/>
                      <w:u w:val="none"/>
                    </w:rPr>
                  </m:ctrlPr>
                </m:limUppPr>
                <m:e>
                  <m:r>
                    <m:rPr>
                      <m:nor/>
                    </m:rPr>
                    <w:rPr>
                      <w:sz w:val="14"/>
                      <w:szCs w:val="14"/>
                      <w:u w:val="none"/>
                    </w:rPr>
                    <m:t>Fact. institucionales</m:t>
                  </m:r>
                </m:e>
                <m:lim>
                  <m:r>
                    <m:rPr>
                      <m:nor/>
                    </m:rPr>
                    <w:rPr>
                      <w:i w:val="0"/>
                      <w:sz w:val="14"/>
                      <w:szCs w:val="14"/>
                      <w:u w:val="none"/>
                    </w:rPr>
                    <m:t>?</m:t>
                  </m:r>
                </m:lim>
              </m:limUpp>
            </m:e>
          </m:d>
        </m:oMath>
      </m:oMathPara>
    </w:p>
    <w:p w14:paraId="549E3A5E" w14:textId="77777777" w:rsidR="00B90306" w:rsidRPr="00025F23" w:rsidRDefault="00ED4A7E" w:rsidP="00B90306">
      <w:pPr>
        <w:pStyle w:val="Nivel3"/>
        <w:numPr>
          <w:ilvl w:val="0"/>
          <w:numId w:val="0"/>
        </w:numPr>
        <w:ind w:left="680"/>
      </w:pPr>
      <w:r w:rsidRPr="00025F23">
        <w:t>La demanda de trabajo depende negativamente (</w:t>
      </w:r>
      <w:r w:rsidRPr="00025F23">
        <w:rPr>
          <w:rFonts w:cs="Times New Roman"/>
        </w:rPr>
        <w:t>−</w:t>
      </w:r>
      <w:r w:rsidRPr="00025F23">
        <w:t>) de l</w:t>
      </w:r>
      <w:r w:rsidR="00505189" w:rsidRPr="00025F23">
        <w:t xml:space="preserve">os </w:t>
      </w:r>
      <w:r w:rsidR="00505189" w:rsidRPr="00025F23">
        <w:rPr>
          <w:i/>
          <w:iCs/>
        </w:rPr>
        <w:t>Costes Laborales Unitarios nominales</w:t>
      </w:r>
      <w:r w:rsidRPr="00025F23">
        <w:t xml:space="preserve">. Los </w:t>
      </w:r>
      <m:oMath>
        <m:sSub>
          <m:sSubPr>
            <m:ctrlPr>
              <w:rPr>
                <w:rFonts w:ascii="Cambria Math" w:hAnsi="Cambria Math"/>
                <w:i/>
              </w:rPr>
            </m:ctrlPr>
          </m:sSubPr>
          <m:e>
            <m:r>
              <m:rPr>
                <m:nor/>
              </m:rPr>
              <w:rPr>
                <w:i/>
              </w:rPr>
              <m:t>CLU</m:t>
            </m:r>
          </m:e>
          <m:sub>
            <m:r>
              <m:rPr>
                <m:nor/>
              </m:rPr>
              <w:rPr>
                <w:i/>
              </w:rPr>
              <m:t>nominales</m:t>
            </m:r>
          </m:sub>
        </m:sSub>
      </m:oMath>
      <w:r w:rsidR="00505189" w:rsidRPr="00025F23">
        <w:t xml:space="preserve"> recogen la relación entre los salarios nominales y la Productividad Aparente del Trabajo.</w:t>
      </w:r>
    </w:p>
    <w:p w14:paraId="36A40DC5" w14:textId="168DAFCE" w:rsidR="000548FB" w:rsidRPr="00025F23" w:rsidRDefault="00B90306" w:rsidP="005C1D85">
      <w:pPr>
        <w:pStyle w:val="Nivel3"/>
        <w:keepNext/>
        <w:numPr>
          <w:ilvl w:val="0"/>
          <w:numId w:val="0"/>
        </w:numPr>
        <w:ind w:left="680"/>
      </w:pPr>
      <w:r w:rsidRPr="00025F23">
        <w:t>La e</w:t>
      </w:r>
      <w:r w:rsidR="000548FB" w:rsidRPr="00025F23">
        <w:t>volución</w:t>
      </w:r>
      <w:r w:rsidRPr="00025F23">
        <w:t xml:space="preserve"> de los </w:t>
      </w:r>
      <m:oMath>
        <m:sSub>
          <m:sSubPr>
            <m:ctrlPr>
              <w:rPr>
                <w:rFonts w:ascii="Cambria Math" w:hAnsi="Cambria Math"/>
                <w:i/>
              </w:rPr>
            </m:ctrlPr>
          </m:sSubPr>
          <m:e>
            <m:r>
              <m:rPr>
                <m:nor/>
              </m:rPr>
              <w:rPr>
                <w:i/>
              </w:rPr>
              <m:t>CLU</m:t>
            </m:r>
          </m:e>
          <m:sub>
            <m:r>
              <m:rPr>
                <m:nor/>
              </m:rPr>
              <w:rPr>
                <w:i/>
              </w:rPr>
              <m:t>nominales</m:t>
            </m:r>
          </m:sub>
        </m:sSub>
      </m:oMath>
      <w:r w:rsidRPr="00025F23">
        <w:rPr>
          <w:rFonts w:eastAsiaTheme="minorEastAsia"/>
        </w:rPr>
        <w:t xml:space="preserve"> se puede expresar de la siguiente manera</w:t>
      </w:r>
      <w:r w:rsidR="000548FB" w:rsidRPr="00025F23">
        <w:t>:</w:t>
      </w:r>
    </w:p>
    <w:p w14:paraId="630955AC" w14:textId="7676ECCA" w:rsidR="000548FB" w:rsidRPr="00025F23" w:rsidRDefault="00FF2131" w:rsidP="000548FB">
      <w:pPr>
        <w:pStyle w:val="Nivel3"/>
        <w:numPr>
          <w:ilvl w:val="0"/>
          <w:numId w:val="0"/>
        </w:numPr>
        <w:ind w:left="680"/>
        <w:rPr>
          <w:i/>
        </w:rPr>
      </w:pPr>
      <m:oMathPara>
        <m:oMath>
          <m:r>
            <m:rPr>
              <m:nor/>
            </m:rPr>
            <w:rPr>
              <w:spacing w:val="-6"/>
              <w:szCs w:val="16"/>
            </w:rPr>
            <m:t xml:space="preserve"> </m:t>
          </m:r>
          <m:r>
            <m:rPr>
              <m:nor/>
            </m:rPr>
            <w:rPr>
              <w:i/>
              <w:iCs/>
              <w:spacing w:val="-6"/>
              <w:szCs w:val="16"/>
            </w:rPr>
            <m:t xml:space="preserve">γ </m:t>
          </m:r>
          <m:sSub>
            <m:sSubPr>
              <m:ctrlPr>
                <w:rPr>
                  <w:rFonts w:ascii="Cambria Math" w:hAnsi="Cambria Math"/>
                  <w:i/>
                </w:rPr>
              </m:ctrlPr>
            </m:sSubPr>
            <m:e>
              <m:r>
                <m:rPr>
                  <m:nor/>
                </m:rPr>
                <w:rPr>
                  <w:i/>
                </w:rPr>
                <m:t>CLU</m:t>
              </m:r>
            </m:e>
            <m:sub>
              <m:r>
                <m:rPr>
                  <m:nor/>
                </m:rPr>
                <w:rPr>
                  <w:i/>
                </w:rPr>
                <m:t>nominales</m:t>
              </m:r>
            </m:sub>
          </m:sSub>
          <m:r>
            <w:rPr>
              <w:rFonts w:ascii="Cambria Math" w:hAnsi="Cambria Math"/>
            </w:rPr>
            <m:t>=</m:t>
          </m:r>
          <m:r>
            <m:rPr>
              <m:nor/>
            </m:rPr>
            <w:rPr>
              <w:i/>
              <w:iCs/>
              <w:spacing w:val="-6"/>
              <w:szCs w:val="16"/>
            </w:rPr>
            <m:t xml:space="preserve">γ </m:t>
          </m:r>
          <m:sSub>
            <m:sSubPr>
              <m:ctrlPr>
                <w:rPr>
                  <w:rFonts w:ascii="Cambria Math" w:hAnsi="Cambria Math"/>
                  <w:i/>
                </w:rPr>
              </m:ctrlPr>
            </m:sSubPr>
            <m:e>
              <m:r>
                <m:rPr>
                  <m:nor/>
                </m:rPr>
                <w:rPr>
                  <w:i/>
                </w:rPr>
                <m:t>w</m:t>
              </m:r>
            </m:e>
            <m:sub>
              <m:r>
                <m:rPr>
                  <m:nor/>
                </m:rPr>
                <w:rPr>
                  <w:i/>
                </w:rPr>
                <m:t>nominales</m:t>
              </m:r>
            </m:sub>
          </m:sSub>
          <m:r>
            <w:rPr>
              <w:rFonts w:ascii="Cambria Math" w:hAnsi="Cambria Math"/>
            </w:rPr>
            <m:t>-</m:t>
          </m:r>
          <m:limLow>
            <m:limLowPr>
              <m:ctrlPr>
                <w:rPr>
                  <w:rFonts w:ascii="Cambria Math" w:hAnsi="Cambria Math"/>
                  <w:i/>
                  <w:iCs/>
                  <w:spacing w:val="-6"/>
                  <w:szCs w:val="16"/>
                </w:rPr>
              </m:ctrlPr>
            </m:limLowPr>
            <m:e>
              <m:groupChr>
                <m:groupChrPr>
                  <m:ctrlPr>
                    <w:rPr>
                      <w:rFonts w:ascii="Cambria Math" w:hAnsi="Cambria Math"/>
                      <w:i/>
                      <w:iCs/>
                      <w:spacing w:val="-6"/>
                      <w:szCs w:val="16"/>
                    </w:rPr>
                  </m:ctrlPr>
                </m:groupChrPr>
                <m:e>
                  <m:r>
                    <m:rPr>
                      <m:nor/>
                    </m:rPr>
                    <w:rPr>
                      <w:i/>
                      <w:iCs/>
                      <w:spacing w:val="-6"/>
                      <w:szCs w:val="16"/>
                    </w:rPr>
                    <m:t xml:space="preserve">γ </m:t>
                  </m:r>
                  <m:sSub>
                    <m:sSubPr>
                      <m:ctrlPr>
                        <w:rPr>
                          <w:rFonts w:ascii="Cambria Math" w:hAnsi="Cambria Math"/>
                          <w:i/>
                        </w:rPr>
                      </m:ctrlPr>
                    </m:sSubPr>
                    <m:e>
                      <m:r>
                        <m:rPr>
                          <m:nor/>
                        </m:rPr>
                        <w:rPr>
                          <w:i/>
                        </w:rPr>
                        <m:t>PAT</m:t>
                      </m:r>
                    </m:e>
                    <m:sub>
                      <m:r>
                        <m:rPr>
                          <m:nor/>
                        </m:rPr>
                        <w:rPr>
                          <w:i/>
                          <w:spacing w:val="-6"/>
                          <w:szCs w:val="16"/>
                        </w:rPr>
                        <m:t>real</m:t>
                      </m:r>
                    </m:sub>
                  </m:sSub>
                </m:e>
              </m:groupChr>
            </m:e>
            <m:lim>
              <m:d>
                <m:dPr>
                  <m:ctrlPr>
                    <w:rPr>
                      <w:rFonts w:ascii="Cambria Math" w:hAnsi="Cambria Math"/>
                      <w:i/>
                      <w:spacing w:val="-6"/>
                      <w:szCs w:val="16"/>
                    </w:rPr>
                  </m:ctrlPr>
                </m:dPr>
                <m:e>
                  <m:r>
                    <m:rPr>
                      <m:nor/>
                    </m:rPr>
                    <w:rPr>
                      <w:i/>
                      <w:spacing w:val="-6"/>
                      <w:szCs w:val="16"/>
                    </w:rPr>
                    <m:t xml:space="preserve">γ </m:t>
                  </m:r>
                  <m:sSub>
                    <m:sSubPr>
                      <m:ctrlPr>
                        <w:rPr>
                          <w:rFonts w:ascii="Cambria Math" w:hAnsi="Cambria Math"/>
                          <w:i/>
                          <w:spacing w:val="-6"/>
                          <w:szCs w:val="16"/>
                        </w:rPr>
                      </m:ctrlPr>
                    </m:sSubPr>
                    <m:e>
                      <m:r>
                        <m:rPr>
                          <m:nor/>
                        </m:rPr>
                        <w:rPr>
                          <w:i/>
                          <w:spacing w:val="-6"/>
                          <w:szCs w:val="16"/>
                        </w:rPr>
                        <m:t>PIB</m:t>
                      </m:r>
                    </m:e>
                    <m:sub>
                      <m:r>
                        <m:rPr>
                          <m:nor/>
                        </m:rPr>
                        <w:rPr>
                          <w:i/>
                          <w:spacing w:val="-6"/>
                          <w:szCs w:val="16"/>
                        </w:rPr>
                        <m:t>real</m:t>
                      </m:r>
                    </m:sub>
                  </m:sSub>
                  <m:r>
                    <w:rPr>
                      <w:rFonts w:ascii="Cambria Math" w:hAnsi="Cambria Math"/>
                      <w:spacing w:val="-6"/>
                      <w:szCs w:val="16"/>
                    </w:rPr>
                    <m:t>-</m:t>
                  </m:r>
                  <m:r>
                    <m:rPr>
                      <m:nor/>
                    </m:rPr>
                    <w:rPr>
                      <w:i/>
                      <w:spacing w:val="-6"/>
                      <w:szCs w:val="16"/>
                    </w:rPr>
                    <m:t>γ Empleo</m:t>
                  </m:r>
                </m:e>
              </m:d>
            </m:lim>
          </m:limLow>
        </m:oMath>
      </m:oMathPara>
    </w:p>
    <w:p w14:paraId="0ED7427B" w14:textId="6066FE31" w:rsidR="005477BE" w:rsidRPr="0034735D" w:rsidRDefault="005477BE" w:rsidP="000C5D72">
      <w:pPr>
        <w:pStyle w:val="Nivel3"/>
        <w:numPr>
          <w:ilvl w:val="0"/>
          <w:numId w:val="0"/>
        </w:numPr>
        <w:ind w:left="680"/>
        <w:rPr>
          <w:spacing w:val="-2"/>
        </w:rPr>
      </w:pPr>
      <w:r w:rsidRPr="0034735D">
        <w:rPr>
          <w:spacing w:val="-2"/>
        </w:rPr>
        <w:t>Aunque</w:t>
      </w:r>
      <w:r w:rsidR="0034735D" w:rsidRPr="0034735D">
        <w:rPr>
          <w:spacing w:val="-2"/>
        </w:rPr>
        <w:t>,</w:t>
      </w:r>
      <w:r w:rsidRPr="0034735D">
        <w:rPr>
          <w:spacing w:val="-2"/>
        </w:rPr>
        <w:t xml:space="preserve"> por lo general</w:t>
      </w:r>
      <w:r w:rsidR="0034735D" w:rsidRPr="0034735D">
        <w:rPr>
          <w:spacing w:val="-2"/>
        </w:rPr>
        <w:t>,</w:t>
      </w:r>
      <w:r w:rsidRPr="0034735D">
        <w:rPr>
          <w:spacing w:val="-2"/>
        </w:rPr>
        <w:t xml:space="preserve"> a mayor productividad mayor ocupación</w:t>
      </w:r>
      <w:r w:rsidR="0034735D" w:rsidRPr="0034735D">
        <w:rPr>
          <w:spacing w:val="-2"/>
        </w:rPr>
        <w:t>,</w:t>
      </w:r>
      <w:r w:rsidRPr="0034735D">
        <w:rPr>
          <w:spacing w:val="-2"/>
        </w:rPr>
        <w:t xml:space="preserve"> no existe necesariamente esta relación unívoca entre creación de empleo y productividad: puede que la PAT aumente al tiempo que el empleo disminuye, por un mero efecto estadístico</w:t>
      </w:r>
      <w:r w:rsidR="0034735D" w:rsidRPr="0034735D">
        <w:rPr>
          <w:spacing w:val="-2"/>
        </w:rPr>
        <w:t>, es decir,</w:t>
      </w:r>
      <w:r w:rsidRPr="0034735D">
        <w:rPr>
          <w:spacing w:val="-2"/>
        </w:rPr>
        <w:t xml:space="preserve"> el empleo disminuye más que la producción (i.e. función de producción cóncava).</w:t>
      </w:r>
    </w:p>
    <w:p w14:paraId="303DD99D" w14:textId="666482C6" w:rsidR="00871652" w:rsidRPr="00B6305F" w:rsidRDefault="00ED4A7E" w:rsidP="00871652">
      <w:pPr>
        <w:pStyle w:val="Nivel3"/>
        <w:keepNext/>
        <w:rPr>
          <w:sz w:val="14"/>
          <w:szCs w:val="14"/>
        </w:rPr>
      </w:pPr>
      <w:r w:rsidRPr="00025F23">
        <w:t>La demanda de trabajo depende positivamente (</w:t>
      </w:r>
      <w:r w:rsidRPr="00025F23">
        <w:rPr>
          <w:rFonts w:cs="Times New Roman"/>
        </w:rPr>
        <w:t>+</w:t>
      </w:r>
      <w:r w:rsidRPr="00025F23">
        <w:t xml:space="preserve">) del </w:t>
      </w:r>
      <w:r w:rsidRPr="00025F23">
        <w:rPr>
          <w:i/>
          <w:iCs/>
        </w:rPr>
        <w:t>Excedente Bruto de Explotación</w:t>
      </w:r>
      <w:r w:rsidRPr="00025F23">
        <w:t xml:space="preserve"> y del </w:t>
      </w:r>
      <w:r w:rsidRPr="00025F23">
        <w:rPr>
          <w:i/>
          <w:iCs/>
        </w:rPr>
        <w:t>margen de beneficios</w:t>
      </w:r>
      <w:r w:rsidRPr="00025F23">
        <w:t>.</w:t>
      </w:r>
      <w:r w:rsidRPr="00025F23">
        <w:rPr>
          <w:sz w:val="14"/>
          <w:szCs w:val="14"/>
        </w:rPr>
        <w:t xml:space="preserve"> </w:t>
      </w:r>
      <w:r w:rsidR="00871652" w:rsidRPr="00025F23">
        <w:rPr>
          <w:sz w:val="14"/>
          <w:szCs w:val="14"/>
        </w:rPr>
        <w:t>Representa la rentabilidad empresarial, por lo que, d</w:t>
      </w:r>
      <w:r w:rsidRPr="00025F23">
        <w:rPr>
          <w:sz w:val="14"/>
          <w:szCs w:val="14"/>
        </w:rPr>
        <w:t xml:space="preserve">el mismo modo que incentiva la inversión, </w:t>
      </w:r>
      <w:r w:rsidR="00871652" w:rsidRPr="00025F23">
        <w:rPr>
          <w:sz w:val="14"/>
          <w:szCs w:val="14"/>
        </w:rPr>
        <w:t>aumenta la demanda de trabajo. Los mayores excedentes vendrían explicados bien por un incremento de los precios de ventas, bien por menores costes unitarios. De ahí que, si carecemos de datos sobre el EBE, podamos calcular</w:t>
      </w:r>
      <w:r w:rsidR="00871652" w:rsidRPr="00B6305F">
        <w:rPr>
          <w:sz w:val="14"/>
          <w:szCs w:val="14"/>
        </w:rPr>
        <w:t xml:space="preserve"> la evolución del </w:t>
      </w:r>
      <w:proofErr w:type="spellStart"/>
      <w:r w:rsidR="00871652" w:rsidRPr="00B6305F">
        <w:rPr>
          <w:sz w:val="14"/>
          <w:szCs w:val="14"/>
        </w:rPr>
        <w:t>mark</w:t>
      </w:r>
      <w:proofErr w:type="spellEnd"/>
      <w:r w:rsidR="00871652" w:rsidRPr="00B6305F">
        <w:rPr>
          <w:sz w:val="14"/>
          <w:szCs w:val="14"/>
        </w:rPr>
        <w:t>-up (evolución del margen empresarial):</w:t>
      </w:r>
    </w:p>
    <w:p w14:paraId="4FD235B9" w14:textId="6E4D951F" w:rsidR="00871652" w:rsidRPr="00B6305F" w:rsidRDefault="00B6305F" w:rsidP="00871652">
      <w:pPr>
        <w:pStyle w:val="Nivel4"/>
        <w:numPr>
          <w:ilvl w:val="0"/>
          <w:numId w:val="0"/>
        </w:numPr>
        <w:ind w:left="539"/>
        <w:rPr>
          <w:sz w:val="14"/>
          <w:szCs w:val="14"/>
          <w:lang w:val="en-US"/>
        </w:rPr>
      </w:pPr>
      <w:bookmarkStart w:id="166" w:name="_Hlk135822556"/>
      <m:oMathPara>
        <m:oMath>
          <m:r>
            <m:rPr>
              <m:nor/>
            </m:rPr>
            <w:rPr>
              <w:rFonts w:cs="Times New Roman"/>
              <w:i/>
              <w:iCs/>
              <w:sz w:val="14"/>
              <w:szCs w:val="14"/>
            </w:rPr>
            <m:t>γ</m:t>
          </m:r>
          <m:r>
            <m:rPr>
              <m:nor/>
            </m:rPr>
            <w:rPr>
              <w:rFonts w:cs="Times New Roman"/>
              <w:i/>
              <w:iCs/>
              <w:sz w:val="14"/>
              <w:szCs w:val="14"/>
              <w:lang w:val="en-US"/>
            </w:rPr>
            <m:t xml:space="preserve"> </m:t>
          </m:r>
          <m:r>
            <m:rPr>
              <m:nor/>
            </m:rPr>
            <w:rPr>
              <w:i/>
              <w:iCs/>
              <w:sz w:val="14"/>
              <w:szCs w:val="14"/>
              <w:lang w:val="en-US"/>
            </w:rPr>
            <m:t>mark-up</m:t>
          </m:r>
          <w:bookmarkStart w:id="167" w:name="_Hlk135822724"/>
          <m:r>
            <w:rPr>
              <w:rFonts w:ascii="Cambria Math" w:hAnsi="Cambria Math"/>
              <w:sz w:val="14"/>
              <w:szCs w:val="14"/>
              <w:lang w:val="en-US"/>
            </w:rPr>
            <m:t>≈</m:t>
          </m:r>
          <m:r>
            <m:rPr>
              <m:nor/>
            </m:rPr>
            <w:rPr>
              <w:rFonts w:cs="Times New Roman"/>
              <w:i/>
              <w:iCs/>
              <w:sz w:val="14"/>
              <w:szCs w:val="14"/>
            </w:rPr>
            <m:t>γ</m:t>
          </m:r>
          <m:r>
            <m:rPr>
              <m:nor/>
            </m:rPr>
            <w:rPr>
              <w:rFonts w:cs="Times New Roman"/>
              <w:i/>
              <w:iCs/>
              <w:sz w:val="14"/>
              <w:szCs w:val="14"/>
              <w:lang w:val="en-US"/>
            </w:rPr>
            <m:t xml:space="preserve"> </m:t>
          </m:r>
          <w:bookmarkEnd w:id="166"/>
          <m:sSub>
            <m:sSubPr>
              <m:ctrlPr>
                <w:rPr>
                  <w:rFonts w:ascii="Cambria Math" w:hAnsi="Cambria Math" w:cs="Times New Roman"/>
                  <w:i/>
                  <w:iCs/>
                  <w:sz w:val="14"/>
                  <w:szCs w:val="14"/>
                </w:rPr>
              </m:ctrlPr>
            </m:sSubPr>
            <m:e>
              <m:r>
                <m:rPr>
                  <m:nor/>
                </m:rPr>
                <w:rPr>
                  <w:rFonts w:cs="Times New Roman"/>
                  <w:i/>
                  <w:iCs/>
                  <w:sz w:val="14"/>
                  <w:szCs w:val="14"/>
                  <w:lang w:val="en-US"/>
                </w:rPr>
                <m:t>Deflactor</m:t>
              </m:r>
            </m:e>
            <m:sub>
              <m:r>
                <m:rPr>
                  <m:nor/>
                </m:rPr>
                <w:rPr>
                  <w:rFonts w:cs="Times New Roman"/>
                  <w:i/>
                  <w:iCs/>
                  <w:sz w:val="14"/>
                  <w:szCs w:val="14"/>
                  <w:lang w:val="en-US"/>
                </w:rPr>
                <m:t>PIB</m:t>
              </m:r>
            </m:sub>
          </m:sSub>
          <w:bookmarkEnd w:id="167"/>
          <m:r>
            <w:rPr>
              <w:rFonts w:ascii="Cambria Math" w:hAnsi="Cambria Math" w:cs="Times New Roman"/>
              <w:sz w:val="14"/>
              <w:szCs w:val="14"/>
              <w:lang w:val="en-US"/>
            </w:rPr>
            <m:t>-</m:t>
          </m:r>
          <w:bookmarkStart w:id="168" w:name="_Hlk135823197"/>
          <m:r>
            <m:rPr>
              <m:nor/>
            </m:rPr>
            <w:rPr>
              <w:rFonts w:cs="Times New Roman"/>
              <w:i/>
              <w:iCs/>
              <w:sz w:val="14"/>
              <w:szCs w:val="14"/>
            </w:rPr>
            <m:t>γ</m:t>
          </m:r>
          <m:r>
            <m:rPr>
              <m:nor/>
            </m:rPr>
            <w:rPr>
              <w:rFonts w:cs="Times New Roman"/>
              <w:i/>
              <w:iCs/>
              <w:sz w:val="14"/>
              <w:szCs w:val="14"/>
              <w:lang w:val="en-US"/>
            </w:rPr>
            <m:t xml:space="preserve"> CLUs</m:t>
          </m:r>
        </m:oMath>
      </m:oMathPara>
      <w:bookmarkEnd w:id="168"/>
    </w:p>
    <w:p w14:paraId="4E63E44E" w14:textId="77777777" w:rsidR="00871652" w:rsidRPr="00B6305F" w:rsidRDefault="00871652" w:rsidP="00871652">
      <w:pPr>
        <w:pStyle w:val="Nivel3"/>
        <w:numPr>
          <w:ilvl w:val="0"/>
          <w:numId w:val="0"/>
        </w:numPr>
        <w:ind w:left="680"/>
        <w:rPr>
          <w:sz w:val="14"/>
          <w:szCs w:val="14"/>
        </w:rPr>
      </w:pPr>
      <w:r w:rsidRPr="00B6305F">
        <w:rPr>
          <w:sz w:val="14"/>
          <w:szCs w:val="14"/>
        </w:rPr>
        <w:t>Para lo anterior es necesario que los impuestos y los precios de los inputs se mantengan constantes.</w:t>
      </w:r>
    </w:p>
    <w:p w14:paraId="693A65F7" w14:textId="552A0999" w:rsidR="00871652" w:rsidRPr="00B6305F" w:rsidRDefault="00871652" w:rsidP="00871652">
      <w:pPr>
        <w:pStyle w:val="Nivel3"/>
        <w:numPr>
          <w:ilvl w:val="0"/>
          <w:numId w:val="0"/>
        </w:numPr>
        <w:ind w:left="680"/>
        <w:rPr>
          <w:sz w:val="14"/>
          <w:szCs w:val="14"/>
        </w:rPr>
      </w:pPr>
      <w:r w:rsidRPr="00B6305F">
        <w:rPr>
          <w:sz w:val="14"/>
          <w:szCs w:val="14"/>
        </w:rPr>
        <w:t xml:space="preserve">Para la inflación utilizar aquí </w:t>
      </w:r>
      <w:r w:rsidRPr="00B6305F">
        <w:rPr>
          <w:i/>
          <w:iCs/>
          <w:sz w:val="14"/>
          <w:szCs w:val="14"/>
        </w:rPr>
        <w:t>γ deflactor PIB</w:t>
      </w:r>
      <w:r w:rsidRPr="00B6305F">
        <w:rPr>
          <w:sz w:val="14"/>
          <w:szCs w:val="14"/>
        </w:rPr>
        <w:t xml:space="preserve"> (es mejor índice para las decisiones empresariales).</w:t>
      </w:r>
    </w:p>
    <w:p w14:paraId="3603B50A" w14:textId="174F6A49" w:rsidR="00B6305F" w:rsidRPr="00B6305F" w:rsidRDefault="00B6305F" w:rsidP="00871652">
      <w:pPr>
        <w:pStyle w:val="Nivel3"/>
        <w:numPr>
          <w:ilvl w:val="0"/>
          <w:numId w:val="0"/>
        </w:numPr>
        <w:ind w:left="680"/>
        <w:rPr>
          <w:sz w:val="14"/>
          <w:szCs w:val="14"/>
        </w:rPr>
      </w:pPr>
      <w:r w:rsidRPr="00B6305F">
        <w:rPr>
          <w:sz w:val="14"/>
          <w:szCs w:val="14"/>
        </w:rPr>
        <w:t>En particular, el origen de esta fórmula es el siguiente:</w:t>
      </w:r>
    </w:p>
    <w:p w14:paraId="7BFBBDC2" w14:textId="6D0D2D1C" w:rsidR="00B6305F" w:rsidRPr="00B6305F" w:rsidRDefault="00B6305F" w:rsidP="00871652">
      <w:pPr>
        <w:pStyle w:val="Nivel3"/>
        <w:numPr>
          <w:ilvl w:val="0"/>
          <w:numId w:val="0"/>
        </w:numPr>
        <w:ind w:left="680"/>
        <w:rPr>
          <w:sz w:val="14"/>
          <w:szCs w:val="14"/>
        </w:rPr>
      </w:pPr>
      <w:bookmarkStart w:id="169" w:name="_Hlk135822364"/>
      <w:bookmarkStart w:id="170" w:name="_Hlk135822538"/>
      <m:oMathPara>
        <m:oMath>
          <m:r>
            <w:rPr>
              <w:rFonts w:ascii="Cambria Math" w:eastAsiaTheme="minorEastAsia" w:hAnsi="Cambria Math"/>
              <w:sz w:val="14"/>
              <w:szCs w:val="14"/>
            </w:rPr>
            <m:t xml:space="preserve"> </m:t>
          </m:r>
          <m:r>
            <m:rPr>
              <m:nor/>
            </m:rPr>
            <w:rPr>
              <w:i/>
              <w:iCs/>
              <w:sz w:val="14"/>
              <w:szCs w:val="14"/>
            </w:rPr>
            <m:t>mark-up</m:t>
          </m:r>
          <w:bookmarkStart w:id="171" w:name="_Hlk135822490"/>
          <w:bookmarkEnd w:id="169"/>
          <m:r>
            <w:rPr>
              <w:rFonts w:ascii="Cambria Math" w:hAnsi="Cambria Math"/>
              <w:sz w:val="14"/>
              <w:szCs w:val="14"/>
            </w:rPr>
            <m:t>≈</m:t>
          </m:r>
          <m:limLow>
            <m:limLowPr>
              <m:ctrlPr>
                <w:rPr>
                  <w:rFonts w:ascii="Cambria Math" w:hAnsi="Cambria Math"/>
                  <w:i/>
                  <w:iCs/>
                  <w:sz w:val="14"/>
                  <w:szCs w:val="14"/>
                </w:rPr>
              </m:ctrlPr>
            </m:limLowPr>
            <m:e>
              <m:groupChr>
                <m:groupChrPr>
                  <m:ctrlPr>
                    <w:rPr>
                      <w:rFonts w:ascii="Cambria Math" w:hAnsi="Cambria Math"/>
                      <w:i/>
                      <w:iCs/>
                      <w:sz w:val="14"/>
                      <w:szCs w:val="14"/>
                    </w:rPr>
                  </m:ctrlPr>
                </m:groupChrPr>
                <m:e>
                  <m:r>
                    <m:rPr>
                      <m:nor/>
                    </m:rPr>
                    <w:rPr>
                      <w:i/>
                      <w:iCs/>
                      <w:sz w:val="14"/>
                      <w:szCs w:val="14"/>
                    </w:rPr>
                    <m:t>Ingresos</m:t>
                  </m:r>
                </m:e>
              </m:groupChr>
            </m:e>
            <m:lim>
              <m:r>
                <m:rPr>
                  <m:nor/>
                </m:rPr>
                <w:rPr>
                  <w:i/>
                  <w:iCs/>
                  <w:sz w:val="14"/>
                  <w:szCs w:val="14"/>
                </w:rPr>
                <m:t>P</m:t>
              </m:r>
              <m:r>
                <w:rPr>
                  <w:rFonts w:ascii="Cambria Math" w:hAnsi="Cambria Math"/>
                  <w:sz w:val="14"/>
                  <w:szCs w:val="14"/>
                </w:rPr>
                <m:t>∙</m:t>
              </m:r>
              <m:r>
                <m:rPr>
                  <m:nor/>
                </m:rPr>
                <w:rPr>
                  <w:i/>
                  <w:iCs/>
                  <w:sz w:val="14"/>
                  <w:szCs w:val="14"/>
                </w:rPr>
                <m:t>Q</m:t>
              </m:r>
            </m:lim>
          </m:limLow>
          <w:bookmarkEnd w:id="171"/>
          <m:r>
            <w:rPr>
              <w:rFonts w:ascii="Cambria Math" w:eastAsiaTheme="minorEastAsia" w:hAnsi="Cambria Math"/>
              <w:sz w:val="14"/>
              <w:szCs w:val="14"/>
            </w:rPr>
            <m:t>-</m:t>
          </m:r>
          <m:limLow>
            <m:limLowPr>
              <m:ctrlPr>
                <w:rPr>
                  <w:rFonts w:ascii="Cambria Math" w:hAnsi="Cambria Math"/>
                  <w:i/>
                  <w:iCs/>
                  <w:sz w:val="14"/>
                  <w:szCs w:val="14"/>
                </w:rPr>
              </m:ctrlPr>
            </m:limLowPr>
            <m:e>
              <m:groupChr>
                <m:groupChrPr>
                  <m:ctrlPr>
                    <w:rPr>
                      <w:rFonts w:ascii="Cambria Math" w:hAnsi="Cambria Math"/>
                      <w:i/>
                      <w:iCs/>
                      <w:sz w:val="14"/>
                      <w:szCs w:val="14"/>
                    </w:rPr>
                  </m:ctrlPr>
                </m:groupChrPr>
                <m:e>
                  <m:r>
                    <m:rPr>
                      <m:nor/>
                    </m:rPr>
                    <w:rPr>
                      <w:i/>
                      <w:iCs/>
                      <w:sz w:val="14"/>
                      <w:szCs w:val="14"/>
                    </w:rPr>
                    <m:t>Costes</m:t>
                  </m:r>
                </m:e>
              </m:groupChr>
            </m:e>
            <m:lim>
              <m:r>
                <m:rPr>
                  <m:nor/>
                </m:rPr>
                <w:rPr>
                  <w:i/>
                  <w:iCs/>
                  <w:sz w:val="14"/>
                  <w:szCs w:val="14"/>
                </w:rPr>
                <m:t>W</m:t>
              </m:r>
              <m:r>
                <w:rPr>
                  <w:rFonts w:ascii="Cambria Math" w:hAnsi="Cambria Math"/>
                  <w:sz w:val="14"/>
                  <w:szCs w:val="14"/>
                </w:rPr>
                <m:t>∙</m:t>
              </m:r>
              <m:r>
                <m:rPr>
                  <m:nor/>
                </m:rPr>
                <w:rPr>
                  <w:i/>
                  <w:iCs/>
                  <w:sz w:val="14"/>
                  <w:szCs w:val="14"/>
                </w:rPr>
                <m:t>L</m:t>
              </m:r>
            </m:lim>
          </m:limLow>
          <w:bookmarkEnd w:id="170"/>
          <m:r>
            <m:rPr>
              <m:sty m:val="p"/>
            </m:rPr>
            <w:rPr>
              <w:rFonts w:ascii="Cambria Math" w:hAnsi="Cambria Math"/>
              <w:sz w:val="14"/>
              <w:szCs w:val="14"/>
            </w:rPr>
            <w:br/>
          </m:r>
        </m:oMath>
        <w:bookmarkStart w:id="172" w:name="_Hlk135822899"/>
        <m:oMath>
          <m:r>
            <w:rPr>
              <w:rFonts w:ascii="Cambria Math" w:eastAsiaTheme="minorEastAsia" w:hAnsi="Cambria Math"/>
              <w:sz w:val="14"/>
              <w:szCs w:val="14"/>
            </w:rPr>
            <m:t xml:space="preserve"> </m:t>
          </m:r>
          <w:bookmarkStart w:id="173" w:name="_Hlk135822655"/>
          <m:r>
            <m:rPr>
              <m:nor/>
            </m:rPr>
            <w:rPr>
              <w:rFonts w:cs="Times New Roman"/>
              <w:i/>
              <w:iCs/>
              <w:sz w:val="14"/>
              <w:szCs w:val="14"/>
            </w:rPr>
            <m:t>γ</m:t>
          </m:r>
          <w:bookmarkEnd w:id="173"/>
          <m:r>
            <m:rPr>
              <m:nor/>
            </m:rPr>
            <w:rPr>
              <w:rFonts w:cs="Times New Roman"/>
              <w:i/>
              <w:iCs/>
              <w:sz w:val="14"/>
              <w:szCs w:val="14"/>
            </w:rPr>
            <m:t xml:space="preserve"> </m:t>
          </m:r>
          <w:proofErr w:type="spellStart"/>
          <m:r>
            <m:rPr>
              <m:nor/>
            </m:rPr>
            <w:rPr>
              <w:i/>
              <w:iCs/>
              <w:sz w:val="14"/>
              <w:szCs w:val="14"/>
            </w:rPr>
            <m:t>mark</m:t>
          </m:r>
          <w:proofErr w:type="spellEnd"/>
          <m:r>
            <m:rPr>
              <m:nor/>
            </m:rPr>
            <w:rPr>
              <w:i/>
              <w:iCs/>
              <w:sz w:val="14"/>
              <w:szCs w:val="14"/>
            </w:rPr>
            <m:t>-up</m:t>
          </m:r>
          <m:r>
            <w:rPr>
              <w:rFonts w:ascii="Cambria Math" w:hAnsi="Cambria Math"/>
              <w:sz w:val="14"/>
              <w:szCs w:val="14"/>
            </w:rPr>
            <m:t>≈</m:t>
          </m:r>
          <m:d>
            <m:dPr>
              <m:ctrlPr>
                <w:rPr>
                  <w:rFonts w:ascii="Cambria Math" w:hAnsi="Cambria Math"/>
                  <w:i/>
                  <w:iCs/>
                  <w:sz w:val="14"/>
                  <w:szCs w:val="14"/>
                </w:rPr>
              </m:ctrlPr>
            </m:dPr>
            <m:e>
              <w:bookmarkStart w:id="174" w:name="_Hlk135822737"/>
              <m:limLow>
                <m:limLowPr>
                  <m:ctrlPr>
                    <w:rPr>
                      <w:rFonts w:ascii="Cambria Math" w:hAnsi="Cambria Math"/>
                      <w:i/>
                      <w:iCs/>
                      <w:sz w:val="14"/>
                      <w:szCs w:val="14"/>
                    </w:rPr>
                  </m:ctrlPr>
                </m:limLowPr>
                <m:e>
                  <m:groupChr>
                    <m:groupChrPr>
                      <m:ctrlPr>
                        <w:rPr>
                          <w:rFonts w:ascii="Cambria Math" w:hAnsi="Cambria Math"/>
                          <w:i/>
                          <w:iCs/>
                          <w:sz w:val="14"/>
                          <w:szCs w:val="14"/>
                        </w:rPr>
                      </m:ctrlPr>
                    </m:groupChrPr>
                    <m:e>
                      <m:r>
                        <m:rPr>
                          <m:nor/>
                        </m:rPr>
                        <w:rPr>
                          <w:rFonts w:cs="Times New Roman"/>
                          <w:i/>
                          <w:iCs/>
                          <w:sz w:val="14"/>
                          <w:szCs w:val="14"/>
                        </w:rPr>
                        <m:t xml:space="preserve">γ </m:t>
                      </m:r>
                      <m:r>
                        <m:rPr>
                          <m:nor/>
                        </m:rPr>
                        <w:rPr>
                          <w:i/>
                          <w:iCs/>
                          <w:sz w:val="14"/>
                          <w:szCs w:val="14"/>
                        </w:rPr>
                        <m:t>P</m:t>
                      </m:r>
                    </m:e>
                  </m:groupChr>
                </m:e>
                <m:lim>
                  <m:r>
                    <m:rPr>
                      <m:nor/>
                    </m:rPr>
                    <w:rPr>
                      <w:rFonts w:cs="Times New Roman"/>
                      <w:i/>
                      <w:iCs/>
                      <w:sz w:val="14"/>
                      <w:szCs w:val="14"/>
                    </w:rPr>
                    <m:t xml:space="preserve">γ </m:t>
                  </m:r>
                  <m:sSub>
                    <m:sSubPr>
                      <m:ctrlPr>
                        <w:rPr>
                          <w:rFonts w:ascii="Cambria Math" w:hAnsi="Cambria Math" w:cs="Times New Roman"/>
                          <w:i/>
                          <w:iCs/>
                          <w:sz w:val="14"/>
                          <w:szCs w:val="14"/>
                        </w:rPr>
                      </m:ctrlPr>
                    </m:sSubPr>
                    <m:e>
                      <m:r>
                        <m:rPr>
                          <m:nor/>
                        </m:rPr>
                        <w:rPr>
                          <w:rFonts w:cs="Times New Roman"/>
                          <w:i/>
                          <w:iCs/>
                          <w:sz w:val="14"/>
                          <w:szCs w:val="14"/>
                        </w:rPr>
                        <m:t>Deflactor</m:t>
                      </m:r>
                    </m:e>
                    <m:sub>
                      <m:r>
                        <m:rPr>
                          <m:nor/>
                        </m:rPr>
                        <w:rPr>
                          <w:rFonts w:cs="Times New Roman"/>
                          <w:i/>
                          <w:iCs/>
                          <w:sz w:val="14"/>
                          <w:szCs w:val="14"/>
                        </w:rPr>
                        <m:t>PIB</m:t>
                      </m:r>
                    </m:sub>
                  </m:sSub>
                </m:lim>
              </m:limLow>
              <w:bookmarkEnd w:id="174"/>
              <m:r>
                <w:rPr>
                  <w:rFonts w:ascii="Cambria Math" w:eastAsiaTheme="minorEastAsia" w:hAnsi="Cambria Math"/>
                  <w:sz w:val="14"/>
                  <w:szCs w:val="14"/>
                </w:rPr>
                <m:t>+</m:t>
              </m:r>
              <m:limLow>
                <m:limLowPr>
                  <m:ctrlPr>
                    <w:rPr>
                      <w:rFonts w:ascii="Cambria Math" w:hAnsi="Cambria Math"/>
                      <w:i/>
                      <w:iCs/>
                      <w:sz w:val="14"/>
                      <w:szCs w:val="14"/>
                    </w:rPr>
                  </m:ctrlPr>
                </m:limLowPr>
                <m:e>
                  <m:groupChr>
                    <m:groupChrPr>
                      <m:ctrlPr>
                        <w:rPr>
                          <w:rFonts w:ascii="Cambria Math" w:hAnsi="Cambria Math"/>
                          <w:i/>
                          <w:iCs/>
                          <w:sz w:val="14"/>
                          <w:szCs w:val="14"/>
                        </w:rPr>
                      </m:ctrlPr>
                    </m:groupChrPr>
                    <m:e>
                      <m:r>
                        <m:rPr>
                          <m:nor/>
                        </m:rPr>
                        <w:rPr>
                          <w:rFonts w:cs="Times New Roman"/>
                          <w:i/>
                          <w:iCs/>
                          <w:sz w:val="14"/>
                          <w:szCs w:val="14"/>
                        </w:rPr>
                        <m:t xml:space="preserve">γ </m:t>
                      </m:r>
                      <m:r>
                        <m:rPr>
                          <m:nor/>
                        </m:rPr>
                        <w:rPr>
                          <w:i/>
                          <w:iCs/>
                          <w:sz w:val="14"/>
                          <w:szCs w:val="14"/>
                        </w:rPr>
                        <m:t>Q</m:t>
                      </m:r>
                    </m:e>
                  </m:groupChr>
                </m:e>
                <m:lim>
                  <m:r>
                    <m:rPr>
                      <m:nor/>
                    </m:rPr>
                    <w:rPr>
                      <w:rFonts w:cs="Times New Roman"/>
                      <w:i/>
                      <w:iCs/>
                      <w:sz w:val="14"/>
                      <w:szCs w:val="14"/>
                    </w:rPr>
                    <m:t xml:space="preserve">γ </m:t>
                  </m:r>
                  <m:sSub>
                    <m:sSubPr>
                      <m:ctrlPr>
                        <w:rPr>
                          <w:rFonts w:ascii="Cambria Math" w:hAnsi="Cambria Math" w:cs="Times New Roman"/>
                          <w:i/>
                          <w:iCs/>
                          <w:sz w:val="14"/>
                          <w:szCs w:val="14"/>
                        </w:rPr>
                      </m:ctrlPr>
                    </m:sSubPr>
                    <m:e>
                      <m:r>
                        <m:rPr>
                          <m:nor/>
                        </m:rPr>
                        <w:rPr>
                          <w:rFonts w:cs="Times New Roman"/>
                          <w:i/>
                          <w:iCs/>
                          <w:sz w:val="14"/>
                          <w:szCs w:val="14"/>
                        </w:rPr>
                        <m:t>PIB</m:t>
                      </m:r>
                    </m:e>
                    <m:sub>
                      <m:r>
                        <m:rPr>
                          <m:nor/>
                        </m:rPr>
                        <w:rPr>
                          <w:rFonts w:cs="Times New Roman"/>
                          <w:i/>
                          <w:iCs/>
                          <w:sz w:val="14"/>
                          <w:szCs w:val="14"/>
                        </w:rPr>
                        <m:t>real</m:t>
                      </m:r>
                    </m:sub>
                  </m:sSub>
                </m:lim>
              </m:limLow>
            </m:e>
          </m:d>
          <w:bookmarkStart w:id="175" w:name="_Hlk135822782"/>
          <m:r>
            <w:rPr>
              <w:rFonts w:ascii="Cambria Math" w:eastAsiaTheme="minorEastAsia" w:hAnsi="Cambria Math"/>
              <w:sz w:val="14"/>
              <w:szCs w:val="14"/>
            </w:rPr>
            <m:t>-</m:t>
          </m:r>
          <w:bookmarkEnd w:id="175"/>
          <m:d>
            <m:dPr>
              <m:ctrlPr>
                <w:rPr>
                  <w:rFonts w:ascii="Cambria Math" w:hAnsi="Cambria Math"/>
                  <w:i/>
                  <w:iCs/>
                  <w:sz w:val="14"/>
                  <w:szCs w:val="14"/>
                </w:rPr>
              </m:ctrlPr>
            </m:dPr>
            <m:e>
              <m:limLow>
                <m:limLowPr>
                  <m:ctrlPr>
                    <w:rPr>
                      <w:rFonts w:ascii="Cambria Math" w:hAnsi="Cambria Math"/>
                      <w:i/>
                      <w:iCs/>
                      <w:sz w:val="14"/>
                      <w:szCs w:val="14"/>
                    </w:rPr>
                  </m:ctrlPr>
                </m:limLowPr>
                <m:e>
                  <m:groupChr>
                    <m:groupChrPr>
                      <m:ctrlPr>
                        <w:rPr>
                          <w:rFonts w:ascii="Cambria Math" w:hAnsi="Cambria Math"/>
                          <w:i/>
                          <w:iCs/>
                          <w:sz w:val="14"/>
                          <w:szCs w:val="14"/>
                        </w:rPr>
                      </m:ctrlPr>
                    </m:groupChrPr>
                    <m:e>
                      <m:r>
                        <m:rPr>
                          <m:nor/>
                        </m:rPr>
                        <w:rPr>
                          <w:rFonts w:cs="Times New Roman"/>
                          <w:i/>
                          <w:iCs/>
                          <w:sz w:val="14"/>
                          <w:szCs w:val="14"/>
                        </w:rPr>
                        <m:t xml:space="preserve">γ </m:t>
                      </m:r>
                      <m:r>
                        <m:rPr>
                          <m:nor/>
                        </m:rPr>
                        <w:rPr>
                          <w:i/>
                          <w:iCs/>
                          <w:sz w:val="14"/>
                          <w:szCs w:val="14"/>
                        </w:rPr>
                        <m:t>W</m:t>
                      </m:r>
                    </m:e>
                  </m:groupChr>
                </m:e>
                <m:lim>
                  <m:r>
                    <m:rPr>
                      <m:nor/>
                    </m:rPr>
                    <w:rPr>
                      <w:rFonts w:cs="Times New Roman"/>
                      <w:i/>
                      <w:iCs/>
                      <w:sz w:val="14"/>
                      <w:szCs w:val="14"/>
                    </w:rPr>
                    <m:t>γ Rem. asalariados</m:t>
                  </m:r>
                </m:lim>
              </m:limLow>
              <m:r>
                <w:rPr>
                  <w:rFonts w:ascii="Cambria Math" w:eastAsiaTheme="minorEastAsia" w:hAnsi="Cambria Math"/>
                  <w:sz w:val="14"/>
                  <w:szCs w:val="14"/>
                </w:rPr>
                <m:t>+</m:t>
              </m:r>
              <m:limLow>
                <m:limLowPr>
                  <m:ctrlPr>
                    <w:rPr>
                      <w:rFonts w:ascii="Cambria Math" w:hAnsi="Cambria Math"/>
                      <w:i/>
                      <w:iCs/>
                      <w:sz w:val="14"/>
                      <w:szCs w:val="14"/>
                    </w:rPr>
                  </m:ctrlPr>
                </m:limLowPr>
                <m:e>
                  <m:groupChr>
                    <m:groupChrPr>
                      <m:ctrlPr>
                        <w:rPr>
                          <w:rFonts w:ascii="Cambria Math" w:hAnsi="Cambria Math"/>
                          <w:i/>
                          <w:iCs/>
                          <w:sz w:val="14"/>
                          <w:szCs w:val="14"/>
                        </w:rPr>
                      </m:ctrlPr>
                    </m:groupChrPr>
                    <m:e>
                      <m:r>
                        <m:rPr>
                          <m:nor/>
                        </m:rPr>
                        <w:rPr>
                          <w:rFonts w:cs="Times New Roman"/>
                          <w:i/>
                          <w:iCs/>
                          <w:sz w:val="14"/>
                          <w:szCs w:val="14"/>
                        </w:rPr>
                        <m:t xml:space="preserve">γ </m:t>
                      </m:r>
                      <m:r>
                        <m:rPr>
                          <m:nor/>
                        </m:rPr>
                        <w:rPr>
                          <w:i/>
                          <w:iCs/>
                          <w:sz w:val="14"/>
                          <w:szCs w:val="14"/>
                        </w:rPr>
                        <m:t>L</m:t>
                      </m:r>
                    </m:e>
                  </m:groupChr>
                </m:e>
                <m:lim>
                  <m:r>
                    <m:rPr>
                      <m:nor/>
                    </m:rPr>
                    <w:rPr>
                      <w:rFonts w:cs="Times New Roman"/>
                      <w:i/>
                      <w:iCs/>
                      <w:sz w:val="14"/>
                      <w:szCs w:val="14"/>
                    </w:rPr>
                    <m:t>γ Empleo</m:t>
                  </m:r>
                </m:lim>
              </m:limLow>
            </m:e>
          </m:d>
          <w:bookmarkEnd w:id="172"/>
          <m:r>
            <m:rPr>
              <m:sty m:val="p"/>
            </m:rPr>
            <w:rPr>
              <w:rFonts w:eastAsiaTheme="minorEastAsia"/>
              <w:sz w:val="14"/>
              <w:szCs w:val="14"/>
            </w:rPr>
            <w:br/>
          </m:r>
        </m:oMath>
        <m:oMath>
          <m:r>
            <w:rPr>
              <w:rFonts w:ascii="Cambria Math" w:eastAsiaTheme="minorEastAsia" w:hAnsi="Cambria Math"/>
              <w:sz w:val="14"/>
              <w:szCs w:val="14"/>
            </w:rPr>
            <m:t xml:space="preserve"> </m:t>
          </m:r>
          <m:r>
            <m:rPr>
              <m:nor/>
            </m:rPr>
            <w:rPr>
              <w:rFonts w:cs="Times New Roman"/>
              <w:i/>
              <w:iCs/>
              <w:sz w:val="14"/>
              <w:szCs w:val="14"/>
            </w:rPr>
            <m:t xml:space="preserve">γ </m:t>
          </m:r>
          <w:proofErr w:type="spellStart"/>
          <m:r>
            <m:rPr>
              <m:nor/>
            </m:rPr>
            <w:rPr>
              <w:i/>
              <w:iCs/>
              <w:sz w:val="14"/>
              <w:szCs w:val="14"/>
            </w:rPr>
            <m:t>mark</m:t>
          </m:r>
          <w:proofErr w:type="spellEnd"/>
          <m:r>
            <m:rPr>
              <m:nor/>
            </m:rPr>
            <w:rPr>
              <w:i/>
              <w:iCs/>
              <w:sz w:val="14"/>
              <w:szCs w:val="14"/>
            </w:rPr>
            <m:t>-up</m:t>
          </m:r>
          <m:r>
            <w:rPr>
              <w:rFonts w:ascii="Cambria Math" w:hAnsi="Cambria Math"/>
              <w:sz w:val="14"/>
              <w:szCs w:val="14"/>
            </w:rPr>
            <m:t>≈</m:t>
          </m:r>
          <m:r>
            <m:rPr>
              <m:nor/>
            </m:rPr>
            <w:rPr>
              <w:rFonts w:cs="Times New Roman"/>
              <w:i/>
              <w:iCs/>
              <w:sz w:val="14"/>
              <w:szCs w:val="14"/>
            </w:rPr>
            <m:t xml:space="preserve">γ </m:t>
          </m:r>
          <m:sSub>
            <m:sSubPr>
              <m:ctrlPr>
                <w:rPr>
                  <w:rFonts w:ascii="Cambria Math" w:hAnsi="Cambria Math" w:cs="Times New Roman"/>
                  <w:i/>
                  <w:iCs/>
                  <w:sz w:val="14"/>
                  <w:szCs w:val="14"/>
                </w:rPr>
              </m:ctrlPr>
            </m:sSubPr>
            <m:e>
              <m:r>
                <m:rPr>
                  <m:nor/>
                </m:rPr>
                <w:rPr>
                  <w:rFonts w:cs="Times New Roman"/>
                  <w:i/>
                  <w:iCs/>
                  <w:sz w:val="14"/>
                  <w:szCs w:val="14"/>
                </w:rPr>
                <m:t>Deflactor</m:t>
              </m:r>
            </m:e>
            <m:sub>
              <m:r>
                <m:rPr>
                  <m:nor/>
                </m:rPr>
                <w:rPr>
                  <w:rFonts w:cs="Times New Roman"/>
                  <w:i/>
                  <w:iCs/>
                  <w:sz w:val="14"/>
                  <w:szCs w:val="14"/>
                </w:rPr>
                <m:t>PIB</m:t>
              </m:r>
            </m:sub>
          </m:sSub>
          <w:bookmarkStart w:id="176" w:name="_Hlk135823064"/>
          <m:r>
            <w:rPr>
              <w:rFonts w:ascii="Cambria Math" w:eastAsiaTheme="minorEastAsia" w:hAnsi="Cambria Math"/>
              <w:sz w:val="14"/>
              <w:szCs w:val="14"/>
            </w:rPr>
            <m:t>-</m:t>
          </m:r>
          <w:bookmarkEnd w:id="176"/>
          <m:limLow>
            <m:limLowPr>
              <m:ctrlPr>
                <w:rPr>
                  <w:rFonts w:ascii="Cambria Math" w:hAnsi="Cambria Math" w:cs="Times New Roman"/>
                  <w:i/>
                  <w:iCs/>
                  <w:sz w:val="14"/>
                  <w:szCs w:val="14"/>
                </w:rPr>
              </m:ctrlPr>
            </m:limLowPr>
            <m:e>
              <m:groupChr>
                <m:groupChrPr>
                  <m:ctrlPr>
                    <w:rPr>
                      <w:rFonts w:ascii="Cambria Math" w:hAnsi="Cambria Math" w:cs="Times New Roman"/>
                      <w:i/>
                      <w:iCs/>
                      <w:sz w:val="14"/>
                      <w:szCs w:val="14"/>
                    </w:rPr>
                  </m:ctrlPr>
                </m:groupChrPr>
                <m:e>
                  <m:d>
                    <m:dPr>
                      <m:ctrlPr>
                        <w:rPr>
                          <w:rFonts w:ascii="Cambria Math" w:eastAsiaTheme="minorEastAsia" w:hAnsi="Cambria Math"/>
                          <w:i/>
                          <w:iCs/>
                          <w:sz w:val="14"/>
                          <w:szCs w:val="14"/>
                        </w:rPr>
                      </m:ctrlPr>
                    </m:dPr>
                    <m:e>
                      <m:r>
                        <m:rPr>
                          <m:nor/>
                        </m:rPr>
                        <w:rPr>
                          <w:rFonts w:cs="Times New Roman"/>
                          <w:i/>
                          <w:iCs/>
                          <w:sz w:val="14"/>
                          <w:szCs w:val="14"/>
                        </w:rPr>
                        <m:t>γ Rem. asalariados</m:t>
                      </m:r>
                      <m:r>
                        <w:rPr>
                          <w:rFonts w:ascii="Cambria Math" w:eastAsiaTheme="minorEastAsia" w:hAnsi="Cambria Math"/>
                          <w:sz w:val="14"/>
                          <w:szCs w:val="14"/>
                        </w:rPr>
                        <m:t>-</m:t>
                      </m:r>
                      <m:limLow>
                        <m:limLowPr>
                          <m:ctrlPr>
                            <w:rPr>
                              <w:rFonts w:ascii="Cambria Math" w:hAnsi="Cambria Math" w:cs="Times New Roman"/>
                              <w:i/>
                              <w:iCs/>
                              <w:sz w:val="14"/>
                              <w:szCs w:val="14"/>
                            </w:rPr>
                          </m:ctrlPr>
                        </m:limLowPr>
                        <m:e>
                          <m:groupChr>
                            <m:groupChrPr>
                              <m:ctrlPr>
                                <w:rPr>
                                  <w:rFonts w:ascii="Cambria Math" w:hAnsi="Cambria Math" w:cs="Times New Roman"/>
                                  <w:i/>
                                  <w:iCs/>
                                  <w:sz w:val="14"/>
                                  <w:szCs w:val="14"/>
                                </w:rPr>
                              </m:ctrlPr>
                            </m:groupChrPr>
                            <m:e>
                              <m:d>
                                <m:dPr>
                                  <m:ctrlPr>
                                    <w:rPr>
                                      <w:rFonts w:ascii="Cambria Math" w:hAnsi="Cambria Math" w:cs="Times New Roman"/>
                                      <w:i/>
                                      <w:iCs/>
                                      <w:sz w:val="14"/>
                                      <w:szCs w:val="14"/>
                                    </w:rPr>
                                  </m:ctrlPr>
                                </m:dPr>
                                <m:e>
                                  <m:r>
                                    <m:rPr>
                                      <m:nor/>
                                    </m:rPr>
                                    <w:rPr>
                                      <w:rFonts w:cs="Times New Roman"/>
                                      <w:i/>
                                      <w:iCs/>
                                      <w:sz w:val="14"/>
                                      <w:szCs w:val="14"/>
                                    </w:rPr>
                                    <m:t xml:space="preserve">γ </m:t>
                                  </m:r>
                                  <m:sSub>
                                    <m:sSubPr>
                                      <m:ctrlPr>
                                        <w:rPr>
                                          <w:rFonts w:ascii="Cambria Math" w:hAnsi="Cambria Math" w:cs="Times New Roman"/>
                                          <w:i/>
                                          <w:iCs/>
                                          <w:sz w:val="14"/>
                                          <w:szCs w:val="14"/>
                                        </w:rPr>
                                      </m:ctrlPr>
                                    </m:sSubPr>
                                    <m:e>
                                      <m:r>
                                        <m:rPr>
                                          <m:nor/>
                                        </m:rPr>
                                        <w:rPr>
                                          <w:rFonts w:cs="Times New Roman"/>
                                          <w:i/>
                                          <w:iCs/>
                                          <w:sz w:val="14"/>
                                          <w:szCs w:val="14"/>
                                        </w:rPr>
                                        <m:t>PIB</m:t>
                                      </m:r>
                                    </m:e>
                                    <m:sub>
                                      <m:r>
                                        <m:rPr>
                                          <m:nor/>
                                        </m:rPr>
                                        <w:rPr>
                                          <w:rFonts w:cs="Times New Roman"/>
                                          <w:i/>
                                          <w:iCs/>
                                          <w:sz w:val="14"/>
                                          <w:szCs w:val="14"/>
                                        </w:rPr>
                                        <m:t>real</m:t>
                                      </m:r>
                                    </m:sub>
                                  </m:sSub>
                                  <m:r>
                                    <w:rPr>
                                      <w:rFonts w:ascii="Cambria Math" w:eastAsiaTheme="minorEastAsia" w:hAnsi="Cambria Math"/>
                                      <w:sz w:val="14"/>
                                      <w:szCs w:val="14"/>
                                    </w:rPr>
                                    <m:t>-</m:t>
                                  </m:r>
                                  <m:r>
                                    <m:rPr>
                                      <m:nor/>
                                    </m:rPr>
                                    <w:rPr>
                                      <w:rFonts w:cs="Times New Roman"/>
                                      <w:i/>
                                      <w:iCs/>
                                      <w:sz w:val="14"/>
                                      <w:szCs w:val="14"/>
                                    </w:rPr>
                                    <m:t>γ Empleo</m:t>
                                  </m:r>
                                </m:e>
                              </m:d>
                            </m:e>
                          </m:groupChr>
                        </m:e>
                        <m:lim>
                          <m:r>
                            <m:rPr>
                              <m:nor/>
                            </m:rPr>
                            <w:rPr>
                              <w:rFonts w:cs="Times New Roman"/>
                              <w:i/>
                              <w:iCs/>
                              <w:sz w:val="14"/>
                              <w:szCs w:val="14"/>
                            </w:rPr>
                            <m:t>γ PAT</m:t>
                          </m:r>
                        </m:lim>
                      </m:limLow>
                    </m:e>
                  </m:d>
                </m:e>
              </m:groupChr>
            </m:e>
            <m:lim>
              <m:r>
                <m:rPr>
                  <m:nor/>
                </m:rPr>
                <w:rPr>
                  <w:rFonts w:cs="Times New Roman"/>
                  <w:i/>
                  <w:iCs/>
                  <w:sz w:val="14"/>
                  <w:szCs w:val="14"/>
                </w:rPr>
                <m:t>γ CLUs</m:t>
              </m:r>
            </m:lim>
          </m:limLow>
        </m:oMath>
      </m:oMathPara>
    </w:p>
    <w:p w14:paraId="48BF22C0" w14:textId="393B0C2C" w:rsidR="00871652" w:rsidRPr="00025F23" w:rsidRDefault="000C57BF" w:rsidP="00871652">
      <w:pPr>
        <w:pStyle w:val="Nivel3"/>
      </w:pPr>
      <w:r w:rsidRPr="00025F23">
        <w:rPr>
          <w:i/>
          <w:iCs/>
        </w:rPr>
        <w:t>Demanda interna</w:t>
      </w:r>
      <w:r w:rsidRPr="00025F23">
        <w:t xml:space="preserve"> (+)</w:t>
      </w:r>
    </w:p>
    <w:p w14:paraId="294EB83F" w14:textId="449830D3" w:rsidR="000C57BF" w:rsidRPr="00025F23" w:rsidRDefault="000C57BF" w:rsidP="00871652">
      <w:pPr>
        <w:pStyle w:val="Nivel3"/>
      </w:pPr>
      <w:r w:rsidRPr="00025F23">
        <w:rPr>
          <w:i/>
          <w:iCs/>
        </w:rPr>
        <w:t>Exportaciones</w:t>
      </w:r>
      <w:r w:rsidRPr="00025F23">
        <w:t xml:space="preserve"> (+)</w:t>
      </w:r>
    </w:p>
    <w:p w14:paraId="2B3B6A2E" w14:textId="5A984BFC" w:rsidR="000C57BF" w:rsidRPr="00025F23" w:rsidRDefault="00016D6D" w:rsidP="00871652">
      <w:pPr>
        <w:pStyle w:val="Nivel3"/>
        <w:rPr>
          <w:sz w:val="14"/>
          <w:szCs w:val="14"/>
        </w:rPr>
      </w:pPr>
      <w:r w:rsidRPr="00025F23">
        <w:rPr>
          <w:i/>
          <w:iCs/>
        </w:rPr>
        <w:t>Factores institucionales</w:t>
      </w:r>
      <w:r w:rsidRPr="00025F23">
        <w:t>:</w:t>
      </w:r>
      <w:r w:rsidRPr="00025F23">
        <w:rPr>
          <w:sz w:val="14"/>
          <w:szCs w:val="14"/>
        </w:rPr>
        <w:t xml:space="preserve"> rigideces, problemas de emparejamiento, etc.</w:t>
      </w:r>
    </w:p>
    <w:p w14:paraId="5E6D31AC" w14:textId="342919DD" w:rsidR="00011C67" w:rsidRPr="00025F23" w:rsidRDefault="00011C67" w:rsidP="00601F6D">
      <w:pPr>
        <w:pStyle w:val="Prrafodelista"/>
        <w:keepNext/>
        <w:numPr>
          <w:ilvl w:val="0"/>
          <w:numId w:val="6"/>
        </w:numPr>
        <w:ind w:left="369" w:hanging="227"/>
      </w:pPr>
      <w:r w:rsidRPr="00025F23">
        <w:rPr>
          <w:i/>
          <w:iCs/>
          <w:szCs w:val="16"/>
          <w:u w:val="single"/>
        </w:rPr>
        <w:lastRenderedPageBreak/>
        <w:t>Oferta de trabajo</w:t>
      </w:r>
      <w:r w:rsidRPr="00025F23">
        <w:rPr>
          <w:szCs w:val="16"/>
        </w:rPr>
        <w:t>:</w:t>
      </w:r>
      <w:r w:rsidR="009D590C" w:rsidRPr="00025F23">
        <w:rPr>
          <w:szCs w:val="16"/>
        </w:rPr>
        <w:t xml:space="preserve"> Nos fijamos en la </w:t>
      </w:r>
      <w:r w:rsidR="009D590C" w:rsidRPr="00025F23">
        <w:rPr>
          <w:i/>
          <w:iCs/>
          <w:szCs w:val="16"/>
        </w:rPr>
        <w:t>población activa</w:t>
      </w:r>
      <w:r w:rsidR="009D590C" w:rsidRPr="00025F23">
        <w:rPr>
          <w:szCs w:val="16"/>
        </w:rPr>
        <w:t xml:space="preserve">. Depende principalmente del </w:t>
      </w:r>
      <w:r w:rsidR="009D590C" w:rsidRPr="00025F23">
        <w:rPr>
          <w:i/>
          <w:iCs/>
          <w:szCs w:val="16"/>
          <w:u w:val="single"/>
        </w:rPr>
        <w:t>salario real</w:t>
      </w:r>
      <w:r w:rsidR="009D590C" w:rsidRPr="00025F23">
        <w:rPr>
          <w:szCs w:val="16"/>
        </w:rPr>
        <w:t>, pero también puede haber desincentivos (</w:t>
      </w:r>
      <w:proofErr w:type="spellStart"/>
      <w:r w:rsidR="00582DB2" w:rsidRPr="00025F23">
        <w:rPr>
          <w:szCs w:val="16"/>
        </w:rPr>
        <w:t>e.g</w:t>
      </w:r>
      <w:proofErr w:type="spellEnd"/>
      <w:r w:rsidR="00582DB2" w:rsidRPr="00025F23">
        <w:rPr>
          <w:szCs w:val="16"/>
        </w:rPr>
        <w:t>.</w:t>
      </w:r>
      <w:r w:rsidR="009D590C" w:rsidRPr="00025F23">
        <w:rPr>
          <w:szCs w:val="16"/>
        </w:rPr>
        <w:t xml:space="preserve"> subsidios por desempleo).</w:t>
      </w:r>
    </w:p>
    <w:p w14:paraId="27D1FA8B" w14:textId="7022DF08" w:rsidR="00240E0F" w:rsidRPr="00025F23" w:rsidRDefault="00000000" w:rsidP="00240E0F">
      <w:pPr>
        <w:pStyle w:val="Prrafodelista"/>
        <w:ind w:left="426"/>
        <w:rPr>
          <w:i/>
          <w:iCs/>
          <w:sz w:val="14"/>
          <w:szCs w:val="14"/>
        </w:rPr>
      </w:pPr>
      <m:oMathPara>
        <m:oMath>
          <m:sSup>
            <m:sSupPr>
              <m:ctrlPr>
                <w:rPr>
                  <w:rFonts w:ascii="Cambria Math" w:hAnsi="Cambria Math"/>
                  <w:i/>
                  <w:iCs/>
                  <w:sz w:val="14"/>
                  <w:szCs w:val="14"/>
                </w:rPr>
              </m:ctrlPr>
            </m:sSupPr>
            <m:e>
              <m:r>
                <m:rPr>
                  <m:nor/>
                </m:rPr>
                <w:rPr>
                  <w:i/>
                  <w:iCs/>
                  <w:sz w:val="14"/>
                  <w:szCs w:val="14"/>
                </w:rPr>
                <m:t>L</m:t>
              </m:r>
            </m:e>
            <m:sup>
              <m:r>
                <m:rPr>
                  <m:nor/>
                </m:rPr>
                <w:rPr>
                  <w:i/>
                  <w:iCs/>
                  <w:sz w:val="14"/>
                  <w:szCs w:val="14"/>
                </w:rPr>
                <m:t>S</m:t>
              </m:r>
            </m:sup>
          </m:sSup>
          <m:r>
            <w:rPr>
              <w:rFonts w:ascii="Cambria Math" w:hAnsi="Cambria Math"/>
              <w:sz w:val="14"/>
              <w:szCs w:val="14"/>
            </w:rPr>
            <m:t>=</m:t>
          </m:r>
          <m:r>
            <m:rPr>
              <m:nor/>
            </m:rPr>
            <w:rPr>
              <w:i/>
              <w:iCs/>
              <w:sz w:val="14"/>
              <w:szCs w:val="14"/>
            </w:rPr>
            <m:t>f</m:t>
          </m:r>
          <m:d>
            <m:dPr>
              <m:ctrlPr>
                <w:rPr>
                  <w:rFonts w:ascii="Cambria Math" w:hAnsi="Cambria Math"/>
                  <w:i/>
                  <w:iCs/>
                  <w:sz w:val="14"/>
                  <w:szCs w:val="14"/>
                </w:rPr>
              </m:ctrlPr>
            </m:dPr>
            <m:e>
              <m:limUpp>
                <m:limUppPr>
                  <m:ctrlPr>
                    <w:rPr>
                      <w:rFonts w:ascii="Cambria Math" w:hAnsi="Cambria Math"/>
                      <w:i/>
                      <w:iCs/>
                      <w:sz w:val="14"/>
                      <w:szCs w:val="14"/>
                    </w:rPr>
                  </m:ctrlPr>
                </m:limUppPr>
                <m:e>
                  <m:sSub>
                    <m:sSubPr>
                      <m:ctrlPr>
                        <w:rPr>
                          <w:rFonts w:ascii="Cambria Math" w:hAnsi="Cambria Math"/>
                          <w:i/>
                          <w:iCs/>
                          <w:sz w:val="14"/>
                          <w:szCs w:val="14"/>
                        </w:rPr>
                      </m:ctrlPr>
                    </m:sSubPr>
                    <m:e>
                      <m:r>
                        <m:rPr>
                          <m:nor/>
                        </m:rPr>
                        <w:rPr>
                          <w:i/>
                          <w:iCs/>
                          <w:sz w:val="14"/>
                          <w:szCs w:val="14"/>
                        </w:rPr>
                        <m:t>w</m:t>
                      </m:r>
                    </m:e>
                    <m:sub>
                      <m:r>
                        <m:rPr>
                          <m:nor/>
                        </m:rPr>
                        <w:rPr>
                          <w:i/>
                          <w:iCs/>
                          <w:sz w:val="14"/>
                          <w:szCs w:val="14"/>
                        </w:rPr>
                        <m:t>real</m:t>
                      </m:r>
                    </m:sub>
                  </m:sSub>
                </m:e>
                <m:lim>
                  <m:r>
                    <m:rPr>
                      <m:sty m:val="p"/>
                    </m:rPr>
                    <w:rPr>
                      <w:rFonts w:ascii="Cambria Math" w:hAnsi="Cambria Math"/>
                      <w:sz w:val="14"/>
                      <w:szCs w:val="14"/>
                    </w:rPr>
                    <m:t>+</m:t>
                  </m:r>
                </m:lim>
              </m:limUpp>
              <m:r>
                <m:rPr>
                  <m:nor/>
                </m:rPr>
                <w:rPr>
                  <w:i/>
                  <w:iCs/>
                  <w:sz w:val="14"/>
                  <w:szCs w:val="14"/>
                </w:rPr>
                <m:t xml:space="preserve"> | </m:t>
              </m:r>
              <m:limUpp>
                <m:limUppPr>
                  <m:ctrlPr>
                    <w:rPr>
                      <w:rFonts w:ascii="Cambria Math" w:hAnsi="Cambria Math"/>
                      <w:i/>
                      <w:iCs/>
                      <w:sz w:val="14"/>
                      <w:szCs w:val="14"/>
                    </w:rPr>
                  </m:ctrlPr>
                </m:limUppPr>
                <m:e>
                  <m:r>
                    <m:rPr>
                      <m:nor/>
                    </m:rPr>
                    <w:rPr>
                      <w:i/>
                      <w:iCs/>
                      <w:sz w:val="14"/>
                      <w:szCs w:val="14"/>
                    </w:rPr>
                    <m:t>Subsidios por desempleo</m:t>
                  </m:r>
                </m:e>
                <m:lim>
                  <m:r>
                    <w:rPr>
                      <w:rFonts w:ascii="Cambria Math" w:hAnsi="Cambria Math"/>
                      <w:sz w:val="14"/>
                      <w:szCs w:val="14"/>
                    </w:rPr>
                    <m:t>-</m:t>
                  </m:r>
                </m:lim>
              </m:limUpp>
            </m:e>
          </m:d>
        </m:oMath>
      </m:oMathPara>
    </w:p>
    <w:p w14:paraId="545DBC1B" w14:textId="15B76B9E" w:rsidR="00011C67" w:rsidRPr="00025F23" w:rsidRDefault="00011C67" w:rsidP="00CC7158">
      <w:pPr>
        <w:pStyle w:val="Prrafodelista"/>
        <w:numPr>
          <w:ilvl w:val="0"/>
          <w:numId w:val="6"/>
        </w:numPr>
        <w:ind w:left="369" w:hanging="227"/>
      </w:pPr>
      <w:r w:rsidRPr="00025F23">
        <w:rPr>
          <w:i/>
          <w:iCs/>
          <w:szCs w:val="16"/>
          <w:u w:val="single"/>
        </w:rPr>
        <w:t>Efectos del mercado de trabajo sobre los precios</w:t>
      </w:r>
      <w:r w:rsidRPr="00025F23">
        <w:rPr>
          <w:szCs w:val="16"/>
        </w:rPr>
        <w:t>:</w:t>
      </w:r>
      <w:r w:rsidR="00764BE8" w:rsidRPr="00025F23">
        <w:rPr>
          <w:szCs w:val="16"/>
        </w:rPr>
        <w:t xml:space="preserve"> Analizar si el comportamiento del mercado laboral tiene efectos sobre la evolución de los precios (indexación de los salarios a la inflación en lugar de a la productividad, estructuras sindicales intermedias, etc.)</w:t>
      </w:r>
    </w:p>
    <w:p w14:paraId="066D1734" w14:textId="61F5687F" w:rsidR="00011C67" w:rsidRPr="00025F23" w:rsidRDefault="00011C67" w:rsidP="00CC7158">
      <w:pPr>
        <w:pStyle w:val="Prrafodelista"/>
        <w:numPr>
          <w:ilvl w:val="0"/>
          <w:numId w:val="6"/>
        </w:numPr>
        <w:ind w:left="369" w:hanging="227"/>
      </w:pPr>
      <w:r w:rsidRPr="00025F23">
        <w:rPr>
          <w:i/>
          <w:iCs/>
          <w:szCs w:val="16"/>
          <w:u w:val="single"/>
        </w:rPr>
        <w:t>Competitividad</w:t>
      </w:r>
      <w:r w:rsidRPr="00025F23">
        <w:rPr>
          <w:szCs w:val="16"/>
        </w:rPr>
        <w:t>:</w:t>
      </w:r>
      <w:r w:rsidR="00CE6897" w:rsidRPr="00025F23">
        <w:rPr>
          <w:szCs w:val="16"/>
        </w:rPr>
        <w:t xml:space="preserve"> Ver el elemento de la competitividad que tiene que ver con el mercado de trabajo: </w:t>
      </w:r>
      <w:proofErr w:type="spellStart"/>
      <m:oMath>
        <m:r>
          <m:rPr>
            <m:nor/>
          </m:rPr>
          <w:rPr>
            <w:szCs w:val="16"/>
          </w:rPr>
          <m:t>ΔCLUs</m:t>
        </m:r>
      </m:oMath>
      <w:proofErr w:type="spellEnd"/>
      <w:r w:rsidR="00CE6897" w:rsidRPr="00025F23">
        <w:rPr>
          <w:szCs w:val="16"/>
        </w:rPr>
        <w:t>.</w:t>
      </w:r>
    </w:p>
    <w:p w14:paraId="3094A4B7" w14:textId="77777777" w:rsidR="00011C67" w:rsidRPr="00025F23" w:rsidRDefault="00011C67" w:rsidP="00CC7158">
      <w:pPr>
        <w:pStyle w:val="Prrafodelista"/>
        <w:numPr>
          <w:ilvl w:val="0"/>
          <w:numId w:val="6"/>
        </w:numPr>
        <w:ind w:left="369" w:hanging="227"/>
        <w:rPr>
          <w:szCs w:val="16"/>
        </w:rPr>
      </w:pPr>
      <w:r w:rsidRPr="00025F23">
        <w:rPr>
          <w:i/>
          <w:iCs/>
          <w:szCs w:val="16"/>
          <w:u w:val="single"/>
        </w:rPr>
        <w:t>NAIRU</w:t>
      </w:r>
      <w:r w:rsidRPr="00025F23">
        <w:rPr>
          <w:i/>
          <w:iCs/>
          <w:szCs w:val="16"/>
        </w:rPr>
        <w:t xml:space="preserve"> (Non-</w:t>
      </w:r>
      <w:proofErr w:type="spellStart"/>
      <w:r w:rsidRPr="00025F23">
        <w:rPr>
          <w:i/>
          <w:iCs/>
          <w:szCs w:val="16"/>
        </w:rPr>
        <w:t>Accelerating</w:t>
      </w:r>
      <w:proofErr w:type="spellEnd"/>
      <w:r w:rsidRPr="00025F23">
        <w:rPr>
          <w:i/>
          <w:iCs/>
          <w:szCs w:val="16"/>
        </w:rPr>
        <w:t xml:space="preserve"> </w:t>
      </w:r>
      <w:proofErr w:type="spellStart"/>
      <w:r w:rsidRPr="00025F23">
        <w:rPr>
          <w:i/>
          <w:iCs/>
          <w:szCs w:val="16"/>
        </w:rPr>
        <w:t>Inflation</w:t>
      </w:r>
      <w:proofErr w:type="spellEnd"/>
      <w:r w:rsidRPr="00025F23">
        <w:rPr>
          <w:i/>
          <w:iCs/>
          <w:szCs w:val="16"/>
        </w:rPr>
        <w:t xml:space="preserve"> </w:t>
      </w:r>
      <w:proofErr w:type="spellStart"/>
      <w:r w:rsidRPr="00025F23">
        <w:rPr>
          <w:i/>
          <w:iCs/>
          <w:szCs w:val="16"/>
        </w:rPr>
        <w:t>Rate</w:t>
      </w:r>
      <w:proofErr w:type="spellEnd"/>
      <w:r w:rsidRPr="00025F23">
        <w:rPr>
          <w:i/>
          <w:iCs/>
          <w:szCs w:val="16"/>
        </w:rPr>
        <w:t xml:space="preserve"> </w:t>
      </w:r>
      <w:proofErr w:type="spellStart"/>
      <w:r w:rsidRPr="00025F23">
        <w:rPr>
          <w:i/>
          <w:iCs/>
          <w:szCs w:val="16"/>
        </w:rPr>
        <w:t>of</w:t>
      </w:r>
      <w:proofErr w:type="spellEnd"/>
      <w:r w:rsidRPr="00025F23">
        <w:rPr>
          <w:i/>
          <w:iCs/>
          <w:szCs w:val="16"/>
        </w:rPr>
        <w:t xml:space="preserve"> </w:t>
      </w:r>
      <w:proofErr w:type="spellStart"/>
      <w:r w:rsidRPr="00025F23">
        <w:rPr>
          <w:i/>
          <w:iCs/>
          <w:szCs w:val="16"/>
        </w:rPr>
        <w:t>Unemployment</w:t>
      </w:r>
      <w:proofErr w:type="spellEnd"/>
      <w:r w:rsidRPr="00025F23">
        <w:rPr>
          <w:i/>
          <w:iCs/>
          <w:szCs w:val="16"/>
        </w:rPr>
        <w:t>)</w:t>
      </w:r>
      <w:r w:rsidRPr="00025F23">
        <w:rPr>
          <w:szCs w:val="16"/>
        </w:rPr>
        <w:t>: Es una tasa de desempleo de equilibrio en la que la inflación no acelera ni decelera.</w:t>
      </w:r>
    </w:p>
    <w:p w14:paraId="7EB05623" w14:textId="77777777" w:rsidR="00011C67" w:rsidRPr="00025F23" w:rsidRDefault="00011C67" w:rsidP="00CC7158">
      <w:pPr>
        <w:pStyle w:val="Prrafodelista"/>
        <w:ind w:left="369"/>
        <w:rPr>
          <w:szCs w:val="16"/>
        </w:rPr>
      </w:pPr>
      <w:r w:rsidRPr="00025F23">
        <w:rPr>
          <w:szCs w:val="16"/>
        </w:rPr>
        <w:t>Se situaría allí donde, ante una disminución del desempleo, se dispara la inflación. Un aumento en la demanda de trabajo generaría mayor empleo sólo hasta la tasa NAIRU, punto en el cual el empleo para de crecer y la mayor demanda genera mayor inflación.</w:t>
      </w:r>
    </w:p>
    <w:p w14:paraId="1D6432CB" w14:textId="66981BA4" w:rsidR="00011C67" w:rsidRDefault="00011C67" w:rsidP="00CC7158">
      <w:pPr>
        <w:pStyle w:val="Prrafodelista"/>
        <w:ind w:left="369"/>
        <w:rPr>
          <w:szCs w:val="16"/>
        </w:rPr>
      </w:pPr>
      <w:r w:rsidRPr="00025F23">
        <w:rPr>
          <w:szCs w:val="16"/>
        </w:rPr>
        <w:t xml:space="preserve">Es un concepto relacionado con el output potencial y el </w:t>
      </w:r>
      <w:r w:rsidRPr="00025F23">
        <w:rPr>
          <w:i/>
          <w:iCs/>
          <w:szCs w:val="16"/>
        </w:rPr>
        <w:t>output gap</w:t>
      </w:r>
      <w:r w:rsidR="00976191">
        <w:rPr>
          <w:szCs w:val="16"/>
        </w:rPr>
        <w:t>, de manera que podemos aproximar la NAIRU</w:t>
      </w:r>
      <w:r w:rsidR="00D15EE5">
        <w:rPr>
          <w:szCs w:val="16"/>
        </w:rPr>
        <w:t xml:space="preserve"> (más concretamente la NAWRU)</w:t>
      </w:r>
      <w:r w:rsidR="00976191">
        <w:rPr>
          <w:szCs w:val="16"/>
        </w:rPr>
        <w:t xml:space="preserve"> como el nivel de desempleo existente en la economía cuando el output gap es cercano a cero</w:t>
      </w:r>
      <w:r w:rsidR="00D15EE5">
        <w:rPr>
          <w:szCs w:val="16"/>
        </w:rPr>
        <w:t>.</w:t>
      </w:r>
    </w:p>
    <w:p w14:paraId="07EB9C42" w14:textId="24A5B677" w:rsidR="00D15EE5" w:rsidRPr="00025F23" w:rsidRDefault="00D15EE5" w:rsidP="00CC7158">
      <w:pPr>
        <w:pStyle w:val="Prrafodelista"/>
        <w:ind w:left="369"/>
        <w:rPr>
          <w:szCs w:val="16"/>
        </w:rPr>
      </w:pPr>
      <w:r>
        <w:rPr>
          <w:szCs w:val="16"/>
        </w:rPr>
        <w:t xml:space="preserve">Si la NAIRU está en niveles elevados, podemos mencionar la presencia de rigideces en el mercado de trabajo (que podrían ser debidas p.ej. a cotizaciones sociales muy elevadas (p.ej. en Suecia) o al sistema de negociación (p.ej. presencia de </w:t>
      </w:r>
      <w:proofErr w:type="spellStart"/>
      <w:r>
        <w:rPr>
          <w:szCs w:val="16"/>
        </w:rPr>
        <w:t>insiders</w:t>
      </w:r>
      <w:proofErr w:type="spellEnd"/>
      <w:r>
        <w:rPr>
          <w:szCs w:val="16"/>
        </w:rPr>
        <w:t xml:space="preserve"> u outsiders)) y la posible necesidad de reformas laborales.</w:t>
      </w:r>
    </w:p>
    <w:p w14:paraId="7ED93425" w14:textId="0455AFDA" w:rsidR="00011C67" w:rsidRPr="00025F23" w:rsidRDefault="00011C67" w:rsidP="00CC7158">
      <w:pPr>
        <w:pStyle w:val="Prrafodelista"/>
        <w:numPr>
          <w:ilvl w:val="0"/>
          <w:numId w:val="6"/>
        </w:numPr>
        <w:ind w:left="369" w:hanging="227"/>
      </w:pPr>
      <w:r w:rsidRPr="00025F23">
        <w:rPr>
          <w:i/>
          <w:iCs/>
          <w:szCs w:val="16"/>
          <w:u w:val="single"/>
        </w:rPr>
        <w:t>Histéresis</w:t>
      </w:r>
      <w:r w:rsidRPr="00025F23">
        <w:rPr>
          <w:szCs w:val="16"/>
        </w:rPr>
        <w:t>:</w:t>
      </w:r>
      <w:r w:rsidR="00CE6897" w:rsidRPr="00025F23">
        <w:rPr>
          <w:szCs w:val="16"/>
        </w:rPr>
        <w:t xml:space="preserve"> Comprobar si existe histéresis, esto es, si la tasa de paro de equilibrio depende de sus valores pasados, de forma que el desempleo será alto en </w:t>
      </w:r>
      <m:oMath>
        <m:r>
          <m:rPr>
            <m:nor/>
          </m:rPr>
          <w:rPr>
            <w:i/>
            <w:szCs w:val="16"/>
          </w:rPr>
          <m:t>t</m:t>
        </m:r>
      </m:oMath>
      <w:r w:rsidR="00CE6897" w:rsidRPr="00025F23">
        <w:rPr>
          <w:szCs w:val="16"/>
        </w:rPr>
        <w:t xml:space="preserve"> por el mero hecho de que era alto en </w:t>
      </w:r>
      <m:oMath>
        <m:r>
          <m:rPr>
            <m:nor/>
          </m:rPr>
          <w:rPr>
            <w:i/>
            <w:szCs w:val="16"/>
          </w:rPr>
          <m:t>t</m:t>
        </m:r>
        <m:r>
          <w:rPr>
            <w:rFonts w:ascii="Cambria Math" w:hAnsi="Cambria Math"/>
            <w:szCs w:val="16"/>
          </w:rPr>
          <m:t>-</m:t>
        </m:r>
        <m:r>
          <m:rPr>
            <m:nor/>
          </m:rPr>
          <w:rPr>
            <w:i/>
            <w:szCs w:val="16"/>
          </w:rPr>
          <m:t>1</m:t>
        </m:r>
      </m:oMath>
      <w:r w:rsidR="00CE6897" w:rsidRPr="00025F23">
        <w:rPr>
          <w:szCs w:val="16"/>
        </w:rPr>
        <w:t xml:space="preserve">. Así, una disminución del nivel de desempleo en </w:t>
      </w:r>
      <m:oMath>
        <m:r>
          <m:rPr>
            <m:nor/>
          </m:rPr>
          <w:rPr>
            <w:i/>
            <w:szCs w:val="16"/>
          </w:rPr>
          <m:t>t</m:t>
        </m:r>
      </m:oMath>
      <w:r w:rsidR="00CE6897" w:rsidRPr="00025F23">
        <w:rPr>
          <w:szCs w:val="16"/>
        </w:rPr>
        <w:t xml:space="preserve"> contribuiría a reducir el desempleo en </w:t>
      </w:r>
      <m:oMath>
        <m:r>
          <m:rPr>
            <m:nor/>
          </m:rPr>
          <w:rPr>
            <w:i/>
            <w:szCs w:val="16"/>
          </w:rPr>
          <m:t>t</m:t>
        </m:r>
        <m:r>
          <w:rPr>
            <w:rFonts w:ascii="Cambria Math" w:hAnsi="Cambria Math"/>
            <w:szCs w:val="16"/>
          </w:rPr>
          <m:t>+</m:t>
        </m:r>
        <m:r>
          <m:rPr>
            <m:nor/>
          </m:rPr>
          <w:rPr>
            <w:i/>
            <w:szCs w:val="16"/>
          </w:rPr>
          <m:t>1</m:t>
        </m:r>
      </m:oMath>
      <w:r w:rsidR="00CE6897" w:rsidRPr="00025F23">
        <w:rPr>
          <w:szCs w:val="16"/>
        </w:rPr>
        <w:t xml:space="preserve"> y posteriores períodos, es decir, reduciría el desempleo de</w:t>
      </w:r>
      <w:r w:rsidR="00EE4B3A" w:rsidRPr="00025F23">
        <w:rPr>
          <w:szCs w:val="16"/>
        </w:rPr>
        <w:t xml:space="preserve"> </w:t>
      </w:r>
      <w:r w:rsidR="00CE6897" w:rsidRPr="00025F23">
        <w:rPr>
          <w:szCs w:val="16"/>
        </w:rPr>
        <w:t xml:space="preserve">forma permanente. Unas </w:t>
      </w:r>
      <w:r w:rsidR="00CE6897" w:rsidRPr="00025F23">
        <w:rPr>
          <w:i/>
          <w:iCs/>
          <w:szCs w:val="16"/>
        </w:rPr>
        <w:t>altas y persistentes</w:t>
      </w:r>
      <w:r w:rsidR="00CE6897" w:rsidRPr="00025F23">
        <w:rPr>
          <w:szCs w:val="16"/>
        </w:rPr>
        <w:t xml:space="preserve"> tasas de desempleo pueden ser síntoma de histéresis. Las tres causas de la histéresis son:</w:t>
      </w:r>
    </w:p>
    <w:p w14:paraId="55E41713" w14:textId="77777777" w:rsidR="00CE6897" w:rsidRPr="00025F23" w:rsidRDefault="00CE6897" w:rsidP="008B1616">
      <w:pPr>
        <w:pStyle w:val="Prrafodelista"/>
        <w:numPr>
          <w:ilvl w:val="0"/>
          <w:numId w:val="7"/>
        </w:numPr>
        <w:ind w:left="709" w:hanging="65"/>
        <w:rPr>
          <w:szCs w:val="16"/>
        </w:rPr>
      </w:pPr>
      <w:r w:rsidRPr="00025F23">
        <w:rPr>
          <w:szCs w:val="16"/>
        </w:rPr>
        <w:t xml:space="preserve">Dualidad en el mercado de trabajo en forma de </w:t>
      </w:r>
      <w:proofErr w:type="spellStart"/>
      <w:r w:rsidRPr="00025F23">
        <w:rPr>
          <w:szCs w:val="16"/>
        </w:rPr>
        <w:t>insiders</w:t>
      </w:r>
      <w:proofErr w:type="spellEnd"/>
      <w:r w:rsidRPr="00025F23">
        <w:rPr>
          <w:szCs w:val="16"/>
        </w:rPr>
        <w:t>-outsiders;</w:t>
      </w:r>
    </w:p>
    <w:p w14:paraId="2A562738" w14:textId="77777777" w:rsidR="00CE6897" w:rsidRPr="00025F23" w:rsidRDefault="00CE6897" w:rsidP="008B1616">
      <w:pPr>
        <w:pStyle w:val="Prrafodelista"/>
        <w:numPr>
          <w:ilvl w:val="0"/>
          <w:numId w:val="7"/>
        </w:numPr>
        <w:ind w:left="709" w:hanging="65"/>
        <w:rPr>
          <w:szCs w:val="16"/>
        </w:rPr>
      </w:pPr>
      <w:r w:rsidRPr="00025F23">
        <w:rPr>
          <w:szCs w:val="16"/>
        </w:rPr>
        <w:t>Desempleo de larga duración; y</w:t>
      </w:r>
    </w:p>
    <w:p w14:paraId="462B57B9" w14:textId="77777777" w:rsidR="00CE6897" w:rsidRPr="00025F23" w:rsidRDefault="00CE6897" w:rsidP="008B1616">
      <w:pPr>
        <w:pStyle w:val="Prrafodelista"/>
        <w:numPr>
          <w:ilvl w:val="0"/>
          <w:numId w:val="7"/>
        </w:numPr>
        <w:ind w:left="709" w:hanging="65"/>
        <w:rPr>
          <w:szCs w:val="16"/>
        </w:rPr>
      </w:pPr>
      <w:r w:rsidRPr="00025F23">
        <w:rPr>
          <w:szCs w:val="16"/>
        </w:rPr>
        <w:t>Disminución de la capacidad productiva (i.e. del stock de capital instalado).</w:t>
      </w:r>
    </w:p>
    <w:p w14:paraId="6D7EFFD0" w14:textId="00E6C75E" w:rsidR="00CE6897" w:rsidRDefault="008728AA" w:rsidP="00CC7158">
      <w:pPr>
        <w:pStyle w:val="Prrafodelista"/>
        <w:ind w:left="369"/>
        <w:rPr>
          <w:szCs w:val="16"/>
        </w:rPr>
      </w:pPr>
      <w:r w:rsidRPr="00025F23">
        <w:rPr>
          <w:szCs w:val="16"/>
        </w:rPr>
        <w:t xml:space="preserve">La importancia de identificar el fenómeno de histéresis radica en que, en su presencia, las </w:t>
      </w:r>
      <w:r w:rsidRPr="00025F23">
        <w:rPr>
          <w:i/>
          <w:iCs/>
          <w:szCs w:val="16"/>
        </w:rPr>
        <w:t>políticas de demanda</w:t>
      </w:r>
      <w:r w:rsidRPr="00025F23">
        <w:rPr>
          <w:szCs w:val="16"/>
        </w:rPr>
        <w:t xml:space="preserve"> sí que son efectivas en el largo plazo.</w:t>
      </w:r>
    </w:p>
    <w:p w14:paraId="7559F5D9" w14:textId="16FAB174" w:rsidR="00D15EE5" w:rsidRDefault="00D15EE5" w:rsidP="00D15EE5">
      <w:pPr>
        <w:pStyle w:val="Prrafodelista"/>
        <w:numPr>
          <w:ilvl w:val="0"/>
          <w:numId w:val="6"/>
        </w:numPr>
        <w:ind w:left="369" w:hanging="227"/>
      </w:pPr>
      <w:r>
        <w:rPr>
          <w:i/>
          <w:iCs/>
          <w:u w:val="single"/>
        </w:rPr>
        <w:t>Relación desempleo-salarios reales</w:t>
      </w:r>
      <w:r>
        <w:t>: Si los salarios reales suben en los momentos en los que aumenta el desempleo, también se podría deber a rigideces en el mercado de trabajo.</w:t>
      </w:r>
    </w:p>
    <w:p w14:paraId="7CB30516" w14:textId="781812D4" w:rsidR="00A43C9C" w:rsidRPr="00D15EE5" w:rsidRDefault="00A43C9C" w:rsidP="00D15EE5">
      <w:pPr>
        <w:pStyle w:val="Prrafodelista"/>
        <w:numPr>
          <w:ilvl w:val="0"/>
          <w:numId w:val="6"/>
        </w:numPr>
        <w:ind w:left="369" w:hanging="227"/>
      </w:pPr>
      <w:r>
        <w:rPr>
          <w:i/>
          <w:iCs/>
          <w:u w:val="single"/>
        </w:rPr>
        <w:t>Ley de Okun</w:t>
      </w:r>
      <w:r>
        <w:t xml:space="preserve">: Fijarse en el empleo. Si aumenta mucho el producto y poco el empleo hacer referencia a una reducida elasticidad. </w:t>
      </w:r>
      <w:proofErr w:type="gramStart"/>
      <w:r>
        <w:t>Mencionar</w:t>
      </w:r>
      <w:proofErr w:type="gramEnd"/>
      <w:r>
        <w:t xml:space="preserve"> que podría existir un posible crecimiento mínimo requerido para la creación de empleo.</w:t>
      </w:r>
    </w:p>
    <w:p w14:paraId="7A8D8533" w14:textId="16DF4DC2" w:rsidR="00DF3A91" w:rsidRPr="005D40D8" w:rsidRDefault="00DF3A91" w:rsidP="00DF3A91">
      <w:pPr>
        <w:pStyle w:val="Ttuloimagen"/>
        <w:rPr>
          <w:spacing w:val="-2"/>
        </w:rPr>
      </w:pPr>
      <w:r w:rsidRPr="005D40D8">
        <w:rPr>
          <w:spacing w:val="-2"/>
        </w:rPr>
        <w:t>Imagen </w:t>
      </w:r>
      <w:r w:rsidRPr="005D40D8">
        <w:rPr>
          <w:spacing w:val="-2"/>
        </w:rPr>
        <w:fldChar w:fldCharType="begin"/>
      </w:r>
      <w:r w:rsidRPr="005D40D8">
        <w:rPr>
          <w:spacing w:val="-2"/>
        </w:rPr>
        <w:instrText xml:space="preserve"> SEQ Ilustración \* ARABIC </w:instrText>
      </w:r>
      <w:r w:rsidRPr="005D40D8">
        <w:rPr>
          <w:spacing w:val="-2"/>
        </w:rPr>
        <w:fldChar w:fldCharType="separate"/>
      </w:r>
      <w:r w:rsidR="00903E0C">
        <w:rPr>
          <w:spacing w:val="-2"/>
        </w:rPr>
        <w:t>4</w:t>
      </w:r>
      <w:r w:rsidRPr="005D40D8">
        <w:rPr>
          <w:spacing w:val="-2"/>
        </w:rPr>
        <w:fldChar w:fldCharType="end"/>
      </w:r>
      <w:r w:rsidRPr="005D40D8">
        <w:rPr>
          <w:smallCaps w:val="0"/>
          <w:spacing w:val="-2"/>
        </w:rPr>
        <w:t xml:space="preserve">.– </w:t>
      </w:r>
      <w:r w:rsidRPr="005D40D8">
        <w:rPr>
          <w:i/>
          <w:iCs/>
          <w:smallCaps w:val="0"/>
          <w:spacing w:val="-2"/>
        </w:rPr>
        <w:t xml:space="preserve">Evolución del </w:t>
      </w:r>
      <w:r w:rsidR="005D40D8" w:rsidRPr="005D40D8">
        <w:rPr>
          <w:i/>
          <w:iCs/>
          <w:smallCaps w:val="0"/>
          <w:spacing w:val="-2"/>
        </w:rPr>
        <w:t>empleo, las horas trabajadas y la tasa de actividad en la zona euro</w:t>
      </w:r>
    </w:p>
    <w:p w14:paraId="223BF5CF" w14:textId="7B4C607B" w:rsidR="00DF3A91" w:rsidRDefault="005D40D8" w:rsidP="005D40D8">
      <w:pPr>
        <w:pStyle w:val="Imagen"/>
      </w:pPr>
      <w:r>
        <w:drawing>
          <wp:inline distT="0" distB="0" distL="0" distR="0" wp14:anchorId="5B848253" wp14:editId="48CCD456">
            <wp:extent cx="2857704" cy="1528445"/>
            <wp:effectExtent l="0" t="0" r="0" b="0"/>
            <wp:docPr id="1275973794"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5973794" name="Imagen 6"/>
                    <pic:cNvPicPr>
                      <a:picLocks noChangeAspect="1" noChangeArrowheads="1"/>
                    </pic:cNvPicPr>
                  </pic:nvPicPr>
                  <pic:blipFill>
                    <a:blip r:embed="rId21"/>
                    <a:stretch>
                      <a:fillRect/>
                    </a:stretch>
                  </pic:blipFill>
                  <pic:spPr bwMode="auto">
                    <a:xfrm>
                      <a:off x="0" y="0"/>
                      <a:ext cx="2857704" cy="1528445"/>
                    </a:xfrm>
                    <a:prstGeom prst="rect">
                      <a:avLst/>
                    </a:prstGeom>
                    <a:noFill/>
                    <a:ln>
                      <a:noFill/>
                    </a:ln>
                  </pic:spPr>
                </pic:pic>
              </a:graphicData>
            </a:graphic>
          </wp:inline>
        </w:drawing>
      </w:r>
    </w:p>
    <w:p w14:paraId="7151B879" w14:textId="0B782090" w:rsidR="00DF3A91" w:rsidRPr="00DF3A91" w:rsidRDefault="00DF3A91" w:rsidP="00DF3A91">
      <w:pPr>
        <w:pStyle w:val="Piedeimagen"/>
        <w:rPr>
          <w:i w:val="0"/>
          <w:iCs/>
        </w:rPr>
      </w:pPr>
      <w:r>
        <w:t>Fuente</w:t>
      </w:r>
      <w:r>
        <w:rPr>
          <w:i w:val="0"/>
          <w:iCs/>
        </w:rPr>
        <w:t xml:space="preserve">: European Central </w:t>
      </w:r>
      <w:r w:rsidRPr="00DF3A91">
        <w:rPr>
          <w:i w:val="0"/>
          <w:iCs/>
        </w:rPr>
        <w:t>Bank (202</w:t>
      </w:r>
      <w:r w:rsidR="00046198">
        <w:rPr>
          <w:i w:val="0"/>
          <w:iCs/>
        </w:rPr>
        <w:t>4</w:t>
      </w:r>
      <w:r w:rsidRPr="00DF3A91">
        <w:rPr>
          <w:i w:val="0"/>
          <w:iCs/>
        </w:rPr>
        <w:t xml:space="preserve">). </w:t>
      </w:r>
      <w:r w:rsidRPr="00DF3A91">
        <w:t>Informe Anual 202</w:t>
      </w:r>
      <w:r w:rsidR="00046198">
        <w:t>3</w:t>
      </w:r>
      <w:r w:rsidRPr="00DF3A91">
        <w:rPr>
          <w:i w:val="0"/>
          <w:iCs/>
        </w:rPr>
        <w:t xml:space="preserve">. </w:t>
      </w:r>
      <w:hyperlink r:id="rId22" w:history="1">
        <w:r w:rsidR="00046198" w:rsidRPr="00046198">
          <w:rPr>
            <w:rStyle w:val="Hipervnculo"/>
            <w:i w:val="0"/>
            <w:iCs/>
          </w:rPr>
          <w:t>https://www.ecb.europa.eu/press/annual-reports-financial-statements/annual/html/ecb.ar2023~d033c21ac2.es.html</w:t>
        </w:r>
      </w:hyperlink>
    </w:p>
    <w:p w14:paraId="10A2B3A6" w14:textId="2676FE38" w:rsidR="005D40D8" w:rsidRDefault="00DF3A91" w:rsidP="00DF3A91">
      <w:pPr>
        <w:pStyle w:val="Desarrollocoyuntura"/>
      </w:pPr>
      <w:bookmarkStart w:id="177" w:name="_Toc173446307"/>
      <w:r>
        <w:t>“</w:t>
      </w:r>
      <w:r w:rsidR="005D40D8" w:rsidRPr="005D40D8">
        <w:t xml:space="preserve">El mercado de trabajo siguió recuperándose con fuerza de la pandemia en paralelo al repunte de la actividad económica de la zona del euro. En el cuarto trimestre de 2022, el </w:t>
      </w:r>
      <w:proofErr w:type="gramStart"/>
      <w:r w:rsidR="005D40D8" w:rsidRPr="005D40D8">
        <w:t>empleo total y las horas totales</w:t>
      </w:r>
      <w:proofErr w:type="gramEnd"/>
      <w:r w:rsidR="005D40D8" w:rsidRPr="005D40D8">
        <w:t xml:space="preserve"> trabajadas habían superado los niveles del cuarto trimestre de 2019 en un 2,3</w:t>
      </w:r>
      <w:r w:rsidR="005D40D8">
        <w:t> </w:t>
      </w:r>
      <w:r w:rsidR="005D40D8" w:rsidRPr="005D40D8">
        <w:t>% y un 0,6</w:t>
      </w:r>
      <w:r w:rsidR="005D40D8">
        <w:t> </w:t>
      </w:r>
      <w:r w:rsidR="005D40D8" w:rsidRPr="005D40D8">
        <w:t xml:space="preserve">%, respectivamente. </w:t>
      </w:r>
      <w:r w:rsidR="005D40D8" w:rsidRPr="005D40D8">
        <w:t>La tasa de actividad del colectivo con edades comprendidas entre 15 y 74</w:t>
      </w:r>
      <w:r w:rsidR="005D40D8">
        <w:t> </w:t>
      </w:r>
      <w:r w:rsidR="005D40D8" w:rsidRPr="005D40D8">
        <w:t>años se elevó hasta el 65,2</w:t>
      </w:r>
      <w:r w:rsidR="005D40D8">
        <w:t> </w:t>
      </w:r>
      <w:r w:rsidR="005D40D8" w:rsidRPr="005D40D8">
        <w:t>% en el cuarto trimestre de 2022, 0,5</w:t>
      </w:r>
      <w:r w:rsidR="005D40D8">
        <w:t> </w:t>
      </w:r>
      <w:r w:rsidR="005D40D8" w:rsidRPr="005D40D8">
        <w:t>puntos porcentuales por encima de la registrada en el cuarto trimestre de 2019. En consonancia con el crecimiento del empleo, la tasa de paro continuó descendiendo, desde el 6,9</w:t>
      </w:r>
      <w:r w:rsidR="005D40D8">
        <w:t> </w:t>
      </w:r>
      <w:r w:rsidR="005D40D8" w:rsidRPr="005D40D8">
        <w:t>% en enero de 2022, un nivel ya históricamente bajo, hasta el 6,7</w:t>
      </w:r>
      <w:r w:rsidR="005D40D8">
        <w:t> </w:t>
      </w:r>
      <w:r w:rsidR="005D40D8" w:rsidRPr="005D40D8">
        <w:t xml:space="preserve">% al final del año. </w:t>
      </w:r>
      <w:r w:rsidR="005D40D8" w:rsidRPr="005D40D8">
        <w:rPr>
          <w:b/>
          <w:bCs/>
        </w:rPr>
        <w:t>El recurso a los programas de mantenimiento del empleo, que habían limitado los despidos durante la crisis, se redujo, y gran parte de los trabajadores que se habían acogido a estos programas retomaron su jornada habitual</w:t>
      </w:r>
      <w:r w:rsidRPr="005D40D8">
        <w:rPr>
          <w:b/>
          <w:bCs/>
        </w:rPr>
        <w:t>.</w:t>
      </w:r>
      <w:bookmarkEnd w:id="177"/>
    </w:p>
    <w:p w14:paraId="5A5D1F77" w14:textId="10AE6FDF" w:rsidR="00DF3A91" w:rsidRDefault="005D40D8" w:rsidP="00DF3A91">
      <w:pPr>
        <w:pStyle w:val="Desarrollocoyuntura"/>
      </w:pPr>
      <w:bookmarkStart w:id="178" w:name="_Toc173446308"/>
      <w:r w:rsidRPr="005D40D8">
        <w:t>El mercado de trabajo de la zona del euro mantuvo su fortaleza, en general, en 2022, pese a la guerra de Rusia en Ucrania, como indicaban también las cifras persistentemente elevadas de vacantes de empleo hacia el final del año. Con todo, la evolución del mercado laboral y los indicadores de opinión de demanda de trabajo se moderaron en el segundo semestre del año.</w:t>
      </w:r>
      <w:r w:rsidR="00DF3A91">
        <w:t>”</w:t>
      </w:r>
      <w:bookmarkEnd w:id="178"/>
    </w:p>
    <w:p w14:paraId="0E5AB758" w14:textId="6652C7DB" w:rsidR="00BA0AF5" w:rsidRDefault="00BA0AF5" w:rsidP="00BA0AF5">
      <w:pPr>
        <w:pStyle w:val="Ttuloimagen"/>
      </w:pPr>
      <w:r>
        <w:t>Imagen </w:t>
      </w:r>
      <w:r>
        <w:fldChar w:fldCharType="begin"/>
      </w:r>
      <w:r>
        <w:instrText xml:space="preserve"> SEQ Ilustración \* ARABIC </w:instrText>
      </w:r>
      <w:r>
        <w:fldChar w:fldCharType="separate"/>
      </w:r>
      <w:r w:rsidR="00903E0C">
        <w:t>5</w:t>
      </w:r>
      <w:r>
        <w:fldChar w:fldCharType="end"/>
      </w:r>
      <w:r w:rsidRPr="00190BA6">
        <w:rPr>
          <w:smallCaps w:val="0"/>
        </w:rPr>
        <w:t xml:space="preserve">.– </w:t>
      </w:r>
      <w:r>
        <w:rPr>
          <w:i/>
          <w:iCs/>
          <w:smallCaps w:val="0"/>
        </w:rPr>
        <w:t>Situación del mercado laboral en España</w:t>
      </w:r>
    </w:p>
    <w:p w14:paraId="3433541C" w14:textId="7CD929AB" w:rsidR="00BA0AF5" w:rsidRPr="00BA0AF5" w:rsidRDefault="00BA0AF5" w:rsidP="00BA0AF5">
      <w:pPr>
        <w:pStyle w:val="Imagen"/>
      </w:pPr>
      <w:r>
        <w:drawing>
          <wp:inline distT="0" distB="0" distL="0" distR="0" wp14:anchorId="52C16427" wp14:editId="5EA8FDA9">
            <wp:extent cx="3348953" cy="2106386"/>
            <wp:effectExtent l="0" t="0" r="4445" b="8255"/>
            <wp:docPr id="1184151071" name="Imagen 1" descr="Imagen que contiene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4151071" name="Imagen 1" descr="Imagen que contiene Aplicación&#10;&#10;Descripción generada automáticamente"/>
                    <pic:cNvPicPr/>
                  </pic:nvPicPr>
                  <pic:blipFill>
                    <a:blip r:embed="rId23"/>
                    <a:stretch>
                      <a:fillRect/>
                    </a:stretch>
                  </pic:blipFill>
                  <pic:spPr>
                    <a:xfrm>
                      <a:off x="0" y="0"/>
                      <a:ext cx="3370815" cy="2120136"/>
                    </a:xfrm>
                    <a:prstGeom prst="rect">
                      <a:avLst/>
                    </a:prstGeom>
                  </pic:spPr>
                </pic:pic>
              </a:graphicData>
            </a:graphic>
          </wp:inline>
        </w:drawing>
      </w:r>
      <w:r w:rsidRPr="00BA0AF5">
        <w:drawing>
          <wp:inline distT="0" distB="0" distL="0" distR="0" wp14:anchorId="16D4EB09" wp14:editId="7618B5EE">
            <wp:extent cx="1475464" cy="1388534"/>
            <wp:effectExtent l="0" t="0" r="0" b="2540"/>
            <wp:docPr id="1834059400"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4059400" name="Imagen 1" descr="Imagen que contiene Interfaz de usuario gráfica&#10;&#10;Descripción generada automáticamente"/>
                    <pic:cNvPicPr/>
                  </pic:nvPicPr>
                  <pic:blipFill rotWithShape="1">
                    <a:blip r:embed="rId24">
                      <a:extLst>
                        <a:ext uri="{28A0092B-C50C-407E-A947-70E740481C1C}">
                          <a14:useLocalDpi xmlns:a14="http://schemas.microsoft.com/office/drawing/2010/main"/>
                        </a:ext>
                      </a:extLst>
                    </a:blip>
                    <a:srcRect/>
                    <a:stretch/>
                  </pic:blipFill>
                  <pic:spPr bwMode="auto">
                    <a:xfrm>
                      <a:off x="0" y="0"/>
                      <a:ext cx="1488636" cy="1400930"/>
                    </a:xfrm>
                    <a:prstGeom prst="rect">
                      <a:avLst/>
                    </a:prstGeom>
                    <a:ln>
                      <a:noFill/>
                    </a:ln>
                    <a:extLst>
                      <a:ext uri="{53640926-AAD7-44D8-BBD7-CCE9431645EC}">
                        <a14:shadowObscured xmlns:a14="http://schemas.microsoft.com/office/drawing/2010/main"/>
                      </a:ext>
                    </a:extLst>
                  </pic:spPr>
                </pic:pic>
              </a:graphicData>
            </a:graphic>
          </wp:inline>
        </w:drawing>
      </w:r>
      <w:r>
        <w:t xml:space="preserve"> </w:t>
      </w:r>
      <w:r>
        <w:drawing>
          <wp:inline distT="0" distB="0" distL="0" distR="0" wp14:anchorId="7A49BDF3" wp14:editId="5D9C1E42">
            <wp:extent cx="1470781" cy="1405467"/>
            <wp:effectExtent l="0" t="0" r="0" b="4445"/>
            <wp:docPr id="1671356365" name="Imagen 1" descr="Gráfico, Gráfico de líne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1356365" name="Imagen 1" descr="Gráfico, Gráfico de líneas&#10;&#10;Descripción generada automáticamente"/>
                    <pic:cNvPicPr/>
                  </pic:nvPicPr>
                  <pic:blipFill rotWithShape="1">
                    <a:blip r:embed="rId25">
                      <a:extLst>
                        <a:ext uri="{28A0092B-C50C-407E-A947-70E740481C1C}">
                          <a14:useLocalDpi xmlns:a14="http://schemas.microsoft.com/office/drawing/2010/main"/>
                        </a:ext>
                      </a:extLst>
                    </a:blip>
                    <a:srcRect/>
                    <a:stretch/>
                  </pic:blipFill>
                  <pic:spPr bwMode="auto">
                    <a:xfrm>
                      <a:off x="0" y="0"/>
                      <a:ext cx="1476315" cy="1410755"/>
                    </a:xfrm>
                    <a:prstGeom prst="rect">
                      <a:avLst/>
                    </a:prstGeom>
                    <a:ln>
                      <a:noFill/>
                    </a:ln>
                    <a:extLst>
                      <a:ext uri="{53640926-AAD7-44D8-BBD7-CCE9431645EC}">
                        <a14:shadowObscured xmlns:a14="http://schemas.microsoft.com/office/drawing/2010/main"/>
                      </a:ext>
                    </a:extLst>
                  </pic:spPr>
                </pic:pic>
              </a:graphicData>
            </a:graphic>
          </wp:inline>
        </w:drawing>
      </w:r>
      <w:r>
        <w:t xml:space="preserve">    </w:t>
      </w:r>
    </w:p>
    <w:p w14:paraId="09B826C3" w14:textId="1D23809B" w:rsidR="00BA0AF5" w:rsidRPr="00BA0AF5" w:rsidRDefault="00BA0AF5" w:rsidP="00BA0AF5">
      <w:pPr>
        <w:pStyle w:val="Piedeimagen"/>
        <w:rPr>
          <w:i w:val="0"/>
        </w:rPr>
      </w:pPr>
      <w:r>
        <w:t>Fuente</w:t>
      </w:r>
      <w:r>
        <w:rPr>
          <w:iCs/>
        </w:rPr>
        <w:t xml:space="preserve">: </w:t>
      </w:r>
      <w:r w:rsidRPr="00E473F0">
        <w:rPr>
          <w:iCs/>
        </w:rPr>
        <w:t>Dept, I.M.F.E. (2023)</w:t>
      </w:r>
      <w:r w:rsidRPr="00BA0AF5">
        <w:rPr>
          <w:i w:val="0"/>
        </w:rPr>
        <w:t xml:space="preserve">. </w:t>
      </w:r>
      <w:r w:rsidRPr="00BA0AF5">
        <w:rPr>
          <w:i w:val="0"/>
          <w:lang w:val="en-US"/>
        </w:rPr>
        <w:t>Spain: 2022 Article IV Consultation-Press Release; Staff Report; and Statement by the Executive Director for Spain.</w:t>
      </w:r>
      <w:r w:rsidRPr="00E473F0">
        <w:rPr>
          <w:iCs/>
          <w:lang w:val="en-US"/>
        </w:rPr>
        <w:t xml:space="preserve"> </w:t>
      </w:r>
      <w:r w:rsidRPr="00190BA6">
        <w:rPr>
          <w:lang w:val="en-US"/>
        </w:rPr>
        <w:t>IMF Staff Country Reports</w:t>
      </w:r>
      <w:r w:rsidRPr="00190BA6">
        <w:rPr>
          <w:iCs/>
          <w:lang w:val="en-US"/>
        </w:rPr>
        <w:t>, 2023(033)</w:t>
      </w:r>
      <w:r w:rsidRPr="00BA0AF5">
        <w:rPr>
          <w:i w:val="0"/>
          <w:lang w:val="en-US"/>
        </w:rPr>
        <w:t xml:space="preserve">. </w:t>
      </w:r>
      <w:hyperlink r:id="rId26" w:history="1">
        <w:r w:rsidRPr="00B2524F">
          <w:rPr>
            <w:rStyle w:val="Hipervnculo"/>
            <w:i w:val="0"/>
            <w:iCs/>
            <w:lang w:val="en-US"/>
          </w:rPr>
          <w:t>https://doi.org/10.5089/9798400230622.002.A001</w:t>
        </w:r>
      </w:hyperlink>
      <w:r w:rsidRPr="00B2524F">
        <w:rPr>
          <w:iCs/>
          <w:lang w:val="en-US"/>
        </w:rPr>
        <w:br/>
      </w:r>
      <w:r w:rsidRPr="00B2524F">
        <w:rPr>
          <w:i w:val="0"/>
          <w:lang w:val="en-US"/>
        </w:rPr>
        <w:t xml:space="preserve">y Boscá, J.E et al. </w:t>
      </w:r>
      <w:r w:rsidRPr="00BA0AF5">
        <w:rPr>
          <w:i w:val="0"/>
        </w:rPr>
        <w:t>(2023)</w:t>
      </w:r>
      <w:r w:rsidRPr="00190BA6">
        <w:rPr>
          <w:iCs/>
        </w:rPr>
        <w:t xml:space="preserve"> </w:t>
      </w:r>
      <w:r w:rsidRPr="00190BA6">
        <w:t>La economía española en el primer año de la g</w:t>
      </w:r>
      <w:r>
        <w:t>uerra en Ucrania</w:t>
      </w:r>
      <w:r>
        <w:rPr>
          <w:iCs/>
        </w:rPr>
        <w:t xml:space="preserve">. </w:t>
      </w:r>
      <w:r w:rsidRPr="00BA0AF5">
        <w:rPr>
          <w:i w:val="0"/>
        </w:rPr>
        <w:t xml:space="preserve">BBVA Research, FEDEA, Fundación Rafael del Pino y Creando Oportunidades. </w:t>
      </w:r>
      <w:hyperlink r:id="rId27" w:history="1">
        <w:r w:rsidRPr="00BA0AF5">
          <w:rPr>
            <w:rStyle w:val="Hipervnculo"/>
            <w:i w:val="0"/>
          </w:rPr>
          <w:t>https://www.bbvaresearch.com/publicaciones/espana-la-economia-espanola-en-el-primer-ano-de-la-guerra-de-ucrania/</w:t>
        </w:r>
      </w:hyperlink>
      <w:r w:rsidRPr="00BA0AF5">
        <w:rPr>
          <w:rStyle w:val="Refdenotaalpie"/>
          <w:i w:val="0"/>
        </w:rPr>
        <w:footnoteReference w:id="28"/>
      </w:r>
    </w:p>
    <w:p w14:paraId="5CD757AF" w14:textId="0283FCA6" w:rsidR="001044B3" w:rsidRPr="00025F23" w:rsidRDefault="00886932" w:rsidP="00AD1AFB">
      <w:pPr>
        <w:pStyle w:val="Ttulo2"/>
      </w:pPr>
      <w:bookmarkStart w:id="179" w:name="_Toc88565995"/>
      <w:bookmarkStart w:id="180" w:name="_Toc88566135"/>
      <w:bookmarkStart w:id="181" w:name="_Toc173446309"/>
      <w:bookmarkStart w:id="182" w:name="_Toc189085794"/>
      <w:r w:rsidRPr="00025F23">
        <w:t>Mercado de capitales</w:t>
      </w:r>
      <w:bookmarkEnd w:id="179"/>
      <w:bookmarkEnd w:id="180"/>
      <w:bookmarkEnd w:id="181"/>
      <w:bookmarkEnd w:id="182"/>
    </w:p>
    <w:p w14:paraId="494DB6F0" w14:textId="77777777" w:rsidR="00E536BC" w:rsidRPr="00025F23" w:rsidRDefault="00E536BC" w:rsidP="00E536BC">
      <w:pPr>
        <w:pStyle w:val="Cajadeanotaciones"/>
        <w:jc w:val="center"/>
        <w:rPr>
          <w:sz w:val="18"/>
          <w:szCs w:val="18"/>
        </w:rPr>
      </w:pPr>
      <w:r w:rsidRPr="00025F23">
        <w:rPr>
          <w:sz w:val="18"/>
          <w:szCs w:val="18"/>
        </w:rPr>
        <w:t>¿?</w:t>
      </w:r>
    </w:p>
    <w:p w14:paraId="3902F815" w14:textId="7DD332CB" w:rsidR="006E1780" w:rsidRPr="00025F23" w:rsidRDefault="006E1780" w:rsidP="006E1780">
      <w:pPr>
        <w:pStyle w:val="Ttulo3"/>
      </w:pPr>
      <w:bookmarkStart w:id="183" w:name="_Toc173446310"/>
      <w:bookmarkStart w:id="184" w:name="_Toc189085795"/>
      <w:r w:rsidRPr="00025F23">
        <w:t>Mercado de capital físico</w:t>
      </w:r>
      <w:bookmarkEnd w:id="183"/>
      <w:bookmarkEnd w:id="184"/>
    </w:p>
    <w:p w14:paraId="2A508A90" w14:textId="76DCE45D" w:rsidR="006E1780" w:rsidRPr="00025F23" w:rsidRDefault="00617E40" w:rsidP="006E1780">
      <w:r>
        <w:t>Indicadores no comunes. Además, e</w:t>
      </w:r>
      <w:r w:rsidR="006E1780" w:rsidRPr="00025F23">
        <w:t>l análisis de la productividad del trabajo puede incorporar ya parte de su análisis (p.ej. tecnologías de la información y la comunicación).</w:t>
      </w:r>
    </w:p>
    <w:p w14:paraId="191C6217" w14:textId="57909DAD" w:rsidR="0043656E" w:rsidRPr="00025F23" w:rsidRDefault="006E1780" w:rsidP="006E1780">
      <w:pPr>
        <w:pStyle w:val="Ttulo3"/>
      </w:pPr>
      <w:bookmarkStart w:id="185" w:name="_Toc173446311"/>
      <w:bookmarkStart w:id="186" w:name="_Toc189085796"/>
      <w:r w:rsidRPr="00025F23">
        <w:t>Mercados financieros</w:t>
      </w:r>
      <w:bookmarkEnd w:id="185"/>
      <w:bookmarkEnd w:id="186"/>
    </w:p>
    <w:p w14:paraId="61FDE351" w14:textId="770E7D65" w:rsidR="006E1780" w:rsidRPr="00025F23" w:rsidRDefault="006E1780" w:rsidP="006E1780">
      <w:r w:rsidRPr="00025F23">
        <w:t>Su adecuado funcionamiento es vital.</w:t>
      </w:r>
    </w:p>
    <w:p w14:paraId="0F377218" w14:textId="7B1B16C0" w:rsidR="00D900DA" w:rsidRPr="00025F23" w:rsidRDefault="00A63FFD" w:rsidP="00A63FFD">
      <w:pPr>
        <w:pStyle w:val="Desarrollocoyuntura"/>
      </w:pPr>
      <w:bookmarkStart w:id="187" w:name="_Toc173446312"/>
      <w:r w:rsidRPr="00025F23">
        <w:t>“</w:t>
      </w:r>
      <w:r w:rsidR="00707C80" w:rsidRPr="00025F23">
        <w:t>A lo largo de la serie se aprecia una mejoría en la resiliencia del sistema financiero.</w:t>
      </w:r>
      <w:r w:rsidR="00253027">
        <w:t>”</w:t>
      </w:r>
      <w:bookmarkEnd w:id="187"/>
    </w:p>
    <w:p w14:paraId="4E980431" w14:textId="3FBF0690" w:rsidR="00D900DA" w:rsidRPr="00025F23" w:rsidRDefault="009E5C0F" w:rsidP="00A63FFD">
      <w:pPr>
        <w:pStyle w:val="Desarrollocoyuntura"/>
      </w:pPr>
      <w:bookmarkStart w:id="188" w:name="_Toc173446313"/>
      <w:r w:rsidRPr="00025F23">
        <w:t>“</w:t>
      </w:r>
      <w:r w:rsidR="00D900DA" w:rsidRPr="00025F23">
        <w:t>Partimos de una economía con un muy alto nivel de endeudamiento privado (127</w:t>
      </w:r>
      <w:r w:rsidR="00253027">
        <w:t> </w:t>
      </w:r>
      <w:r w:rsidR="00D900DA" w:rsidRPr="00025F23">
        <w:t>% del PIB) y público (80</w:t>
      </w:r>
      <w:r w:rsidR="00253027">
        <w:t> </w:t>
      </w:r>
      <w:r w:rsidR="00D900DA" w:rsidRPr="00025F23">
        <w:t xml:space="preserve">% del PIB); además, dado el saldo de la Posición de Inversión Nacional Neta, gran parte de ese endeudamiento es con el resto del mundo, lo que hace más vulnerable a la economía ante un potencial shock en los costes de financiación. Como añadido, de confirmarse que se trate de una economía pequeña y abierta, es </w:t>
      </w:r>
      <w:proofErr w:type="spellStart"/>
      <w:r w:rsidR="00D900DA" w:rsidRPr="00025F23">
        <w:t>planteable</w:t>
      </w:r>
      <w:proofErr w:type="spellEnd"/>
      <w:r w:rsidR="00D900DA" w:rsidRPr="00025F23">
        <w:t xml:space="preserve"> que gran parte de la deuda externa esté denominada en divisa extranjera, por lo que la vulnerabilidad se extendería también al riesgo de tipo de cambio. Sin embargo, a lo largo de la serie se experimenta un marcado proceso de </w:t>
      </w:r>
      <w:proofErr w:type="spellStart"/>
      <w:r w:rsidR="00D900DA" w:rsidRPr="00025F23">
        <w:t>desapalancamiento</w:t>
      </w:r>
      <w:proofErr w:type="spellEnd"/>
      <w:r w:rsidR="00D900DA" w:rsidRPr="00025F23">
        <w:t xml:space="preserve"> y la exposición exterior es </w:t>
      </w:r>
      <w:r w:rsidR="00D900DA" w:rsidRPr="00025F23">
        <w:lastRenderedPageBreak/>
        <w:t xml:space="preserve">menor. Además, este </w:t>
      </w:r>
      <w:proofErr w:type="spellStart"/>
      <w:r w:rsidR="00D900DA" w:rsidRPr="00025F23">
        <w:t>desapalancamiento</w:t>
      </w:r>
      <w:proofErr w:type="spellEnd"/>
      <w:r w:rsidR="00D900DA" w:rsidRPr="00025F23">
        <w:t xml:space="preserve"> se ha producido en forma de incremento del ahorro (no descenso del consumo o de la formación bruta de capital; es decir, la combinación de un mayor crecimiento (mayor generación de renta y por tanto acumulación de riqueza) y de la conducta de</w:t>
      </w:r>
      <w:r w:rsidRPr="00025F23">
        <w:t xml:space="preserve"> </w:t>
      </w:r>
      <w:r w:rsidR="00D900DA" w:rsidRPr="00025F23">
        <w:t xml:space="preserve">los agentes (reducción de los volúmenes </w:t>
      </w:r>
      <w:r w:rsidRPr="00025F23">
        <w:t>de crédito privado y reducción del déficit nominal del déficit nominal del Sector Público; ambos esfuerzos especialmente fuertes al inicio de la serie) ha permitido que la economía alcance y un nivel de deuda saludable.”</w:t>
      </w:r>
      <w:bookmarkEnd w:id="188"/>
    </w:p>
    <w:p w14:paraId="62A8CB59" w14:textId="060EA85B" w:rsidR="009E5C0F" w:rsidRPr="00025F23" w:rsidRDefault="009E5C0F" w:rsidP="00A63FFD">
      <w:pPr>
        <w:pStyle w:val="Desarrollocoyuntura"/>
      </w:pPr>
      <w:bookmarkStart w:id="189" w:name="_Toc173446314"/>
      <w:r w:rsidRPr="00025F23">
        <w:t xml:space="preserve">“La brecha crédito-PIB refleja que la economía se haya en una posición en el ciclo financiero por debajo del nivel tendencial desde 20xx. Esto es importante, ya que señala que hay ausencia de sobrecalentamiento en el sector del crédito, lo que </w:t>
      </w:r>
      <w:r w:rsidRPr="00025F23">
        <w:rPr>
          <w:spacing w:val="-1"/>
        </w:rPr>
        <w:t>a priori</w:t>
      </w:r>
      <w:r w:rsidR="002C1478" w:rsidRPr="00025F23">
        <w:t xml:space="preserve"> n</w:t>
      </w:r>
      <w:r w:rsidRPr="00025F23">
        <w:t>os hace descartar la existencia de fenómenos agregados de sobreendeudamiento o de burbujas localizadas en mercados de nivel sistémico</w:t>
      </w:r>
      <w:r w:rsidR="002C1478" w:rsidRPr="00025F23">
        <w:t>.</w:t>
      </w:r>
      <w:r w:rsidRPr="00025F23">
        <w:t>”</w:t>
      </w:r>
      <w:bookmarkEnd w:id="189"/>
    </w:p>
    <w:p w14:paraId="22A1A2BD" w14:textId="77777777" w:rsidR="002D7CA7" w:rsidRPr="00025F23" w:rsidRDefault="009E5C0F" w:rsidP="00A63FFD">
      <w:pPr>
        <w:pStyle w:val="Desarrollocoyuntura"/>
      </w:pPr>
      <w:bookmarkStart w:id="190" w:name="_Toc173446315"/>
      <w:r w:rsidRPr="00025F23">
        <w:t>“</w:t>
      </w:r>
      <w:r w:rsidR="002D7CA7" w:rsidRPr="00025F23">
        <w:t>El sector bancario parte de una situación débil y presenta al inicio de la serie tres importantes vulnerabilidades:</w:t>
      </w:r>
      <w:bookmarkEnd w:id="190"/>
    </w:p>
    <w:p w14:paraId="3C3F8573" w14:textId="6E94D2E4" w:rsidR="002D7CA7" w:rsidRPr="00025F23" w:rsidRDefault="002D7CA7" w:rsidP="00A63FFD">
      <w:pPr>
        <w:pStyle w:val="Desarrollocoyuntura"/>
      </w:pPr>
      <w:bookmarkStart w:id="191" w:name="_Toc173446316"/>
      <w:r w:rsidRPr="00025F23">
        <w:t>i)</w:t>
      </w:r>
      <w:r w:rsidR="00B6305F">
        <w:t> C</w:t>
      </w:r>
      <w:r w:rsidRPr="00025F23">
        <w:t>alidad de</w:t>
      </w:r>
      <w:r w:rsidR="00253027">
        <w:t xml:space="preserve"> </w:t>
      </w:r>
      <w:r w:rsidRPr="00025F23">
        <w:t>l</w:t>
      </w:r>
      <w:r w:rsidR="00253027">
        <w:t>os</w:t>
      </w:r>
      <w:r w:rsidRPr="00025F23">
        <w:t xml:space="preserve"> activo</w:t>
      </w:r>
      <w:r w:rsidR="00253027">
        <w:t>s</w:t>
      </w:r>
      <w:r w:rsidRPr="00025F23">
        <w:t xml:space="preserve">: </w:t>
      </w:r>
      <w:r w:rsidR="00B6305F">
        <w:t>E</w:t>
      </w:r>
      <w:r w:rsidRPr="00025F23">
        <w:t>l ratio de morosidad es muy elevado (16</w:t>
      </w:r>
      <w:r w:rsidR="00B6305F">
        <w:t> </w:t>
      </w:r>
      <w:r w:rsidRPr="00025F23">
        <w:t>% de la inversión crediticia)</w:t>
      </w:r>
      <w:bookmarkEnd w:id="191"/>
    </w:p>
    <w:p w14:paraId="3DB44DF3" w14:textId="5A3949FF" w:rsidR="002D7CA7" w:rsidRPr="00025F23" w:rsidRDefault="002D7CA7" w:rsidP="00A63FFD">
      <w:pPr>
        <w:pStyle w:val="Desarrollocoyuntura"/>
      </w:pPr>
      <w:bookmarkStart w:id="192" w:name="_Toc173446317"/>
      <w:proofErr w:type="spellStart"/>
      <w:r w:rsidRPr="00025F23">
        <w:t>ii</w:t>
      </w:r>
      <w:proofErr w:type="spellEnd"/>
      <w:r w:rsidRPr="00025F23">
        <w:t>)</w:t>
      </w:r>
      <w:r w:rsidR="00B6305F">
        <w:t> R</w:t>
      </w:r>
      <w:r w:rsidRPr="00025F23">
        <w:t xml:space="preserve">entabilidad: </w:t>
      </w:r>
      <w:r w:rsidR="00B6305F">
        <w:t>M</w:t>
      </w:r>
      <w:r w:rsidRPr="00025F23">
        <w:t>edida por el capital (ROE) es inferior al coste de capital (aproximado por los tipos de interés de mercado), incluso negativa en varios períodos.</w:t>
      </w:r>
      <w:bookmarkEnd w:id="192"/>
    </w:p>
    <w:p w14:paraId="448680D2" w14:textId="4E07FDFC" w:rsidR="00A84083" w:rsidRDefault="002D7CA7" w:rsidP="00A63FFD">
      <w:pPr>
        <w:pStyle w:val="Desarrollocoyuntura"/>
      </w:pPr>
      <w:bookmarkStart w:id="193" w:name="_Toc173446318"/>
      <w:proofErr w:type="spellStart"/>
      <w:r w:rsidRPr="00025F23">
        <w:t>iii</w:t>
      </w:r>
      <w:proofErr w:type="spellEnd"/>
      <w:r w:rsidRPr="00025F23">
        <w:t>)</w:t>
      </w:r>
      <w:r w:rsidR="00253027">
        <w:t> </w:t>
      </w:r>
      <w:r w:rsidR="00B6305F">
        <w:t>S</w:t>
      </w:r>
      <w:r w:rsidRPr="00025F23">
        <w:t xml:space="preserve">olvencia: </w:t>
      </w:r>
      <w:r w:rsidR="00B6305F">
        <w:t>L</w:t>
      </w:r>
      <w:r w:rsidRPr="00025F23">
        <w:t>os niveles de capital cumplen con los requerimientos de Basilea a lo largo de toda la serie (son mayores a 8</w:t>
      </w:r>
      <w:r w:rsidR="00253027">
        <w:t> </w:t>
      </w:r>
      <w:r w:rsidRPr="00025F23">
        <w:t>%+2,5</w:t>
      </w:r>
      <w:r w:rsidR="00253027">
        <w:t> </w:t>
      </w:r>
      <w:r w:rsidRPr="00025F23">
        <w:t>% de los RWA, presumiendo su correcta asignación entre los distintos tipos de capital: CET, AT1, T2) pero lo hacen de manera muy ajustada, lo que podría no garantizar una correcta absorción de un shock.</w:t>
      </w:r>
      <w:bookmarkEnd w:id="193"/>
    </w:p>
    <w:p w14:paraId="04DC1594" w14:textId="343FA857" w:rsidR="00253027" w:rsidRPr="00025F23" w:rsidRDefault="00253027" w:rsidP="00A63FFD">
      <w:pPr>
        <w:pStyle w:val="Desarrollocoyuntura"/>
      </w:pPr>
      <w:bookmarkStart w:id="194" w:name="_Toc173446319"/>
      <w:proofErr w:type="spellStart"/>
      <w:r>
        <w:t>iv</w:t>
      </w:r>
      <w:proofErr w:type="spellEnd"/>
      <w:r>
        <w:t>) Liquidez</w:t>
      </w:r>
      <w:bookmarkEnd w:id="194"/>
    </w:p>
    <w:p w14:paraId="75CF9833" w14:textId="77777777" w:rsidR="00A84083" w:rsidRPr="00025F23" w:rsidRDefault="00A84083" w:rsidP="00A63FFD">
      <w:pPr>
        <w:pStyle w:val="Desarrollocoyuntura"/>
      </w:pPr>
      <w:bookmarkStart w:id="195" w:name="_Toc173446320"/>
      <w:r w:rsidRPr="00025F23">
        <w:t xml:space="preserve">Es importante señalar que estas tres vulnerabilidades </w:t>
      </w:r>
      <w:r w:rsidRPr="00025F23">
        <w:rPr>
          <w:spacing w:val="-1"/>
        </w:rPr>
        <w:t>parecen</w:t>
      </w:r>
      <w:r w:rsidRPr="00025F23">
        <w:t xml:space="preserve"> estar fuertemente relacionadas entre ellas (por ejemplo, una mala calidad del activo da lugar a una menor rentabilidad y a mayores costes de financiación, el empeoramiento de los resultados erosiona capital y por tanto profundiza en problemas de solvencia).</w:t>
      </w:r>
      <w:bookmarkEnd w:id="195"/>
    </w:p>
    <w:p w14:paraId="69D44D41" w14:textId="7FEF70BF" w:rsidR="002D7CA7" w:rsidRPr="00025F23" w:rsidRDefault="00A84083" w:rsidP="00A63FFD">
      <w:pPr>
        <w:pStyle w:val="Desarrollocoyuntura"/>
      </w:pPr>
      <w:bookmarkStart w:id="196" w:name="_Toc173446321"/>
      <w:r w:rsidRPr="00025F23">
        <w:t>En cualquier caso, gracias al saneamiento de la posición financiera de los agentes de la economía (</w:t>
      </w:r>
      <w:proofErr w:type="spellStart"/>
      <w:r w:rsidRPr="00025F23">
        <w:t>desapalancamiento</w:t>
      </w:r>
      <w:proofErr w:type="spellEnd"/>
      <w:r w:rsidRPr="00025F23">
        <w:t>), al fuerte crecimiento económico, y al tono de la política monetaria, la situación del sector mejora muy notablemente: la rentabilidad es alta y muy superior al coste de financiación; la mora se sitúa en niveles aceptables y ha mostrado una potente caída en apenas 8</w:t>
      </w:r>
      <w:r w:rsidR="00B6305F">
        <w:t> </w:t>
      </w:r>
      <w:r w:rsidRPr="00025F23">
        <w:t xml:space="preserve">años; los ratios de capital han mejorado también notablemente y podría decirse que están en niveles adecuados (abstrayéndonos del cumplimiento de otros requisitos como TLAC/MREL, y sin saber nada en relación a la posible activación de colchones </w:t>
      </w:r>
      <w:proofErr w:type="spellStart"/>
      <w:r w:rsidRPr="00025F23">
        <w:t>macroprudenciales</w:t>
      </w:r>
      <w:proofErr w:type="spellEnd"/>
      <w:r w:rsidRPr="00025F23">
        <w:t>).</w:t>
      </w:r>
      <w:r w:rsidR="002D7CA7" w:rsidRPr="00025F23">
        <w:t>”</w:t>
      </w:r>
      <w:bookmarkEnd w:id="196"/>
    </w:p>
    <w:p w14:paraId="69213728" w14:textId="6AFB4B3B" w:rsidR="00686618" w:rsidRPr="00025F23" w:rsidRDefault="002D7CA7" w:rsidP="00A63FFD">
      <w:pPr>
        <w:pStyle w:val="Desarrollocoyuntura"/>
      </w:pPr>
      <w:bookmarkStart w:id="197" w:name="_Toc173446322"/>
      <w:r w:rsidRPr="00025F23">
        <w:t xml:space="preserve">“A nivel </w:t>
      </w:r>
      <w:proofErr w:type="spellStart"/>
      <w:r w:rsidRPr="00025F23">
        <w:t>macro</w:t>
      </w:r>
      <w:r w:rsidR="00686618" w:rsidRPr="00025F23">
        <w:t>prudencial</w:t>
      </w:r>
      <w:proofErr w:type="spellEnd"/>
      <w:r w:rsidR="00686618" w:rsidRPr="00025F23">
        <w:t>, al inicio de la serie la economía tiene, como se ha dicho, necesidad de reducir su nivel de deuda y riesgo de tipo de cambio, por lo que una política acomodaticia de demanda podría mitigar el impacto negativo del esfuerzo (como mencionamos, esto parece haber ocurrido). A</w:t>
      </w:r>
      <w:r w:rsidR="00253027">
        <w:t>l</w:t>
      </w:r>
      <w:r w:rsidR="00686618" w:rsidRPr="00025F23">
        <w:t xml:space="preserve"> final de la serie podríamos señalar tres políticas que parecen adecuadas:</w:t>
      </w:r>
      <w:bookmarkEnd w:id="197"/>
    </w:p>
    <w:p w14:paraId="659FE979" w14:textId="477CA917" w:rsidR="00686618" w:rsidRPr="00025F23" w:rsidRDefault="00686618" w:rsidP="00A63FFD">
      <w:pPr>
        <w:pStyle w:val="Desarrollocoyuntura"/>
      </w:pPr>
      <w:r w:rsidRPr="00025F23">
        <w:t xml:space="preserve"> </w:t>
      </w:r>
      <w:bookmarkStart w:id="198" w:name="_Toc173446323"/>
      <w:r w:rsidRPr="00025F23">
        <w:t xml:space="preserve">· En primer lugar, el signo negativo de la brecha crédito-PIB nos señalaría que el segmento del crédito se sitúa por debajo de su potencial, por lo que podría ser deseable la activación de medidas </w:t>
      </w:r>
      <w:proofErr w:type="spellStart"/>
      <w:r w:rsidRPr="00025F23">
        <w:t>contracíclicas</w:t>
      </w:r>
      <w:proofErr w:type="spellEnd"/>
      <w:r w:rsidRPr="00025F23">
        <w:t>, como la liberación de colchones de capital para activar el crédito.</w:t>
      </w:r>
      <w:bookmarkEnd w:id="198"/>
    </w:p>
    <w:p w14:paraId="4C1B0FC4" w14:textId="22A344A7" w:rsidR="00686618" w:rsidRPr="00025F23" w:rsidRDefault="00686618" w:rsidP="00A63FFD">
      <w:pPr>
        <w:pStyle w:val="Desarrollocoyuntura"/>
      </w:pPr>
      <w:r w:rsidRPr="00025F23">
        <w:t xml:space="preserve"> </w:t>
      </w:r>
      <w:bookmarkStart w:id="199" w:name="_Toc173446324"/>
      <w:r w:rsidRPr="00025F23">
        <w:t>· En segundo lugar, los tipos de interés raquíticos observados desde 2014 (negativos en términos reales al final de la serie) pueden suponer un riesgo para la estabilidad financiera (financiación de proyectos de poca calidad; erosión de la rentabilidad de sectores como el bancario, el asegurado o el de gestión de valores; y alteración del precio de los activos financieros, entre otros)</w:t>
      </w:r>
      <w:r w:rsidR="00440315" w:rsidRPr="00025F23">
        <w:t>, por lo que la activación de colchones de capital de riesgo sistémico podría estar justificada</w:t>
      </w:r>
      <w:r w:rsidRPr="00025F23">
        <w:t>.</w:t>
      </w:r>
      <w:bookmarkEnd w:id="199"/>
    </w:p>
    <w:p w14:paraId="09577B1B" w14:textId="35E3A572" w:rsidR="002D7CA7" w:rsidRPr="00025F23" w:rsidRDefault="00686618" w:rsidP="00A63FFD">
      <w:pPr>
        <w:pStyle w:val="Desarrollocoyuntura"/>
      </w:pPr>
      <w:r w:rsidRPr="00025F23">
        <w:t xml:space="preserve"> </w:t>
      </w:r>
      <w:bookmarkStart w:id="200" w:name="_Toc173446325"/>
      <w:r w:rsidRPr="00025F23">
        <w:t>· En tercer lugar,</w:t>
      </w:r>
      <w:r w:rsidR="00440315" w:rsidRPr="00025F23">
        <w:t xml:space="preserve"> a nivel sectorial (con la limitación de datos de que contamos), observamos un importante incremento del precio de la vivienda (dobles dígitos desde 2015, y mayores al crecimiento del VAB de la construcción, señalando que hay un importante efecto-precio): este sector es clave por la alta exposición típica d ellos bancos en sus balances al mismo, así como porque supone el principal componente del activo (vivienda) como del pasivo (deuda hipotecaria); el empleo de herramientas </w:t>
      </w:r>
      <w:proofErr w:type="spellStart"/>
      <w:r w:rsidR="00440315" w:rsidRPr="00025F23">
        <w:t>macroprudenciales</w:t>
      </w:r>
      <w:proofErr w:type="spellEnd"/>
      <w:r w:rsidR="00440315" w:rsidRPr="00025F23">
        <w:t xml:space="preserve"> destinadas a limitar el crédito hacia este sector podría ser de interés).</w:t>
      </w:r>
      <w:r w:rsidR="00794131" w:rsidRPr="00025F23">
        <w:t xml:space="preserve"> Por su parte, el incremento de la capitalización bursátil parece estar relacionado con el fuerte crecimiento económico que atraviesa el país; si descartamos que el precio de las acciones esté alterado por la política monetaria </w:t>
      </w:r>
      <w:proofErr w:type="spellStart"/>
      <w:r w:rsidR="00794131" w:rsidRPr="00025F23">
        <w:t>ultralaxa</w:t>
      </w:r>
      <w:proofErr w:type="spellEnd"/>
      <w:r w:rsidR="00794131" w:rsidRPr="00025F23">
        <w:t xml:space="preserve"> o por las entradas de capitales vía inversión en cartera (pese a que los datos podrían guiarnos a estas conclusiones…), el mercado de valores no sería una fuente de riesgo.</w:t>
      </w:r>
      <w:r w:rsidR="002D7CA7" w:rsidRPr="00025F23">
        <w:t>”</w:t>
      </w:r>
      <w:bookmarkEnd w:id="200"/>
    </w:p>
    <w:p w14:paraId="4136707D" w14:textId="1204616F" w:rsidR="00DE3605" w:rsidRPr="00025F23" w:rsidRDefault="002D7CA7" w:rsidP="00A63FFD">
      <w:pPr>
        <w:pStyle w:val="Desarrollocoyuntura"/>
      </w:pPr>
      <w:bookmarkStart w:id="201" w:name="_Toc173446326"/>
      <w:r w:rsidRPr="00025F23">
        <w:t>“</w:t>
      </w:r>
      <w:r w:rsidR="00A63FFD" w:rsidRPr="00025F23">
        <w:t xml:space="preserve">La economía entra en la crisis con un sistema </w:t>
      </w:r>
      <w:r w:rsidR="00DE3605" w:rsidRPr="00025F23">
        <w:t xml:space="preserve">financiero sólido y </w:t>
      </w:r>
      <w:r w:rsidR="00A63FFD" w:rsidRPr="00025F23">
        <w:t>resiliente</w:t>
      </w:r>
      <w:r w:rsidR="00707C80" w:rsidRPr="00025F23">
        <w:t>.</w:t>
      </w:r>
      <w:bookmarkEnd w:id="201"/>
    </w:p>
    <w:p w14:paraId="3E63F76F" w14:textId="1049F54F" w:rsidR="00711A26" w:rsidRPr="00025F23" w:rsidRDefault="00DE3605" w:rsidP="00A63FFD">
      <w:pPr>
        <w:pStyle w:val="Desarrollocoyuntura"/>
      </w:pPr>
      <w:bookmarkStart w:id="202" w:name="_Toc173446327"/>
      <w:r w:rsidRPr="00025F23">
        <w:t xml:space="preserve">En la etapa prepandémica, </w:t>
      </w:r>
      <w:r w:rsidR="00707C80" w:rsidRPr="00025F23">
        <w:t>e</w:t>
      </w:r>
      <w:r w:rsidRPr="00025F23">
        <w:t xml:space="preserve">l sistema financiero mejora en términos de </w:t>
      </w:r>
      <w:r w:rsidRPr="00025F23">
        <w:rPr>
          <w:b/>
          <w:bCs/>
        </w:rPr>
        <w:t>solvencia</w:t>
      </w:r>
      <w:r w:rsidRPr="00025F23">
        <w:t xml:space="preserve">, incrementando el capital regulatorio tanto cuantitativamente como cualitativamente, alcanzando una ratio de capital regulatorio </w:t>
      </w:r>
      <w:proofErr w:type="spellStart"/>
      <w:r w:rsidRPr="00025F23">
        <w:t>Tier</w:t>
      </w:r>
      <w:proofErr w:type="spellEnd"/>
      <w:r w:rsidRPr="00025F23">
        <w:t xml:space="preserve"> 1con respecto a activos ponderados por riesgo del </w:t>
      </w:r>
      <w:proofErr w:type="spellStart"/>
      <w:r w:rsidRPr="00025F23">
        <w:t>xx</w:t>
      </w:r>
      <w:proofErr w:type="spellEnd"/>
      <w:r w:rsidR="00BB5DBC" w:rsidRPr="00025F23">
        <w:t> </w:t>
      </w:r>
      <w:r w:rsidRPr="00025F23">
        <w:t xml:space="preserve">% en 2019, lo que supera holgadamente los requisitos de </w:t>
      </w:r>
      <w:r w:rsidR="00CA0856">
        <w:t>Basilea I</w:t>
      </w:r>
      <w:r w:rsidRPr="00025F23">
        <w:t>II. En términos de solvencia, la economía responde bien al shock…</w:t>
      </w:r>
      <w:r w:rsidR="00260454" w:rsidRPr="00025F23">
        <w:rPr>
          <w:highlight w:val="yellow"/>
        </w:rPr>
        <w:t>(esto podría ser así debido a las moratorias sobre préstamos y a la interrupción del reparto de dividendos, que han permitido que los bancos no hayan asumido pérdidas)</w:t>
      </w:r>
      <w:r w:rsidR="00260454" w:rsidRPr="00025F23">
        <w:t>…</w:t>
      </w:r>
      <w:r w:rsidR="00711A26" w:rsidRPr="00025F23">
        <w:t>. Por su parte, las non-</w:t>
      </w:r>
      <w:proofErr w:type="spellStart"/>
      <w:r w:rsidR="00711A26" w:rsidRPr="00025F23">
        <w:t>performing</w:t>
      </w:r>
      <w:proofErr w:type="spellEnd"/>
      <w:r w:rsidR="00711A26" w:rsidRPr="00025F23">
        <w:t xml:space="preserve"> </w:t>
      </w:r>
      <w:proofErr w:type="spellStart"/>
      <w:r w:rsidR="00711A26" w:rsidRPr="00025F23">
        <w:t>loans</w:t>
      </w:r>
      <w:proofErr w:type="spellEnd"/>
      <w:r w:rsidR="00711A26" w:rsidRPr="00025F23">
        <w:t xml:space="preserve"> se mantienen en niveles cercanos al 3</w:t>
      </w:r>
      <w:r w:rsidR="00BB5DBC" w:rsidRPr="00025F23">
        <w:t> </w:t>
      </w:r>
      <w:r w:rsidR="00711A26" w:rsidRPr="00025F23">
        <w:t>% en relación al total de los créditos, lo que podría indicar cierto margen de mejora en términos de morosidad.</w:t>
      </w:r>
      <w:bookmarkEnd w:id="202"/>
    </w:p>
    <w:p w14:paraId="0AEDDFC2" w14:textId="57D9D46B" w:rsidR="00DE3605" w:rsidRPr="00025F23" w:rsidRDefault="00DE3605" w:rsidP="00A63FFD">
      <w:pPr>
        <w:pStyle w:val="Desarrollocoyuntura"/>
      </w:pPr>
      <w:bookmarkStart w:id="203" w:name="_Toc173446328"/>
      <w:r w:rsidRPr="00025F23">
        <w:t xml:space="preserve">En relación a la </w:t>
      </w:r>
      <w:r w:rsidRPr="00025F23">
        <w:rPr>
          <w:b/>
          <w:bCs/>
        </w:rPr>
        <w:t>liquidez</w:t>
      </w:r>
      <w:r w:rsidRPr="00025F23">
        <w:t>, el sist</w:t>
      </w:r>
      <w:r w:rsidR="00260454" w:rsidRPr="00025F23">
        <w:t xml:space="preserve">ema… </w:t>
      </w:r>
      <w:r w:rsidR="00260454" w:rsidRPr="00025F23">
        <w:rPr>
          <w:highlight w:val="yellow"/>
        </w:rPr>
        <w:t>(política monetaria)</w:t>
      </w:r>
      <w:r w:rsidR="00260454" w:rsidRPr="00025F23">
        <w:t>…</w:t>
      </w:r>
      <w:bookmarkEnd w:id="203"/>
    </w:p>
    <w:p w14:paraId="01ED8946" w14:textId="350FAA5F" w:rsidR="00A63FFD" w:rsidRPr="00025F23" w:rsidRDefault="00DE3605" w:rsidP="00A63FFD">
      <w:pPr>
        <w:pStyle w:val="Desarrollocoyuntura"/>
      </w:pPr>
      <w:bookmarkStart w:id="204" w:name="_Toc173446329"/>
      <w:r w:rsidRPr="00025F23">
        <w:t xml:space="preserve">Finalmente, en cuanto al análisis de </w:t>
      </w:r>
      <w:r w:rsidRPr="00025F23">
        <w:rPr>
          <w:b/>
          <w:bCs/>
        </w:rPr>
        <w:t>rentabilidad</w:t>
      </w:r>
      <w:r w:rsidRPr="00025F23">
        <w:t xml:space="preserve"> del sector financiero, usando como indicadores el ROA y el ROE, vemos como …</w:t>
      </w:r>
      <w:r w:rsidR="00260454" w:rsidRPr="00025F23">
        <w:rPr>
          <w:highlight w:val="yellow"/>
        </w:rPr>
        <w:t>(ahorro precautorio y ahorro forzoso)</w:t>
      </w:r>
      <w:r w:rsidR="00260454" w:rsidRPr="00025F23">
        <w:t>…</w:t>
      </w:r>
      <w:r w:rsidR="00A63FFD" w:rsidRPr="00025F23">
        <w:t>”</w:t>
      </w:r>
      <w:bookmarkEnd w:id="204"/>
    </w:p>
    <w:p w14:paraId="7F254689" w14:textId="77777777" w:rsidR="00976191" w:rsidRDefault="0023057C" w:rsidP="0023057C">
      <w:pPr>
        <w:pStyle w:val="Ttulo6"/>
      </w:pPr>
      <w:bookmarkStart w:id="205" w:name="_Toc173446330"/>
      <w:bookmarkStart w:id="206" w:name="_Toc189085797"/>
      <w:r w:rsidRPr="00025F23">
        <w:t>¿Es el sector financiero resiliente?</w:t>
      </w:r>
      <w:bookmarkEnd w:id="205"/>
      <w:bookmarkEnd w:id="206"/>
    </w:p>
    <w:p w14:paraId="488501BA" w14:textId="4BB933A0" w:rsidR="0023057C" w:rsidRDefault="00976191" w:rsidP="0023057C">
      <w:pPr>
        <w:pStyle w:val="Ttulo6"/>
      </w:pPr>
      <w:bookmarkStart w:id="207" w:name="_Toc173446331"/>
      <w:bookmarkStart w:id="208" w:name="_Toc189085798"/>
      <w:r>
        <w:t>Desarrollo del mercado financiero</w:t>
      </w:r>
      <w:bookmarkEnd w:id="207"/>
      <w:bookmarkEnd w:id="208"/>
    </w:p>
    <w:p w14:paraId="6B4B4866" w14:textId="7F56FE60" w:rsidR="00976191" w:rsidRPr="00976191" w:rsidRDefault="00976191" w:rsidP="00976191">
      <w:r>
        <w:t>Se analiza a través de los spreads (diferenciales) entre los préstamos y los depósitos.</w:t>
      </w:r>
    </w:p>
    <w:p w14:paraId="078B9F6F" w14:textId="1CB78C10" w:rsidR="00937B37" w:rsidRPr="00025F23" w:rsidRDefault="00937B37" w:rsidP="00937B37">
      <w:pPr>
        <w:pStyle w:val="Ttulo6"/>
      </w:pPr>
      <w:bookmarkStart w:id="209" w:name="_Toc173446332"/>
      <w:bookmarkStart w:id="210" w:name="_Toc189085799"/>
      <w:r w:rsidRPr="00025F23">
        <w:t>Nivel de endeudamiento</w:t>
      </w:r>
      <w:bookmarkEnd w:id="209"/>
      <w:bookmarkEnd w:id="210"/>
    </w:p>
    <w:p w14:paraId="5F8F7E59" w14:textId="5A3756D8" w:rsidR="00315011" w:rsidRPr="00025F23" w:rsidRDefault="00315011" w:rsidP="00315011">
      <w:r w:rsidRPr="00025F23">
        <w:t xml:space="preserve">Comenzaremos el apartado por comentar el nivel de endeudamiento público y privado y su evolución </w:t>
      </w:r>
      <w:r w:rsidR="0052706E" w:rsidRPr="00025F23">
        <w:t>a lo largo de</w:t>
      </w:r>
      <w:r w:rsidRPr="00025F23">
        <w:t xml:space="preserve"> la serie.</w:t>
      </w:r>
    </w:p>
    <w:p w14:paraId="7BD0C058" w14:textId="77777777" w:rsidR="00937B37" w:rsidRPr="00025F23" w:rsidRDefault="00937B37" w:rsidP="00937B37">
      <w:pPr>
        <w:pStyle w:val="Ttulo7"/>
      </w:pPr>
      <w:bookmarkStart w:id="211" w:name="_Toc173446333"/>
      <w:r w:rsidRPr="00025F23">
        <w:t>Nivel de endeudamiento público</w:t>
      </w:r>
      <w:bookmarkEnd w:id="211"/>
    </w:p>
    <w:p w14:paraId="107D0E1C" w14:textId="5DA9D383" w:rsidR="00937B37" w:rsidRPr="00025F23" w:rsidRDefault="00937B37" w:rsidP="00937B37">
      <w:pPr>
        <w:pStyle w:val="Ttulo7"/>
      </w:pPr>
      <w:bookmarkStart w:id="212" w:name="_Toc173446334"/>
      <w:r w:rsidRPr="00025F23">
        <w:t xml:space="preserve">Nivel de endeudamiento privado – </w:t>
      </w:r>
      <w:proofErr w:type="spellStart"/>
      <w:r w:rsidRPr="00025F23">
        <w:t>zombificación</w:t>
      </w:r>
      <w:bookmarkEnd w:id="212"/>
      <w:proofErr w:type="spellEnd"/>
    </w:p>
    <w:p w14:paraId="57243E73" w14:textId="1BDEEF0C" w:rsidR="00315011" w:rsidRDefault="00617E40" w:rsidP="00315011">
      <w:r>
        <w:t>Un mercado de capitales ineficiente puede afectar negativamente a la productividad de una economía a través de 2</w:t>
      </w:r>
      <w:r w:rsidR="00CC0306">
        <w:t> </w:t>
      </w:r>
      <w:r>
        <w:t xml:space="preserve">canales: </w:t>
      </w:r>
      <w:r>
        <w:rPr>
          <w:i/>
          <w:iCs/>
        </w:rPr>
        <w:t>i)</w:t>
      </w:r>
      <w:r w:rsidRPr="00617E40">
        <w:t> C</w:t>
      </w:r>
      <w:r>
        <w:t xml:space="preserve">oncediendo crédito a “empresas </w:t>
      </w:r>
      <w:proofErr w:type="spellStart"/>
      <w:r>
        <w:t>zombies</w:t>
      </w:r>
      <w:proofErr w:type="spellEnd"/>
      <w:r>
        <w:t>” (esto es, empresas con pérdidas, ineficientes y poco productivas</w:t>
      </w:r>
      <w:r w:rsidR="00976191">
        <w:t xml:space="preserve"> que sobreviven gracias únicamente al crédito); y </w:t>
      </w:r>
      <w:proofErr w:type="spellStart"/>
      <w:r w:rsidR="00976191">
        <w:rPr>
          <w:i/>
          <w:iCs/>
        </w:rPr>
        <w:t>ii</w:t>
      </w:r>
      <w:proofErr w:type="spellEnd"/>
      <w:r w:rsidR="00976191">
        <w:rPr>
          <w:i/>
          <w:iCs/>
        </w:rPr>
        <w:t>)</w:t>
      </w:r>
      <w:r w:rsidR="00976191">
        <w:t> dejado de financiar proyectos rentables en maquinaria, tecnología e innovación.</w:t>
      </w:r>
    </w:p>
    <w:p w14:paraId="46D3AD69" w14:textId="0B186D87" w:rsidR="00976191" w:rsidRPr="00976191" w:rsidRDefault="00976191" w:rsidP="00315011">
      <w:pPr>
        <w:rPr>
          <w:i/>
          <w:iCs/>
        </w:rPr>
      </w:pPr>
      <w:r>
        <w:t xml:space="preserve">De este modo, a través del crédito al sector privado y del nivel de endeudamiento privado podemos analizar el posible </w:t>
      </w:r>
      <w:r>
        <w:rPr>
          <w:i/>
          <w:iCs/>
        </w:rPr>
        <w:t>impacto en la productividad</w:t>
      </w:r>
      <w:r w:rsidRPr="00976191">
        <w:t>.</w:t>
      </w:r>
    </w:p>
    <w:p w14:paraId="66BE6821" w14:textId="39CAAF36" w:rsidR="00937B37" w:rsidRPr="00025F23" w:rsidRDefault="00937B37" w:rsidP="00937B37">
      <w:pPr>
        <w:pStyle w:val="Ttulo6"/>
      </w:pPr>
      <w:bookmarkStart w:id="213" w:name="_Toc173446335"/>
      <w:bookmarkStart w:id="214" w:name="_Toc189085800"/>
      <w:r w:rsidRPr="00025F23">
        <w:t>Brecha crédito-PIB</w:t>
      </w:r>
      <w:bookmarkEnd w:id="213"/>
      <w:bookmarkEnd w:id="214"/>
    </w:p>
    <w:p w14:paraId="2FB07E8A" w14:textId="566FCA11" w:rsidR="00C452DD" w:rsidRPr="00025F23" w:rsidRDefault="00C452DD" w:rsidP="00C452DD">
      <w:r w:rsidRPr="00025F23">
        <w:t>La brecha crédito-PIB (similar en filosofía a la brecha de producción) refleja la posición de la economía en el ciclo financiero en relación al nivel tendencial.</w:t>
      </w:r>
    </w:p>
    <w:p w14:paraId="416182FD" w14:textId="138CA936" w:rsidR="00937B37" w:rsidRPr="00025F23" w:rsidRDefault="00937B37" w:rsidP="00937B37">
      <w:pPr>
        <w:pStyle w:val="Ttulo6"/>
      </w:pPr>
      <w:bookmarkStart w:id="215" w:name="_Toc173446336"/>
      <w:bookmarkStart w:id="216" w:name="_Toc189085801"/>
      <w:r w:rsidRPr="00025F23">
        <w:t>Sector bancario</w:t>
      </w:r>
      <w:bookmarkEnd w:id="215"/>
      <w:bookmarkEnd w:id="216"/>
    </w:p>
    <w:p w14:paraId="13EDF558" w14:textId="47BC96C6" w:rsidR="00F41D89" w:rsidRPr="00025F23" w:rsidRDefault="00F41D89" w:rsidP="00617E40">
      <w:pPr>
        <w:pStyle w:val="Ttulo7"/>
        <w:spacing w:before="0"/>
      </w:pPr>
      <w:bookmarkStart w:id="217" w:name="_Toc173446337"/>
      <w:r w:rsidRPr="00025F23">
        <w:t>Solvencia</w:t>
      </w:r>
      <w:bookmarkEnd w:id="217"/>
    </w:p>
    <w:p w14:paraId="0CB075C6" w14:textId="54640EE3" w:rsidR="000858F7" w:rsidRPr="00025F23" w:rsidRDefault="000858F7" w:rsidP="006B4A95">
      <w:r w:rsidRPr="00025F23">
        <w:t xml:space="preserve">Una buena definición de solvencia es la </w:t>
      </w:r>
      <w:r w:rsidRPr="00025F23">
        <w:rPr>
          <w:i/>
          <w:iCs/>
        </w:rPr>
        <w:t>“capacidad de absorber pérdidas”</w:t>
      </w:r>
      <w:r w:rsidRPr="00025F23">
        <w:t>.</w:t>
      </w:r>
    </w:p>
    <w:p w14:paraId="69EE377F" w14:textId="57ED1404" w:rsidR="0078755E" w:rsidRPr="00025F23" w:rsidRDefault="0078755E" w:rsidP="0078755E">
      <w:r w:rsidRPr="00025F23">
        <w:t xml:space="preserve">Tras la incorporación del euro como moneda única para </w:t>
      </w:r>
      <w:r w:rsidR="008201C2" w:rsidRPr="00025F23">
        <w:t>20 </w:t>
      </w:r>
      <w:r w:rsidRPr="00025F23">
        <w:t>países de la Unión Europea (con sus consecuencias de política monetaria única, tipos de interés comunes y desaparición de los tipos de cambio nacionales), quizá el nacimiento de la Unión Bancaria haya sido el paso más importante en el proceso de construcción europea. El objetivo de la Unión Bancaria es lograr un sistema bancario europeo unificado, transparente y seguro, con el Mecanismo Único de Supervisión (MUS) y el Mecanismo Único de Resolución (MUR) como pilares básicos.</w:t>
      </w:r>
    </w:p>
    <w:p w14:paraId="5B7A100C" w14:textId="49A49A83" w:rsidR="00490DD5" w:rsidRPr="00025F23" w:rsidRDefault="0078755E" w:rsidP="0078755E">
      <w:r w:rsidRPr="00025F23">
        <w:t xml:space="preserve">Las normas sobre necesidades de capital o solvencia bancaria se conocen como </w:t>
      </w:r>
      <w:r w:rsidR="00CA0856">
        <w:t>Basilea I</w:t>
      </w:r>
      <w:r w:rsidRPr="00025F23">
        <w:t>II y se cerraron en diciembre de 2017.</w:t>
      </w:r>
    </w:p>
    <w:p w14:paraId="44A7F801" w14:textId="2F94547A" w:rsidR="0078755E" w:rsidRPr="00025F23" w:rsidRDefault="0078755E" w:rsidP="006B4A95">
      <w:r w:rsidRPr="00025F23">
        <w:t xml:space="preserve">Los indicadores bancarios que miden la solvencia son los </w:t>
      </w:r>
      <w:r w:rsidRPr="00025F23">
        <w:rPr>
          <w:b/>
          <w:bCs/>
        </w:rPr>
        <w:t>ratios de capital</w:t>
      </w:r>
      <w:r w:rsidRPr="00025F23">
        <w:t>. En el numerador de estos ratios tendremos diferentes componentes del patrimonio neto del banco, mientras que en el denominador tendremos los denominados “activos ponderados por riesgo”. Con “activos ponderados por riesgo” se quiere decir que los distintos componentes del activo del banco se multiplican por un porcentaje que refleje mejor los riesgos que asume el banco. No es lo mismo (en términos de garantías y de riesgos) una hipoteca que un préstamo personal, al igual que tampoco es lo mismo un préstamo a una empresa que a un Estado de la zona euro.</w:t>
      </w:r>
    </w:p>
    <w:p w14:paraId="0EAB0B62" w14:textId="1050D9BC" w:rsidR="00490DD5" w:rsidRPr="00025F23" w:rsidRDefault="00490DD5" w:rsidP="00490DD5">
      <w:pPr>
        <w:rPr>
          <w:b/>
          <w:bCs/>
        </w:rPr>
      </w:pPr>
      <w:r w:rsidRPr="00025F23">
        <w:rPr>
          <w:b/>
          <w:bCs/>
        </w:rPr>
        <w:t>De este modo, nuestro objetivo aquí es realizar un análisis de los niveles de capital teniendo en cuenta la cantidad y la calidad.</w:t>
      </w:r>
    </w:p>
    <w:p w14:paraId="3B1BC043" w14:textId="7C8ED5BF" w:rsidR="0078755E" w:rsidRPr="00025F23" w:rsidRDefault="0078755E" w:rsidP="0078755E">
      <w:pPr>
        <w:keepNext/>
      </w:pPr>
      <w:r w:rsidRPr="00025F23">
        <w:t>Según se vayan incluyendo en el numerador del ratio instrumentos de patrimonio de mayor a menor calidad tendremos tres ratios (o indicadores bancarios), los tres frecuentemente utilizados:</w:t>
      </w:r>
    </w:p>
    <w:p w14:paraId="5AB676C6" w14:textId="2C2B8B92" w:rsidR="0078755E" w:rsidRPr="00025F23" w:rsidRDefault="0078755E" w:rsidP="0078755E">
      <w:pPr>
        <w:pStyle w:val="Nivel1"/>
      </w:pPr>
      <w:r w:rsidRPr="00025F23">
        <w:rPr>
          <w:i/>
          <w:iCs w:val="0"/>
        </w:rPr>
        <w:t xml:space="preserve">CET1. </w:t>
      </w:r>
      <w:proofErr w:type="spellStart"/>
      <w:r w:rsidRPr="00025F23">
        <w:rPr>
          <w:i/>
          <w:iCs w:val="0"/>
        </w:rPr>
        <w:t>Common</w:t>
      </w:r>
      <w:proofErr w:type="spellEnd"/>
      <w:r w:rsidRPr="00025F23">
        <w:rPr>
          <w:i/>
          <w:iCs w:val="0"/>
        </w:rPr>
        <w:t xml:space="preserve"> </w:t>
      </w:r>
      <w:proofErr w:type="spellStart"/>
      <w:r w:rsidRPr="00025F23">
        <w:rPr>
          <w:i/>
          <w:iCs w:val="0"/>
        </w:rPr>
        <w:t>Equity</w:t>
      </w:r>
      <w:proofErr w:type="spellEnd"/>
      <w:r w:rsidRPr="00025F23">
        <w:rPr>
          <w:i/>
          <w:iCs w:val="0"/>
        </w:rPr>
        <w:t xml:space="preserve"> </w:t>
      </w:r>
      <w:proofErr w:type="spellStart"/>
      <w:r w:rsidR="008201C2" w:rsidRPr="00025F23">
        <w:rPr>
          <w:i/>
          <w:iCs w:val="0"/>
        </w:rPr>
        <w:t>Tier</w:t>
      </w:r>
      <w:proofErr w:type="spellEnd"/>
      <w:r w:rsidR="008201C2" w:rsidRPr="00025F23">
        <w:rPr>
          <w:i/>
          <w:iCs w:val="0"/>
        </w:rPr>
        <w:t> </w:t>
      </w:r>
      <w:r w:rsidRPr="00025F23">
        <w:rPr>
          <w:i/>
          <w:iCs w:val="0"/>
        </w:rPr>
        <w:t>1</w:t>
      </w:r>
      <w:r w:rsidRPr="00025F23">
        <w:t>. Capital ordinario de nivel</w:t>
      </w:r>
      <w:r w:rsidR="00025F23">
        <w:t> </w:t>
      </w:r>
      <w:r w:rsidRPr="00025F23">
        <w:t>1. Se trata de los instrumentos de máxima calidad, básicamente el capital social, sus primas de emisión y las reservas.</w:t>
      </w:r>
    </w:p>
    <w:p w14:paraId="24F77BF9" w14:textId="4D1102AF" w:rsidR="0078755E" w:rsidRPr="00025F23" w:rsidRDefault="008201C2" w:rsidP="003B652B">
      <w:pPr>
        <w:pStyle w:val="Nivel1"/>
        <w:keepNext/>
        <w:spacing w:after="0"/>
      </w:pPr>
      <w:proofErr w:type="spellStart"/>
      <w:r w:rsidRPr="00025F23">
        <w:rPr>
          <w:i/>
          <w:iCs w:val="0"/>
        </w:rPr>
        <w:t>Tier</w:t>
      </w:r>
      <w:proofErr w:type="spellEnd"/>
      <w:r w:rsidRPr="00025F23">
        <w:rPr>
          <w:i/>
          <w:iCs w:val="0"/>
        </w:rPr>
        <w:t> </w:t>
      </w:r>
      <w:r w:rsidR="0078755E" w:rsidRPr="00025F23">
        <w:rPr>
          <w:i/>
          <w:iCs w:val="0"/>
        </w:rPr>
        <w:t>1</w:t>
      </w:r>
      <w:r w:rsidR="0078755E" w:rsidRPr="00025F23">
        <w:t>. Capital de primera categoría. Se añade a los componentes anteriores otros instrumentos financieros, con determinadas características, no incluidos en el ratio anterior.</w:t>
      </w:r>
    </w:p>
    <w:p w14:paraId="402991E8" w14:textId="40F4B9E1" w:rsidR="00D4222B" w:rsidRPr="00025F23" w:rsidRDefault="00490DD5" w:rsidP="00D4222B">
      <w:pPr>
        <w:pStyle w:val="Nivel2"/>
        <w:rPr>
          <w:highlight w:val="yellow"/>
        </w:rPr>
      </w:pPr>
      <w:r w:rsidRPr="00025F23">
        <w:rPr>
          <w:highlight w:val="yellow"/>
        </w:rPr>
        <w:t>Si</w:t>
      </w:r>
      <w:r w:rsidR="00D4222B" w:rsidRPr="00025F23">
        <w:rPr>
          <w:highlight w:val="yellow"/>
        </w:rPr>
        <w:t xml:space="preserve"> está por encima del 1</w:t>
      </w:r>
      <w:r w:rsidR="007633E7">
        <w:rPr>
          <w:highlight w:val="yellow"/>
        </w:rPr>
        <w:t>2</w:t>
      </w:r>
      <w:r w:rsidR="00BB5DBC" w:rsidRPr="00025F23">
        <w:rPr>
          <w:highlight w:val="yellow"/>
        </w:rPr>
        <w:t> </w:t>
      </w:r>
      <w:r w:rsidR="00D4222B" w:rsidRPr="00025F23">
        <w:rPr>
          <w:highlight w:val="yellow"/>
        </w:rPr>
        <w:t xml:space="preserve">% decir que cumple con cierto margen los requisitos de </w:t>
      </w:r>
      <w:r w:rsidR="00CA0856">
        <w:rPr>
          <w:highlight w:val="yellow"/>
        </w:rPr>
        <w:t>Basilea I</w:t>
      </w:r>
      <w:r w:rsidRPr="00025F23">
        <w:rPr>
          <w:highlight w:val="yellow"/>
        </w:rPr>
        <w:t>II.</w:t>
      </w:r>
    </w:p>
    <w:p w14:paraId="6C8CEE3B" w14:textId="626E86ED" w:rsidR="0078755E" w:rsidRPr="00025F23" w:rsidRDefault="0078755E" w:rsidP="0078755E">
      <w:pPr>
        <w:pStyle w:val="Nivel1"/>
      </w:pPr>
      <w:r w:rsidRPr="00025F23">
        <w:rPr>
          <w:i/>
          <w:iCs w:val="0"/>
        </w:rPr>
        <w:t>Capital Total</w:t>
      </w:r>
      <w:r w:rsidRPr="00025F23">
        <w:t xml:space="preserve">. En este ratio ya se incluyen todos los instrumentos financieros de capital propio del banco. Sin entrar en más detalles, los recursos propios se clasifican en </w:t>
      </w:r>
      <w:proofErr w:type="spellStart"/>
      <w:r w:rsidR="008201C2" w:rsidRPr="00025F23">
        <w:t>Tier</w:t>
      </w:r>
      <w:proofErr w:type="spellEnd"/>
      <w:r w:rsidR="008201C2" w:rsidRPr="00025F23">
        <w:t> </w:t>
      </w:r>
      <w:r w:rsidRPr="00025F23">
        <w:t xml:space="preserve">1 y </w:t>
      </w:r>
      <w:proofErr w:type="spellStart"/>
      <w:r w:rsidR="008201C2" w:rsidRPr="00025F23">
        <w:t>Tier</w:t>
      </w:r>
      <w:proofErr w:type="spellEnd"/>
      <w:r w:rsidR="008201C2" w:rsidRPr="00025F23">
        <w:t> </w:t>
      </w:r>
      <w:r w:rsidRPr="00025F23">
        <w:t>2 (de segunda categoría).</w:t>
      </w:r>
    </w:p>
    <w:p w14:paraId="759C47F0" w14:textId="55786325" w:rsidR="0078755E" w:rsidRPr="00025F23" w:rsidRDefault="0078755E" w:rsidP="0078755E">
      <w:r w:rsidRPr="00025F23">
        <w:t>Estos ratios no son directamente comparables con otros que se utilizan en el análisis de empresas no financieras, como pueda ser el ratio Patrimonio Neto/Total Activo.</w:t>
      </w:r>
    </w:p>
    <w:p w14:paraId="06805DDC" w14:textId="2F9E915F" w:rsidR="006B114C" w:rsidRPr="00025F23" w:rsidRDefault="006B114C" w:rsidP="006B114C">
      <w:pPr>
        <w:jc w:val="center"/>
      </w:pPr>
      <w:r w:rsidRPr="00025F23">
        <w:rPr>
          <w:noProof/>
        </w:rPr>
        <w:drawing>
          <wp:inline distT="0" distB="0" distL="0" distR="0" wp14:anchorId="7FF28D05" wp14:editId="0B5131B3">
            <wp:extent cx="2754905" cy="844061"/>
            <wp:effectExtent l="0" t="0" r="7620" b="0"/>
            <wp:docPr id="4" name="Imagen 4" descr="Qué implican las medidas de Basilea III? - Rank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Qué implican las medidas de Basilea III? - Rankia"/>
                    <pic:cNvPicPr>
                      <a:picLocks noChangeAspect="1" noChangeArrowheads="1"/>
                    </pic:cNvPicPr>
                  </pic:nvPicPr>
                  <pic:blipFill rotWithShape="1">
                    <a:blip r:embed="rId28">
                      <a:extLst>
                        <a:ext uri="{28A0092B-C50C-407E-A947-70E740481C1C}">
                          <a14:useLocalDpi xmlns:a14="http://schemas.microsoft.com/office/drawing/2010/main"/>
                        </a:ext>
                      </a:extLst>
                    </a:blip>
                    <a:srcRect/>
                    <a:stretch/>
                  </pic:blipFill>
                  <pic:spPr bwMode="auto">
                    <a:xfrm>
                      <a:off x="0" y="0"/>
                      <a:ext cx="2798526" cy="857426"/>
                    </a:xfrm>
                    <a:prstGeom prst="rect">
                      <a:avLst/>
                    </a:prstGeom>
                    <a:noFill/>
                    <a:ln>
                      <a:noFill/>
                    </a:ln>
                    <a:extLst>
                      <a:ext uri="{53640926-AAD7-44D8-BBD7-CCE9431645EC}">
                        <a14:shadowObscured xmlns:a14="http://schemas.microsoft.com/office/drawing/2010/main"/>
                      </a:ext>
                    </a:extLst>
                  </pic:spPr>
                </pic:pic>
              </a:graphicData>
            </a:graphic>
          </wp:inline>
        </w:drawing>
      </w:r>
    </w:p>
    <w:p w14:paraId="4DC8AD34" w14:textId="4F86F814" w:rsidR="0078755E" w:rsidRPr="00025F23" w:rsidRDefault="0078755E" w:rsidP="0078755E">
      <w:r w:rsidRPr="00025F23">
        <w:t xml:space="preserve">En ocasiones, junto a los indicadores bancario anteriores, nos encontramos las palabras </w:t>
      </w:r>
      <w:r w:rsidRPr="00025F23">
        <w:rPr>
          <w:i/>
          <w:iCs/>
        </w:rPr>
        <w:t>“</w:t>
      </w:r>
      <w:proofErr w:type="spellStart"/>
      <w:r w:rsidRPr="00025F23">
        <w:rPr>
          <w:i/>
          <w:iCs/>
        </w:rPr>
        <w:t>fully</w:t>
      </w:r>
      <w:proofErr w:type="spellEnd"/>
      <w:r w:rsidRPr="00025F23">
        <w:rPr>
          <w:i/>
          <w:iCs/>
        </w:rPr>
        <w:t xml:space="preserve"> </w:t>
      </w:r>
      <w:proofErr w:type="spellStart"/>
      <w:r w:rsidRPr="00025F23">
        <w:rPr>
          <w:i/>
          <w:iCs/>
        </w:rPr>
        <w:t>loaded</w:t>
      </w:r>
      <w:proofErr w:type="spellEnd"/>
      <w:r w:rsidRPr="00025F23">
        <w:rPr>
          <w:i/>
          <w:iCs/>
        </w:rPr>
        <w:t>”</w:t>
      </w:r>
      <w:r w:rsidRPr="00025F23">
        <w:t xml:space="preserve"> ¿Y esto qué indica? Que nos encontramos en un </w:t>
      </w:r>
      <w:r w:rsidRPr="00025F23">
        <w:lastRenderedPageBreak/>
        <w:t xml:space="preserve">periodo transitorio y que el ratio se ha calculado con las exigencias futuras después de este periodo transitorio. En cambio, si el resultado se ha calculado con las exigencias actuales se denomina </w:t>
      </w:r>
      <w:r w:rsidRPr="00025F23">
        <w:rPr>
          <w:i/>
          <w:iCs/>
        </w:rPr>
        <w:t>“</w:t>
      </w:r>
      <w:proofErr w:type="spellStart"/>
      <w:r w:rsidRPr="00025F23">
        <w:rPr>
          <w:i/>
          <w:iCs/>
        </w:rPr>
        <w:t>phased</w:t>
      </w:r>
      <w:proofErr w:type="spellEnd"/>
      <w:r w:rsidRPr="00025F23">
        <w:rPr>
          <w:i/>
          <w:iCs/>
        </w:rPr>
        <w:t>-in”</w:t>
      </w:r>
      <w:r w:rsidRPr="00025F23">
        <w:t>.</w:t>
      </w:r>
    </w:p>
    <w:p w14:paraId="28AAF659" w14:textId="15ACDE28" w:rsidR="00937B37" w:rsidRPr="00025F23" w:rsidRDefault="00937B37" w:rsidP="00937B37">
      <w:pPr>
        <w:pStyle w:val="Ttulo7"/>
      </w:pPr>
      <w:bookmarkStart w:id="218" w:name="_Toc173446338"/>
      <w:r w:rsidRPr="00025F23">
        <w:t>Calidad de los activos</w:t>
      </w:r>
      <w:bookmarkEnd w:id="218"/>
    </w:p>
    <w:p w14:paraId="23D353E3" w14:textId="120A233A" w:rsidR="00D71FA6" w:rsidRPr="00025F23" w:rsidRDefault="00D71FA6" w:rsidP="00D71FA6">
      <w:r w:rsidRPr="00025F23">
        <w:t xml:space="preserve">La esencia del negocio bancario consiste en prestar bien a los clientes (activo del balance del banco) para tranquilidad y protección de los depositantes (pasivo del balance). Unos préstamos fallidos pueden ocasionar problemas importantes a cualquier entidad. Por tanto, la </w:t>
      </w:r>
      <w:r w:rsidRPr="00025F23">
        <w:rPr>
          <w:b/>
          <w:bCs/>
        </w:rPr>
        <w:t>calidad de los activos de una entidad financiera es de gran importancia</w:t>
      </w:r>
      <w:r w:rsidRPr="00025F23">
        <w:t xml:space="preserve"> y para conocer cuál es su estado de usa el indicador bancario NPL.</w:t>
      </w:r>
    </w:p>
    <w:p w14:paraId="403EB466" w14:textId="2401F7F1" w:rsidR="00937B37" w:rsidRPr="00025F23" w:rsidRDefault="00937B37" w:rsidP="00D71FA6">
      <w:pPr>
        <w:pStyle w:val="Nivel1"/>
      </w:pPr>
      <w:r w:rsidRPr="00025F23">
        <w:rPr>
          <w:i/>
        </w:rPr>
        <w:t>Non-</w:t>
      </w:r>
      <w:proofErr w:type="spellStart"/>
      <w:r w:rsidRPr="00025F23">
        <w:rPr>
          <w:i/>
        </w:rPr>
        <w:t>Performing</w:t>
      </w:r>
      <w:proofErr w:type="spellEnd"/>
      <w:r w:rsidRPr="00025F23">
        <w:rPr>
          <w:i/>
        </w:rPr>
        <w:t xml:space="preserve"> </w:t>
      </w:r>
      <w:proofErr w:type="spellStart"/>
      <w:r w:rsidRPr="00025F23">
        <w:rPr>
          <w:i/>
        </w:rPr>
        <w:t>Loans</w:t>
      </w:r>
      <w:proofErr w:type="spellEnd"/>
      <w:r w:rsidR="00D71FA6" w:rsidRPr="00025F23">
        <w:rPr>
          <w:i/>
        </w:rPr>
        <w:t xml:space="preserve"> (NPL)</w:t>
      </w:r>
      <w:r w:rsidR="00D71FA6" w:rsidRPr="00025F23">
        <w:t>: Es la ratio de préstamos dudosos. Cuando una operación lleva 90</w:t>
      </w:r>
      <w:r w:rsidR="008201C2" w:rsidRPr="00025F23">
        <w:t> </w:t>
      </w:r>
      <w:r w:rsidR="00D71FA6" w:rsidRPr="00025F23">
        <w:t xml:space="preserve">días impagada pasa a la situación de </w:t>
      </w:r>
      <w:r w:rsidR="007947E7">
        <w:t>“</w:t>
      </w:r>
      <w:r w:rsidR="00D71FA6" w:rsidRPr="00025F23">
        <w:t>morosidad</w:t>
      </w:r>
      <w:r w:rsidR="007947E7">
        <w:t>”</w:t>
      </w:r>
      <w:r w:rsidR="00D71FA6" w:rsidRPr="00025F23">
        <w:t xml:space="preserve">. El banco deja de liquidar intereses (lo que significa que deja de percibir </w:t>
      </w:r>
      <w:r w:rsidR="007947E7">
        <w:t>“</w:t>
      </w:r>
      <w:r w:rsidR="00D71FA6" w:rsidRPr="00025F23">
        <w:t>ingresos</w:t>
      </w:r>
      <w:r w:rsidR="007947E7">
        <w:t>”</w:t>
      </w:r>
      <w:r w:rsidR="00D71FA6" w:rsidRPr="00025F23">
        <w:t xml:space="preserve"> por intereses en su cuenta de resultados) y además tiene que realizar una </w:t>
      </w:r>
      <w:r w:rsidR="007947E7">
        <w:t>“</w:t>
      </w:r>
      <w:r w:rsidR="00D71FA6" w:rsidRPr="00025F23">
        <w:t>dotación</w:t>
      </w:r>
      <w:r w:rsidR="007947E7">
        <w:t>”</w:t>
      </w:r>
      <w:r w:rsidR="00D71FA6" w:rsidRPr="00025F23">
        <w:t xml:space="preserve"> por un importe determinado (que significa que tiene que anotar un coste en su cuenta de resultados). Es decir, una situación </w:t>
      </w:r>
      <w:r w:rsidR="007947E7">
        <w:t>“</w:t>
      </w:r>
      <w:r w:rsidR="00D71FA6" w:rsidRPr="00025F23">
        <w:t>normal</w:t>
      </w:r>
      <w:r w:rsidR="007947E7">
        <w:t>”</w:t>
      </w:r>
      <w:r w:rsidR="00D71FA6" w:rsidRPr="00025F23">
        <w:t xml:space="preserve"> se transforma en un </w:t>
      </w:r>
      <w:r w:rsidR="007947E7">
        <w:t>“</w:t>
      </w:r>
      <w:r w:rsidR="00D71FA6" w:rsidRPr="00025F23">
        <w:t>problema</w:t>
      </w:r>
      <w:r w:rsidR="007947E7">
        <w:t>”</w:t>
      </w:r>
      <w:r w:rsidR="00D71FA6" w:rsidRPr="00025F23">
        <w:t>. Donde había un beneficio (por el cobro de los intereses) ahora hay una pérdida importante (no hay ingresos por intereses y además hay que contabilizar una dotación). La ratio NPL mide qué porcentaje del total de préstamos están en esta situación de “dudoso” o morosidad.</w:t>
      </w:r>
    </w:p>
    <w:p w14:paraId="31BC9C8F" w14:textId="40DFA27A" w:rsidR="00F41D89" w:rsidRPr="00025F23" w:rsidRDefault="00F41D89" w:rsidP="00937B37">
      <w:pPr>
        <w:pStyle w:val="Ttulo7"/>
      </w:pPr>
      <w:bookmarkStart w:id="219" w:name="_Toc173446339"/>
      <w:r w:rsidRPr="00025F23">
        <w:t>Liquidez</w:t>
      </w:r>
      <w:bookmarkEnd w:id="219"/>
    </w:p>
    <w:p w14:paraId="643D7501" w14:textId="6D2818CF" w:rsidR="00E13C81" w:rsidRPr="00025F23" w:rsidRDefault="00E13C81" w:rsidP="00E13C81">
      <w:r w:rsidRPr="00025F23">
        <w:t xml:space="preserve">En relación al apalancamiento, uno de los problemas que amenaza la solvencia de una entidad de crédito (y de cualquier empresa) es un endeudamiento excesivo (o alto apalancamiento). El ratio de apalancamiento busca limitar el endeudamiento del banco. Resumidamente, en el numerador de la ratio se incluye el capital </w:t>
      </w:r>
      <w:proofErr w:type="spellStart"/>
      <w:r w:rsidR="008201C2" w:rsidRPr="00025F23">
        <w:rPr>
          <w:i/>
          <w:iCs/>
        </w:rPr>
        <w:t>Tier</w:t>
      </w:r>
      <w:proofErr w:type="spellEnd"/>
      <w:r w:rsidR="008201C2" w:rsidRPr="00025F23">
        <w:rPr>
          <w:i/>
          <w:iCs/>
        </w:rPr>
        <w:t> </w:t>
      </w:r>
      <w:r w:rsidRPr="00025F23">
        <w:rPr>
          <w:i/>
          <w:iCs/>
        </w:rPr>
        <w:t>1</w:t>
      </w:r>
      <w:r w:rsidR="008201C2" w:rsidRPr="00025F23">
        <w:t xml:space="preserve"> </w:t>
      </w:r>
      <w:r w:rsidRPr="00025F23">
        <w:t xml:space="preserve">(que ya hemos visto anteriormente que es </w:t>
      </w:r>
      <w:r w:rsidR="007F6C23">
        <w:t>“</w:t>
      </w:r>
      <w:r w:rsidRPr="00025F23">
        <w:t>capital de primera categoría</w:t>
      </w:r>
      <w:r w:rsidR="007F6C23">
        <w:t>”</w:t>
      </w:r>
      <w:r w:rsidRPr="00025F23">
        <w:t>) mientras que en el denominador se incluye la "exposición total de la entidad" (suma de los valores de exposición de todos los activos y partidas fuera de balance, con algunos ajustes). El valor mínimo fijado para este ratio es del 3</w:t>
      </w:r>
      <w:r w:rsidR="008201C2" w:rsidRPr="00025F23">
        <w:t> </w:t>
      </w:r>
      <w:r w:rsidRPr="00025F23">
        <w:t>%.</w:t>
      </w:r>
    </w:p>
    <w:p w14:paraId="25A71652" w14:textId="5D8707F5" w:rsidR="00E13C81" w:rsidRPr="00025F23" w:rsidRDefault="00E13C81" w:rsidP="00E13C81">
      <w:r w:rsidRPr="00025F23">
        <w:t>El total activo de todas las entidades de crédito que aparece en las últimas estadísticas supervisoras del Banco de España asciende a 3,921</w:t>
      </w:r>
      <w:r w:rsidR="007947E7">
        <w:t> </w:t>
      </w:r>
      <w:r w:rsidRPr="00025F23">
        <w:t>billones de euros.  La "exposición total" de las entidades incluida en el ratio, para que podamos hacer una comparación, asciende a 3,767</w:t>
      </w:r>
      <w:r w:rsidR="007947E7">
        <w:t> </w:t>
      </w:r>
      <w:r w:rsidRPr="00025F23">
        <w:t>billones de euros.</w:t>
      </w:r>
    </w:p>
    <w:p w14:paraId="7E411035" w14:textId="6CC9A6CD" w:rsidR="00E13C81" w:rsidRPr="00025F23" w:rsidRDefault="00E13C81" w:rsidP="00E13C81">
      <w:pPr>
        <w:keepNext/>
      </w:pPr>
      <w:r w:rsidRPr="00025F23">
        <w:t>Uno de los riesgos implícitos en la actividad bancaria (y de cualquier empresa) es el riesgo de liquidez. Este riesgo se materializa cuando una institución no tiene recursos monetarios líquidos suficientes para hacer frente a los pagos previstos contractualmente (y los no previstos). Dos indicadores bancarios que miden la liquidez son el LCR y el LTD:</w:t>
      </w:r>
    </w:p>
    <w:p w14:paraId="2117C248" w14:textId="1CEB5C4B" w:rsidR="00E13C81" w:rsidRPr="00025F23" w:rsidRDefault="00E13C81" w:rsidP="00E13C81">
      <w:pPr>
        <w:pStyle w:val="Nivel1"/>
      </w:pPr>
      <w:proofErr w:type="spellStart"/>
      <w:r w:rsidRPr="00025F23">
        <w:rPr>
          <w:i/>
        </w:rPr>
        <w:t>Liquidity</w:t>
      </w:r>
      <w:proofErr w:type="spellEnd"/>
      <w:r w:rsidRPr="00025F23">
        <w:rPr>
          <w:i/>
        </w:rPr>
        <w:t xml:space="preserve"> </w:t>
      </w:r>
      <w:proofErr w:type="spellStart"/>
      <w:r w:rsidRPr="00025F23">
        <w:rPr>
          <w:i/>
        </w:rPr>
        <w:t>Coverage</w:t>
      </w:r>
      <w:proofErr w:type="spellEnd"/>
      <w:r w:rsidRPr="00025F23">
        <w:rPr>
          <w:i/>
        </w:rPr>
        <w:t xml:space="preserve"> Ratio (LCR)</w:t>
      </w:r>
      <w:r w:rsidR="00286692" w:rsidRPr="00025F23">
        <w:t>:</w:t>
      </w:r>
      <w:r w:rsidRPr="00025F23">
        <w:t xml:space="preserve"> Ratio de cobertura de liquidez.  Es una medida calculada para un horizonte temporal de 30</w:t>
      </w:r>
      <w:r w:rsidR="008201C2" w:rsidRPr="00025F23">
        <w:t> </w:t>
      </w:r>
      <w:r w:rsidRPr="00025F23">
        <w:t>días donde se exige mantener una base de activos muy líquidos, que cubra el 100</w:t>
      </w:r>
      <w:r w:rsidR="008201C2" w:rsidRPr="00025F23">
        <w:t> </w:t>
      </w:r>
      <w:r w:rsidRPr="00025F23">
        <w:t>% de los flujos netos esperados para dicho periodo.</w:t>
      </w:r>
    </w:p>
    <w:p w14:paraId="3C3AFBD9" w14:textId="1C662919" w:rsidR="00E13C81" w:rsidRPr="00025F23" w:rsidRDefault="00E13C81" w:rsidP="00DF587A">
      <w:pPr>
        <w:pStyle w:val="Nivel1"/>
        <w:keepNext/>
        <w:spacing w:after="0"/>
      </w:pPr>
      <w:r w:rsidRPr="00025F23">
        <w:rPr>
          <w:i/>
        </w:rPr>
        <w:t xml:space="preserve">Loan </w:t>
      </w:r>
      <w:proofErr w:type="spellStart"/>
      <w:r w:rsidRPr="00025F23">
        <w:rPr>
          <w:i/>
        </w:rPr>
        <w:t>to</w:t>
      </w:r>
      <w:proofErr w:type="spellEnd"/>
      <w:r w:rsidRPr="00025F23">
        <w:rPr>
          <w:i/>
        </w:rPr>
        <w:t xml:space="preserve"> </w:t>
      </w:r>
      <w:proofErr w:type="spellStart"/>
      <w:r w:rsidRPr="00025F23">
        <w:rPr>
          <w:i/>
        </w:rPr>
        <w:t>Deposit</w:t>
      </w:r>
      <w:proofErr w:type="spellEnd"/>
      <w:r w:rsidRPr="00025F23">
        <w:rPr>
          <w:i/>
        </w:rPr>
        <w:t xml:space="preserve"> (LTD)</w:t>
      </w:r>
      <w:r w:rsidR="00286692" w:rsidRPr="00025F23">
        <w:t>:</w:t>
      </w:r>
      <w:r w:rsidRPr="00025F23">
        <w:t xml:space="preserve"> Ratio créditos-depósitos. Si </w:t>
      </w:r>
      <w:r w:rsidR="00F253E0">
        <w:t>la</w:t>
      </w:r>
      <w:r w:rsidRPr="00025F23">
        <w:t xml:space="preserve"> ratio supera el 100</w:t>
      </w:r>
      <w:r w:rsidR="008201C2" w:rsidRPr="00025F23">
        <w:t> </w:t>
      </w:r>
      <w:r w:rsidRPr="00025F23">
        <w:t>% quiere decir que los créditos superan a los depósitos en el balance del banco. Si e</w:t>
      </w:r>
      <w:r w:rsidR="002F3D67">
        <w:t>s</w:t>
      </w:r>
      <w:r w:rsidRPr="00025F23">
        <w:t xml:space="preserve"> menor que 100</w:t>
      </w:r>
      <w:r w:rsidR="008201C2" w:rsidRPr="00025F23">
        <w:t> </w:t>
      </w:r>
      <w:r w:rsidRPr="00025F23">
        <w:t>% significa lo contrario, que los depósitos son superiores a los créditos.</w:t>
      </w:r>
    </w:p>
    <w:p w14:paraId="3EBD54CC" w14:textId="27B6430A" w:rsidR="00692913" w:rsidRPr="00025F23" w:rsidRDefault="00692913" w:rsidP="00692913">
      <w:pPr>
        <w:pStyle w:val="Nivel2"/>
      </w:pPr>
      <w:r w:rsidRPr="00025F23">
        <w:t>Si la ratio es demasiado alta, significa que el banco podría no tener suficiente liquidez para cubrir requisitos de capital no previstos.</w:t>
      </w:r>
    </w:p>
    <w:p w14:paraId="1636A383" w14:textId="75FA33CF" w:rsidR="00692913" w:rsidRPr="00025F23" w:rsidRDefault="00692913" w:rsidP="00692913">
      <w:pPr>
        <w:pStyle w:val="Nivel2"/>
      </w:pPr>
      <w:r w:rsidRPr="00025F23">
        <w:t>Si la ratio es demasiado baja, el banco podría no estar ganando tanto como podría.</w:t>
      </w:r>
    </w:p>
    <w:p w14:paraId="12A3EEBD" w14:textId="367A1105" w:rsidR="00F41D89" w:rsidRPr="00025F23" w:rsidRDefault="005C01D3" w:rsidP="00937B37">
      <w:pPr>
        <w:pStyle w:val="Ttulo7"/>
      </w:pPr>
      <w:bookmarkStart w:id="220" w:name="_Toc173446340"/>
      <w:r w:rsidRPr="00025F23">
        <w:t>Rentabilidad</w:t>
      </w:r>
      <w:bookmarkEnd w:id="220"/>
    </w:p>
    <w:p w14:paraId="62F21BBC" w14:textId="7A080EAC" w:rsidR="00884E78" w:rsidRPr="00025F23" w:rsidRDefault="002751AE" w:rsidP="00884E78">
      <w:r w:rsidRPr="00025F23">
        <w:t>Finalmente</w:t>
      </w:r>
      <w:r w:rsidR="00884E78" w:rsidRPr="00025F23">
        <w:t>, hablemos de la importancia y de cómo medir la rentabilidad. Imaginemos una empresa con pérdidas continuadas. Todo el mundo entiende que esta empresa está condenada a la desaparición aunque solo sea porque nadie está dispuesto a perder dinero en un negocio año tras año. Las empresas necesitan obtener beneficios para poder subsistir a medio y largo plazo.</w:t>
      </w:r>
    </w:p>
    <w:p w14:paraId="22E09185" w14:textId="7CF2E305" w:rsidR="00884E78" w:rsidRPr="00025F23" w:rsidRDefault="00884E78" w:rsidP="00884E78">
      <w:pPr>
        <w:keepNext/>
      </w:pPr>
      <w:r w:rsidRPr="00025F23">
        <w:t xml:space="preserve">Desde hace años uno de los problemas a los que se enfrenta la banca es a su baja rentabilidad. Factores, por ejemplo, como tipos de interés cercanos a cero y costes de estructura (edificios, sistemas informáticos, personal, etc.) muy altos empujan a ello. </w:t>
      </w:r>
      <w:r w:rsidRPr="00025F23">
        <w:rPr>
          <w:b/>
          <w:bCs/>
        </w:rPr>
        <w:t>Dos indicadores bancarios que miden la rentabilidad son</w:t>
      </w:r>
      <w:r w:rsidRPr="00025F23">
        <w:t>:</w:t>
      </w:r>
    </w:p>
    <w:p w14:paraId="42AAB6A9" w14:textId="3CB511E7" w:rsidR="00692913" w:rsidRPr="00025F23" w:rsidRDefault="00884E78" w:rsidP="00913CBB">
      <w:pPr>
        <w:pStyle w:val="Nivel1"/>
        <w:keepNext/>
        <w:spacing w:after="0"/>
      </w:pPr>
      <w:proofErr w:type="spellStart"/>
      <w:r w:rsidRPr="00025F23">
        <w:rPr>
          <w:i/>
          <w:iCs w:val="0"/>
        </w:rPr>
        <w:t>Return</w:t>
      </w:r>
      <w:proofErr w:type="spellEnd"/>
      <w:r w:rsidRPr="00025F23">
        <w:rPr>
          <w:i/>
          <w:iCs w:val="0"/>
        </w:rPr>
        <w:t xml:space="preserve"> </w:t>
      </w:r>
      <w:proofErr w:type="spellStart"/>
      <w:r w:rsidRPr="00025F23">
        <w:rPr>
          <w:i/>
          <w:iCs w:val="0"/>
        </w:rPr>
        <w:t>on</w:t>
      </w:r>
      <w:proofErr w:type="spellEnd"/>
      <w:r w:rsidRPr="00025F23">
        <w:rPr>
          <w:i/>
          <w:iCs w:val="0"/>
        </w:rPr>
        <w:t xml:space="preserve"> </w:t>
      </w:r>
      <w:proofErr w:type="spellStart"/>
      <w:r w:rsidRPr="00025F23">
        <w:rPr>
          <w:i/>
          <w:iCs w:val="0"/>
        </w:rPr>
        <w:t>Equity</w:t>
      </w:r>
      <w:proofErr w:type="spellEnd"/>
      <w:r w:rsidRPr="00025F23">
        <w:rPr>
          <w:i/>
          <w:iCs w:val="0"/>
        </w:rPr>
        <w:t xml:space="preserve"> (ROE)</w:t>
      </w:r>
      <w:r w:rsidR="002751AE" w:rsidRPr="00025F23">
        <w:t>:</w:t>
      </w:r>
      <w:r w:rsidRPr="00025F23">
        <w:t xml:space="preserve"> Porcentaje de beneficio neto sobre patrimonio neto. Es </w:t>
      </w:r>
      <w:r w:rsidR="00CB180D">
        <w:t>la</w:t>
      </w:r>
      <w:r w:rsidRPr="00025F23">
        <w:t xml:space="preserve"> ratio que nos mide la rentabilidad que los accionistas obtienen por su inversión en la empresa. Est</w:t>
      </w:r>
      <w:r w:rsidR="00CB180D">
        <w:t>a</w:t>
      </w:r>
      <w:r w:rsidRPr="00025F23">
        <w:t xml:space="preserve"> ratio es </w:t>
      </w:r>
      <w:r w:rsidR="00CB180D">
        <w:t>la</w:t>
      </w:r>
      <w:r w:rsidRPr="00025F23">
        <w:t xml:space="preserve"> más utilizad</w:t>
      </w:r>
      <w:r w:rsidR="00CB180D">
        <w:t>a</w:t>
      </w:r>
      <w:r w:rsidRPr="00025F23">
        <w:t xml:space="preserve"> para calcular la rentabilidad. Se utiliza igualmente para las empresas no financieras. Nos dice cuánto gana la empresa (beneficio neto) y lo compara con las inversión de los accionistas en la misma (patrimonio neto = capital social aportado más reservas acumuladas).</w:t>
      </w:r>
    </w:p>
    <w:p w14:paraId="1C3B528B" w14:textId="486D3A09" w:rsidR="00884E78" w:rsidRPr="00025F23" w:rsidRDefault="00692913" w:rsidP="00692913">
      <w:pPr>
        <w:pStyle w:val="Nivel2"/>
      </w:pPr>
      <w:r w:rsidRPr="00025F23">
        <w:t>Si el ROE es inferior al coste de capital (aproximado por los tipos de interés de mercado), la rentabilidad no es suficiente.</w:t>
      </w:r>
    </w:p>
    <w:p w14:paraId="54C1796D" w14:textId="2C852409" w:rsidR="00692913" w:rsidRPr="00025F23" w:rsidRDefault="00692913" w:rsidP="00692913">
      <w:pPr>
        <w:pStyle w:val="Nivel2"/>
        <w:rPr>
          <w:highlight w:val="yellow"/>
        </w:rPr>
      </w:pPr>
      <w:r w:rsidRPr="00025F23">
        <w:rPr>
          <w:highlight w:val="yellow"/>
        </w:rPr>
        <w:t>Si el ROE es más del 10</w:t>
      </w:r>
      <w:r w:rsidR="008201C2" w:rsidRPr="00025F23">
        <w:rPr>
          <w:highlight w:val="yellow"/>
        </w:rPr>
        <w:t> </w:t>
      </w:r>
      <w:r w:rsidRPr="00025F23">
        <w:rPr>
          <w:highlight w:val="yellow"/>
        </w:rPr>
        <w:t>% la rentabilidad es adecuada.</w:t>
      </w:r>
    </w:p>
    <w:p w14:paraId="414ECB18" w14:textId="78108467" w:rsidR="00884E78" w:rsidRPr="00025F23" w:rsidRDefault="00884E78" w:rsidP="00884E78">
      <w:pPr>
        <w:pStyle w:val="Nivel1"/>
      </w:pPr>
      <w:proofErr w:type="spellStart"/>
      <w:r w:rsidRPr="00025F23">
        <w:rPr>
          <w:i/>
          <w:iCs w:val="0"/>
        </w:rPr>
        <w:t>Return</w:t>
      </w:r>
      <w:proofErr w:type="spellEnd"/>
      <w:r w:rsidRPr="00025F23">
        <w:rPr>
          <w:i/>
          <w:iCs w:val="0"/>
        </w:rPr>
        <w:t xml:space="preserve"> </w:t>
      </w:r>
      <w:proofErr w:type="spellStart"/>
      <w:r w:rsidRPr="00025F23">
        <w:rPr>
          <w:i/>
          <w:iCs w:val="0"/>
        </w:rPr>
        <w:t>on</w:t>
      </w:r>
      <w:proofErr w:type="spellEnd"/>
      <w:r w:rsidRPr="00025F23">
        <w:rPr>
          <w:i/>
          <w:iCs w:val="0"/>
        </w:rPr>
        <w:t xml:space="preserve"> </w:t>
      </w:r>
      <w:proofErr w:type="spellStart"/>
      <w:r w:rsidRPr="00025F23">
        <w:rPr>
          <w:i/>
          <w:iCs w:val="0"/>
        </w:rPr>
        <w:t>Assets</w:t>
      </w:r>
      <w:proofErr w:type="spellEnd"/>
      <w:r w:rsidRPr="00025F23">
        <w:rPr>
          <w:i/>
          <w:iCs w:val="0"/>
        </w:rPr>
        <w:t xml:space="preserve"> (ROA)</w:t>
      </w:r>
      <w:r w:rsidR="002751AE" w:rsidRPr="00025F23">
        <w:t>:</w:t>
      </w:r>
      <w:r w:rsidRPr="00025F23">
        <w:t xml:space="preserve"> Rentabilidad esta vez calculada sobre el total activo.</w:t>
      </w:r>
    </w:p>
    <w:p w14:paraId="1D25D2BA" w14:textId="77DBDB04" w:rsidR="006B4A95" w:rsidRPr="00025F23" w:rsidRDefault="006B4A95" w:rsidP="006B4A95">
      <w:r w:rsidRPr="00025F23">
        <w:rPr>
          <w:highlight w:val="yellow"/>
        </w:rPr>
        <w:t>A menor tipo de interés menor margen de intermediación y menor ROE (efecto precio), pero mayor cantidad de hipotecas y mayor ROE (efecto volumen)</w:t>
      </w:r>
      <w:r w:rsidR="00347964" w:rsidRPr="00025F23">
        <w:rPr>
          <w:highlight w:val="yellow"/>
        </w:rPr>
        <w:t>.</w:t>
      </w:r>
    </w:p>
    <w:p w14:paraId="11F33B28" w14:textId="5EB2D92D" w:rsidR="00937B37" w:rsidRPr="00025F23" w:rsidRDefault="00937B37" w:rsidP="00937B37">
      <w:pPr>
        <w:pStyle w:val="Ttulo7"/>
      </w:pPr>
    </w:p>
    <w:p w14:paraId="6D7B02F1" w14:textId="67BC1087" w:rsidR="00E13C81" w:rsidRPr="00025F23" w:rsidRDefault="00A63FFD" w:rsidP="006B4A95">
      <w:pPr>
        <w:rPr>
          <w:rStyle w:val="Hipervnculo"/>
        </w:rPr>
      </w:pPr>
      <w:hyperlink r:id="rId29" w:history="1">
        <w:r w:rsidRPr="00025F23">
          <w:rPr>
            <w:rStyle w:val="Hipervnculo"/>
          </w:rPr>
          <w:t>https://uniblog.unicajabanco.es/8-indicadores-bancarios-para-no-iniciados</w:t>
        </w:r>
      </w:hyperlink>
    </w:p>
    <w:p w14:paraId="5C019AC4" w14:textId="078BD68A" w:rsidR="00E13C81" w:rsidRPr="00025F23" w:rsidRDefault="00E13C81" w:rsidP="00E13C81">
      <w:pPr>
        <w:rPr>
          <w:rStyle w:val="Hipervnculo"/>
          <w:color w:val="auto"/>
          <w:u w:val="none"/>
        </w:rPr>
      </w:pPr>
      <w:r w:rsidRPr="00025F23">
        <w:rPr>
          <w:rStyle w:val="Hipervnculo"/>
          <w:color w:val="auto"/>
          <w:u w:val="none"/>
        </w:rPr>
        <w:t>El 19 de octubre de 2021 el Banco de España publicó las estadísticas supervisoras de las entidades de crédito que operan en España correspondientes al segundo trimestre de 2021. A efectos prácticos, para que pueda trasladar a casos reales los indicadores ofrecidos anteriormente, le mostramos en el siguiente cuadro los resultados de los indicadores comentados según los datos ofrecidos por el Banco de España de forma general para el sector financiero.</w:t>
      </w:r>
    </w:p>
    <w:p w14:paraId="0644A825" w14:textId="183967E0" w:rsidR="00E13C81" w:rsidRPr="00025F23" w:rsidRDefault="00E13C81" w:rsidP="00E13C81">
      <w:pPr>
        <w:jc w:val="center"/>
        <w:rPr>
          <w:rStyle w:val="Hipervnculo"/>
        </w:rPr>
      </w:pPr>
      <w:r w:rsidRPr="00025F23">
        <w:rPr>
          <w:noProof/>
        </w:rPr>
        <w:drawing>
          <wp:inline distT="0" distB="0" distL="0" distR="0" wp14:anchorId="0BA23453" wp14:editId="781AB8A0">
            <wp:extent cx="1682750" cy="1548498"/>
            <wp:effectExtent l="0" t="0" r="0" b="0"/>
            <wp:docPr id="8" name="Imagen 8" descr="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n 8" descr="Tabla&#10;&#10;Descripción generada automáticamente"/>
                    <pic:cNvPicPr>
                      <a:picLocks noChangeAspect="1" noChangeArrowheads="1"/>
                    </pic:cNvPicPr>
                  </pic:nvPicPr>
                  <pic:blipFill rotWithShape="1">
                    <a:blip r:embed="rId30">
                      <a:extLst>
                        <a:ext uri="{28A0092B-C50C-407E-A947-70E740481C1C}">
                          <a14:useLocalDpi xmlns:a14="http://schemas.microsoft.com/office/drawing/2010/main"/>
                        </a:ext>
                      </a:extLst>
                    </a:blip>
                    <a:srcRect/>
                    <a:stretch/>
                  </pic:blipFill>
                  <pic:spPr bwMode="auto">
                    <a:xfrm>
                      <a:off x="0" y="0"/>
                      <a:ext cx="1686729" cy="1552160"/>
                    </a:xfrm>
                    <a:prstGeom prst="rect">
                      <a:avLst/>
                    </a:prstGeom>
                    <a:noFill/>
                    <a:ln>
                      <a:noFill/>
                    </a:ln>
                    <a:extLst>
                      <a:ext uri="{53640926-AAD7-44D8-BBD7-CCE9431645EC}">
                        <a14:shadowObscured xmlns:a14="http://schemas.microsoft.com/office/drawing/2010/main"/>
                      </a:ext>
                    </a:extLst>
                  </pic:spPr>
                </pic:pic>
              </a:graphicData>
            </a:graphic>
          </wp:inline>
        </w:drawing>
      </w:r>
    </w:p>
    <w:p w14:paraId="4963E771" w14:textId="77777777" w:rsidR="001D7426" w:rsidRPr="00025F23" w:rsidRDefault="002049D6" w:rsidP="002049D6">
      <w:pPr>
        <w:pStyle w:val="Ttulo6"/>
        <w:rPr>
          <w:highlight w:val="yellow"/>
        </w:rPr>
      </w:pPr>
      <w:bookmarkStart w:id="221" w:name="_Toc173446341"/>
      <w:bookmarkStart w:id="222" w:name="_Toc189085802"/>
      <w:r w:rsidRPr="00025F23">
        <w:rPr>
          <w:highlight w:val="yellow"/>
        </w:rPr>
        <w:t>Precio de la vivienda</w:t>
      </w:r>
      <w:bookmarkEnd w:id="221"/>
      <w:bookmarkEnd w:id="222"/>
    </w:p>
    <w:p w14:paraId="4A9F7D61" w14:textId="77777777" w:rsidR="00AB4D5F" w:rsidRPr="00025F23" w:rsidRDefault="001D7426" w:rsidP="002049D6">
      <w:pPr>
        <w:pStyle w:val="Ttulo6"/>
        <w:rPr>
          <w:highlight w:val="yellow"/>
        </w:rPr>
      </w:pPr>
      <w:bookmarkStart w:id="223" w:name="_Toc173446342"/>
      <w:bookmarkStart w:id="224" w:name="_Toc189085803"/>
      <w:r w:rsidRPr="00025F23">
        <w:rPr>
          <w:highlight w:val="yellow"/>
        </w:rPr>
        <w:t>Índice bursátil</w:t>
      </w:r>
      <w:bookmarkEnd w:id="223"/>
      <w:bookmarkEnd w:id="224"/>
    </w:p>
    <w:p w14:paraId="056083D5" w14:textId="66CB965C" w:rsidR="00AB4D5F" w:rsidRPr="00025F23" w:rsidRDefault="00AB4D5F" w:rsidP="00AB4D5F">
      <w:pPr>
        <w:pStyle w:val="Ttulo6"/>
      </w:pPr>
      <w:bookmarkStart w:id="225" w:name="_Toc173446343"/>
      <w:bookmarkStart w:id="226" w:name="_Toc189085804"/>
      <w:r w:rsidRPr="00025F23">
        <w:t xml:space="preserve">Política </w:t>
      </w:r>
      <w:proofErr w:type="spellStart"/>
      <w:r w:rsidRPr="00025F23">
        <w:t>macroprudencial</w:t>
      </w:r>
      <w:bookmarkEnd w:id="225"/>
      <w:bookmarkEnd w:id="226"/>
      <w:proofErr w:type="spellEnd"/>
    </w:p>
    <w:p w14:paraId="2B543977" w14:textId="1B9487F2" w:rsidR="00FB4CF4" w:rsidRPr="00025F23" w:rsidRDefault="00FB4CF4" w:rsidP="00FB4CF4">
      <w:pPr>
        <w:rPr>
          <w:highlight w:val="yellow"/>
        </w:rPr>
      </w:pPr>
      <w:r w:rsidRPr="00025F23">
        <w:rPr>
          <w:highlight w:val="yellow"/>
        </w:rPr>
        <w:t xml:space="preserve">Permitir operar temporalmente por debajo de las ratios, liberar colchones de capital anticíclico, suavizar los límites a las ratios de préstamos (LTV, LTI) y de cobertura de liquidez, introducir flexibilidad supervisora y limitar el reparto de dividendos. Pero hay que vigilar </w:t>
      </w:r>
      <w:r w:rsidR="00DC5273" w:rsidRPr="00025F23">
        <w:rPr>
          <w:highlight w:val="yellow"/>
        </w:rPr>
        <w:t>la evolución del precio de los activos</w:t>
      </w:r>
      <w:r w:rsidRPr="00025F23">
        <w:rPr>
          <w:highlight w:val="yellow"/>
        </w:rPr>
        <w:t>.</w:t>
      </w:r>
    </w:p>
    <w:p w14:paraId="3C4FC282" w14:textId="77777777" w:rsidR="00347964" w:rsidRPr="00025F23" w:rsidRDefault="00347964" w:rsidP="007C4E30">
      <w:pPr>
        <w:keepNext/>
        <w:spacing w:after="0"/>
        <w:rPr>
          <w:highlight w:val="yellow"/>
        </w:rPr>
      </w:pPr>
      <w:r w:rsidRPr="00025F23">
        <w:rPr>
          <w:highlight w:val="yellow"/>
        </w:rPr>
        <w:t xml:space="preserve">A nivel </w:t>
      </w:r>
      <w:proofErr w:type="spellStart"/>
      <w:r w:rsidRPr="00025F23">
        <w:rPr>
          <w:highlight w:val="yellow"/>
        </w:rPr>
        <w:t>macroprudencial</w:t>
      </w:r>
      <w:proofErr w:type="spellEnd"/>
      <w:r w:rsidRPr="00025F23">
        <w:rPr>
          <w:highlight w:val="yellow"/>
        </w:rPr>
        <w:t>, al inicio de la serie la economía tiene, como se ha dicho, necesidad de reducir su nivel de deuda y riesgo de tipo de cambio, por lo que una política acomodaticia de demanda podría mitigar el impacto negativo del esfuerzo (como mencionamos, esto parece haber ocurrido). AL final de la serie podríamos señalar tres políticas que parecen adecuadas:</w:t>
      </w:r>
    </w:p>
    <w:p w14:paraId="5AE5C1BA" w14:textId="47EDCD89" w:rsidR="00347964" w:rsidRPr="00025F23" w:rsidRDefault="00347964" w:rsidP="007C4E30">
      <w:pPr>
        <w:pStyle w:val="Nivel1"/>
        <w:spacing w:after="0"/>
        <w:rPr>
          <w:highlight w:val="yellow"/>
        </w:rPr>
      </w:pPr>
      <w:r w:rsidRPr="00025F23">
        <w:rPr>
          <w:highlight w:val="yellow"/>
        </w:rPr>
        <w:t xml:space="preserve">En primer lugar, el signo negativo de la brecha crédito-PIB nos señalaría que el segmento del crédito se sitúa por debajo de su potencial, por lo que podría ser deseable la activación de medidas </w:t>
      </w:r>
      <w:proofErr w:type="spellStart"/>
      <w:r w:rsidRPr="00025F23">
        <w:rPr>
          <w:highlight w:val="yellow"/>
        </w:rPr>
        <w:t>contracíclicas</w:t>
      </w:r>
      <w:proofErr w:type="spellEnd"/>
      <w:r w:rsidRPr="00025F23">
        <w:rPr>
          <w:highlight w:val="yellow"/>
        </w:rPr>
        <w:t>, como la liberación de colchones de capital para activar el crédito.</w:t>
      </w:r>
    </w:p>
    <w:p w14:paraId="3B45E7DE" w14:textId="08F2D9F0" w:rsidR="00347964" w:rsidRPr="00025F23" w:rsidRDefault="00347964" w:rsidP="007C4E30">
      <w:pPr>
        <w:pStyle w:val="Nivel1"/>
        <w:spacing w:after="0"/>
        <w:rPr>
          <w:highlight w:val="yellow"/>
        </w:rPr>
      </w:pPr>
      <w:r w:rsidRPr="00025F23">
        <w:rPr>
          <w:highlight w:val="yellow"/>
        </w:rPr>
        <w:t>En segundo lugar, los tipos de interés raquíticos observados desde 2014 (negativos en términos reales al final de la serie) pueden suponer un riesgo para la estabilidad financiera (financiación de proyectos de poca calidad; erosión de la rentabilidad de sectores como el bancario, el asegurado o el de gestión de valores; y alteración del precio de los activos financieros, entre otros), por lo que la activación de colchones de capital de riesgo sistémico podría estar justificada.</w:t>
      </w:r>
    </w:p>
    <w:p w14:paraId="2C301F63" w14:textId="3C1FFB28" w:rsidR="00347964" w:rsidRPr="00025F23" w:rsidRDefault="00347964" w:rsidP="00347964">
      <w:pPr>
        <w:pStyle w:val="Nivel1"/>
        <w:rPr>
          <w:highlight w:val="yellow"/>
        </w:rPr>
      </w:pPr>
      <w:r w:rsidRPr="00025F23">
        <w:rPr>
          <w:highlight w:val="yellow"/>
        </w:rPr>
        <w:t xml:space="preserve">En tercer lugar, a nivel sectorial (con la limitación de datos de que contamos), observamos un importante incremento del precio de la vivienda (dobles dígitos desde 2015, y mayores al crecimiento del VAB de la construcción, señalando que hay un importante efecto-precio): este sector es clave por la alta exposición típica d ellos bancos en sus balances al mismo, así como porque supone el principal componente del activo (vivienda) como del pasivo (deuda hipotecaria); el empleo de herramientas </w:t>
      </w:r>
      <w:proofErr w:type="spellStart"/>
      <w:r w:rsidRPr="00025F23">
        <w:rPr>
          <w:highlight w:val="yellow"/>
        </w:rPr>
        <w:t>macroprudenciales</w:t>
      </w:r>
      <w:proofErr w:type="spellEnd"/>
      <w:r w:rsidRPr="00025F23">
        <w:rPr>
          <w:highlight w:val="yellow"/>
        </w:rPr>
        <w:t xml:space="preserve"> destinadas a limitar el crédito hacia este sector podría ser de interés). Por su parte, el incremento de la capitalización bursátil parece estar relacionado con el fuerte crecimiento económico que atraviesa el país; si descartamos que el precio de las acciones esté alterado por la política monetaria </w:t>
      </w:r>
      <w:proofErr w:type="spellStart"/>
      <w:r w:rsidRPr="00025F23">
        <w:rPr>
          <w:highlight w:val="yellow"/>
        </w:rPr>
        <w:t>ultralaxa</w:t>
      </w:r>
      <w:proofErr w:type="spellEnd"/>
      <w:r w:rsidRPr="00025F23">
        <w:rPr>
          <w:highlight w:val="yellow"/>
        </w:rPr>
        <w:t xml:space="preserve"> o por las entradas de capitales vía inversión en cartera (pese a que los datos podrían guiarnos a estas conclusiones…), el mercado de valores no sería una fuente de riesgo.</w:t>
      </w:r>
    </w:p>
    <w:p w14:paraId="16BD3DD9" w14:textId="77777777" w:rsidR="00886932" w:rsidRPr="00025F23" w:rsidRDefault="001044B3" w:rsidP="00AD1AFB">
      <w:pPr>
        <w:pStyle w:val="Ttulo1"/>
      </w:pPr>
      <w:bookmarkStart w:id="227" w:name="_Toc88565996"/>
      <w:bookmarkStart w:id="228" w:name="_Toc88566136"/>
      <w:bookmarkStart w:id="229" w:name="_Toc173446344"/>
      <w:bookmarkStart w:id="230" w:name="_Toc189085805"/>
      <w:r w:rsidRPr="00025F23">
        <w:t>COMPETITIVIDAD</w:t>
      </w:r>
      <w:bookmarkEnd w:id="227"/>
      <w:bookmarkEnd w:id="228"/>
      <w:bookmarkEnd w:id="229"/>
      <w:bookmarkEnd w:id="230"/>
    </w:p>
    <w:p w14:paraId="5B075916" w14:textId="288E524C" w:rsidR="00886932" w:rsidRPr="00025F23" w:rsidRDefault="00886932" w:rsidP="00AD1AFB">
      <w:pPr>
        <w:pStyle w:val="Ttulo2"/>
      </w:pPr>
      <w:bookmarkStart w:id="231" w:name="_Toc88565997"/>
      <w:bookmarkStart w:id="232" w:name="_Toc88566137"/>
      <w:bookmarkStart w:id="233" w:name="_Ref97337348"/>
      <w:bookmarkStart w:id="234" w:name="_Ref97337358"/>
      <w:bookmarkStart w:id="235" w:name="_Ref97337372"/>
      <w:bookmarkStart w:id="236" w:name="_Toc173446345"/>
      <w:bookmarkStart w:id="237" w:name="_Toc189085806"/>
      <w:r w:rsidRPr="00025F23">
        <w:t>Competitividad precio</w:t>
      </w:r>
      <w:bookmarkEnd w:id="231"/>
      <w:bookmarkEnd w:id="232"/>
      <w:bookmarkEnd w:id="233"/>
      <w:bookmarkEnd w:id="234"/>
      <w:bookmarkEnd w:id="235"/>
      <w:bookmarkEnd w:id="236"/>
      <w:bookmarkEnd w:id="237"/>
    </w:p>
    <w:p w14:paraId="2B235AC1" w14:textId="1BD7D3F5" w:rsidR="00AD1AFB" w:rsidRDefault="00AD1AFB" w:rsidP="00AD1AFB">
      <w:pPr>
        <w:pStyle w:val="Ttulo3"/>
      </w:pPr>
      <w:bookmarkStart w:id="238" w:name="_Toc173446346"/>
      <w:bookmarkStart w:id="239" w:name="_Toc189085807"/>
      <w:r w:rsidRPr="00025F23">
        <w:t>Inflación</w:t>
      </w:r>
      <w:bookmarkEnd w:id="238"/>
      <w:bookmarkEnd w:id="239"/>
    </w:p>
    <w:p w14:paraId="37A84720" w14:textId="32B65601" w:rsidR="005E2BAC" w:rsidRPr="005E2BAC" w:rsidRDefault="005E2BAC" w:rsidP="005E2BAC">
      <w:pPr>
        <w:pStyle w:val="Cajadeanotaciones"/>
        <w:keepNext/>
        <w:jc w:val="center"/>
        <w:rPr>
          <w:sz w:val="18"/>
          <w:szCs w:val="18"/>
        </w:rPr>
      </w:pPr>
      <w:r w:rsidRPr="00025F23">
        <w:rPr>
          <w:sz w:val="18"/>
          <w:szCs w:val="18"/>
        </w:rPr>
        <w:t>¿Está controlada? ¿De dónde procede?</w:t>
      </w:r>
    </w:p>
    <w:p w14:paraId="41EB2A0E" w14:textId="0C38D55F" w:rsidR="00AD1AFB" w:rsidRPr="00025F23" w:rsidRDefault="00AD1AFB" w:rsidP="00AD2E52">
      <w:pPr>
        <w:pStyle w:val="Ttulo6"/>
        <w:spacing w:before="0"/>
      </w:pPr>
      <w:bookmarkStart w:id="240" w:name="_Toc173446347"/>
      <w:bookmarkStart w:id="241" w:name="_Toc189085808"/>
      <w:r w:rsidRPr="00025F23">
        <w:t>Conceptos generales</w:t>
      </w:r>
      <w:bookmarkEnd w:id="240"/>
      <w:bookmarkEnd w:id="241"/>
    </w:p>
    <w:p w14:paraId="7B5E5E52" w14:textId="2AFACD57" w:rsidR="00922E3A" w:rsidRPr="00025F23" w:rsidRDefault="00922E3A" w:rsidP="00AD2E52">
      <w:pPr>
        <w:pStyle w:val="Ttulo7"/>
        <w:spacing w:before="0"/>
      </w:pPr>
      <w:bookmarkStart w:id="242" w:name="_Toc173446348"/>
      <w:r w:rsidRPr="00025F23">
        <w:t>Índice de precios</w:t>
      </w:r>
      <w:bookmarkEnd w:id="242"/>
    </w:p>
    <w:p w14:paraId="68098ED3" w14:textId="72A43D92" w:rsidR="00536194" w:rsidRPr="00025F23" w:rsidRDefault="00536194" w:rsidP="00536194">
      <w:r w:rsidRPr="00025F23">
        <w:t xml:space="preserve">Un </w:t>
      </w:r>
      <w:r w:rsidRPr="00025F23">
        <w:rPr>
          <w:b/>
          <w:bCs/>
        </w:rPr>
        <w:t>índice de precios</w:t>
      </w:r>
      <w:r w:rsidRPr="00025F23">
        <w:t xml:space="preserve"> refleja la media de los cambios proporcionales en los precios de un conjunto específico de bienes entre dos períodos de tiempo. Habitualmente, un índice de precios toma el valor 100 en algún período </w:t>
      </w:r>
      <w:r w:rsidRPr="00025F23">
        <w:lastRenderedPageBreak/>
        <w:t>base elegido, y los valores del índice para otros períodos indican el cambio porcentual medio en precios comparado con el período de base.</w:t>
      </w:r>
    </w:p>
    <w:p w14:paraId="21DB085F" w14:textId="3347D4F7" w:rsidR="00922E3A" w:rsidRPr="00025F23" w:rsidRDefault="00922E3A" w:rsidP="00922E3A">
      <w:pPr>
        <w:pStyle w:val="Ttulo7"/>
      </w:pPr>
      <w:bookmarkStart w:id="243" w:name="_Toc173446349"/>
      <w:r w:rsidRPr="00025F23">
        <w:t>Inflación y deflación</w:t>
      </w:r>
      <w:bookmarkEnd w:id="243"/>
    </w:p>
    <w:p w14:paraId="22227313" w14:textId="53567149" w:rsidR="00536194" w:rsidRPr="00025F23" w:rsidRDefault="00536194" w:rsidP="00536194">
      <w:r w:rsidRPr="00025F23">
        <w:t xml:space="preserve">La </w:t>
      </w:r>
      <w:r w:rsidRPr="00025F23">
        <w:rPr>
          <w:b/>
          <w:bCs/>
        </w:rPr>
        <w:t>inflación</w:t>
      </w:r>
      <w:r w:rsidRPr="00025F23">
        <w:t xml:space="preserve"> ocurre cuando los precios de los bienes y servicios aumenta a lo largo del tiempo. La </w:t>
      </w:r>
      <w:r w:rsidRPr="00025F23">
        <w:rPr>
          <w:b/>
          <w:bCs/>
        </w:rPr>
        <w:t>deflación</w:t>
      </w:r>
      <w:r w:rsidRPr="00025F23">
        <w:t xml:space="preserve"> se refiere a la situación en la que los precios decrecen a lo largo del tiempo.</w:t>
      </w:r>
    </w:p>
    <w:p w14:paraId="3644D2F0" w14:textId="596C2328" w:rsidR="00AD1AFB" w:rsidRPr="00025F23" w:rsidRDefault="00AD1AFB" w:rsidP="00AD1AFB">
      <w:pPr>
        <w:pStyle w:val="Ttulo6"/>
      </w:pPr>
      <w:bookmarkStart w:id="244" w:name="_Toc173446350"/>
      <w:bookmarkStart w:id="245" w:name="_Toc189085809"/>
      <w:r w:rsidRPr="00025F23">
        <w:t xml:space="preserve">Medidores: </w:t>
      </w:r>
      <w:r w:rsidR="00922E3A" w:rsidRPr="00025F23">
        <w:t>Índice de precios</w:t>
      </w:r>
      <w:bookmarkEnd w:id="244"/>
      <w:bookmarkEnd w:id="245"/>
    </w:p>
    <w:p w14:paraId="152BE2AF" w14:textId="48C77DB0" w:rsidR="00536194" w:rsidRPr="00025F23" w:rsidRDefault="00536194" w:rsidP="00536194">
      <w:r w:rsidRPr="00025F23">
        <w:t xml:space="preserve">Los estadísticos y los economistas han desarrollado diferentes </w:t>
      </w:r>
      <w:r w:rsidRPr="00025F23">
        <w:rPr>
          <w:b/>
          <w:bCs/>
        </w:rPr>
        <w:t>índices especializados</w:t>
      </w:r>
      <w:r w:rsidRPr="00025F23">
        <w:t xml:space="preserve"> para medir cambios en los precios:</w:t>
      </w:r>
    </w:p>
    <w:p w14:paraId="282DA4A7" w14:textId="39ED4B77" w:rsidR="00536194" w:rsidRPr="00025F23" w:rsidRDefault="00536194" w:rsidP="00536194">
      <w:pPr>
        <w:pStyle w:val="Nivel1"/>
      </w:pPr>
      <w:r w:rsidRPr="00025F23">
        <w:t xml:space="preserve">El </w:t>
      </w:r>
      <w:r w:rsidRPr="00025F23">
        <w:rPr>
          <w:i/>
          <w:iCs w:val="0"/>
          <w:u w:val="single"/>
        </w:rPr>
        <w:t>Í</w:t>
      </w:r>
      <w:r w:rsidRPr="00025F23">
        <w:rPr>
          <w:i/>
          <w:iCs w:val="0"/>
        </w:rPr>
        <w:t xml:space="preserve">ndice de </w:t>
      </w:r>
      <w:r w:rsidRPr="00025F23">
        <w:rPr>
          <w:i/>
          <w:iCs w:val="0"/>
          <w:u w:val="single"/>
        </w:rPr>
        <w:t>P</w:t>
      </w:r>
      <w:r w:rsidRPr="00025F23">
        <w:rPr>
          <w:i/>
          <w:iCs w:val="0"/>
        </w:rPr>
        <w:t xml:space="preserve">recios al </w:t>
      </w:r>
      <w:r w:rsidRPr="00025F23">
        <w:rPr>
          <w:i/>
          <w:iCs w:val="0"/>
          <w:u w:val="single"/>
        </w:rPr>
        <w:t>C</w:t>
      </w:r>
      <w:r w:rsidRPr="00025F23">
        <w:rPr>
          <w:i/>
          <w:iCs w:val="0"/>
        </w:rPr>
        <w:t>onsumo</w:t>
      </w:r>
      <w:r w:rsidRPr="00025F23">
        <w:t xml:space="preserve"> (IPC) mide los cambios relativos a lo largo del tiempo en los precios de bienes y servicios de consumo adquiridos por los hogares</w:t>
      </w:r>
      <w:r w:rsidR="00BC435D" w:rsidRPr="00025F23">
        <w:t xml:space="preserve"> (incluyendo importaciones)</w:t>
      </w:r>
      <w:r w:rsidRPr="00025F23">
        <w:t>.</w:t>
      </w:r>
    </w:p>
    <w:p w14:paraId="60BF5B2B" w14:textId="648239E8" w:rsidR="00536194" w:rsidRPr="00025F23" w:rsidRDefault="00536194" w:rsidP="00536194">
      <w:pPr>
        <w:pStyle w:val="Nivel1"/>
      </w:pPr>
      <w:r w:rsidRPr="00025F23">
        <w:t xml:space="preserve">El </w:t>
      </w:r>
      <w:r w:rsidRPr="00025F23">
        <w:rPr>
          <w:i/>
          <w:iCs w:val="0"/>
          <w:u w:val="single"/>
        </w:rPr>
        <w:t>Í</w:t>
      </w:r>
      <w:r w:rsidRPr="00025F23">
        <w:rPr>
          <w:i/>
          <w:iCs w:val="0"/>
        </w:rPr>
        <w:t xml:space="preserve">ndice de </w:t>
      </w:r>
      <w:r w:rsidRPr="00025F23">
        <w:rPr>
          <w:i/>
          <w:iCs w:val="0"/>
          <w:u w:val="single"/>
        </w:rPr>
        <w:t>P</w:t>
      </w:r>
      <w:r w:rsidRPr="00025F23">
        <w:rPr>
          <w:i/>
          <w:iCs w:val="0"/>
        </w:rPr>
        <w:t>recios</w:t>
      </w:r>
      <w:r w:rsidR="00440017" w:rsidRPr="00025F23">
        <w:t xml:space="preserve"> </w:t>
      </w:r>
      <w:r w:rsidR="00440017" w:rsidRPr="00025F23">
        <w:rPr>
          <w:i/>
          <w:iCs w:val="0"/>
        </w:rPr>
        <w:t xml:space="preserve">del </w:t>
      </w:r>
      <w:r w:rsidR="00440017" w:rsidRPr="00025F23">
        <w:rPr>
          <w:i/>
          <w:iCs w:val="0"/>
          <w:u w:val="single"/>
        </w:rPr>
        <w:t>P</w:t>
      </w:r>
      <w:r w:rsidR="00440017" w:rsidRPr="00025F23">
        <w:rPr>
          <w:i/>
          <w:iCs w:val="0"/>
        </w:rPr>
        <w:t>roductor</w:t>
      </w:r>
      <w:r w:rsidR="00440017" w:rsidRPr="00025F23">
        <w:t xml:space="preserve"> (IPP) mide los cambios relativos a lo largo del tiempo en los precios que reciben los productores nacionales a cambio de sus bienes o servicios mediante su venta en los mercados domésticos y/o exportación. Sirve para saber si los precios de los productos de una economía suben o bajan, independientemente de su canal de comercialización.</w:t>
      </w:r>
    </w:p>
    <w:p w14:paraId="72F455AA" w14:textId="290D20CD" w:rsidR="00535B86" w:rsidRPr="00025F23" w:rsidRDefault="005A7BED" w:rsidP="00536194">
      <w:pPr>
        <w:pStyle w:val="Nivel1"/>
      </w:pPr>
      <w:r w:rsidRPr="00025F23">
        <w:t xml:space="preserve">Los </w:t>
      </w:r>
      <w:r w:rsidR="00535B86" w:rsidRPr="00025F23">
        <w:rPr>
          <w:i/>
          <w:iCs w:val="0"/>
          <w:u w:val="single"/>
        </w:rPr>
        <w:t>Í</w:t>
      </w:r>
      <w:r w:rsidR="00535B86" w:rsidRPr="00025F23">
        <w:rPr>
          <w:i/>
          <w:iCs w:val="0"/>
        </w:rPr>
        <w:t xml:space="preserve">ndices de </w:t>
      </w:r>
      <w:r w:rsidR="00535B86" w:rsidRPr="00025F23">
        <w:rPr>
          <w:i/>
          <w:iCs w:val="0"/>
          <w:u w:val="single"/>
        </w:rPr>
        <w:t>Pr</w:t>
      </w:r>
      <w:r w:rsidR="00535B86" w:rsidRPr="00025F23">
        <w:rPr>
          <w:i/>
          <w:iCs w:val="0"/>
        </w:rPr>
        <w:t xml:space="preserve">ecios </w:t>
      </w:r>
      <w:r w:rsidRPr="00025F23">
        <w:rPr>
          <w:i/>
          <w:iCs w:val="0"/>
          <w:u w:val="single"/>
        </w:rPr>
        <w:t>E</w:t>
      </w:r>
      <w:r w:rsidR="00535B86" w:rsidRPr="00025F23">
        <w:rPr>
          <w:i/>
          <w:iCs w:val="0"/>
          <w:u w:val="single"/>
        </w:rPr>
        <w:t>x</w:t>
      </w:r>
      <w:r w:rsidR="00535B86" w:rsidRPr="00025F23">
        <w:rPr>
          <w:i/>
          <w:iCs w:val="0"/>
        </w:rPr>
        <w:t xml:space="preserve">portación e </w:t>
      </w:r>
      <w:r w:rsidRPr="00025F23">
        <w:rPr>
          <w:i/>
          <w:iCs w:val="0"/>
          <w:u w:val="single"/>
        </w:rPr>
        <w:t>I</w:t>
      </w:r>
      <w:r w:rsidR="00535B86" w:rsidRPr="00025F23">
        <w:rPr>
          <w:i/>
          <w:iCs w:val="0"/>
          <w:u w:val="single"/>
        </w:rPr>
        <w:t>m</w:t>
      </w:r>
      <w:r w:rsidR="00535B86" w:rsidRPr="00025F23">
        <w:rPr>
          <w:i/>
          <w:iCs w:val="0"/>
        </w:rPr>
        <w:t xml:space="preserve">portación </w:t>
      </w:r>
      <w:r w:rsidR="00535B86" w:rsidRPr="00025F23">
        <w:t>(IPRIX-IPRIM)</w:t>
      </w:r>
      <w:r w:rsidRPr="00025F23">
        <w:t xml:space="preserve"> miden los cambios a lo largo del tiempo de los precios de bienes y servicios vendidos a compradores extranjeros por residentes nacionales (exportación) o de bienes y servicios comparados del extranjero por agentes domésticos (importación). Estos índices se usan principalmente para deflactar las estadísticas de comercio exterior. El IPRIM también es útil para medir la inflación ya que algunos inputs de la producción doméstica</w:t>
      </w:r>
      <w:r w:rsidR="00426ED8" w:rsidRPr="00025F23">
        <w:t xml:space="preserve"> y algunos bienes de consumo son importados, con lo que movimientos en los precios de importación pueden ser habitualmente un indicador de inflación futura.</w:t>
      </w:r>
    </w:p>
    <w:p w14:paraId="77B00F64" w14:textId="50A919C1" w:rsidR="00426ED8" w:rsidRPr="00025F23" w:rsidRDefault="00426ED8" w:rsidP="00426ED8">
      <w:pPr>
        <w:pStyle w:val="Nivel1"/>
        <w:spacing w:after="0"/>
      </w:pPr>
      <w:r w:rsidRPr="00025F23">
        <w:t xml:space="preserve">Los </w:t>
      </w:r>
      <w:r w:rsidRPr="00025F23">
        <w:rPr>
          <w:i/>
          <w:iCs w:val="0"/>
        </w:rPr>
        <w:t>costes laborales</w:t>
      </w:r>
      <w:r w:rsidRPr="00025F23">
        <w:t xml:space="preserve"> </w:t>
      </w:r>
      <w:r w:rsidRPr="00025F23">
        <w:rPr>
          <w:sz w:val="10"/>
          <w:szCs w:val="10"/>
        </w:rPr>
        <w:t>(que mencionábamos en el apartado anterior)</w:t>
      </w:r>
      <w:r w:rsidRPr="00025F23">
        <w:t xml:space="preserve"> son un medidor clave de la inflación, porque a menudo representan una parte importante de los costes totales de los negocios privados. Medidas de la inflación de los costes laborales incluyen:</w:t>
      </w:r>
    </w:p>
    <w:p w14:paraId="024DCEAB" w14:textId="25670920" w:rsidR="00426ED8" w:rsidRPr="00025F23" w:rsidRDefault="00426ED8" w:rsidP="00426ED8">
      <w:pPr>
        <w:pStyle w:val="Nivel2"/>
      </w:pPr>
      <w:r w:rsidRPr="00025F23">
        <w:t>Tasa de crecimiento del salario medio;</w:t>
      </w:r>
    </w:p>
    <w:p w14:paraId="3CDFEC74" w14:textId="3451E4A5" w:rsidR="00426ED8" w:rsidRPr="00025F23" w:rsidRDefault="00426ED8" w:rsidP="00426ED8">
      <w:pPr>
        <w:pStyle w:val="Nivel2"/>
      </w:pPr>
      <w:r w:rsidRPr="00025F23">
        <w:t>Índice de coste de compensación</w:t>
      </w:r>
      <w:r w:rsidR="009012E5" w:rsidRPr="00025F23">
        <w:t>;</w:t>
      </w:r>
    </w:p>
    <w:p w14:paraId="7869861B" w14:textId="44BD4E01" w:rsidR="00426ED8" w:rsidRPr="00025F23" w:rsidRDefault="00426ED8" w:rsidP="00426ED8">
      <w:pPr>
        <w:pStyle w:val="Nivel2"/>
      </w:pPr>
      <w:r w:rsidRPr="00025F23">
        <w:t>Tasa de crecimiento del Coste Laboral Unitario (CLU)</w:t>
      </w:r>
      <w:r w:rsidR="009012E5" w:rsidRPr="00025F23">
        <w:t>.</w:t>
      </w:r>
    </w:p>
    <w:p w14:paraId="0310C6B5" w14:textId="019B4543" w:rsidR="00440017" w:rsidRPr="00025F23" w:rsidRDefault="00440017" w:rsidP="00536194">
      <w:pPr>
        <w:pStyle w:val="Nivel1"/>
      </w:pPr>
      <w:r w:rsidRPr="00025F23">
        <w:t xml:space="preserve">Otra medida ampliamente utilizada es el </w:t>
      </w:r>
      <w:r w:rsidRPr="00025F23">
        <w:rPr>
          <w:i/>
          <w:iCs w:val="0"/>
        </w:rPr>
        <w:t>deflactor del PIB</w:t>
      </w:r>
      <w:r w:rsidRPr="00025F23">
        <w:t xml:space="preserve">, que mide los cambios en el nivel de precios de todos los bienes y servicios finales, nuevos y domésticamente producidos. El deflactor del PIB mide </w:t>
      </w:r>
      <w:r w:rsidR="00DA75E7" w:rsidRPr="00025F23">
        <w:t>la</w:t>
      </w:r>
      <w:r w:rsidRPr="00025F23">
        <w:t xml:space="preserve"> ratio </w:t>
      </w:r>
      <w:r w:rsidR="00DA75E7" w:rsidRPr="00025F23">
        <w:t>del PIB nominal y el PIB real.</w:t>
      </w:r>
    </w:p>
    <w:p w14:paraId="3CBCCFDD" w14:textId="172059A9" w:rsidR="00DA75E7" w:rsidRPr="00025F23" w:rsidRDefault="00DA75E7" w:rsidP="00536194">
      <w:pPr>
        <w:pStyle w:val="Nivel1"/>
      </w:pPr>
      <w:r w:rsidRPr="00025F23">
        <w:t xml:space="preserve">Analistas macroeconómicos, </w:t>
      </w:r>
      <w:proofErr w:type="spellStart"/>
      <w:r w:rsidRPr="00025F23">
        <w:rPr>
          <w:i/>
          <w:iCs w:val="0"/>
        </w:rPr>
        <w:t>policymakers</w:t>
      </w:r>
      <w:proofErr w:type="spellEnd"/>
      <w:r w:rsidRPr="00025F23">
        <w:t xml:space="preserve"> y economistas de la empresa también utilizan otros índices de precios especializados, como por ejemplo costes laborales, precio de la vivienda</w:t>
      </w:r>
      <w:r w:rsidR="00792AC5" w:rsidRPr="00025F23">
        <w:t>, cotización bursátil</w:t>
      </w:r>
      <w:r w:rsidRPr="00025F23">
        <w:t>…</w:t>
      </w:r>
    </w:p>
    <w:p w14:paraId="56D71FFD" w14:textId="6C5F212A" w:rsidR="00536194" w:rsidRPr="00025F23" w:rsidRDefault="00DA75E7" w:rsidP="00536194">
      <w:r w:rsidRPr="00025F23">
        <w:t>Para la economía en su conjunto, el IPC y el deflactor del PIB son las dos medidas más habituales de los cambios en el nivel general de precios.</w:t>
      </w:r>
    </w:p>
    <w:p w14:paraId="18883F3F" w14:textId="48F1D5E9" w:rsidR="00AD1AFB" w:rsidRPr="00025F23" w:rsidRDefault="00AD1AFB" w:rsidP="00AD1AFB">
      <w:pPr>
        <w:pStyle w:val="Ttulo7"/>
        <w:rPr>
          <w:i w:val="0"/>
          <w:iCs w:val="0"/>
        </w:rPr>
      </w:pPr>
      <w:bookmarkStart w:id="246" w:name="_Toc173446351"/>
      <w:r w:rsidRPr="00025F23">
        <w:t xml:space="preserve">Índice de Precios al Consumo </w:t>
      </w:r>
      <w:r w:rsidRPr="00025F23">
        <w:rPr>
          <w:i w:val="0"/>
          <w:iCs w:val="0"/>
        </w:rPr>
        <w:t>(</w:t>
      </w:r>
      <w:r w:rsidRPr="00025F23">
        <w:t>IPC</w:t>
      </w:r>
      <w:r w:rsidRPr="00025F23">
        <w:rPr>
          <w:i w:val="0"/>
          <w:iCs w:val="0"/>
        </w:rPr>
        <w:t>)</w:t>
      </w:r>
      <w:bookmarkEnd w:id="246"/>
    </w:p>
    <w:p w14:paraId="6F159CDD" w14:textId="458D43BF" w:rsidR="001A2BBC" w:rsidRPr="00025F23" w:rsidRDefault="001A2BBC" w:rsidP="00BC435D">
      <w:r w:rsidRPr="00025F23">
        <w:t>En la práctica</w:t>
      </w:r>
      <w:r w:rsidR="003B700E" w:rsidRPr="00025F23">
        <w:t>,</w:t>
      </w:r>
      <w:r w:rsidRPr="00025F23">
        <w:t xml:space="preserve"> el IPC es comúnmente definido como la medida del cambio relativo del coste de una cesta </w:t>
      </w:r>
      <w:r w:rsidRPr="00025F23">
        <w:rPr>
          <w:i/>
          <w:iCs/>
        </w:rPr>
        <w:t>fijada</w:t>
      </w:r>
      <w:r w:rsidR="00D25F61" w:rsidRPr="00025F23">
        <w:rPr>
          <w:rStyle w:val="Refdenotaalpie"/>
          <w:i/>
          <w:iCs/>
        </w:rPr>
        <w:footnoteReference w:id="29"/>
      </w:r>
      <w:r w:rsidRPr="00025F23">
        <w:t xml:space="preserve"> de bienes y servicios </w:t>
      </w:r>
      <w:r w:rsidR="00BC435D" w:rsidRPr="00025F23">
        <w:t>comprada</w:t>
      </w:r>
      <w:r w:rsidRPr="00025F23">
        <w:t xml:space="preserve"> por la población de referencia</w:t>
      </w:r>
      <w:r w:rsidR="00BC435D" w:rsidRPr="00025F23">
        <w:t xml:space="preserve"> (</w:t>
      </w:r>
      <w:r w:rsidR="00BC435D" w:rsidRPr="00025F23">
        <w:rPr>
          <w:b/>
          <w:bCs/>
        </w:rPr>
        <w:t>incluyendo importaciones</w:t>
      </w:r>
      <w:r w:rsidR="00BC435D" w:rsidRPr="00025F23">
        <w:t>)</w:t>
      </w:r>
      <w:r w:rsidR="00BC435D" w:rsidRPr="00025F23">
        <w:rPr>
          <w:rStyle w:val="Refdenotaalpie"/>
        </w:rPr>
        <w:footnoteReference w:id="30"/>
      </w:r>
      <w:r w:rsidRPr="00025F23">
        <w:t>.</w:t>
      </w:r>
    </w:p>
    <w:p w14:paraId="4DF95F34" w14:textId="124EE652" w:rsidR="003B700E" w:rsidRPr="00025F23" w:rsidRDefault="003B700E" w:rsidP="00EA6679">
      <w:pPr>
        <w:pStyle w:val="Cajadeanotaciones"/>
      </w:pPr>
      <w:bookmarkStart w:id="247" w:name="_Hlk98918033"/>
      <w:r w:rsidRPr="00025F23">
        <w:t xml:space="preserve">El IPC </w:t>
      </w:r>
      <w:r w:rsidRPr="00025F23">
        <w:rPr>
          <w:u w:val="single"/>
        </w:rPr>
        <w:t>compara</w:t>
      </w:r>
      <w:r w:rsidRPr="00025F23">
        <w:t xml:space="preserve"> </w:t>
      </w:r>
      <w:r w:rsidRPr="00025F23">
        <w:rPr>
          <w:i/>
          <w:iCs/>
        </w:rPr>
        <w:t>el coste de una cesta representativa de bienes y servicios valorada durante el período actual</w:t>
      </w:r>
      <w:r w:rsidRPr="00025F23">
        <w:t xml:space="preserve"> </w:t>
      </w:r>
      <w:r w:rsidRPr="00025F23">
        <w:rPr>
          <w:u w:val="single"/>
        </w:rPr>
        <w:t>con</w:t>
      </w:r>
      <w:r w:rsidRPr="00025F23">
        <w:t xml:space="preserve"> </w:t>
      </w:r>
      <w:r w:rsidRPr="00025F23">
        <w:rPr>
          <w:i/>
          <w:iCs/>
        </w:rPr>
        <w:t>el coste de una cesta idéntica de bienes y servicios valorada a precios de un período de referencia</w:t>
      </w:r>
      <w:r w:rsidRPr="00025F23">
        <w:t>.</w:t>
      </w:r>
    </w:p>
    <w:p w14:paraId="77E68F4F" w14:textId="56D01055" w:rsidR="003B700E" w:rsidRPr="00025F23" w:rsidRDefault="003B700E" w:rsidP="00EA6679">
      <w:pPr>
        <w:pStyle w:val="Cajadeanotaciones"/>
      </w:pPr>
      <w:r w:rsidRPr="00025F23">
        <w:t xml:space="preserve">Esto requiere ponderar los precios agregados de diferentes categorías de bienes y servicios de forma que </w:t>
      </w:r>
      <w:r w:rsidR="004E6D9C" w:rsidRPr="00025F23">
        <w:t>se refleje</w:t>
      </w:r>
      <w:r w:rsidR="004E6D9C" w:rsidRPr="00025F23">
        <w:rPr>
          <w:b/>
          <w:bCs/>
        </w:rPr>
        <w:t>n</w:t>
      </w:r>
      <w:r w:rsidR="004E6D9C" w:rsidRPr="00025F23">
        <w:t xml:space="preserve"> los gastos de los hogares en el índice de forma adecuada.</w:t>
      </w:r>
    </w:p>
    <w:p w14:paraId="2089ECBB" w14:textId="3F0163C6" w:rsidR="00EA6679" w:rsidRPr="00025F23" w:rsidRDefault="00EA6679" w:rsidP="00EA6679">
      <w:pPr>
        <w:pStyle w:val="Cajadeanotaciones"/>
      </w:pPr>
      <w:r w:rsidRPr="00025F23">
        <w:t>La formulación de Laspeyres mide los precios actuales ponderados por cantidades del período base, dividido por precios del período base ponderados por cantidades del período base:</w:t>
      </w:r>
    </w:p>
    <w:p w14:paraId="335D8756" w14:textId="4D58C728" w:rsidR="00EA6679" w:rsidRPr="00025F23" w:rsidRDefault="00000000" w:rsidP="00EA6679">
      <w:pPr>
        <w:pStyle w:val="Cajadeanotaciones"/>
        <w:rPr>
          <w:i/>
          <w:iCs/>
          <w:lang w:val="en-US"/>
        </w:rPr>
      </w:pPr>
      <m:oMathPara>
        <m:oMath>
          <m:sSub>
            <m:sSubPr>
              <m:ctrlPr>
                <w:rPr>
                  <w:rFonts w:ascii="Cambria Math" w:hAnsi="Cambria Math"/>
                  <w:i/>
                  <w:iCs/>
                  <w:szCs w:val="22"/>
                </w:rPr>
              </m:ctrlPr>
            </m:sSubPr>
            <m:e>
              <m:r>
                <m:rPr>
                  <m:nor/>
                </m:rPr>
                <w:rPr>
                  <w:i/>
                  <w:iCs/>
                  <w:lang w:val="en-US"/>
                </w:rPr>
                <m:t>I</m:t>
              </m:r>
            </m:e>
            <m:sub>
              <m:r>
                <m:rPr>
                  <m:nor/>
                </m:rPr>
                <w:rPr>
                  <w:i/>
                  <w:iCs/>
                  <w:lang w:val="en-US"/>
                </w:rPr>
                <m:t>Laspeyres</m:t>
              </m:r>
            </m:sub>
          </m:sSub>
          <m:r>
            <w:rPr>
              <w:rFonts w:ascii="Cambria Math" w:hAnsi="Cambria Math"/>
              <w:lang w:val="en-US"/>
            </w:rPr>
            <m:t>≡</m:t>
          </m:r>
          <m:f>
            <m:fPr>
              <m:ctrlPr>
                <w:rPr>
                  <w:rFonts w:ascii="Cambria Math" w:hAnsi="Cambria Math"/>
                  <w:i/>
                  <w:iCs/>
                  <w:szCs w:val="22"/>
                </w:rPr>
              </m:ctrlPr>
            </m:fPr>
            <m:num>
              <m:nary>
                <m:naryPr>
                  <m:chr m:val="∑"/>
                  <m:limLoc m:val="undOvr"/>
                  <m:ctrlPr>
                    <w:rPr>
                      <w:rFonts w:ascii="Cambria Math" w:hAnsi="Cambria Math"/>
                      <w:i/>
                      <w:iCs/>
                      <w:szCs w:val="22"/>
                    </w:rPr>
                  </m:ctrlPr>
                </m:naryPr>
                <m:sub>
                  <m:r>
                    <m:rPr>
                      <m:nor/>
                    </m:rPr>
                    <w:rPr>
                      <w:i/>
                      <w:iCs/>
                      <w:lang w:val="en-US"/>
                    </w:rPr>
                    <m:t>i</m:t>
                  </m:r>
                  <m:r>
                    <w:rPr>
                      <w:rFonts w:ascii="Cambria Math" w:hAnsi="Cambria Math"/>
                      <w:lang w:val="en-US"/>
                    </w:rPr>
                    <m:t>=</m:t>
                  </m:r>
                  <m:r>
                    <m:rPr>
                      <m:nor/>
                    </m:rPr>
                    <w:rPr>
                      <w:i/>
                      <w:iCs/>
                      <w:lang w:val="en-US"/>
                    </w:rPr>
                    <m:t>1</m:t>
                  </m:r>
                </m:sub>
                <m:sup>
                  <m:r>
                    <m:rPr>
                      <m:nor/>
                    </m:rPr>
                    <w:rPr>
                      <w:i/>
                      <w:iCs/>
                      <w:lang w:val="en-US"/>
                    </w:rPr>
                    <m:t>N</m:t>
                  </m:r>
                </m:sup>
                <m:e>
                  <m:sSubSup>
                    <m:sSubSupPr>
                      <m:ctrlPr>
                        <w:rPr>
                          <w:rFonts w:ascii="Cambria Math" w:hAnsi="Cambria Math"/>
                          <w:i/>
                          <w:iCs/>
                          <w:szCs w:val="22"/>
                        </w:rPr>
                      </m:ctrlPr>
                    </m:sSubSupPr>
                    <m:e>
                      <m:r>
                        <m:rPr>
                          <m:nor/>
                        </m:rPr>
                        <w:rPr>
                          <w:i/>
                          <w:iCs/>
                          <w:lang w:val="en-US"/>
                        </w:rPr>
                        <m:t>p</m:t>
                      </m:r>
                    </m:e>
                    <m:sub>
                      <m:r>
                        <m:rPr>
                          <m:nor/>
                        </m:rPr>
                        <w:rPr>
                          <w:i/>
                          <w:iCs/>
                          <w:lang w:val="en-US"/>
                        </w:rPr>
                        <m:t>i</m:t>
                      </m:r>
                    </m:sub>
                    <m:sup>
                      <m:r>
                        <m:rPr>
                          <m:nor/>
                        </m:rPr>
                        <w:rPr>
                          <w:i/>
                          <w:iCs/>
                          <w:lang w:val="en-US"/>
                        </w:rPr>
                        <m:t>t</m:t>
                      </m:r>
                    </m:sup>
                  </m:sSubSup>
                  <m:r>
                    <w:rPr>
                      <w:rFonts w:ascii="Cambria Math" w:hAnsi="Cambria Math"/>
                      <w:lang w:val="en-US"/>
                    </w:rPr>
                    <m:t>∙</m:t>
                  </m:r>
                  <m:sSubSup>
                    <m:sSubSupPr>
                      <m:ctrlPr>
                        <w:rPr>
                          <w:rFonts w:ascii="Cambria Math" w:hAnsi="Cambria Math"/>
                          <w:i/>
                          <w:iCs/>
                          <w:szCs w:val="22"/>
                        </w:rPr>
                      </m:ctrlPr>
                    </m:sSubSupPr>
                    <m:e>
                      <m:r>
                        <m:rPr>
                          <m:nor/>
                        </m:rPr>
                        <w:rPr>
                          <w:i/>
                          <w:iCs/>
                          <w:lang w:val="en-US"/>
                        </w:rPr>
                        <m:t>q</m:t>
                      </m:r>
                    </m:e>
                    <m:sub>
                      <m:r>
                        <m:rPr>
                          <m:nor/>
                        </m:rPr>
                        <w:rPr>
                          <w:i/>
                          <w:iCs/>
                          <w:lang w:val="en-US"/>
                        </w:rPr>
                        <m:t>i</m:t>
                      </m:r>
                    </m:sub>
                    <m:sup>
                      <m:r>
                        <m:rPr>
                          <m:nor/>
                        </m:rPr>
                        <w:rPr>
                          <w:i/>
                          <w:iCs/>
                          <w:lang w:val="en-US"/>
                        </w:rPr>
                        <m:t>0</m:t>
                      </m:r>
                    </m:sup>
                  </m:sSubSup>
                </m:e>
              </m:nary>
            </m:num>
            <m:den>
              <m:nary>
                <m:naryPr>
                  <m:chr m:val="∑"/>
                  <m:limLoc m:val="undOvr"/>
                  <m:ctrlPr>
                    <w:rPr>
                      <w:rFonts w:ascii="Cambria Math" w:hAnsi="Cambria Math"/>
                      <w:i/>
                      <w:iCs/>
                      <w:szCs w:val="22"/>
                    </w:rPr>
                  </m:ctrlPr>
                </m:naryPr>
                <m:sub>
                  <m:r>
                    <m:rPr>
                      <m:nor/>
                    </m:rPr>
                    <w:rPr>
                      <w:i/>
                      <w:iCs/>
                      <w:lang w:val="en-US"/>
                    </w:rPr>
                    <m:t>i</m:t>
                  </m:r>
                  <m:r>
                    <w:rPr>
                      <w:rFonts w:ascii="Cambria Math" w:hAnsi="Cambria Math"/>
                      <w:lang w:val="en-US"/>
                    </w:rPr>
                    <m:t>=</m:t>
                  </m:r>
                  <m:r>
                    <m:rPr>
                      <m:nor/>
                    </m:rPr>
                    <w:rPr>
                      <w:i/>
                      <w:iCs/>
                      <w:lang w:val="en-US"/>
                    </w:rPr>
                    <m:t>1</m:t>
                  </m:r>
                </m:sub>
                <m:sup>
                  <m:r>
                    <m:rPr>
                      <m:nor/>
                    </m:rPr>
                    <w:rPr>
                      <w:i/>
                      <w:iCs/>
                      <w:lang w:val="en-US"/>
                    </w:rPr>
                    <m:t>N</m:t>
                  </m:r>
                </m:sup>
                <m:e>
                  <m:sSubSup>
                    <m:sSubSupPr>
                      <m:ctrlPr>
                        <w:rPr>
                          <w:rFonts w:ascii="Cambria Math" w:hAnsi="Cambria Math"/>
                          <w:i/>
                          <w:iCs/>
                          <w:szCs w:val="22"/>
                        </w:rPr>
                      </m:ctrlPr>
                    </m:sSubSupPr>
                    <m:e>
                      <m:r>
                        <m:rPr>
                          <m:nor/>
                        </m:rPr>
                        <w:rPr>
                          <w:i/>
                          <w:iCs/>
                          <w:lang w:val="en-US"/>
                        </w:rPr>
                        <m:t>p</m:t>
                      </m:r>
                    </m:e>
                    <m:sub>
                      <m:r>
                        <m:rPr>
                          <m:nor/>
                        </m:rPr>
                        <w:rPr>
                          <w:i/>
                          <w:iCs/>
                          <w:lang w:val="en-US"/>
                        </w:rPr>
                        <m:t>i</m:t>
                      </m:r>
                    </m:sub>
                    <m:sup>
                      <m:r>
                        <m:rPr>
                          <m:nor/>
                        </m:rPr>
                        <w:rPr>
                          <w:i/>
                          <w:iCs/>
                          <w:lang w:val="en-US"/>
                        </w:rPr>
                        <m:t>0</m:t>
                      </m:r>
                    </m:sup>
                  </m:sSubSup>
                  <m:r>
                    <w:rPr>
                      <w:rFonts w:ascii="Cambria Math" w:hAnsi="Cambria Math"/>
                      <w:lang w:val="en-US"/>
                    </w:rPr>
                    <m:t>∙</m:t>
                  </m:r>
                  <m:sSubSup>
                    <m:sSubSupPr>
                      <m:ctrlPr>
                        <w:rPr>
                          <w:rFonts w:ascii="Cambria Math" w:hAnsi="Cambria Math"/>
                          <w:i/>
                          <w:iCs/>
                          <w:szCs w:val="22"/>
                        </w:rPr>
                      </m:ctrlPr>
                    </m:sSubSupPr>
                    <m:e>
                      <m:r>
                        <m:rPr>
                          <m:nor/>
                        </m:rPr>
                        <w:rPr>
                          <w:i/>
                          <w:iCs/>
                          <w:lang w:val="en-US"/>
                        </w:rPr>
                        <m:t>q</m:t>
                      </m:r>
                    </m:e>
                    <m:sub>
                      <m:r>
                        <m:rPr>
                          <m:nor/>
                        </m:rPr>
                        <w:rPr>
                          <w:i/>
                          <w:iCs/>
                          <w:lang w:val="en-US"/>
                        </w:rPr>
                        <m:t>i</m:t>
                      </m:r>
                    </m:sub>
                    <m:sup>
                      <m:r>
                        <m:rPr>
                          <m:nor/>
                        </m:rPr>
                        <w:rPr>
                          <w:i/>
                          <w:iCs/>
                          <w:lang w:val="en-US"/>
                        </w:rPr>
                        <m:t>0</m:t>
                      </m:r>
                    </m:sup>
                  </m:sSubSup>
                </m:e>
              </m:nary>
            </m:den>
          </m:f>
          <m:r>
            <w:rPr>
              <w:rFonts w:ascii="Cambria Math" w:hAnsi="Cambria Math"/>
              <w:lang w:val="en-US"/>
            </w:rPr>
            <m:t>×</m:t>
          </m:r>
          <m:r>
            <m:rPr>
              <m:nor/>
            </m:rPr>
            <w:rPr>
              <w:i/>
              <w:iCs/>
              <w:lang w:val="en-US"/>
            </w:rPr>
            <m:t>100</m:t>
          </m:r>
        </m:oMath>
      </m:oMathPara>
    </w:p>
    <w:p w14:paraId="0FE9AAEC" w14:textId="5C8FD1E4" w:rsidR="003B700E" w:rsidRPr="00025F23" w:rsidRDefault="004E6D9C" w:rsidP="00EA6679">
      <w:pPr>
        <w:pStyle w:val="Cajadeanotaciones"/>
        <w:rPr>
          <w:spacing w:val="-2"/>
        </w:rPr>
      </w:pPr>
      <w:r w:rsidRPr="00025F23">
        <w:rPr>
          <w:spacing w:val="-2"/>
        </w:rPr>
        <w:t xml:space="preserve">En la práctica, el IPC es un </w:t>
      </w:r>
      <w:r w:rsidRPr="00025F23">
        <w:rPr>
          <w:b/>
          <w:bCs/>
          <w:spacing w:val="-2"/>
        </w:rPr>
        <w:t>índice de tipo Laspeyres</w:t>
      </w:r>
      <w:r w:rsidRPr="00025F23">
        <w:rPr>
          <w:spacing w:val="-2"/>
        </w:rPr>
        <w:t>.</w:t>
      </w:r>
      <w:r w:rsidR="00EA6679" w:rsidRPr="00025F23">
        <w:rPr>
          <w:spacing w:val="-2"/>
        </w:rPr>
        <w:t xml:space="preserve"> Un índice de Laspeyres puro requeriría que la cesta fuera la misma que la cesta comprada a precios del periodo de referencia. Sin embargo, en la mayoría de los </w:t>
      </w:r>
      <w:proofErr w:type="spellStart"/>
      <w:r w:rsidR="00EA6679" w:rsidRPr="00025F23">
        <w:rPr>
          <w:spacing w:val="-2"/>
        </w:rPr>
        <w:t>IPCs</w:t>
      </w:r>
      <w:proofErr w:type="spellEnd"/>
      <w:r w:rsidR="00EA6679" w:rsidRPr="00025F23">
        <w:rPr>
          <w:spacing w:val="-2"/>
        </w:rPr>
        <w:t xml:space="preserve"> la cesta se refiere a un período diferente del período de referencia. Se asigna un valor de 100 al índice en un período base seleccionado, y los valores del índice para otros períodos indican el cambio porcentual medio en precios comparado con el período de base.</w:t>
      </w:r>
      <w:r w:rsidR="00B62AEA" w:rsidRPr="00025F23">
        <w:rPr>
          <w:spacing w:val="-2"/>
        </w:rPr>
        <w:t xml:space="preserve"> Concretamente se trata de </w:t>
      </w:r>
      <w:r w:rsidR="00B62AEA" w:rsidRPr="00025F23">
        <w:rPr>
          <w:b/>
          <w:bCs/>
          <w:spacing w:val="-2"/>
        </w:rPr>
        <w:t xml:space="preserve">índices de </w:t>
      </w:r>
      <w:r w:rsidR="00B62AEA" w:rsidRPr="00025F23">
        <w:rPr>
          <w:b/>
          <w:bCs/>
          <w:spacing w:val="-2"/>
        </w:rPr>
        <w:t>Laspeyres encadenados</w:t>
      </w:r>
      <w:r w:rsidR="00B62AEA" w:rsidRPr="00025F23">
        <w:rPr>
          <w:spacing w:val="-2"/>
        </w:rPr>
        <w:t>, y consisten en que las ponderaciones de la cesta de consumo se revisan en cada período.</w:t>
      </w:r>
    </w:p>
    <w:p w14:paraId="2F94F0D1" w14:textId="4C5F41F4" w:rsidR="00BC435D" w:rsidRPr="00025F23" w:rsidRDefault="00BC435D" w:rsidP="00EA6679">
      <w:pPr>
        <w:pStyle w:val="Cajadeanotaciones"/>
      </w:pPr>
      <w:r w:rsidRPr="00025F23">
        <w:t xml:space="preserve">Al ser un índice de tipo Laspeyres, se produce un </w:t>
      </w:r>
      <w:r w:rsidRPr="00025F23">
        <w:rPr>
          <w:i/>
          <w:iCs/>
        </w:rPr>
        <w:t>sesgo-sustitución</w:t>
      </w:r>
      <w:r w:rsidR="004A34C7" w:rsidRPr="00025F23">
        <w:rPr>
          <w:rStyle w:val="Refdenotaalpie"/>
        </w:rPr>
        <w:footnoteReference w:id="31"/>
      </w:r>
      <w:r w:rsidRPr="00025F23">
        <w:t xml:space="preserve"> que genera una sobrevaloración de los incrementos en precios</w:t>
      </w:r>
      <w:r w:rsidR="007B4B56" w:rsidRPr="00025F23">
        <w:rPr>
          <w:color w:val="767171" w:themeColor="background2" w:themeShade="80"/>
          <w:sz w:val="14"/>
          <w:szCs w:val="14"/>
        </w:rPr>
        <w:t xml:space="preserve"> [ver tema 3.A.</w:t>
      </w:r>
      <w:r w:rsidR="00EE58E7">
        <w:rPr>
          <w:color w:val="767171" w:themeColor="background2" w:themeShade="80"/>
          <w:sz w:val="14"/>
          <w:szCs w:val="14"/>
        </w:rPr>
        <w:t>9</w:t>
      </w:r>
      <w:r w:rsidR="007B4B56" w:rsidRPr="00025F23">
        <w:rPr>
          <w:color w:val="767171" w:themeColor="background2" w:themeShade="80"/>
          <w:sz w:val="14"/>
          <w:szCs w:val="14"/>
        </w:rPr>
        <w:t>]</w:t>
      </w:r>
      <w:r w:rsidRPr="00025F23">
        <w:t>.</w:t>
      </w:r>
    </w:p>
    <w:p w14:paraId="66BA3E61" w14:textId="0F6021D4" w:rsidR="00F33A6A" w:rsidRPr="00025F23" w:rsidRDefault="00AD1AFB" w:rsidP="00AD1AFB">
      <w:pPr>
        <w:pStyle w:val="Ttulo7"/>
      </w:pPr>
      <w:bookmarkStart w:id="248" w:name="_Toc173446352"/>
      <w:bookmarkEnd w:id="247"/>
      <w:r w:rsidRPr="00025F23">
        <w:t>Deflactor del PIB</w:t>
      </w:r>
      <w:bookmarkEnd w:id="248"/>
    </w:p>
    <w:p w14:paraId="75FE8227" w14:textId="7B0B3CF8" w:rsidR="00D25F61" w:rsidRPr="00025F23" w:rsidRDefault="00D25F61" w:rsidP="005F48B9">
      <w:pPr>
        <w:keepNext/>
        <w:spacing w:after="0"/>
      </w:pPr>
      <w:r w:rsidRPr="00025F23">
        <w:t xml:space="preserve">Cualquier cambio de una variable nominal se puede descomponer en </w:t>
      </w:r>
      <w:r w:rsidRPr="00025F23">
        <w:rPr>
          <w:spacing w:val="-2"/>
        </w:rPr>
        <w:t>cambios en su volumen (cantidad) y cambios en su precio. Por consiguiente</w:t>
      </w:r>
      <w:r w:rsidRPr="00025F23">
        <w:t xml:space="preserve">, </w:t>
      </w:r>
      <w:r w:rsidRPr="00025F23">
        <w:rPr>
          <w:spacing w:val="2"/>
        </w:rPr>
        <w:t xml:space="preserve">el crecimiento del PIB nominal refleja tanto </w:t>
      </w:r>
      <w:r w:rsidR="00376B21" w:rsidRPr="00025F23">
        <w:rPr>
          <w:spacing w:val="2"/>
        </w:rPr>
        <w:t>las variaciones</w:t>
      </w:r>
      <w:r w:rsidRPr="00025F23">
        <w:rPr>
          <w:spacing w:val="2"/>
        </w:rPr>
        <w:t xml:space="preserve"> del volumen</w:t>
      </w:r>
      <w:r w:rsidRPr="00025F23">
        <w:t xml:space="preserve"> </w:t>
      </w:r>
      <w:r w:rsidRPr="00025F23">
        <w:rPr>
          <w:sz w:val="14"/>
          <w:szCs w:val="14"/>
        </w:rPr>
        <w:t>–</w:t>
      </w:r>
      <w:r w:rsidR="00376B21" w:rsidRPr="00025F23">
        <w:rPr>
          <w:sz w:val="14"/>
          <w:szCs w:val="14"/>
        </w:rPr>
        <w:t>variación</w:t>
      </w:r>
      <w:r w:rsidRPr="00025F23">
        <w:rPr>
          <w:sz w:val="14"/>
          <w:szCs w:val="14"/>
        </w:rPr>
        <w:t xml:space="preserve"> en las cantidades de bienes y servicios producidos en la economía–</w:t>
      </w:r>
      <w:r w:rsidRPr="00025F23">
        <w:t xml:space="preserve"> como</w:t>
      </w:r>
      <w:r w:rsidR="00376B21" w:rsidRPr="00025F23">
        <w:t xml:space="preserve"> el cambio en los precios (inflación o deflación) de estos bienes y servicios. El </w:t>
      </w:r>
      <w:r w:rsidR="00376B21" w:rsidRPr="00025F23">
        <w:rPr>
          <w:i/>
          <w:iCs/>
        </w:rPr>
        <w:t>deflactor del PIB</w:t>
      </w:r>
      <w:r w:rsidR="00376B21" w:rsidRPr="00025F23">
        <w:t xml:space="preserve"> es un</w:t>
      </w:r>
      <w:r w:rsidR="005F48B9" w:rsidRPr="00025F23">
        <w:t xml:space="preserve">a medida </w:t>
      </w:r>
      <w:r w:rsidR="00376B21" w:rsidRPr="00025F23">
        <w:t xml:space="preserve">del impacto de cambios de precios en los cambios del PIB nominal. </w:t>
      </w:r>
      <w:r w:rsidR="005F48B9" w:rsidRPr="00025F23">
        <w:t>Se mide de la siguiente forma:</w:t>
      </w:r>
    </w:p>
    <w:p w14:paraId="792F0188" w14:textId="5BB2DF66" w:rsidR="005F48B9" w:rsidRPr="00025F23" w:rsidRDefault="00000000" w:rsidP="00D25F61">
      <w:pPr>
        <w:rPr>
          <w:rFonts w:eastAsiaTheme="minorEastAsia"/>
          <w:iCs/>
        </w:rPr>
      </w:pPr>
      <m:oMathPara>
        <m:oMath>
          <m:sSub>
            <m:sSubPr>
              <m:ctrlPr>
                <w:rPr>
                  <w:rFonts w:ascii="Cambria Math" w:hAnsi="Cambria Math"/>
                  <w:bCs/>
                  <w:i/>
                  <w:spacing w:val="-6"/>
                  <w:szCs w:val="16"/>
                </w:rPr>
              </m:ctrlPr>
            </m:sSubPr>
            <m:e>
              <m:r>
                <m:rPr>
                  <m:nor/>
                </m:rPr>
                <w:rPr>
                  <w:bCs/>
                  <w:i/>
                  <w:spacing w:val="-6"/>
                  <w:szCs w:val="16"/>
                </w:rPr>
                <m:t>Deflactor</m:t>
              </m:r>
            </m:e>
            <m:sub>
              <m:r>
                <m:rPr>
                  <m:nor/>
                </m:rPr>
                <w:rPr>
                  <w:bCs/>
                  <w:i/>
                  <w:spacing w:val="-6"/>
                  <w:szCs w:val="16"/>
                </w:rPr>
                <m:t>PIB</m:t>
              </m:r>
            </m:sub>
          </m:sSub>
          <m:r>
            <w:rPr>
              <w:rFonts w:ascii="Cambria Math" w:hAnsi="Cambria Math"/>
            </w:rPr>
            <m:t>=</m:t>
          </m:r>
          <m:f>
            <m:fPr>
              <m:ctrlPr>
                <w:rPr>
                  <w:rFonts w:ascii="Cambria Math" w:hAnsi="Cambria Math"/>
                  <w:i/>
                  <w:iCs/>
                </w:rPr>
              </m:ctrlPr>
            </m:fPr>
            <m:num>
              <m:limUpp>
                <m:limUppPr>
                  <m:ctrlPr>
                    <w:rPr>
                      <w:rFonts w:ascii="Cambria Math" w:hAnsi="Cambria Math"/>
                      <w:i/>
                      <w:iCs/>
                    </w:rPr>
                  </m:ctrlPr>
                </m:limUppPr>
                <m:e>
                  <m:groupChr>
                    <m:groupChrPr>
                      <m:chr m:val="⏞"/>
                      <m:pos m:val="top"/>
                      <m:vertJc m:val="bot"/>
                      <m:ctrlPr>
                        <w:rPr>
                          <w:rFonts w:ascii="Cambria Math" w:hAnsi="Cambria Math"/>
                          <w:i/>
                          <w:iCs/>
                        </w:rPr>
                      </m:ctrlPr>
                    </m:groupChrPr>
                    <m:e>
                      <m:r>
                        <m:rPr>
                          <m:nor/>
                        </m:rPr>
                        <w:rPr>
                          <w:i/>
                          <w:iCs/>
                        </w:rPr>
                        <m:t>PIB nominal</m:t>
                      </m:r>
                    </m:e>
                  </m:groupChr>
                </m:e>
                <m:lim>
                  <m:r>
                    <m:rPr>
                      <m:nor/>
                    </m:rPr>
                    <w:rPr>
                      <w:i/>
                      <w:iCs/>
                    </w:rPr>
                    <m:t>PIB a precios corrientes</m:t>
                  </m:r>
                </m:lim>
              </m:limUpp>
            </m:num>
            <m:den>
              <m:limLow>
                <m:limLowPr>
                  <m:ctrlPr>
                    <w:rPr>
                      <w:rFonts w:ascii="Cambria Math" w:hAnsi="Cambria Math"/>
                      <w:i/>
                      <w:iCs/>
                    </w:rPr>
                  </m:ctrlPr>
                </m:limLowPr>
                <m:e>
                  <m:groupChr>
                    <m:groupChrPr>
                      <m:ctrlPr>
                        <w:rPr>
                          <w:rFonts w:ascii="Cambria Math" w:hAnsi="Cambria Math"/>
                          <w:i/>
                          <w:iCs/>
                        </w:rPr>
                      </m:ctrlPr>
                    </m:groupChrPr>
                    <m:e>
                      <m:r>
                        <m:rPr>
                          <m:nor/>
                        </m:rPr>
                        <w:rPr>
                          <w:i/>
                          <w:iCs/>
                        </w:rPr>
                        <m:t>PIB real</m:t>
                      </m:r>
                    </m:e>
                  </m:groupChr>
                </m:e>
                <m:lim>
                  <m:r>
                    <m:rPr>
                      <m:nor/>
                    </m:rPr>
                    <w:rPr>
                      <w:i/>
                      <w:iCs/>
                    </w:rPr>
                    <m:t>PIB a precios fijos</m:t>
                  </m:r>
                </m:lim>
              </m:limLow>
            </m:den>
          </m:f>
          <m:r>
            <w:rPr>
              <w:rFonts w:ascii="Cambria Math" w:hAnsi="Cambria Math"/>
            </w:rPr>
            <m:t>×</m:t>
          </m:r>
          <m:r>
            <m:rPr>
              <m:nor/>
            </m:rPr>
            <w:rPr>
              <w:i/>
              <w:iCs/>
            </w:rPr>
            <m:t>100</m:t>
          </m:r>
        </m:oMath>
      </m:oMathPara>
    </w:p>
    <w:p w14:paraId="71F569F3" w14:textId="1461473F" w:rsidR="002E7721" w:rsidRPr="00025F23" w:rsidRDefault="002E7721" w:rsidP="00D25F61">
      <w:pPr>
        <w:rPr>
          <w:rFonts w:eastAsiaTheme="minorEastAsia"/>
          <w:iCs/>
        </w:rPr>
      </w:pPr>
      <w:r w:rsidRPr="00025F23">
        <w:rPr>
          <w:rFonts w:eastAsiaTheme="minorEastAsia"/>
          <w:iCs/>
        </w:rPr>
        <w:t>Al contrario que el IPC, el deflactor del PIB no se basa en una cesta fija de bienes y servicios. La cesta cambia para reflejar patrones de consumo e inversión. Los nuevos patrones de gasto están reflejados en el deflactor del PIB en la medida en que los consumidores responden a los cambios en los precios relativos. A pesar de ser une medida completa de la inflación, el deflactor del PIB no necesariamente refleja completamente el impacto de la inflación en el bienestar del consumidor ya que no incluye bienes y servicios importados.</w:t>
      </w:r>
    </w:p>
    <w:p w14:paraId="72F703F7" w14:textId="124CFDE0" w:rsidR="002E7721" w:rsidRPr="00025F23" w:rsidRDefault="002E7721" w:rsidP="00D25F61">
      <w:pPr>
        <w:rPr>
          <w:rFonts w:eastAsiaTheme="minorEastAsia"/>
          <w:iCs/>
        </w:rPr>
      </w:pPr>
      <w:r w:rsidRPr="00025F23">
        <w:rPr>
          <w:rFonts w:eastAsiaTheme="minorEastAsia"/>
          <w:iCs/>
        </w:rPr>
        <w:t>Al igual que el IPC, el deflactor del PIB se expresa como un índice</w:t>
      </w:r>
      <w:r w:rsidR="00761238" w:rsidRPr="00025F23">
        <w:rPr>
          <w:rStyle w:val="Refdenotaalpie"/>
          <w:rFonts w:eastAsiaTheme="minorEastAsia"/>
          <w:iCs/>
        </w:rPr>
        <w:footnoteReference w:id="32"/>
      </w:r>
      <w:r w:rsidRPr="00025F23">
        <w:rPr>
          <w:rFonts w:eastAsiaTheme="minorEastAsia"/>
          <w:iCs/>
        </w:rPr>
        <w:t>.</w:t>
      </w:r>
    </w:p>
    <w:p w14:paraId="511B41BA" w14:textId="34076210" w:rsidR="002E7721" w:rsidRPr="00025F23" w:rsidRDefault="002E7721" w:rsidP="002E7721">
      <w:pPr>
        <w:pStyle w:val="Cajadeanotaciones"/>
      </w:pPr>
      <w:bookmarkStart w:id="249" w:name="_Hlk98918012"/>
      <w:r w:rsidRPr="00025F23">
        <w:t xml:space="preserve">El deflactor del PIB </w:t>
      </w:r>
      <w:r w:rsidRPr="00025F23">
        <w:rPr>
          <w:u w:val="single"/>
        </w:rPr>
        <w:t>compara</w:t>
      </w:r>
      <w:r w:rsidRPr="00025F23">
        <w:t xml:space="preserve"> </w:t>
      </w:r>
      <w:r w:rsidRPr="00025F23">
        <w:rPr>
          <w:i/>
          <w:iCs/>
        </w:rPr>
        <w:t>el valor total de la producción doméstica de bienes y servicios durante el periodo actual</w:t>
      </w:r>
      <w:r w:rsidRPr="00025F23">
        <w:t xml:space="preserve"> </w:t>
      </w:r>
      <w:r w:rsidRPr="00025F23">
        <w:rPr>
          <w:u w:val="single"/>
        </w:rPr>
        <w:t>con</w:t>
      </w:r>
      <w:r w:rsidRPr="00025F23">
        <w:t xml:space="preserve"> </w:t>
      </w:r>
      <w:r w:rsidRPr="00025F23">
        <w:rPr>
          <w:i/>
          <w:iCs/>
        </w:rPr>
        <w:t>la misma producción</w:t>
      </w:r>
      <w:r w:rsidR="00761238" w:rsidRPr="00025F23">
        <w:rPr>
          <w:i/>
          <w:iCs/>
        </w:rPr>
        <w:t xml:space="preserve"> valorada a precios del período de referencia</w:t>
      </w:r>
      <w:r w:rsidRPr="00025F23">
        <w:t>.</w:t>
      </w:r>
    </w:p>
    <w:p w14:paraId="1A49D7DB" w14:textId="27250113" w:rsidR="00761238" w:rsidRPr="00025F23" w:rsidRDefault="00000000" w:rsidP="002E7721">
      <w:pPr>
        <w:pStyle w:val="Cajadeanotaciones"/>
      </w:pPr>
      <m:oMathPara>
        <m:oMath>
          <m:sSub>
            <m:sSubPr>
              <m:ctrlPr>
                <w:rPr>
                  <w:rFonts w:ascii="Cambria Math" w:hAnsi="Cambria Math"/>
                  <w:bCs/>
                  <w:i/>
                  <w:spacing w:val="-6"/>
                </w:rPr>
              </m:ctrlPr>
            </m:sSubPr>
            <m:e>
              <m:r>
                <m:rPr>
                  <m:nor/>
                </m:rPr>
                <w:rPr>
                  <w:bCs/>
                  <w:i/>
                  <w:spacing w:val="-6"/>
                </w:rPr>
                <m:t>Deflactor</m:t>
              </m:r>
            </m:e>
            <m:sub>
              <m:r>
                <m:rPr>
                  <m:nor/>
                </m:rPr>
                <w:rPr>
                  <w:bCs/>
                  <w:i/>
                  <w:spacing w:val="-6"/>
                </w:rPr>
                <m:t>PIB</m:t>
              </m:r>
            </m:sub>
          </m:sSub>
          <m:r>
            <w:rPr>
              <w:rFonts w:ascii="Cambria Math" w:hAnsi="Cambria Math"/>
            </w:rPr>
            <m:t>=</m:t>
          </m:r>
          <m:f>
            <m:fPr>
              <m:ctrlPr>
                <w:rPr>
                  <w:rFonts w:ascii="Cambria Math" w:hAnsi="Cambria Math"/>
                  <w:i/>
                  <w:iCs/>
                  <w:szCs w:val="22"/>
                </w:rPr>
              </m:ctrlPr>
            </m:fPr>
            <m:num>
              <m:limUpp>
                <m:limUppPr>
                  <m:ctrlPr>
                    <w:rPr>
                      <w:rFonts w:ascii="Cambria Math" w:hAnsi="Cambria Math"/>
                      <w:i/>
                      <w:iCs/>
                      <w:szCs w:val="22"/>
                    </w:rPr>
                  </m:ctrlPr>
                </m:limUppPr>
                <m:e>
                  <m:groupChr>
                    <m:groupChrPr>
                      <m:chr m:val="⏞"/>
                      <m:pos m:val="top"/>
                      <m:vertJc m:val="bot"/>
                      <m:ctrlPr>
                        <w:rPr>
                          <w:rFonts w:ascii="Cambria Math" w:hAnsi="Cambria Math"/>
                          <w:i/>
                          <w:iCs/>
                          <w:szCs w:val="22"/>
                        </w:rPr>
                      </m:ctrlPr>
                    </m:groupChrPr>
                    <m:e>
                      <m:r>
                        <m:rPr>
                          <m:nor/>
                        </m:rPr>
                        <w:rPr>
                          <w:i/>
                          <w:iCs/>
                        </w:rPr>
                        <m:t>PIB nominal</m:t>
                      </m:r>
                    </m:e>
                  </m:groupChr>
                </m:e>
                <m:lim>
                  <m:r>
                    <m:rPr>
                      <m:nor/>
                    </m:rPr>
                    <w:rPr>
                      <w:i/>
                      <w:iCs/>
                    </w:rPr>
                    <m:t>PIB a precios corrientes</m:t>
                  </m:r>
                </m:lim>
              </m:limUpp>
            </m:num>
            <m:den>
              <m:limLow>
                <m:limLowPr>
                  <m:ctrlPr>
                    <w:rPr>
                      <w:rFonts w:ascii="Cambria Math" w:hAnsi="Cambria Math"/>
                      <w:i/>
                      <w:iCs/>
                      <w:szCs w:val="22"/>
                    </w:rPr>
                  </m:ctrlPr>
                </m:limLowPr>
                <m:e>
                  <m:groupChr>
                    <m:groupChrPr>
                      <m:ctrlPr>
                        <w:rPr>
                          <w:rFonts w:ascii="Cambria Math" w:hAnsi="Cambria Math"/>
                          <w:i/>
                          <w:iCs/>
                          <w:szCs w:val="22"/>
                        </w:rPr>
                      </m:ctrlPr>
                    </m:groupChrPr>
                    <m:e>
                      <m:r>
                        <m:rPr>
                          <m:nor/>
                        </m:rPr>
                        <w:rPr>
                          <w:i/>
                          <w:iCs/>
                        </w:rPr>
                        <m:t>PIB real</m:t>
                      </m:r>
                    </m:e>
                  </m:groupChr>
                </m:e>
                <m:lim>
                  <m:r>
                    <m:rPr>
                      <m:nor/>
                    </m:rPr>
                    <w:rPr>
                      <w:i/>
                      <w:iCs/>
                    </w:rPr>
                    <m:t>PIB a precios fijos</m:t>
                  </m:r>
                </m:lim>
              </m:limLow>
            </m:den>
          </m:f>
          <m:r>
            <w:rPr>
              <w:rFonts w:ascii="Cambria Math" w:hAnsi="Cambria Math"/>
            </w:rPr>
            <m:t>×</m:t>
          </m:r>
          <m:r>
            <m:rPr>
              <m:nor/>
            </m:rPr>
            <w:rPr>
              <w:i/>
              <w:iCs/>
            </w:rPr>
            <m:t>100</m:t>
          </m:r>
          <m:r>
            <w:rPr>
              <w:rFonts w:ascii="Cambria Math" w:hAnsi="Cambria Math"/>
            </w:rPr>
            <m:t>=</m:t>
          </m:r>
          <m:f>
            <m:fPr>
              <m:ctrlPr>
                <w:rPr>
                  <w:rFonts w:ascii="Cambria Math" w:hAnsi="Cambria Math"/>
                  <w:i/>
                  <w:iCs/>
                  <w:szCs w:val="22"/>
                </w:rPr>
              </m:ctrlPr>
            </m:fPr>
            <m:num>
              <m:nary>
                <m:naryPr>
                  <m:chr m:val="∑"/>
                  <m:limLoc m:val="undOvr"/>
                  <m:ctrlPr>
                    <w:rPr>
                      <w:rFonts w:ascii="Cambria Math" w:hAnsi="Cambria Math"/>
                      <w:i/>
                      <w:iCs/>
                      <w:szCs w:val="22"/>
                    </w:rPr>
                  </m:ctrlPr>
                </m:naryPr>
                <m:sub>
                  <m:r>
                    <m:rPr>
                      <m:nor/>
                    </m:rPr>
                    <w:rPr>
                      <w:i/>
                      <w:iCs/>
                    </w:rPr>
                    <m:t>i</m:t>
                  </m:r>
                  <m:r>
                    <w:rPr>
                      <w:rFonts w:ascii="Cambria Math" w:hAnsi="Cambria Math"/>
                    </w:rPr>
                    <m:t>=</m:t>
                  </m:r>
                  <m:r>
                    <m:rPr>
                      <m:nor/>
                    </m:rPr>
                    <w:rPr>
                      <w:i/>
                      <w:iCs/>
                    </w:rPr>
                    <m:t>1</m:t>
                  </m:r>
                </m:sub>
                <m:sup>
                  <m:r>
                    <m:rPr>
                      <m:nor/>
                    </m:rPr>
                    <w:rPr>
                      <w:i/>
                      <w:iCs/>
                    </w:rPr>
                    <m:t>N</m:t>
                  </m:r>
                </m:sup>
                <m:e>
                  <m:sSubSup>
                    <m:sSubSupPr>
                      <m:ctrlPr>
                        <w:rPr>
                          <w:rFonts w:ascii="Cambria Math" w:hAnsi="Cambria Math"/>
                          <w:i/>
                          <w:iCs/>
                          <w:szCs w:val="22"/>
                        </w:rPr>
                      </m:ctrlPr>
                    </m:sSubSupPr>
                    <m:e>
                      <m:r>
                        <m:rPr>
                          <m:nor/>
                        </m:rPr>
                        <w:rPr>
                          <w:i/>
                          <w:iCs/>
                        </w:rPr>
                        <m:t>p</m:t>
                      </m:r>
                    </m:e>
                    <m:sub>
                      <m:r>
                        <m:rPr>
                          <m:nor/>
                        </m:rPr>
                        <w:rPr>
                          <w:i/>
                          <w:iCs/>
                        </w:rPr>
                        <m:t>i</m:t>
                      </m:r>
                    </m:sub>
                    <m:sup>
                      <m:r>
                        <m:rPr>
                          <m:nor/>
                        </m:rPr>
                        <w:rPr>
                          <w:i/>
                          <w:iCs/>
                        </w:rPr>
                        <m:t>t</m:t>
                      </m:r>
                    </m:sup>
                  </m:sSubSup>
                  <m:r>
                    <w:rPr>
                      <w:rFonts w:ascii="Cambria Math" w:hAnsi="Cambria Math"/>
                    </w:rPr>
                    <m:t>∙</m:t>
                  </m:r>
                  <m:sSubSup>
                    <m:sSubSupPr>
                      <m:ctrlPr>
                        <w:rPr>
                          <w:rFonts w:ascii="Cambria Math" w:hAnsi="Cambria Math"/>
                          <w:i/>
                          <w:iCs/>
                          <w:szCs w:val="22"/>
                        </w:rPr>
                      </m:ctrlPr>
                    </m:sSubSupPr>
                    <m:e>
                      <m:r>
                        <m:rPr>
                          <m:nor/>
                        </m:rPr>
                        <w:rPr>
                          <w:i/>
                          <w:iCs/>
                        </w:rPr>
                        <m:t>q</m:t>
                      </m:r>
                    </m:e>
                    <m:sub>
                      <m:r>
                        <m:rPr>
                          <m:nor/>
                        </m:rPr>
                        <w:rPr>
                          <w:i/>
                          <w:iCs/>
                        </w:rPr>
                        <m:t>i</m:t>
                      </m:r>
                    </m:sub>
                    <m:sup>
                      <m:r>
                        <m:rPr>
                          <m:nor/>
                        </m:rPr>
                        <w:rPr>
                          <w:i/>
                          <w:iCs/>
                        </w:rPr>
                        <m:t>t</m:t>
                      </m:r>
                    </m:sup>
                  </m:sSubSup>
                </m:e>
              </m:nary>
            </m:num>
            <m:den>
              <m:nary>
                <m:naryPr>
                  <m:chr m:val="∑"/>
                  <m:limLoc m:val="undOvr"/>
                  <m:ctrlPr>
                    <w:rPr>
                      <w:rFonts w:ascii="Cambria Math" w:hAnsi="Cambria Math"/>
                      <w:i/>
                      <w:iCs/>
                      <w:szCs w:val="22"/>
                    </w:rPr>
                  </m:ctrlPr>
                </m:naryPr>
                <m:sub>
                  <m:r>
                    <m:rPr>
                      <m:nor/>
                    </m:rPr>
                    <w:rPr>
                      <w:i/>
                      <w:iCs/>
                    </w:rPr>
                    <m:t>i</m:t>
                  </m:r>
                  <m:r>
                    <w:rPr>
                      <w:rFonts w:ascii="Cambria Math" w:hAnsi="Cambria Math"/>
                    </w:rPr>
                    <m:t>=</m:t>
                  </m:r>
                  <m:r>
                    <m:rPr>
                      <m:nor/>
                    </m:rPr>
                    <w:rPr>
                      <w:i/>
                      <w:iCs/>
                    </w:rPr>
                    <m:t>1</m:t>
                  </m:r>
                </m:sub>
                <m:sup>
                  <m:r>
                    <m:rPr>
                      <m:nor/>
                    </m:rPr>
                    <w:rPr>
                      <w:i/>
                      <w:iCs/>
                    </w:rPr>
                    <m:t>N</m:t>
                  </m:r>
                </m:sup>
                <m:e>
                  <m:sSubSup>
                    <m:sSubSupPr>
                      <m:ctrlPr>
                        <w:rPr>
                          <w:rFonts w:ascii="Cambria Math" w:hAnsi="Cambria Math"/>
                          <w:i/>
                          <w:iCs/>
                          <w:szCs w:val="22"/>
                        </w:rPr>
                      </m:ctrlPr>
                    </m:sSubSupPr>
                    <m:e>
                      <m:r>
                        <m:rPr>
                          <m:nor/>
                        </m:rPr>
                        <w:rPr>
                          <w:i/>
                          <w:iCs/>
                        </w:rPr>
                        <m:t>p</m:t>
                      </m:r>
                    </m:e>
                    <m:sub>
                      <m:r>
                        <m:rPr>
                          <m:nor/>
                        </m:rPr>
                        <w:rPr>
                          <w:i/>
                          <w:iCs/>
                        </w:rPr>
                        <m:t>i</m:t>
                      </m:r>
                    </m:sub>
                    <m:sup>
                      <m:r>
                        <m:rPr>
                          <m:nor/>
                        </m:rPr>
                        <w:rPr>
                          <w:i/>
                          <w:iCs/>
                        </w:rPr>
                        <m:t>0</m:t>
                      </m:r>
                    </m:sup>
                  </m:sSubSup>
                  <m:r>
                    <w:rPr>
                      <w:rFonts w:ascii="Cambria Math" w:hAnsi="Cambria Math"/>
                    </w:rPr>
                    <m:t>∙</m:t>
                  </m:r>
                  <m:sSubSup>
                    <m:sSubSupPr>
                      <m:ctrlPr>
                        <w:rPr>
                          <w:rFonts w:ascii="Cambria Math" w:hAnsi="Cambria Math"/>
                          <w:i/>
                          <w:iCs/>
                          <w:szCs w:val="22"/>
                        </w:rPr>
                      </m:ctrlPr>
                    </m:sSubSupPr>
                    <m:e>
                      <m:r>
                        <m:rPr>
                          <m:nor/>
                        </m:rPr>
                        <w:rPr>
                          <w:i/>
                          <w:iCs/>
                        </w:rPr>
                        <m:t>q</m:t>
                      </m:r>
                    </m:e>
                    <m:sub>
                      <m:r>
                        <m:rPr>
                          <m:nor/>
                        </m:rPr>
                        <w:rPr>
                          <w:i/>
                          <w:iCs/>
                        </w:rPr>
                        <m:t>i</m:t>
                      </m:r>
                    </m:sub>
                    <m:sup>
                      <m:r>
                        <m:rPr>
                          <m:nor/>
                        </m:rPr>
                        <w:rPr>
                          <w:i/>
                          <w:iCs/>
                        </w:rPr>
                        <m:t>t</m:t>
                      </m:r>
                    </m:sup>
                  </m:sSubSup>
                </m:e>
              </m:nary>
            </m:den>
          </m:f>
          <m:r>
            <w:rPr>
              <w:rFonts w:ascii="Cambria Math" w:hAnsi="Cambria Math"/>
            </w:rPr>
            <m:t>×</m:t>
          </m:r>
          <m:r>
            <m:rPr>
              <m:nor/>
            </m:rPr>
            <w:rPr>
              <w:i/>
              <w:iCs/>
            </w:rPr>
            <m:t>100</m:t>
          </m:r>
          <m:r>
            <w:rPr>
              <w:rFonts w:ascii="Cambria Math" w:hAnsi="Cambria Math"/>
            </w:rPr>
            <m:t>≡</m:t>
          </m:r>
          <m:sSub>
            <m:sSubPr>
              <m:ctrlPr>
                <w:rPr>
                  <w:rFonts w:ascii="Cambria Math" w:hAnsi="Cambria Math"/>
                  <w:i/>
                  <w:iCs/>
                  <w:szCs w:val="22"/>
                </w:rPr>
              </m:ctrlPr>
            </m:sSubPr>
            <m:e>
              <m:r>
                <m:rPr>
                  <m:nor/>
                </m:rPr>
                <w:rPr>
                  <w:i/>
                  <w:iCs/>
                </w:rPr>
                <m:t>I</m:t>
              </m:r>
            </m:e>
            <m:sub>
              <m:r>
                <m:rPr>
                  <m:nor/>
                </m:rPr>
                <w:rPr>
                  <w:i/>
                  <w:iCs/>
                </w:rPr>
                <m:t>Paasche</m:t>
              </m:r>
            </m:sub>
          </m:sSub>
        </m:oMath>
      </m:oMathPara>
    </w:p>
    <w:p w14:paraId="1325B272" w14:textId="43B5173B" w:rsidR="002E7721" w:rsidRPr="00025F23" w:rsidRDefault="002E7721" w:rsidP="002E7721">
      <w:pPr>
        <w:pStyle w:val="Cajadeanotaciones"/>
        <w:rPr>
          <w:i/>
          <w:iCs/>
        </w:rPr>
      </w:pPr>
      <w:r w:rsidRPr="00025F23">
        <w:t xml:space="preserve">Esto </w:t>
      </w:r>
      <w:r w:rsidR="00761238" w:rsidRPr="00025F23">
        <w:t xml:space="preserve">se conoce como </w:t>
      </w:r>
      <w:r w:rsidR="00761238" w:rsidRPr="00025F23">
        <w:rPr>
          <w:b/>
          <w:bCs/>
        </w:rPr>
        <w:t>índice de precios de Paasche</w:t>
      </w:r>
      <w:r w:rsidR="003078F8" w:rsidRPr="00025F23">
        <w:t>.</w:t>
      </w:r>
    </w:p>
    <w:p w14:paraId="6A1F4D33" w14:textId="1C957457" w:rsidR="005F48B9" w:rsidRPr="00025F23" w:rsidRDefault="002E7721" w:rsidP="002E7721">
      <w:pPr>
        <w:pStyle w:val="Cajadeanotaciones"/>
      </w:pPr>
      <w:r w:rsidRPr="00025F23">
        <w:t xml:space="preserve">Al ser un índice de tipo </w:t>
      </w:r>
      <w:r w:rsidR="00761238" w:rsidRPr="00025F23">
        <w:t>Paasche</w:t>
      </w:r>
      <w:r w:rsidRPr="00025F23">
        <w:t xml:space="preserve">, se </w:t>
      </w:r>
      <w:r w:rsidR="00761238" w:rsidRPr="00025F23">
        <w:t>infravaloran</w:t>
      </w:r>
      <w:r w:rsidRPr="00025F23">
        <w:t xml:space="preserve"> los incrementos en precios</w:t>
      </w:r>
      <w:r w:rsidR="007B4B56" w:rsidRPr="00025F23">
        <w:t xml:space="preserve"> </w:t>
      </w:r>
      <w:r w:rsidR="007B4B56" w:rsidRPr="00025F23">
        <w:rPr>
          <w:color w:val="767171" w:themeColor="background2" w:themeShade="80"/>
          <w:sz w:val="14"/>
          <w:szCs w:val="14"/>
        </w:rPr>
        <w:t>[ver tema 3.A.</w:t>
      </w:r>
      <w:r w:rsidR="00EE58E7">
        <w:rPr>
          <w:color w:val="767171" w:themeColor="background2" w:themeShade="80"/>
          <w:sz w:val="14"/>
          <w:szCs w:val="14"/>
        </w:rPr>
        <w:t>9</w:t>
      </w:r>
      <w:r w:rsidR="007B4B56" w:rsidRPr="00025F23">
        <w:rPr>
          <w:color w:val="767171" w:themeColor="background2" w:themeShade="80"/>
          <w:sz w:val="14"/>
          <w:szCs w:val="14"/>
        </w:rPr>
        <w:t>]</w:t>
      </w:r>
      <w:r w:rsidRPr="00025F23">
        <w:t>.</w:t>
      </w:r>
    </w:p>
    <w:p w14:paraId="2F124379" w14:textId="3C978CCE" w:rsidR="003078F8" w:rsidRPr="00025F23" w:rsidRDefault="003078F8" w:rsidP="003078F8">
      <w:bookmarkStart w:id="250" w:name="_Toc88565998"/>
      <w:bookmarkStart w:id="251" w:name="_Toc88566138"/>
      <w:bookmarkEnd w:id="249"/>
      <w:r w:rsidRPr="00025F23">
        <w:t>A pesar de que el deflactor del PIB y el IPC se usan comúnmente como medidas de la variación del nivel general de precios, no necesariamente se mueven juntos todo el tiempo. Hay dos principales diferencias entre estos índices:</w:t>
      </w:r>
    </w:p>
    <w:p w14:paraId="64592029" w14:textId="77777777" w:rsidR="003078F8" w:rsidRPr="00025F23" w:rsidRDefault="003078F8" w:rsidP="008D4C91">
      <w:pPr>
        <w:pStyle w:val="Nmero"/>
        <w:keepNext/>
        <w:spacing w:after="0"/>
        <w:ind w:left="396" w:hanging="198"/>
      </w:pPr>
      <w:r w:rsidRPr="00025F23">
        <w:rPr>
          <w:i/>
          <w:iCs/>
        </w:rPr>
        <w:t>Los índices cubren diferentes conjuntos de bienes y servicios</w:t>
      </w:r>
      <w:r w:rsidRPr="00025F23">
        <w:t>:</w:t>
      </w:r>
    </w:p>
    <w:p w14:paraId="658EE69B" w14:textId="351D4F52" w:rsidR="000168AE" w:rsidRPr="00025F23" w:rsidRDefault="000168AE" w:rsidP="008B1616">
      <w:pPr>
        <w:pStyle w:val="Nmero"/>
        <w:numPr>
          <w:ilvl w:val="1"/>
          <w:numId w:val="5"/>
        </w:numPr>
        <w:spacing w:after="0"/>
        <w:ind w:left="709" w:hanging="142"/>
      </w:pPr>
      <w:r w:rsidRPr="00025F23">
        <w:t>El IPC refleja los precios de una cesta representativa de bienes y servicios comprada por los consumidores.</w:t>
      </w:r>
    </w:p>
    <w:p w14:paraId="4CC9BE0F" w14:textId="755F2DF8" w:rsidR="003078F8" w:rsidRPr="00025F23" w:rsidRDefault="003078F8" w:rsidP="008B1616">
      <w:pPr>
        <w:pStyle w:val="Nmero"/>
        <w:numPr>
          <w:ilvl w:val="1"/>
          <w:numId w:val="5"/>
        </w:numPr>
        <w:spacing w:after="0"/>
        <w:ind w:left="709" w:hanging="142"/>
        <w:rPr>
          <w:spacing w:val="-2"/>
        </w:rPr>
      </w:pPr>
      <w:r w:rsidRPr="00025F23">
        <w:t>El deflactor del PIB refleja los precios de todos los bienes y servicios nuevos, finales y producidos domésticamente.</w:t>
      </w:r>
      <w:r w:rsidR="000168AE" w:rsidRPr="00025F23">
        <w:t xml:space="preserve"> De esta forma, excluye las importaciones e incluye las exportaciones (aislando por tanto el efecto externo). Asimismo, incluye los </w:t>
      </w:r>
      <w:r w:rsidR="000168AE" w:rsidRPr="00025F23">
        <w:rPr>
          <w:spacing w:val="-2"/>
        </w:rPr>
        <w:t>precios de bienes de inversión y servicios públicos</w:t>
      </w:r>
      <w:r w:rsidR="000168AE" w:rsidRPr="00025F23">
        <w:rPr>
          <w:spacing w:val="-2"/>
          <w:sz w:val="10"/>
          <w:szCs w:val="16"/>
        </w:rPr>
        <w:t xml:space="preserve"> (no incluidos en el IPC)</w:t>
      </w:r>
      <w:r w:rsidR="000168AE" w:rsidRPr="00025F23">
        <w:rPr>
          <w:spacing w:val="-2"/>
        </w:rPr>
        <w:t>.</w:t>
      </w:r>
    </w:p>
    <w:p w14:paraId="0FC307D3" w14:textId="7CB9A2FF" w:rsidR="00B62AEA" w:rsidRPr="00025F23" w:rsidRDefault="000168AE" w:rsidP="00B62AEA">
      <w:pPr>
        <w:pStyle w:val="Nmero"/>
        <w:spacing w:after="0"/>
        <w:ind w:left="396" w:hanging="198"/>
      </w:pPr>
      <w:r w:rsidRPr="00025F23">
        <w:rPr>
          <w:i/>
          <w:iCs/>
        </w:rPr>
        <w:t>Las dos series se construyen de forma diferente</w:t>
      </w:r>
      <w:r w:rsidRPr="00025F23">
        <w:rPr>
          <w:spacing w:val="-4"/>
          <w:sz w:val="14"/>
          <w:szCs w:val="20"/>
        </w:rPr>
        <w:t xml:space="preserve"> </w:t>
      </w:r>
      <w:r w:rsidRPr="00025F23">
        <w:rPr>
          <w:spacing w:val="-4"/>
          <w:sz w:val="10"/>
          <w:szCs w:val="16"/>
        </w:rPr>
        <w:t>(tal y como hemos indicado en los recuadros)</w:t>
      </w:r>
      <w:r w:rsidR="00D72A48" w:rsidRPr="00025F23">
        <w:rPr>
          <w:spacing w:val="-4"/>
        </w:rPr>
        <w:t>, de forma que el deflactor permite que la cesta cambie a lo largo del tiempo, mientras que el IPC mantiene la cesta constante.</w:t>
      </w:r>
    </w:p>
    <w:p w14:paraId="2C319414" w14:textId="77777777" w:rsidR="009F6513" w:rsidRPr="00025F23" w:rsidRDefault="00E76CFE" w:rsidP="00792AC5">
      <w:pPr>
        <w:keepNext/>
        <w:spacing w:after="0"/>
      </w:pPr>
      <w:r w:rsidRPr="00025F23">
        <w:t>En la práctica, habitualmente el IPC y el deflactor del PIB dan resultados similares.</w:t>
      </w:r>
    </w:p>
    <w:p w14:paraId="5BE64CE1" w14:textId="77777777" w:rsidR="009F6513" w:rsidRPr="00025F23" w:rsidRDefault="00E76CFE" w:rsidP="009F6513">
      <w:pPr>
        <w:pStyle w:val="Nivel4"/>
        <w:ind w:left="284"/>
      </w:pPr>
      <w:r w:rsidRPr="00025F23">
        <w:t xml:space="preserve">Así, si </w:t>
      </w:r>
      <w:r w:rsidR="009F6513" w:rsidRPr="00025F23">
        <w:t>la tasa de variación del</w:t>
      </w:r>
      <w:r w:rsidRPr="00025F23">
        <w:t xml:space="preserve"> IPC es mayor que</w:t>
      </w:r>
      <w:r w:rsidR="009F6513" w:rsidRPr="00025F23">
        <w:t xml:space="preserve"> la tasa de variación del</w:t>
      </w:r>
      <w:r w:rsidRPr="00025F23">
        <w:t xml:space="preserve"> deflactor, podríamos estar ante una </w:t>
      </w:r>
      <w:r w:rsidRPr="00025F23">
        <w:rPr>
          <w:i/>
          <w:iCs/>
        </w:rPr>
        <w:t>inflación importada</w:t>
      </w:r>
      <w:r w:rsidR="009F6513" w:rsidRPr="00025F23">
        <w:t>.</w:t>
      </w:r>
    </w:p>
    <w:p w14:paraId="20D8CAA8" w14:textId="386757FA" w:rsidR="00E76CFE" w:rsidRPr="00025F23" w:rsidRDefault="009F6513" w:rsidP="009F6513">
      <w:pPr>
        <w:pStyle w:val="Nivel4"/>
        <w:ind w:left="284"/>
      </w:pPr>
      <w:r w:rsidRPr="00025F23">
        <w:t xml:space="preserve">Por otra parte, si la tasa de variación del IPC es menor que la tasa de variación del </w:t>
      </w:r>
      <w:r w:rsidR="00792AC5" w:rsidRPr="00025F23">
        <w:t>deflactor</w:t>
      </w:r>
      <w:r w:rsidRPr="00025F23">
        <w:t xml:space="preserve"> podría señalar un </w:t>
      </w:r>
      <w:r w:rsidRPr="00025F23">
        <w:rPr>
          <w:i/>
          <w:iCs/>
        </w:rPr>
        <w:t>aumento en el precio de los activos financieros</w:t>
      </w:r>
      <w:r w:rsidRPr="00025F23">
        <w:t>.</w:t>
      </w:r>
    </w:p>
    <w:p w14:paraId="658E4382" w14:textId="74D5EA4D" w:rsidR="00922E3A" w:rsidRPr="00025F23" w:rsidRDefault="00922E3A" w:rsidP="00922E3A">
      <w:pPr>
        <w:pStyle w:val="Ttulo6"/>
      </w:pPr>
      <w:bookmarkStart w:id="252" w:name="_Toc173446353"/>
      <w:bookmarkStart w:id="253" w:name="_Toc189085810"/>
      <w:r w:rsidRPr="00025F23">
        <w:t>Inflación y deflación</w:t>
      </w:r>
      <w:bookmarkEnd w:id="252"/>
      <w:bookmarkEnd w:id="253"/>
    </w:p>
    <w:p w14:paraId="4D8A9551" w14:textId="3C1DD776" w:rsidR="00922E3A" w:rsidRPr="00025F23" w:rsidRDefault="00922E3A" w:rsidP="00922E3A">
      <w:r w:rsidRPr="00025F23">
        <w:t xml:space="preserve">Para el análisis de política económica, estamos más interesados en los cambios </w:t>
      </w:r>
      <w:r w:rsidR="003B652B">
        <w:t>d</w:t>
      </w:r>
      <w:r w:rsidRPr="00025F23">
        <w:t>el nivel de precios que en el nivel de precios en s</w:t>
      </w:r>
      <w:r w:rsidR="00E16DC6" w:rsidRPr="00025F23">
        <w:t>í</w:t>
      </w:r>
      <w:r w:rsidRPr="00025F23">
        <w:t xml:space="preserve"> mismo. A esto es a lo que denominamos </w:t>
      </w:r>
      <w:r w:rsidR="009B21C4" w:rsidRPr="00025F23">
        <w:rPr>
          <w:i/>
          <w:iCs/>
        </w:rPr>
        <w:t xml:space="preserve">la tasa de </w:t>
      </w:r>
      <w:r w:rsidRPr="00025F23">
        <w:rPr>
          <w:i/>
          <w:iCs/>
        </w:rPr>
        <w:t>inflación</w:t>
      </w:r>
      <w:r w:rsidR="009B21C4" w:rsidRPr="00025F23">
        <w:t>.</w:t>
      </w:r>
    </w:p>
    <w:p w14:paraId="19D2B8EA" w14:textId="7B3E9784" w:rsidR="009B21C4" w:rsidRPr="00025F23" w:rsidRDefault="009B21C4" w:rsidP="00922E3A">
      <w:r w:rsidRPr="00025F23">
        <w:t xml:space="preserve">La </w:t>
      </w:r>
      <w:r w:rsidRPr="00025F23">
        <w:rPr>
          <w:i/>
          <w:iCs/>
        </w:rPr>
        <w:t>inflación</w:t>
      </w:r>
      <w:r w:rsidRPr="00025F23">
        <w:t xml:space="preserve"> es un aumento sostenido y persistente en el nivel general de precios de los bienes y servicios en una economía. El aumento en los precios medios de todos los bienes y servicios de una economía ha de ser distinguido del cambio en los precios relativos de bienes y servicios individuales. Generalmente, un aumento generalizado del nivel de precios viene acompañado de un cambio en la estructura del nivel de </w:t>
      </w:r>
      <w:r w:rsidRPr="00025F23">
        <w:lastRenderedPageBreak/>
        <w:t xml:space="preserve">precios relativos, pero es sólo el aumento generalizado, no los cambios en precios relativos, lo que constituye la inflación. La </w:t>
      </w:r>
      <w:r w:rsidRPr="00025F23">
        <w:rPr>
          <w:i/>
          <w:iCs/>
        </w:rPr>
        <w:t>deflación</w:t>
      </w:r>
      <w:r w:rsidRPr="00025F23">
        <w:t xml:space="preserve"> se refiere a una caída en el nivel general de precios.</w:t>
      </w:r>
    </w:p>
    <w:p w14:paraId="457F4103" w14:textId="4893C7A9" w:rsidR="00AD655A" w:rsidRPr="00025F23" w:rsidRDefault="00AD655A" w:rsidP="00834463">
      <w:pPr>
        <w:keepNext/>
        <w:spacing w:after="0"/>
        <w:rPr>
          <w:szCs w:val="16"/>
        </w:rPr>
      </w:pPr>
      <w:r w:rsidRPr="00025F23">
        <w:rPr>
          <w:szCs w:val="16"/>
        </w:rPr>
        <w:t xml:space="preserve">La inflación se mide de acuerdo a la siguiente fórmula (el </w:t>
      </w:r>
      <w:r w:rsidRPr="00025F23">
        <w:rPr>
          <w:b/>
          <w:bCs/>
          <w:szCs w:val="16"/>
        </w:rPr>
        <w:t>IPC</w:t>
      </w:r>
      <w:r w:rsidRPr="00025F23">
        <w:rPr>
          <w:szCs w:val="16"/>
        </w:rPr>
        <w:t xml:space="preserve"> es el índice más ampliamente utilizado para medir la inflación, pero según lo que se quiera medir, se deben usar diferentes índices):</w:t>
      </w:r>
    </w:p>
    <w:p w14:paraId="685F81D2" w14:textId="4EC12582" w:rsidR="00AD655A" w:rsidRPr="00025F23" w:rsidRDefault="00AD655A" w:rsidP="00AD655A">
      <w:pPr>
        <w:rPr>
          <w:rFonts w:eastAsiaTheme="minorEastAsia"/>
          <w:iCs/>
        </w:rPr>
      </w:pPr>
      <m:oMathPara>
        <m:oMath>
          <m:r>
            <m:rPr>
              <m:nor/>
            </m:rPr>
            <w:rPr>
              <w:szCs w:val="16"/>
            </w:rPr>
            <m:t xml:space="preserve"> </m:t>
          </m:r>
          <m:sSub>
            <m:sSubPr>
              <m:ctrlPr>
                <w:rPr>
                  <w:rFonts w:ascii="Cambria Math" w:hAnsi="Cambria Math"/>
                  <w:i/>
                  <w:iCs/>
                  <w:szCs w:val="16"/>
                </w:rPr>
              </m:ctrlPr>
            </m:sSubPr>
            <m:e>
              <m:r>
                <m:rPr>
                  <m:nor/>
                </m:rPr>
                <w:rPr>
                  <w:i/>
                  <w:iCs/>
                  <w:szCs w:val="16"/>
                </w:rPr>
                <m:t>Inflación</m:t>
              </m:r>
            </m:e>
            <m:sub>
              <m:r>
                <m:rPr>
                  <m:nor/>
                </m:rPr>
                <w:rPr>
                  <w:i/>
                  <w:iCs/>
                  <w:szCs w:val="16"/>
                </w:rPr>
                <m:t>IPC</m:t>
              </m:r>
            </m:sub>
          </m:sSub>
          <m:r>
            <w:rPr>
              <w:rFonts w:ascii="Cambria Math" w:hAnsi="Cambria Math"/>
              <w:szCs w:val="16"/>
            </w:rPr>
            <m:t>=</m:t>
          </m:r>
          <m:d>
            <m:dPr>
              <m:ctrlPr>
                <w:rPr>
                  <w:rFonts w:ascii="Cambria Math" w:hAnsi="Cambria Math"/>
                  <w:i/>
                  <w:szCs w:val="16"/>
                </w:rPr>
              </m:ctrlPr>
            </m:dPr>
            <m:e>
              <m:f>
                <m:fPr>
                  <m:ctrlPr>
                    <w:rPr>
                      <w:rFonts w:ascii="Cambria Math" w:hAnsi="Cambria Math"/>
                      <w:i/>
                      <w:szCs w:val="16"/>
                    </w:rPr>
                  </m:ctrlPr>
                </m:fPr>
                <m:num>
                  <m:sSub>
                    <m:sSubPr>
                      <m:ctrlPr>
                        <w:rPr>
                          <w:rFonts w:ascii="Cambria Math" w:hAnsi="Cambria Math"/>
                          <w:i/>
                          <w:szCs w:val="16"/>
                        </w:rPr>
                      </m:ctrlPr>
                    </m:sSubPr>
                    <m:e>
                      <m:r>
                        <m:rPr>
                          <m:nor/>
                        </m:rPr>
                        <w:rPr>
                          <w:i/>
                          <w:szCs w:val="16"/>
                        </w:rPr>
                        <m:t>IPC</m:t>
                      </m:r>
                    </m:e>
                    <m:sub>
                      <m:r>
                        <m:rPr>
                          <m:nor/>
                        </m:rPr>
                        <w:rPr>
                          <w:i/>
                          <w:szCs w:val="16"/>
                        </w:rPr>
                        <m:t>t</m:t>
                      </m:r>
                    </m:sub>
                  </m:sSub>
                </m:num>
                <m:den>
                  <m:sSub>
                    <m:sSubPr>
                      <m:ctrlPr>
                        <w:rPr>
                          <w:rFonts w:ascii="Cambria Math" w:hAnsi="Cambria Math"/>
                          <w:i/>
                          <w:szCs w:val="16"/>
                        </w:rPr>
                      </m:ctrlPr>
                    </m:sSubPr>
                    <m:e>
                      <m:r>
                        <m:rPr>
                          <m:nor/>
                        </m:rPr>
                        <w:rPr>
                          <w:i/>
                          <w:szCs w:val="16"/>
                        </w:rPr>
                        <m:t>IPC</m:t>
                      </m:r>
                    </m:e>
                    <m:sub>
                      <m:r>
                        <m:rPr>
                          <m:nor/>
                        </m:rPr>
                        <w:rPr>
                          <w:i/>
                          <w:szCs w:val="16"/>
                        </w:rPr>
                        <m:t>t</m:t>
                      </m:r>
                      <m:r>
                        <w:rPr>
                          <w:rFonts w:ascii="Cambria Math" w:hAnsi="Cambria Math"/>
                          <w:szCs w:val="16"/>
                        </w:rPr>
                        <m:t>-</m:t>
                      </m:r>
                      <m:r>
                        <m:rPr>
                          <m:nor/>
                        </m:rPr>
                        <w:rPr>
                          <w:i/>
                        </w:rPr>
                        <m:t>1</m:t>
                      </m:r>
                    </m:sub>
                  </m:sSub>
                </m:den>
              </m:f>
              <m:r>
                <w:rPr>
                  <w:rFonts w:ascii="Cambria Math" w:hAnsi="Cambria Math"/>
                  <w:szCs w:val="16"/>
                </w:rPr>
                <m:t>-</m:t>
              </m:r>
              <m:r>
                <m:rPr>
                  <m:nor/>
                </m:rPr>
                <w:rPr>
                  <w:i/>
                  <w:iCs/>
                </w:rPr>
                <m:t>1</m:t>
              </m:r>
            </m:e>
          </m:d>
          <m:r>
            <w:rPr>
              <w:rFonts w:ascii="Cambria Math" w:hAnsi="Cambria Math"/>
            </w:rPr>
            <m:t>×</m:t>
          </m:r>
          <m:r>
            <m:rPr>
              <m:nor/>
            </m:rPr>
            <w:rPr>
              <w:i/>
              <w:iCs/>
            </w:rPr>
            <m:t>100</m:t>
          </m:r>
        </m:oMath>
      </m:oMathPara>
    </w:p>
    <w:p w14:paraId="6DDAA226" w14:textId="7F707BF5" w:rsidR="002735F4" w:rsidRPr="00025F23" w:rsidRDefault="002735F4" w:rsidP="002735F4">
      <w:pPr>
        <w:pStyle w:val="Nivel3"/>
        <w:keepNext/>
        <w:numPr>
          <w:ilvl w:val="0"/>
          <w:numId w:val="0"/>
        </w:numPr>
      </w:pPr>
      <w:r w:rsidRPr="00025F23">
        <w:t xml:space="preserve">Respecto al </w:t>
      </w:r>
      <w:r w:rsidRPr="00025F23">
        <w:rPr>
          <w:b/>
          <w:bCs/>
        </w:rPr>
        <w:t>deflactor del PIB</w:t>
      </w:r>
      <w:r w:rsidRPr="00025F23">
        <w:t xml:space="preserve"> presenta una ventaja y un inconveniente:</w:t>
      </w:r>
    </w:p>
    <w:p w14:paraId="06EA0DDD" w14:textId="011CE8D5" w:rsidR="005328AD" w:rsidRPr="00025F23" w:rsidRDefault="005328AD">
      <w:pPr>
        <w:pStyle w:val="Nivel3"/>
        <w:numPr>
          <w:ilvl w:val="0"/>
          <w:numId w:val="24"/>
        </w:numPr>
        <w:ind w:left="454" w:hanging="170"/>
      </w:pPr>
      <w:r w:rsidRPr="00025F23">
        <w:t xml:space="preserve">Ventaja: </w:t>
      </w:r>
      <w:r w:rsidR="002735F4" w:rsidRPr="00025F23">
        <w:t>A</w:t>
      </w:r>
      <w:r w:rsidRPr="00025F23">
        <w:t>ísla el efecto externo</w:t>
      </w:r>
      <w:r w:rsidR="002735F4" w:rsidRPr="00025F23">
        <w:t>.</w:t>
      </w:r>
    </w:p>
    <w:p w14:paraId="4E53FBA7" w14:textId="2089E976" w:rsidR="005328AD" w:rsidRPr="00025F23" w:rsidRDefault="005328AD">
      <w:pPr>
        <w:pStyle w:val="Prrafodelista"/>
        <w:numPr>
          <w:ilvl w:val="0"/>
          <w:numId w:val="24"/>
        </w:numPr>
        <w:ind w:left="454" w:hanging="170"/>
      </w:pPr>
      <w:r w:rsidRPr="00025F23">
        <w:t>Inconveniente: No refleja tan bien las variaciones en el poder adquisitivo de los agentes.</w:t>
      </w:r>
    </w:p>
    <w:p w14:paraId="46AC5DB9" w14:textId="14E40F10" w:rsidR="00BF4333" w:rsidRPr="00025F23" w:rsidRDefault="00BF4333" w:rsidP="00AD655A">
      <w:r w:rsidRPr="00025F23">
        <w:t xml:space="preserve">Finalmente, también es importante mencionar para que el análisis sea completo, la </w:t>
      </w:r>
      <w:r w:rsidRPr="00025F23">
        <w:rPr>
          <w:b/>
          <w:bCs/>
        </w:rPr>
        <w:t>inflación de activos específicos</w:t>
      </w:r>
      <w:r w:rsidRPr="00025F23">
        <w:t xml:space="preserve"> (vivienda, </w:t>
      </w:r>
      <w:proofErr w:type="spellStart"/>
      <w:r w:rsidRPr="00025F23">
        <w:t>commodities</w:t>
      </w:r>
      <w:proofErr w:type="spellEnd"/>
      <w:r w:rsidRPr="00025F23">
        <w:t>, cotización bursátil…),</w:t>
      </w:r>
    </w:p>
    <w:p w14:paraId="0A6FC0AE" w14:textId="2F5ABA5D" w:rsidR="00BF4333" w:rsidRDefault="00C11FA4" w:rsidP="00AD655A">
      <w:r w:rsidRPr="00025F23">
        <w:t xml:space="preserve">La comparación del IPC de un período con otro (por ejemplo, el año anterior) provee únicamente una medida rudimentaria de medir la inflación o la deflación. Estas medidas no discriminan entre cambios de precios permanentes o transitorios; la inflación que surge del cambio del precio de un componente con precios relativamente volátiles (p.ej. la energía), no se distingue de la inflación surgida de aumentos en el resto de los precios. Por esta razón, el concepto de </w:t>
      </w:r>
      <w:r w:rsidRPr="00025F23">
        <w:rPr>
          <w:b/>
          <w:bCs/>
        </w:rPr>
        <w:t>inflación subyacente</w:t>
      </w:r>
      <w:r w:rsidRPr="00025F23">
        <w:t xml:space="preserve"> (</w:t>
      </w:r>
      <w:proofErr w:type="spellStart"/>
      <w:r w:rsidR="002735F4" w:rsidRPr="00025F23">
        <w:rPr>
          <w:i/>
          <w:iCs/>
        </w:rPr>
        <w:t>underlying</w:t>
      </w:r>
      <w:proofErr w:type="spellEnd"/>
      <w:r w:rsidR="002735F4" w:rsidRPr="00025F23">
        <w:rPr>
          <w:i/>
          <w:iCs/>
        </w:rPr>
        <w:t xml:space="preserve"> </w:t>
      </w:r>
      <w:proofErr w:type="spellStart"/>
      <w:r w:rsidR="002735F4" w:rsidRPr="00025F23">
        <w:rPr>
          <w:i/>
          <w:iCs/>
        </w:rPr>
        <w:t>or</w:t>
      </w:r>
      <w:proofErr w:type="spellEnd"/>
      <w:r w:rsidR="002735F4" w:rsidRPr="00025F23">
        <w:t xml:space="preserve"> </w:t>
      </w:r>
      <w:proofErr w:type="spellStart"/>
      <w:r w:rsidRPr="00025F23">
        <w:rPr>
          <w:i/>
          <w:iCs/>
        </w:rPr>
        <w:t>core</w:t>
      </w:r>
      <w:proofErr w:type="spellEnd"/>
      <w:r w:rsidR="002735F4" w:rsidRPr="00025F23">
        <w:rPr>
          <w:i/>
          <w:iCs/>
        </w:rPr>
        <w:t xml:space="preserve"> </w:t>
      </w:r>
      <w:proofErr w:type="spellStart"/>
      <w:r w:rsidR="002735F4" w:rsidRPr="00025F23">
        <w:rPr>
          <w:i/>
          <w:iCs/>
        </w:rPr>
        <w:t>inflation</w:t>
      </w:r>
      <w:proofErr w:type="spellEnd"/>
      <w:r w:rsidRPr="00025F23">
        <w:t>)</w:t>
      </w:r>
      <w:r w:rsidR="002735F4" w:rsidRPr="00025F23">
        <w:t xml:space="preserve"> ha sido desarrollado para aislar el componente de largo plazo (o persistente) del IPC. De este modo, mide la tasa de inflación que refleja las presiones inflacionistas generales en la economía. A pesar de que la inflación subyacente es un concepto atractivo intuitivamente, debemos tener en cuenta que </w:t>
      </w:r>
      <w:r w:rsidR="002735F4" w:rsidRPr="00025F23">
        <w:rPr>
          <w:i/>
          <w:iCs/>
        </w:rPr>
        <w:t>no hay ni una base teórica ni un enfoque generalmente aceptado para medir la inflación subyacente</w:t>
      </w:r>
      <w:r w:rsidR="002735F4" w:rsidRPr="00025F23">
        <w:t>.</w:t>
      </w:r>
      <w:r w:rsidR="0084513B" w:rsidRPr="00025F23">
        <w:t xml:space="preserve"> Los analistas han desarrollado varias medidas de tasas de inflación subyacente</w:t>
      </w:r>
      <w:r w:rsidR="0084513B" w:rsidRPr="00025F23">
        <w:rPr>
          <w:rStyle w:val="Refdenotaalpie"/>
        </w:rPr>
        <w:footnoteReference w:id="33"/>
      </w:r>
      <w:r w:rsidR="0084513B" w:rsidRPr="00025F23">
        <w:t xml:space="preserve"> para eliminar el ruido, permitir localizar más fácilmente los orígenes de la inflación y poder proveer de mejor información a las autoridades monetarias. De este modo, también permite comprobar si existen efectos de segunda ronda de la política monetaria.</w:t>
      </w:r>
    </w:p>
    <w:p w14:paraId="5E636DC8" w14:textId="4EEEA1C9" w:rsidR="00715EE1" w:rsidRDefault="00715EE1" w:rsidP="00715EE1">
      <w:pPr>
        <w:pStyle w:val="Ttuloimagen"/>
      </w:pPr>
      <w:r>
        <w:t>Imagen </w:t>
      </w:r>
      <w:r>
        <w:fldChar w:fldCharType="begin"/>
      </w:r>
      <w:r>
        <w:instrText xml:space="preserve"> SEQ Ilustración \* ARABIC </w:instrText>
      </w:r>
      <w:r>
        <w:fldChar w:fldCharType="separate"/>
      </w:r>
      <w:r w:rsidR="00903E0C">
        <w:t>6</w:t>
      </w:r>
      <w:r>
        <w:fldChar w:fldCharType="end"/>
      </w:r>
      <w:r>
        <w:rPr>
          <w:smallCaps w:val="0"/>
        </w:rPr>
        <w:t xml:space="preserve">.– </w:t>
      </w:r>
      <w:r>
        <w:rPr>
          <w:i/>
          <w:iCs/>
          <w:smallCaps w:val="0"/>
        </w:rPr>
        <w:t>Inflación general en la zona del euro y sus principales componentes</w:t>
      </w:r>
    </w:p>
    <w:p w14:paraId="2777728A" w14:textId="51AA81E1" w:rsidR="00715EE1" w:rsidRDefault="00715EE1" w:rsidP="00715EE1">
      <w:pPr>
        <w:pStyle w:val="Imagen"/>
      </w:pPr>
      <w:r>
        <w:drawing>
          <wp:inline distT="0" distB="0" distL="0" distR="0" wp14:anchorId="0442AD59" wp14:editId="11556257">
            <wp:extent cx="3284855" cy="1511935"/>
            <wp:effectExtent l="0" t="0" r="0" b="0"/>
            <wp:docPr id="1848810685" name="Imagen 8" descr="Gráfico, Histo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8810685" name="Imagen 8" descr="Gráfico, Histograma&#10;&#10;Descripción generada automáticamente"/>
                    <pic:cNvPicPr>
                      <a:picLocks noChangeAspect="1" noChangeArrowheads="1"/>
                    </pic:cNvPicPr>
                  </pic:nvPicPr>
                  <pic:blipFill>
                    <a:blip r:embed="rId31">
                      <a:extLst>
                        <a:ext uri="{28A0092B-C50C-407E-A947-70E740481C1C}">
                          <a14:useLocalDpi xmlns:a14="http://schemas.microsoft.com/office/drawing/2010/main"/>
                        </a:ext>
                      </a:extLst>
                    </a:blip>
                    <a:srcRect/>
                    <a:stretch>
                      <a:fillRect/>
                    </a:stretch>
                  </pic:blipFill>
                  <pic:spPr bwMode="auto">
                    <a:xfrm>
                      <a:off x="0" y="0"/>
                      <a:ext cx="3284855" cy="1511935"/>
                    </a:xfrm>
                    <a:prstGeom prst="rect">
                      <a:avLst/>
                    </a:prstGeom>
                    <a:noFill/>
                    <a:ln>
                      <a:noFill/>
                    </a:ln>
                  </pic:spPr>
                </pic:pic>
              </a:graphicData>
            </a:graphic>
          </wp:inline>
        </w:drawing>
      </w:r>
    </w:p>
    <w:p w14:paraId="337262EE" w14:textId="5CAD958F" w:rsidR="00FB5C19" w:rsidRPr="00FB5C19" w:rsidRDefault="00FB5C19" w:rsidP="00FB5C19">
      <w:pPr>
        <w:pStyle w:val="Imagen"/>
      </w:pPr>
      <w:r>
        <w:drawing>
          <wp:inline distT="0" distB="0" distL="0" distR="0" wp14:anchorId="5C8A5CB7" wp14:editId="743EDC09">
            <wp:extent cx="1871352" cy="1607820"/>
            <wp:effectExtent l="0" t="0" r="0" b="0"/>
            <wp:docPr id="708191630" name="Imagen 1" descr="Gráfico, Histo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8191630" name="Imagen 1" descr="Gráfico, Histograma&#10;&#10;Descripción generada automáticamente"/>
                    <pic:cNvPicPr>
                      <a:picLocks noChangeAspect="1" noChangeArrowheads="1"/>
                    </pic:cNvPicPr>
                  </pic:nvPicPr>
                  <pic:blipFill rotWithShape="1">
                    <a:blip r:embed="rId32">
                      <a:extLst>
                        <a:ext uri="{28A0092B-C50C-407E-A947-70E740481C1C}">
                          <a14:useLocalDpi xmlns:a14="http://schemas.microsoft.com/office/drawing/2010/main" val="0"/>
                        </a:ext>
                      </a:extLst>
                    </a:blip>
                    <a:srcRect t="19117"/>
                    <a:stretch/>
                  </pic:blipFill>
                  <pic:spPr bwMode="auto">
                    <a:xfrm>
                      <a:off x="0" y="0"/>
                      <a:ext cx="1876529" cy="1612268"/>
                    </a:xfrm>
                    <a:prstGeom prst="rect">
                      <a:avLst/>
                    </a:prstGeom>
                    <a:noFill/>
                    <a:ln>
                      <a:noFill/>
                    </a:ln>
                    <a:extLst>
                      <a:ext uri="{53640926-AAD7-44D8-BBD7-CCE9431645EC}">
                        <a14:shadowObscured xmlns:a14="http://schemas.microsoft.com/office/drawing/2010/main"/>
                      </a:ext>
                    </a:extLst>
                  </pic:spPr>
                </pic:pic>
              </a:graphicData>
            </a:graphic>
          </wp:inline>
        </w:drawing>
      </w:r>
      <w:r w:rsidRPr="00FB5C19">
        <w:t xml:space="preserve"> </w:t>
      </w:r>
      <w:r>
        <w:drawing>
          <wp:inline distT="0" distB="0" distL="0" distR="0" wp14:anchorId="63C96A29" wp14:editId="5CD8F257">
            <wp:extent cx="1158240" cy="640080"/>
            <wp:effectExtent l="0" t="0" r="0" b="7620"/>
            <wp:docPr id="552786904" name="Imagen 2" descr="Gráfico, Histo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2786904" name="Imagen 2" descr="Gráfico, Histograma&#10;&#10;Descripción generada automáticamente"/>
                    <pic:cNvPicPr>
                      <a:picLocks noChangeAspect="1" noChangeArrowheads="1"/>
                    </pic:cNvPicPr>
                  </pic:nvPicPr>
                  <pic:blipFill rotWithShape="1">
                    <a:blip r:embed="rId32">
                      <a:extLst>
                        <a:ext uri="{28A0092B-C50C-407E-A947-70E740481C1C}">
                          <a14:useLocalDpi xmlns:a14="http://schemas.microsoft.com/office/drawing/2010/main" val="0"/>
                        </a:ext>
                      </a:extLst>
                    </a:blip>
                    <a:srcRect r="64740" b="81656"/>
                    <a:stretch/>
                  </pic:blipFill>
                  <pic:spPr bwMode="auto">
                    <a:xfrm>
                      <a:off x="0" y="0"/>
                      <a:ext cx="1158240" cy="640080"/>
                    </a:xfrm>
                    <a:prstGeom prst="rect">
                      <a:avLst/>
                    </a:prstGeom>
                    <a:noFill/>
                    <a:ln>
                      <a:noFill/>
                    </a:ln>
                    <a:extLst>
                      <a:ext uri="{53640926-AAD7-44D8-BBD7-CCE9431645EC}">
                        <a14:shadowObscured xmlns:a14="http://schemas.microsoft.com/office/drawing/2010/main"/>
                      </a:ext>
                    </a:extLst>
                  </pic:spPr>
                </pic:pic>
              </a:graphicData>
            </a:graphic>
          </wp:inline>
        </w:drawing>
      </w:r>
    </w:p>
    <w:p w14:paraId="20AF5F87" w14:textId="2027C5E8" w:rsidR="00715EE1" w:rsidRPr="00C166AD" w:rsidRDefault="00715EE1" w:rsidP="00715EE1">
      <w:pPr>
        <w:pStyle w:val="Piedeimagen"/>
        <w:rPr>
          <w:rStyle w:val="Hipervnculo"/>
          <w:i w:val="0"/>
          <w:iCs/>
        </w:rPr>
      </w:pPr>
      <w:r>
        <w:t>Fuente</w:t>
      </w:r>
      <w:r>
        <w:rPr>
          <w:i w:val="0"/>
        </w:rPr>
        <w:t xml:space="preserve">: European Central Bank (2023). </w:t>
      </w:r>
      <w:r>
        <w:t>Informe Anual 2022</w:t>
      </w:r>
      <w:r>
        <w:rPr>
          <w:i w:val="0"/>
        </w:rPr>
        <w:t xml:space="preserve">. </w:t>
      </w:r>
      <w:hyperlink r:id="rId33" w:history="1">
        <w:r w:rsidR="00C166AD" w:rsidRPr="00C166AD">
          <w:rPr>
            <w:rStyle w:val="Hipervnculo"/>
            <w:i w:val="0"/>
            <w:iCs/>
          </w:rPr>
          <w:t>https://www.ecb.europa.eu/pub/annual/html/ecb.ar2022~8ae51d163b.es.html</w:t>
        </w:r>
      </w:hyperlink>
    </w:p>
    <w:p w14:paraId="15863953" w14:textId="5D674F04" w:rsidR="005A4DB6" w:rsidRDefault="005A4DB6" w:rsidP="005A4DB6">
      <w:pPr>
        <w:pStyle w:val="Ttuloimagen"/>
      </w:pPr>
      <w:r>
        <w:t>Imagen </w:t>
      </w:r>
      <w:r>
        <w:fldChar w:fldCharType="begin"/>
      </w:r>
      <w:r>
        <w:instrText xml:space="preserve"> SEQ Ilustración \* ARABIC </w:instrText>
      </w:r>
      <w:r>
        <w:fldChar w:fldCharType="separate"/>
      </w:r>
      <w:r w:rsidR="00903E0C">
        <w:t>7</w:t>
      </w:r>
      <w:r>
        <w:fldChar w:fldCharType="end"/>
      </w:r>
      <w:r>
        <w:rPr>
          <w:smallCaps w:val="0"/>
        </w:rPr>
        <w:t xml:space="preserve">.– </w:t>
      </w:r>
      <w:r>
        <w:rPr>
          <w:i/>
          <w:iCs/>
          <w:smallCaps w:val="0"/>
        </w:rPr>
        <w:t>Evolución del precio del petróleo</w:t>
      </w:r>
    </w:p>
    <w:p w14:paraId="5951E1D8" w14:textId="37C3668E" w:rsidR="005A4DB6" w:rsidRDefault="005A4DB6" w:rsidP="005E2BAC">
      <w:pPr>
        <w:pStyle w:val="Imagen"/>
        <w:keepNext/>
      </w:pPr>
      <w:r w:rsidRPr="005A4DB6">
        <w:drawing>
          <wp:inline distT="0" distB="0" distL="0" distR="0" wp14:anchorId="5E422E13" wp14:editId="2BEE7C99">
            <wp:extent cx="2618509" cy="1205233"/>
            <wp:effectExtent l="0" t="0" r="0" b="0"/>
            <wp:docPr id="2030668471" name="Imagen 1" descr="Gráfico, Gráfico de líneas, Histo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0668471" name="Imagen 1" descr="Gráfico, Gráfico de líneas, Histograma&#10;&#10;Descripción generada automáticamente"/>
                    <pic:cNvPicPr/>
                  </pic:nvPicPr>
                  <pic:blipFill>
                    <a:blip r:embed="rId34"/>
                    <a:stretch>
                      <a:fillRect/>
                    </a:stretch>
                  </pic:blipFill>
                  <pic:spPr>
                    <a:xfrm>
                      <a:off x="0" y="0"/>
                      <a:ext cx="2620878" cy="1206324"/>
                    </a:xfrm>
                    <a:prstGeom prst="rect">
                      <a:avLst/>
                    </a:prstGeom>
                  </pic:spPr>
                </pic:pic>
              </a:graphicData>
            </a:graphic>
          </wp:inline>
        </w:drawing>
      </w:r>
    </w:p>
    <w:p w14:paraId="348A7D63" w14:textId="1CD02495" w:rsidR="005A4DB6" w:rsidRPr="005A4DB6" w:rsidRDefault="005A4DB6" w:rsidP="005A4DB6">
      <w:pPr>
        <w:pStyle w:val="Piedeimagen"/>
        <w:rPr>
          <w:i w:val="0"/>
          <w:color w:val="0563C1" w:themeColor="hyperlink"/>
          <w:u w:val="single"/>
        </w:rPr>
      </w:pPr>
      <w:r>
        <w:t>Fuente</w:t>
      </w:r>
      <w:r>
        <w:rPr>
          <w:i w:val="0"/>
        </w:rPr>
        <w:t xml:space="preserve">: Expansión (2023). </w:t>
      </w:r>
      <w:r>
        <w:t>Percio petróleo Brent</w:t>
      </w:r>
      <w:r>
        <w:rPr>
          <w:i w:val="0"/>
        </w:rPr>
        <w:t xml:space="preserve">. Datosmacro.com </w:t>
      </w:r>
      <w:hyperlink r:id="rId35" w:history="1">
        <w:r w:rsidRPr="002C0C77">
          <w:rPr>
            <w:rStyle w:val="Hipervnculo"/>
            <w:i w:val="0"/>
          </w:rPr>
          <w:t>https://datosmacro.expansion.com/materias-primas/brent</w:t>
        </w:r>
      </w:hyperlink>
    </w:p>
    <w:p w14:paraId="2746C3FB" w14:textId="0C00F721" w:rsidR="0017261E" w:rsidRPr="00025F23" w:rsidRDefault="0017261E" w:rsidP="00A21C01">
      <w:pPr>
        <w:pStyle w:val="Ttulo6"/>
      </w:pPr>
      <w:bookmarkStart w:id="254" w:name="_Toc88565999"/>
      <w:bookmarkStart w:id="255" w:name="_Toc88566139"/>
      <w:bookmarkStart w:id="256" w:name="_Toc173446354"/>
      <w:bookmarkStart w:id="257" w:name="_Toc189085811"/>
      <w:bookmarkEnd w:id="250"/>
      <w:bookmarkEnd w:id="251"/>
      <w:r w:rsidRPr="00025F23">
        <w:t>Indicadores relevantes: origen</w:t>
      </w:r>
      <w:bookmarkEnd w:id="254"/>
      <w:bookmarkEnd w:id="255"/>
      <w:bookmarkEnd w:id="256"/>
      <w:bookmarkEnd w:id="257"/>
    </w:p>
    <w:p w14:paraId="1C155C45" w14:textId="782E3554" w:rsidR="0017261E" w:rsidRPr="00025F23" w:rsidRDefault="0017261E" w:rsidP="00476AB3">
      <w:pPr>
        <w:pStyle w:val="Nivel1"/>
        <w:spacing w:after="0"/>
      </w:pPr>
      <w:r w:rsidRPr="00025F23">
        <w:t>Demanda</w:t>
      </w:r>
    </w:p>
    <w:p w14:paraId="1FC0DCD1" w14:textId="4EDBCEF7" w:rsidR="0017261E" w:rsidRPr="00025F23" w:rsidRDefault="0017261E" w:rsidP="00476AB3">
      <w:pPr>
        <w:pStyle w:val="Nivel2"/>
        <w:spacing w:after="0"/>
      </w:pPr>
      <w:r w:rsidRPr="00025F23">
        <w:t>Comparar la tasa de variación de la demanda interna y la tasa de variación del PIB.</w:t>
      </w:r>
    </w:p>
    <w:p w14:paraId="619FA867" w14:textId="5B5C7E72" w:rsidR="0017261E" w:rsidRPr="00025F23" w:rsidRDefault="0017261E" w:rsidP="0017261E">
      <w:pPr>
        <w:pStyle w:val="Nivel3"/>
      </w:pPr>
      <w:r w:rsidRPr="00025F23">
        <w:t>Desagregada por componentes.</w:t>
      </w:r>
    </w:p>
    <w:p w14:paraId="066BC66A" w14:textId="3D1B0B91" w:rsidR="0017261E" w:rsidRPr="00025F23" w:rsidRDefault="0017261E" w:rsidP="00476AB3">
      <w:pPr>
        <w:pStyle w:val="Nivel2"/>
        <w:spacing w:after="0"/>
      </w:pPr>
      <w:r w:rsidRPr="00025F23">
        <w:t>Indicadores</w:t>
      </w:r>
    </w:p>
    <w:p w14:paraId="51979A12" w14:textId="605AC806" w:rsidR="0017261E" w:rsidRPr="00025F23" w:rsidRDefault="0017261E" w:rsidP="0017261E">
      <w:pPr>
        <w:pStyle w:val="Nivel3"/>
      </w:pPr>
      <w:r w:rsidRPr="00025F23">
        <w:t>Liquidez en el sistema</w:t>
      </w:r>
    </w:p>
    <w:p w14:paraId="15B87B5A" w14:textId="01BEECD2" w:rsidR="0017261E" w:rsidRPr="00025F23" w:rsidRDefault="0017261E" w:rsidP="00CB6DE0">
      <w:pPr>
        <w:pStyle w:val="Nivel4"/>
        <w:ind w:left="964"/>
      </w:pPr>
      <w:r w:rsidRPr="00025F23">
        <w:t>Agregados monetarios</w:t>
      </w:r>
    </w:p>
    <w:p w14:paraId="148FD689" w14:textId="701B2282" w:rsidR="0017261E" w:rsidRPr="00025F23" w:rsidRDefault="0017261E" w:rsidP="00CB6DE0">
      <w:pPr>
        <w:pStyle w:val="Nivel4"/>
        <w:ind w:left="964"/>
      </w:pPr>
      <w:proofErr w:type="spellStart"/>
      <w:r w:rsidRPr="00025F23">
        <w:rPr>
          <w:i/>
          <w:iCs/>
        </w:rPr>
        <w:t>Bid-ask</w:t>
      </w:r>
      <w:proofErr w:type="spellEnd"/>
      <w:r w:rsidRPr="00025F23">
        <w:rPr>
          <w:i/>
          <w:iCs/>
        </w:rPr>
        <w:t xml:space="preserve"> spread</w:t>
      </w:r>
    </w:p>
    <w:p w14:paraId="5C07BFFF" w14:textId="4DA16B2E" w:rsidR="0017261E" w:rsidRPr="00025F23" w:rsidRDefault="0017261E" w:rsidP="0017261E">
      <w:pPr>
        <w:pStyle w:val="Nivel3"/>
      </w:pPr>
      <w:r w:rsidRPr="00025F23">
        <w:t>Salarios nominales (</w:t>
      </w:r>
      <w:proofErr w:type="spellStart"/>
      <w:r w:rsidRPr="00025F23">
        <w:rPr>
          <w:i/>
          <w:iCs/>
        </w:rPr>
        <w:t>demand</w:t>
      </w:r>
      <w:r w:rsidRPr="00025F23">
        <w:t>-</w:t>
      </w:r>
      <w:r w:rsidRPr="00025F23">
        <w:rPr>
          <w:i/>
          <w:iCs/>
        </w:rPr>
        <w:t>pull</w:t>
      </w:r>
      <w:proofErr w:type="spellEnd"/>
      <w:r w:rsidRPr="00025F23">
        <w:t>)</w:t>
      </w:r>
    </w:p>
    <w:p w14:paraId="4499A75E" w14:textId="75F2AAA8" w:rsidR="0017261E" w:rsidRPr="00025F23" w:rsidRDefault="0017261E" w:rsidP="0017261E">
      <w:pPr>
        <w:pStyle w:val="Nivel2"/>
      </w:pPr>
      <w:r w:rsidRPr="00025F23">
        <w:t>Output-gap</w:t>
      </w:r>
    </w:p>
    <w:p w14:paraId="7989E63D" w14:textId="5EE0F7CE" w:rsidR="0017261E" w:rsidRPr="00025F23" w:rsidRDefault="0017261E" w:rsidP="0017261E">
      <w:pPr>
        <w:pStyle w:val="Nivel2"/>
      </w:pPr>
      <w:r w:rsidRPr="00025F23">
        <w:t>Déficit público</w:t>
      </w:r>
    </w:p>
    <w:p w14:paraId="778F9278" w14:textId="39EBC379" w:rsidR="0017261E" w:rsidRPr="00025F23" w:rsidRDefault="0017261E" w:rsidP="0017261E">
      <w:pPr>
        <w:pStyle w:val="Nivel2"/>
      </w:pPr>
      <w:r w:rsidRPr="00025F23">
        <w:t>Tipo de cambio nominal</w:t>
      </w:r>
    </w:p>
    <w:p w14:paraId="24B6B9EC" w14:textId="3553D64F" w:rsidR="0017261E" w:rsidRPr="00025F23" w:rsidRDefault="0017261E" w:rsidP="0017261E">
      <w:pPr>
        <w:pStyle w:val="Nivel2"/>
      </w:pPr>
      <w:r w:rsidRPr="00025F23">
        <w:t>Expectativas</w:t>
      </w:r>
    </w:p>
    <w:p w14:paraId="6C517295" w14:textId="57927ACE" w:rsidR="0017261E" w:rsidRPr="00025F23" w:rsidRDefault="0017261E" w:rsidP="00476AB3">
      <w:pPr>
        <w:pStyle w:val="Nivel1"/>
        <w:spacing w:after="0"/>
      </w:pPr>
      <w:r w:rsidRPr="00025F23">
        <w:t>Oferta</w:t>
      </w:r>
    </w:p>
    <w:p w14:paraId="297E1FCE" w14:textId="69175317" w:rsidR="0017261E" w:rsidRPr="00025F23" w:rsidRDefault="0017261E" w:rsidP="00476AB3">
      <w:pPr>
        <w:pStyle w:val="Nivel2"/>
        <w:spacing w:after="0"/>
      </w:pPr>
      <w:r w:rsidRPr="00025F23">
        <w:t>Indicadores</w:t>
      </w:r>
    </w:p>
    <w:p w14:paraId="7F696144" w14:textId="77777777" w:rsidR="0017261E" w:rsidRPr="00025F23" w:rsidRDefault="0017261E" w:rsidP="0017261E">
      <w:pPr>
        <w:pStyle w:val="Nivel3"/>
        <w:rPr>
          <w:lang w:val="en-US"/>
        </w:rPr>
      </w:pPr>
      <w:proofErr w:type="spellStart"/>
      <w:r w:rsidRPr="00025F23">
        <w:rPr>
          <w:lang w:val="en-US"/>
        </w:rPr>
        <w:t>Salarios</w:t>
      </w:r>
      <w:proofErr w:type="spellEnd"/>
      <w:r w:rsidRPr="00025F23">
        <w:rPr>
          <w:lang w:val="en-US"/>
        </w:rPr>
        <w:t>, CLU (</w:t>
      </w:r>
      <w:r w:rsidRPr="00025F23">
        <w:rPr>
          <w:i/>
          <w:iCs/>
          <w:lang w:val="en-US"/>
        </w:rPr>
        <w:t>cost-push</w:t>
      </w:r>
      <w:r w:rsidRPr="00025F23">
        <w:rPr>
          <w:lang w:val="en-US"/>
        </w:rPr>
        <w:t xml:space="preserve">, </w:t>
      </w:r>
      <w:r w:rsidRPr="00025F23">
        <w:rPr>
          <w:i/>
          <w:iCs/>
          <w:lang w:val="en-US"/>
        </w:rPr>
        <w:t>built-in</w:t>
      </w:r>
      <w:r w:rsidRPr="00025F23">
        <w:rPr>
          <w:lang w:val="en-US"/>
        </w:rPr>
        <w:t>)</w:t>
      </w:r>
    </w:p>
    <w:p w14:paraId="3EDB857A" w14:textId="7E4C3BE7" w:rsidR="0017261E" w:rsidRPr="00025F23" w:rsidRDefault="0017261E" w:rsidP="0017261E">
      <w:pPr>
        <w:pStyle w:val="Nivel3"/>
      </w:pPr>
      <w:r w:rsidRPr="00025F23">
        <w:t xml:space="preserve">Tipo de </w:t>
      </w:r>
      <w:r w:rsidR="00B15FD3" w:rsidRPr="00025F23">
        <w:t>c</w:t>
      </w:r>
      <w:r w:rsidRPr="00025F23">
        <w:t>ambio nominal</w:t>
      </w:r>
    </w:p>
    <w:p w14:paraId="5CBD56A2" w14:textId="33615D11" w:rsidR="0017261E" w:rsidRPr="00025F23" w:rsidRDefault="0017261E" w:rsidP="00CB6DE0">
      <w:pPr>
        <w:pStyle w:val="Nivel4"/>
        <w:ind w:left="964"/>
      </w:pPr>
      <w:r w:rsidRPr="00025F23">
        <w:t>Relativo a peso de las importaciones en el PIB.</w:t>
      </w:r>
    </w:p>
    <w:p w14:paraId="393C3024" w14:textId="01275EF9" w:rsidR="0017261E" w:rsidRPr="00025F23" w:rsidRDefault="0017261E" w:rsidP="0017261E">
      <w:pPr>
        <w:pStyle w:val="Nivel3"/>
      </w:pPr>
      <w:r w:rsidRPr="00025F23">
        <w:t>EBE</w:t>
      </w:r>
    </w:p>
    <w:p w14:paraId="5E731EEB" w14:textId="749E61CE" w:rsidR="0017261E" w:rsidRPr="00025F23" w:rsidRDefault="0017261E" w:rsidP="00CB6DE0">
      <w:pPr>
        <w:pStyle w:val="Nivel4"/>
        <w:ind w:left="964"/>
      </w:pPr>
      <w:r w:rsidRPr="00025F23">
        <w:t xml:space="preserve">Mide el </w:t>
      </w:r>
      <w:proofErr w:type="spellStart"/>
      <w:r w:rsidRPr="00025F23">
        <w:t>mark</w:t>
      </w:r>
      <w:proofErr w:type="spellEnd"/>
      <w:r w:rsidRPr="00025F23">
        <w:t>-up (i.e. grado de competencia en la economía).</w:t>
      </w:r>
    </w:p>
    <w:p w14:paraId="779C009B" w14:textId="0AA82562" w:rsidR="0017261E" w:rsidRPr="00025F23" w:rsidRDefault="0017261E" w:rsidP="0017261E">
      <w:pPr>
        <w:pStyle w:val="Nivel3"/>
      </w:pPr>
      <w:r w:rsidRPr="00025F23">
        <w:t>Expectativas</w:t>
      </w:r>
    </w:p>
    <w:p w14:paraId="6FAEC936" w14:textId="592F4777" w:rsidR="0017261E" w:rsidRPr="00025F23" w:rsidRDefault="0017261E" w:rsidP="00CB6DE0">
      <w:pPr>
        <w:pStyle w:val="Nivel4"/>
        <w:ind w:left="964"/>
      </w:pPr>
      <w:r w:rsidRPr="00025F23">
        <w:t>Productores forward-</w:t>
      </w:r>
      <w:proofErr w:type="spellStart"/>
      <w:r w:rsidRPr="00025F23">
        <w:t>looking</w:t>
      </w:r>
      <w:proofErr w:type="spellEnd"/>
      <w:r w:rsidRPr="00025F23">
        <w:t>.</w:t>
      </w:r>
    </w:p>
    <w:p w14:paraId="05D58F34" w14:textId="7589BC03" w:rsidR="0017261E" w:rsidRPr="00025F23" w:rsidRDefault="0017261E" w:rsidP="00A21C01">
      <w:pPr>
        <w:pStyle w:val="Ttulo6"/>
      </w:pPr>
      <w:bookmarkStart w:id="258" w:name="_Toc88566000"/>
      <w:bookmarkStart w:id="259" w:name="_Toc88566140"/>
      <w:bookmarkStart w:id="260" w:name="_Toc173446355"/>
      <w:bookmarkStart w:id="261" w:name="_Toc189085812"/>
      <w:r w:rsidRPr="00025F23">
        <w:t>Recomendaciones de política económica</w:t>
      </w:r>
      <w:bookmarkEnd w:id="258"/>
      <w:bookmarkEnd w:id="259"/>
      <w:bookmarkEnd w:id="260"/>
      <w:bookmarkEnd w:id="261"/>
    </w:p>
    <w:p w14:paraId="3FFEC609" w14:textId="700A94F1" w:rsidR="0017261E" w:rsidRPr="00025F23" w:rsidRDefault="0017261E" w:rsidP="0017261E">
      <w:pPr>
        <w:pStyle w:val="Nivel1"/>
      </w:pPr>
      <w:r w:rsidRPr="00025F23">
        <w:t>Si la inflación se acelera/es alta, no hay duda: Política monetaria contractiva</w:t>
      </w:r>
    </w:p>
    <w:p w14:paraId="6100E041" w14:textId="12D6EDA0" w:rsidR="0017261E" w:rsidRPr="00025F23" w:rsidRDefault="0017261E" w:rsidP="00913CBB">
      <w:pPr>
        <w:pStyle w:val="Nivel1"/>
        <w:keepNext/>
        <w:spacing w:after="0"/>
      </w:pPr>
      <w:r w:rsidRPr="00025F23">
        <w:t>Si existe deflación:</w:t>
      </w:r>
    </w:p>
    <w:p w14:paraId="5A66D3C9" w14:textId="0742354E" w:rsidR="0017261E" w:rsidRPr="00025F23" w:rsidRDefault="0017261E" w:rsidP="00913CBB">
      <w:pPr>
        <w:pStyle w:val="Nivel2"/>
        <w:keepNext/>
        <w:spacing w:after="0"/>
      </w:pPr>
      <w:r w:rsidRPr="00025F23">
        <w:t>¿</w:t>
      </w:r>
      <w:r w:rsidRPr="00025F23">
        <w:rPr>
          <w:i/>
          <w:iCs/>
        </w:rPr>
        <w:t xml:space="preserve">Zero </w:t>
      </w:r>
      <w:proofErr w:type="spellStart"/>
      <w:r w:rsidRPr="00025F23">
        <w:rPr>
          <w:i/>
          <w:iCs/>
        </w:rPr>
        <w:t>Lower</w:t>
      </w:r>
      <w:proofErr w:type="spellEnd"/>
      <w:r w:rsidRPr="00025F23">
        <w:rPr>
          <w:i/>
          <w:iCs/>
        </w:rPr>
        <w:t xml:space="preserve"> </w:t>
      </w:r>
      <w:proofErr w:type="spellStart"/>
      <w:r w:rsidRPr="00025F23">
        <w:rPr>
          <w:i/>
          <w:iCs/>
        </w:rPr>
        <w:t>Bound</w:t>
      </w:r>
      <w:proofErr w:type="spellEnd"/>
      <w:r w:rsidRPr="00025F23">
        <w:t>?</w:t>
      </w:r>
    </w:p>
    <w:p w14:paraId="0B744C8C" w14:textId="77777777" w:rsidR="0017261E" w:rsidRPr="00025F23" w:rsidRDefault="0017261E" w:rsidP="00913CBB">
      <w:pPr>
        <w:pStyle w:val="Nivel3"/>
        <w:keepNext/>
      </w:pPr>
      <w:r w:rsidRPr="00025F23">
        <w:t>No</w:t>
      </w:r>
    </w:p>
    <w:p w14:paraId="1203971A" w14:textId="18122724" w:rsidR="0017261E" w:rsidRPr="00025F23" w:rsidRDefault="0017261E" w:rsidP="00CB6DE0">
      <w:pPr>
        <w:pStyle w:val="Nivel4"/>
        <w:ind w:left="964"/>
      </w:pPr>
      <w:r w:rsidRPr="00025F23">
        <w:t xml:space="preserve">Política monetaria expansiva </w:t>
      </w:r>
      <w:r w:rsidRPr="00025F23">
        <w:rPr>
          <w:sz w:val="14"/>
          <w:szCs w:val="20"/>
        </w:rPr>
        <w:t>(canal tipo de interés)</w:t>
      </w:r>
    </w:p>
    <w:p w14:paraId="4CA17A10" w14:textId="77777777" w:rsidR="0017261E" w:rsidRPr="00025F23" w:rsidRDefault="0017261E" w:rsidP="00913CBB">
      <w:pPr>
        <w:pStyle w:val="Nivel3"/>
        <w:keepNext/>
      </w:pPr>
      <w:r w:rsidRPr="00025F23">
        <w:t>Sí</w:t>
      </w:r>
    </w:p>
    <w:p w14:paraId="2A156DA6" w14:textId="5987BC99" w:rsidR="0017261E" w:rsidRPr="00025F23" w:rsidRDefault="0017261E" w:rsidP="00CB6DE0">
      <w:pPr>
        <w:pStyle w:val="Nivel4"/>
        <w:ind w:left="964"/>
      </w:pPr>
      <w:r w:rsidRPr="00025F23">
        <w:t>Política fiscal expansiva</w:t>
      </w:r>
    </w:p>
    <w:p w14:paraId="475B1F2F" w14:textId="5F42D7DB" w:rsidR="0017261E" w:rsidRPr="00025F23" w:rsidRDefault="0017261E" w:rsidP="00CB6DE0">
      <w:pPr>
        <w:pStyle w:val="Nivel4"/>
        <w:ind w:left="964"/>
      </w:pPr>
      <w:r w:rsidRPr="00025F23">
        <w:t xml:space="preserve">Política monetaria expansiva </w:t>
      </w:r>
      <w:r w:rsidRPr="00025F23">
        <w:rPr>
          <w:sz w:val="14"/>
          <w:szCs w:val="20"/>
        </w:rPr>
        <w:t>(expectativas, efecto riqueza)</w:t>
      </w:r>
    </w:p>
    <w:p w14:paraId="09734E41" w14:textId="54C15D3B" w:rsidR="0017261E" w:rsidRPr="00025F23" w:rsidRDefault="0017261E" w:rsidP="00913CBB">
      <w:pPr>
        <w:pStyle w:val="Nivel1"/>
        <w:keepNext/>
        <w:spacing w:after="0"/>
      </w:pPr>
      <w:r w:rsidRPr="00025F23">
        <w:t>Si la situación no es alarmante se han de ponderar otros factores:</w:t>
      </w:r>
    </w:p>
    <w:p w14:paraId="19228E0E" w14:textId="6EEC47B6" w:rsidR="0017261E" w:rsidRPr="00025F23" w:rsidRDefault="0017261E" w:rsidP="0017261E">
      <w:pPr>
        <w:pStyle w:val="Nivel2"/>
      </w:pPr>
      <w:r w:rsidRPr="00025F23">
        <w:t>¿Causa de la inflación? Monetaria o real (</w:t>
      </w:r>
      <w:proofErr w:type="spellStart"/>
      <w:r w:rsidRPr="00025F23">
        <w:t>e.g</w:t>
      </w:r>
      <w:proofErr w:type="spellEnd"/>
      <w:r w:rsidRPr="00025F23">
        <w:t>. BCE s</w:t>
      </w:r>
      <w:r w:rsidR="008A5749">
        <w:t>ó</w:t>
      </w:r>
      <w:r w:rsidRPr="00025F23">
        <w:t>lo utiliza el pilar económico como indicador de coyuntura)</w:t>
      </w:r>
    </w:p>
    <w:p w14:paraId="3CB5918F" w14:textId="3A319602" w:rsidR="00A21C01" w:rsidRPr="00025F23" w:rsidRDefault="0017261E" w:rsidP="00A21C01">
      <w:pPr>
        <w:pStyle w:val="Nivel2"/>
      </w:pPr>
      <w:r w:rsidRPr="00025F23">
        <w:t xml:space="preserve">Políticas estructurales para mejorar la competencia y reducir los </w:t>
      </w:r>
      <w:proofErr w:type="spellStart"/>
      <w:r w:rsidRPr="00025F23">
        <w:t>mark</w:t>
      </w:r>
      <w:proofErr w:type="spellEnd"/>
      <w:r w:rsidRPr="00025F23">
        <w:t>-ups.</w:t>
      </w:r>
    </w:p>
    <w:p w14:paraId="21CFC324" w14:textId="77777777" w:rsidR="00A21C01" w:rsidRPr="00025F23" w:rsidRDefault="00A21C01" w:rsidP="00A21C01">
      <w:pPr>
        <w:pStyle w:val="Ttulo3"/>
      </w:pPr>
      <w:bookmarkStart w:id="262" w:name="_Toc173446356"/>
      <w:bookmarkStart w:id="263" w:name="_Toc189085813"/>
      <w:r w:rsidRPr="00025F23">
        <w:t>Tipos de cambio</w:t>
      </w:r>
      <w:bookmarkEnd w:id="262"/>
      <w:bookmarkEnd w:id="263"/>
    </w:p>
    <w:p w14:paraId="1B5490DD" w14:textId="036C4F1E" w:rsidR="00A21C01" w:rsidRPr="00025F23" w:rsidRDefault="00A21C01" w:rsidP="00A21C01">
      <w:pPr>
        <w:rPr>
          <w:szCs w:val="16"/>
        </w:rPr>
      </w:pPr>
      <w:r w:rsidRPr="00025F23">
        <w:rPr>
          <w:szCs w:val="16"/>
        </w:rPr>
        <w:t>Los tipos de cambio son uno de los precios más relevantes en una economía abierta. Cada país utiliza una moneda en la que se expresan los precios de los bienes y servicios.</w:t>
      </w:r>
    </w:p>
    <w:p w14:paraId="425A9AF9" w14:textId="5765F7B3" w:rsidR="001044B3" w:rsidRPr="00025F23" w:rsidRDefault="00886932" w:rsidP="00AD1AFB">
      <w:pPr>
        <w:pStyle w:val="Ttulo2"/>
      </w:pPr>
      <w:bookmarkStart w:id="264" w:name="_Toc88566001"/>
      <w:bookmarkStart w:id="265" w:name="_Toc88566141"/>
      <w:bookmarkStart w:id="266" w:name="_Toc173446357"/>
      <w:bookmarkStart w:id="267" w:name="_Toc189085814"/>
      <w:r w:rsidRPr="00025F23">
        <w:t>Competitividad no-precio</w:t>
      </w:r>
      <w:bookmarkEnd w:id="264"/>
      <w:bookmarkEnd w:id="265"/>
      <w:bookmarkEnd w:id="266"/>
      <w:bookmarkEnd w:id="267"/>
    </w:p>
    <w:p w14:paraId="7DDC7AE5" w14:textId="74947D8D" w:rsidR="00E536BC" w:rsidRPr="00025F23" w:rsidRDefault="00E536BC" w:rsidP="00E536BC">
      <w:pPr>
        <w:pStyle w:val="Cajadeanotaciones"/>
        <w:jc w:val="center"/>
        <w:rPr>
          <w:sz w:val="18"/>
          <w:szCs w:val="18"/>
        </w:rPr>
      </w:pPr>
      <w:r w:rsidRPr="00025F23">
        <w:rPr>
          <w:sz w:val="18"/>
          <w:szCs w:val="18"/>
        </w:rPr>
        <w:t>¿?</w:t>
      </w:r>
    </w:p>
    <w:p w14:paraId="53E0F166" w14:textId="0402508F" w:rsidR="00B84C21" w:rsidRPr="00025F23" w:rsidRDefault="009917E7" w:rsidP="002D28EA">
      <w:pPr>
        <w:pStyle w:val="Nivel1SM"/>
      </w:pPr>
      <w:r w:rsidRPr="00025F23">
        <w:t>Tiene que ver con la imagen de marca, diferenciación, calidad, etc.</w:t>
      </w:r>
    </w:p>
    <w:p w14:paraId="6B9EB01E" w14:textId="692E6B70" w:rsidR="00886932" w:rsidRDefault="001044B3" w:rsidP="00AD1AFB">
      <w:pPr>
        <w:pStyle w:val="Ttulo1"/>
      </w:pPr>
      <w:bookmarkStart w:id="268" w:name="_Toc88566002"/>
      <w:bookmarkStart w:id="269" w:name="_Toc88566142"/>
      <w:bookmarkStart w:id="270" w:name="_Toc173446358"/>
      <w:bookmarkStart w:id="271" w:name="_Toc189085815"/>
      <w:r w:rsidRPr="00025F23">
        <w:t>SECTOR EXTERIOR</w:t>
      </w:r>
      <w:bookmarkEnd w:id="268"/>
      <w:bookmarkEnd w:id="269"/>
      <w:bookmarkEnd w:id="270"/>
      <w:bookmarkEnd w:id="271"/>
    </w:p>
    <w:p w14:paraId="3AC57337" w14:textId="39E62217" w:rsidR="00A43C9C" w:rsidRPr="00A43C9C" w:rsidRDefault="00A43C9C" w:rsidP="00A43C9C">
      <w:pPr>
        <w:pStyle w:val="Cajadeanotaciones"/>
      </w:pPr>
      <w:r w:rsidRPr="00FF7A5E">
        <w:rPr>
          <w:i/>
        </w:rPr>
        <w:t>Importante: desequilibrios</w:t>
      </w:r>
      <w:r w:rsidRPr="00FF7A5E">
        <w:rPr>
          <w:i/>
          <w:u w:val="single"/>
        </w:rPr>
        <w:t xml:space="preserve"> externos</w:t>
      </w:r>
      <w:r w:rsidRPr="00FF7A5E">
        <w:rPr>
          <w:i/>
        </w:rPr>
        <w:t xml:space="preserve"> suelen ser </w:t>
      </w:r>
      <w:r w:rsidRPr="00FF7A5E">
        <w:rPr>
          <w:i/>
          <w:u w:val="single"/>
        </w:rPr>
        <w:t>síntoma</w:t>
      </w:r>
      <w:r w:rsidRPr="00FF7A5E">
        <w:rPr>
          <w:i/>
        </w:rPr>
        <w:t xml:space="preserve"> de desequilibrios </w:t>
      </w:r>
      <w:r w:rsidRPr="00FF7A5E">
        <w:rPr>
          <w:i/>
          <w:u w:val="single"/>
        </w:rPr>
        <w:t>internos</w:t>
      </w:r>
    </w:p>
    <w:p w14:paraId="5C16E2F0" w14:textId="77777777" w:rsidR="000B514B" w:rsidRPr="00563AD6" w:rsidRDefault="000B514B" w:rsidP="00563AD6">
      <w:pPr>
        <w:pStyle w:val="Nivel1SM"/>
        <w:keepNext/>
        <w:spacing w:after="0"/>
        <w:rPr>
          <w:spacing w:val="-2"/>
        </w:rPr>
      </w:pPr>
      <w:r w:rsidRPr="00563AD6">
        <w:rPr>
          <w:spacing w:val="-2"/>
        </w:rPr>
        <w:t xml:space="preserve">La </w:t>
      </w:r>
      <w:r w:rsidRPr="00563AD6">
        <w:rPr>
          <w:b/>
          <w:bCs/>
          <w:spacing w:val="-2"/>
        </w:rPr>
        <w:t>balanza de pagos</w:t>
      </w:r>
      <w:r w:rsidRPr="00563AD6">
        <w:rPr>
          <w:spacing w:val="-2"/>
        </w:rPr>
        <w:t xml:space="preserve"> es el registro de todas las transacciones monetarias producidas entre un país y el resto del mundo en un determinado período.</w:t>
      </w:r>
    </w:p>
    <w:p w14:paraId="3F1CE735" w14:textId="45AEC05F" w:rsidR="000B514B" w:rsidRPr="00025F23" w:rsidRDefault="000B514B" w:rsidP="00563AD6">
      <w:pPr>
        <w:pStyle w:val="Nivel2SM"/>
      </w:pPr>
      <w:r w:rsidRPr="00025F23">
        <w:t xml:space="preserve">Es una variable </w:t>
      </w:r>
      <w:r w:rsidRPr="00025F23">
        <w:rPr>
          <w:i/>
          <w:iCs/>
        </w:rPr>
        <w:t>nominal</w:t>
      </w:r>
      <w:r w:rsidRPr="00025F23">
        <w:t xml:space="preserve"> (no comparar con variables reales).</w:t>
      </w:r>
    </w:p>
    <w:p w14:paraId="34DCA545" w14:textId="671021CA" w:rsidR="000B514B" w:rsidRPr="00025F23" w:rsidRDefault="000B514B" w:rsidP="00563AD6">
      <w:pPr>
        <w:pStyle w:val="Nivel2SM"/>
      </w:pPr>
      <w:r w:rsidRPr="00025F23">
        <w:t xml:space="preserve">Está </w:t>
      </w:r>
      <w:r w:rsidRPr="00025F23">
        <w:rPr>
          <w:i/>
          <w:iCs/>
        </w:rPr>
        <w:t>equilibrada</w:t>
      </w:r>
      <w:r w:rsidRPr="00025F23">
        <w:t xml:space="preserve"> a nivel agregado (es una identidad contable), aunque las </w:t>
      </w:r>
      <w:proofErr w:type="spellStart"/>
      <w:r w:rsidRPr="00025F23">
        <w:t>sub-balanzas</w:t>
      </w:r>
      <w:proofErr w:type="spellEnd"/>
      <w:r w:rsidRPr="00025F23">
        <w:t xml:space="preserve"> no tienen por qué estar en equilibrio.</w:t>
      </w:r>
    </w:p>
    <w:p w14:paraId="38C33BD3" w14:textId="09790B35" w:rsidR="000B514B" w:rsidRPr="00025F23" w:rsidRDefault="000B514B" w:rsidP="00563AD6">
      <w:pPr>
        <w:pStyle w:val="Nivel1SM"/>
        <w:keepNext/>
        <w:spacing w:after="0"/>
      </w:pPr>
      <w:r w:rsidRPr="00025F23">
        <w:t xml:space="preserve">Tiene la siguiente </w:t>
      </w:r>
      <w:r w:rsidRPr="00025F23">
        <w:rPr>
          <w:b/>
          <w:bCs/>
        </w:rPr>
        <w:t>estructura</w:t>
      </w:r>
      <w:r w:rsidRPr="00025F23">
        <w:rPr>
          <w:rStyle w:val="Refdenotaalpie"/>
        </w:rPr>
        <w:footnoteReference w:id="34"/>
      </w:r>
      <w:r w:rsidRPr="00025F23">
        <w:t>:</w:t>
      </w:r>
    </w:p>
    <w:p w14:paraId="092058B5" w14:textId="35A2627D" w:rsidR="00AF41EA" w:rsidRPr="00025F23" w:rsidRDefault="00000000" w:rsidP="000B514B">
      <w:pPr>
        <w:ind w:right="-4253"/>
        <w:rPr>
          <w:rStyle w:val="Hipervnculo"/>
          <w:rFonts w:eastAsiaTheme="minorEastAsia"/>
          <w:color w:val="auto"/>
          <w:szCs w:val="16"/>
          <w:u w:val="none"/>
        </w:rPr>
      </w:pPr>
      <m:oMathPara>
        <m:oMathParaPr>
          <m:jc m:val="left"/>
        </m:oMathParaPr>
        <m:oMath>
          <m:limLow>
            <m:limLowPr>
              <m:ctrlPr>
                <w:rPr>
                  <w:rStyle w:val="Hipervnculo"/>
                  <w:rFonts w:ascii="Cambria Math" w:hAnsi="Cambria Math"/>
                  <w:i/>
                  <w:color w:val="auto"/>
                  <w:szCs w:val="16"/>
                  <w:u w:val="none"/>
                </w:rPr>
              </m:ctrlPr>
            </m:limLowPr>
            <m:e>
              <m:groupChr>
                <m:groupChrPr>
                  <m:ctrlPr>
                    <w:rPr>
                      <w:rStyle w:val="Hipervnculo"/>
                      <w:rFonts w:ascii="Cambria Math" w:hAnsi="Cambria Math"/>
                      <w:i/>
                      <w:color w:val="auto"/>
                      <w:szCs w:val="16"/>
                      <w:u w:val="none"/>
                    </w:rPr>
                  </m:ctrlPr>
                </m:groupChrPr>
                <m:e>
                  <m:limLow>
                    <m:limLowPr>
                      <m:ctrlPr>
                        <w:rPr>
                          <w:rStyle w:val="Hipervnculo"/>
                          <w:rFonts w:ascii="Cambria Math" w:hAnsi="Cambria Math"/>
                          <w:i/>
                          <w:color w:val="auto"/>
                          <w:szCs w:val="16"/>
                          <w:u w:val="none"/>
                        </w:rPr>
                      </m:ctrlPr>
                    </m:limLowPr>
                    <m:e>
                      <m:groupChr>
                        <m:groupChrPr>
                          <m:ctrlPr>
                            <w:rPr>
                              <w:rStyle w:val="Hipervnculo"/>
                              <w:rFonts w:ascii="Cambria Math" w:hAnsi="Cambria Math"/>
                              <w:i/>
                              <w:color w:val="auto"/>
                              <w:szCs w:val="16"/>
                              <w:u w:val="none"/>
                            </w:rPr>
                          </m:ctrlPr>
                        </m:groupChrPr>
                        <m:e>
                          <w:bookmarkStart w:id="272" w:name="_Hlk97369347"/>
                          <m:limUpp>
                            <m:limUppPr>
                              <m:ctrlPr>
                                <w:rPr>
                                  <w:rFonts w:ascii="Cambria Math" w:hAnsi="Cambria Math"/>
                                  <w:i/>
                                  <w:iCs/>
                                  <w:szCs w:val="16"/>
                                </w:rPr>
                              </m:ctrlPr>
                            </m:limUppPr>
                            <m:e>
                              <m:groupChr>
                                <m:groupChrPr>
                                  <m:chr m:val="⏞"/>
                                  <m:pos m:val="top"/>
                                  <m:vertJc m:val="bot"/>
                                  <m:ctrlPr>
                                    <w:rPr>
                                      <w:rFonts w:ascii="Cambria Math" w:hAnsi="Cambria Math"/>
                                      <w:i/>
                                      <w:iCs/>
                                      <w:szCs w:val="16"/>
                                    </w:rPr>
                                  </m:ctrlPr>
                                </m:groupChrPr>
                                <m:e>
                                  <m:r>
                                    <m:rPr>
                                      <m:nor/>
                                    </m:rPr>
                                    <w:rPr>
                                      <w:i/>
                                      <w:iCs/>
                                      <w:szCs w:val="16"/>
                                    </w:rPr>
                                    <m:t>CC</m:t>
                                  </m:r>
                                </m:e>
                              </m:groupChr>
                            </m:e>
                            <m:lim>
                              <m:eqArr>
                                <m:eqArrPr>
                                  <m:ctrlPr>
                                    <w:rPr>
                                      <w:rFonts w:ascii="Cambria Math" w:hAnsi="Cambria Math"/>
                                      <w:i/>
                                      <w:szCs w:val="16"/>
                                    </w:rPr>
                                  </m:ctrlPr>
                                </m:eqArrPr>
                                <m:e>
                                  <m:r>
                                    <m:rPr>
                                      <m:nor/>
                                    </m:rPr>
                                    <w:rPr>
                                      <w:i/>
                                      <w:sz w:val="14"/>
                                      <w:szCs w:val="14"/>
                                    </w:rPr>
                                    <m:t>Cuenta</m:t>
                                  </m:r>
                                </m:e>
                                <m:e>
                                  <m:r>
                                    <m:rPr>
                                      <m:nor/>
                                    </m:rPr>
                                    <w:rPr>
                                      <w:i/>
                                      <w:szCs w:val="16"/>
                                    </w:rPr>
                                    <m:t xml:space="preserve"> </m:t>
                                  </m:r>
                                  <m:r>
                                    <m:rPr>
                                      <m:nor/>
                                    </m:rPr>
                                    <w:rPr>
                                      <w:i/>
                                      <w:sz w:val="14"/>
                                      <w:szCs w:val="14"/>
                                    </w:rPr>
                                    <m:t>corriente</m:t>
                                  </m:r>
                                </m:e>
                              </m:eqArr>
                            </m:lim>
                          </m:limUpp>
                          <w:bookmarkEnd w:id="272"/>
                        </m:e>
                      </m:groupChr>
                    </m:e>
                    <m:lim>
                      <m:limLow>
                        <m:limLowPr>
                          <m:ctrlPr>
                            <w:rPr>
                              <w:rStyle w:val="Hipervnculo"/>
                              <w:rFonts w:ascii="Cambria Math" w:hAnsi="Cambria Math"/>
                              <w:i/>
                              <w:color w:val="auto"/>
                              <w:szCs w:val="16"/>
                              <w:u w:val="none"/>
                            </w:rPr>
                          </m:ctrlPr>
                        </m:limLowPr>
                        <m:e>
                          <m:groupChr>
                            <m:groupChrPr>
                              <m:ctrlPr>
                                <w:rPr>
                                  <w:rStyle w:val="Hipervnculo"/>
                                  <w:rFonts w:ascii="Cambria Math" w:hAnsi="Cambria Math"/>
                                  <w:i/>
                                  <w:color w:val="auto"/>
                                  <w:szCs w:val="16"/>
                                  <w:u w:val="none"/>
                                </w:rPr>
                              </m:ctrlPr>
                            </m:groupChrPr>
                            <m:e>
                              <m:r>
                                <m:rPr>
                                  <m:nor/>
                                </m:rPr>
                                <w:rPr>
                                  <w:rStyle w:val="Hipervnculo"/>
                                  <w:i/>
                                  <w:color w:val="auto"/>
                                  <w:szCs w:val="16"/>
                                  <w:u w:val="none"/>
                                </w:rPr>
                                <m:t>CB&amp;S</m:t>
                              </m:r>
                              <m:r>
                                <w:rPr>
                                  <w:rStyle w:val="Hipervnculo"/>
                                  <w:rFonts w:ascii="Cambria Math" w:hAnsi="Cambria Math"/>
                                  <w:color w:val="auto"/>
                                  <w:szCs w:val="16"/>
                                  <w:u w:val="none"/>
                                </w:rPr>
                                <m:t>+</m:t>
                              </m:r>
                              <m:r>
                                <m:rPr>
                                  <m:nor/>
                                </m:rPr>
                                <w:rPr>
                                  <w:rStyle w:val="Hipervnculo"/>
                                  <w:i/>
                                  <w:color w:val="auto"/>
                                  <w:szCs w:val="16"/>
                                  <w:u w:val="none"/>
                                </w:rPr>
                                <m:t>CR1</m:t>
                              </m:r>
                              <m:r>
                                <m:rPr>
                                  <m:nor/>
                                </m:rPr>
                                <w:rPr>
                                  <w:rStyle w:val="Hipervnculo"/>
                                  <w:i/>
                                  <w:color w:val="auto"/>
                                  <w:szCs w:val="16"/>
                                  <w:u w:val="none"/>
                                  <w:vertAlign w:val="superscript"/>
                                </w:rPr>
                                <m:t>as</m:t>
                              </m:r>
                              <m:r>
                                <w:rPr>
                                  <w:rStyle w:val="Hipervnculo"/>
                                  <w:rFonts w:ascii="Cambria Math" w:hAnsi="Cambria Math"/>
                                  <w:color w:val="auto"/>
                                  <w:szCs w:val="16"/>
                                  <w:u w:val="none"/>
                                </w:rPr>
                                <m:t>+</m:t>
                              </m:r>
                              <m:r>
                                <m:rPr>
                                  <m:nor/>
                                </m:rPr>
                                <w:rPr>
                                  <w:rStyle w:val="Hipervnculo"/>
                                  <w:i/>
                                  <w:color w:val="auto"/>
                                  <w:szCs w:val="16"/>
                                  <w:u w:val="none"/>
                                </w:rPr>
                                <m:t>CR2</m:t>
                              </m:r>
                              <m:r>
                                <m:rPr>
                                  <m:nor/>
                                </m:rPr>
                                <w:rPr>
                                  <w:rStyle w:val="Hipervnculo"/>
                                  <w:i/>
                                  <w:color w:val="auto"/>
                                  <w:szCs w:val="16"/>
                                  <w:u w:val="none"/>
                                  <w:vertAlign w:val="superscript"/>
                                </w:rPr>
                                <m:t>as</m:t>
                              </m:r>
                            </m:e>
                          </m:groupChr>
                        </m:e>
                        <m:lim>
                          <m:r>
                            <m:rPr>
                              <m:nor/>
                            </m:rPr>
                            <w:rPr>
                              <w:i/>
                              <w:iCs/>
                              <w:szCs w:val="16"/>
                            </w:rPr>
                            <m:t>X</m:t>
                          </m:r>
                          <m:r>
                            <w:rPr>
                              <w:rFonts w:ascii="Cambria Math" w:hAnsi="Cambria Math"/>
                              <w:szCs w:val="16"/>
                            </w:rPr>
                            <m:t>-</m:t>
                          </m:r>
                          <m:r>
                            <m:rPr>
                              <m:nor/>
                            </m:rPr>
                            <w:rPr>
                              <w:i/>
                              <w:iCs/>
                              <w:szCs w:val="16"/>
                            </w:rPr>
                            <m:t>M</m:t>
                          </m:r>
                          <m:r>
                            <w:rPr>
                              <w:rFonts w:ascii="Cambria Math" w:hAnsi="Cambria Math"/>
                              <w:szCs w:val="16"/>
                            </w:rPr>
                            <m:t>+</m:t>
                          </m:r>
                          <m:r>
                            <m:rPr>
                              <m:nor/>
                            </m:rPr>
                            <w:rPr>
                              <w:i/>
                              <w:iCs/>
                              <w:szCs w:val="16"/>
                            </w:rPr>
                            <m:t>rentas</m:t>
                          </m:r>
                          <m:r>
                            <w:rPr>
                              <w:rFonts w:ascii="Cambria Math" w:hAnsi="Cambria Math"/>
                              <w:szCs w:val="16"/>
                            </w:rPr>
                            <m:t>=</m:t>
                          </m:r>
                          <m:r>
                            <m:rPr>
                              <m:nor/>
                            </m:rPr>
                            <w:rPr>
                              <w:i/>
                              <w:iCs/>
                              <w:szCs w:val="16"/>
                            </w:rPr>
                            <m:t>Y</m:t>
                          </m:r>
                          <m:r>
                            <w:rPr>
                              <w:rFonts w:ascii="Cambria Math" w:hAnsi="Cambria Math"/>
                              <w:szCs w:val="16"/>
                            </w:rPr>
                            <m:t>-</m:t>
                          </m:r>
                          <m:r>
                            <m:rPr>
                              <m:nor/>
                            </m:rPr>
                            <w:rPr>
                              <w:i/>
                              <w:iCs/>
                              <w:szCs w:val="16"/>
                            </w:rPr>
                            <m:t>A</m:t>
                          </m:r>
                          <m:r>
                            <w:rPr>
                              <w:rFonts w:ascii="Cambria Math" w:hAnsi="Cambria Math"/>
                              <w:szCs w:val="16"/>
                            </w:rPr>
                            <m:t>+</m:t>
                          </m:r>
                          <m:r>
                            <m:rPr>
                              <m:nor/>
                            </m:rPr>
                            <w:rPr>
                              <w:i/>
                              <w:iCs/>
                              <w:szCs w:val="16"/>
                            </w:rPr>
                            <m:t>rentas</m:t>
                          </m:r>
                          <m:r>
                            <w:rPr>
                              <w:rFonts w:ascii="Cambria Math" w:hAnsi="Cambria Math"/>
                              <w:szCs w:val="16"/>
                            </w:rPr>
                            <m:t>=</m:t>
                          </m:r>
                          <m:r>
                            <m:rPr>
                              <m:nor/>
                            </m:rPr>
                            <w:rPr>
                              <w:i/>
                              <w:iCs/>
                              <w:szCs w:val="16"/>
                            </w:rPr>
                            <m:t>S</m:t>
                          </m:r>
                          <m:r>
                            <w:rPr>
                              <w:rFonts w:ascii="Cambria Math" w:hAnsi="Cambria Math"/>
                              <w:szCs w:val="16"/>
                            </w:rPr>
                            <m:t>-</m:t>
                          </m:r>
                          <m:r>
                            <m:rPr>
                              <m:nor/>
                            </m:rPr>
                            <w:rPr>
                              <w:i/>
                              <w:iCs/>
                              <w:szCs w:val="16"/>
                            </w:rPr>
                            <m:t>I</m:t>
                          </m:r>
                          <m:r>
                            <w:rPr>
                              <w:rFonts w:ascii="Cambria Math" w:hAnsi="Cambria Math"/>
                              <w:szCs w:val="16"/>
                            </w:rPr>
                            <m:t>=</m:t>
                          </m:r>
                          <m:d>
                            <m:dPr>
                              <m:ctrlPr>
                                <w:rPr>
                                  <w:rFonts w:ascii="Cambria Math" w:hAnsi="Cambria Math"/>
                                  <w:i/>
                                  <w:iCs/>
                                  <w:szCs w:val="16"/>
                                </w:rPr>
                              </m:ctrlPr>
                            </m:dPr>
                            <m:e>
                              <m:sSub>
                                <m:sSubPr>
                                  <m:ctrlPr>
                                    <w:rPr>
                                      <w:rFonts w:ascii="Cambria Math" w:hAnsi="Cambria Math"/>
                                      <w:i/>
                                      <w:iCs/>
                                      <w:szCs w:val="16"/>
                                    </w:rPr>
                                  </m:ctrlPr>
                                </m:sSubPr>
                                <m:e>
                                  <m:r>
                                    <m:rPr>
                                      <m:nor/>
                                    </m:rPr>
                                    <w:rPr>
                                      <w:i/>
                                      <w:iCs/>
                                      <w:szCs w:val="16"/>
                                    </w:rPr>
                                    <m:t>S</m:t>
                                  </m:r>
                                </m:e>
                                <m:sub>
                                  <m:r>
                                    <m:rPr>
                                      <m:nor/>
                                    </m:rPr>
                                    <w:rPr>
                                      <w:i/>
                                      <w:iCs/>
                                      <w:szCs w:val="16"/>
                                    </w:rPr>
                                    <m:t>PDO</m:t>
                                  </m:r>
                                </m:sub>
                              </m:sSub>
                              <m:r>
                                <w:rPr>
                                  <w:rFonts w:ascii="Cambria Math" w:hAnsi="Cambria Math"/>
                                  <w:szCs w:val="16"/>
                                </w:rPr>
                                <m:t>-</m:t>
                              </m:r>
                              <m:sSub>
                                <m:sSubPr>
                                  <m:ctrlPr>
                                    <w:rPr>
                                      <w:rFonts w:ascii="Cambria Math" w:hAnsi="Cambria Math"/>
                                      <w:i/>
                                      <w:iCs/>
                                      <w:szCs w:val="16"/>
                                    </w:rPr>
                                  </m:ctrlPr>
                                </m:sSubPr>
                                <m:e>
                                  <m:r>
                                    <m:rPr>
                                      <m:nor/>
                                    </m:rPr>
                                    <w:rPr>
                                      <w:i/>
                                      <w:iCs/>
                                      <w:szCs w:val="16"/>
                                    </w:rPr>
                                    <m:t>I</m:t>
                                  </m:r>
                                </m:e>
                                <m:sub>
                                  <m:r>
                                    <m:rPr>
                                      <m:nor/>
                                    </m:rPr>
                                    <w:rPr>
                                      <w:i/>
                                      <w:iCs/>
                                      <w:szCs w:val="16"/>
                                    </w:rPr>
                                    <m:t>PDA</m:t>
                                  </m:r>
                                </m:sub>
                              </m:sSub>
                            </m:e>
                          </m:d>
                          <m:r>
                            <w:rPr>
                              <w:rFonts w:ascii="Cambria Math" w:hAnsi="Cambria Math"/>
                              <w:szCs w:val="16"/>
                            </w:rPr>
                            <m:t>+</m:t>
                          </m:r>
                          <m:d>
                            <m:dPr>
                              <m:ctrlPr>
                                <w:rPr>
                                  <w:rFonts w:ascii="Cambria Math" w:hAnsi="Cambria Math"/>
                                  <w:i/>
                                  <w:iCs/>
                                  <w:szCs w:val="16"/>
                                </w:rPr>
                              </m:ctrlPr>
                            </m:dPr>
                            <m:e>
                              <m:r>
                                <m:rPr>
                                  <m:nor/>
                                </m:rPr>
                                <w:rPr>
                                  <w:i/>
                                  <w:iCs/>
                                  <w:szCs w:val="16"/>
                                </w:rPr>
                                <m:t>T</m:t>
                              </m:r>
                              <m:r>
                                <w:rPr>
                                  <w:rFonts w:ascii="Cambria Math" w:hAnsi="Cambria Math"/>
                                  <w:szCs w:val="16"/>
                                </w:rPr>
                                <m:t>-</m:t>
                              </m:r>
                              <m:r>
                                <m:rPr>
                                  <m:nor/>
                                </m:rPr>
                                <w:rPr>
                                  <w:i/>
                                  <w:iCs/>
                                  <w:szCs w:val="16"/>
                                </w:rPr>
                                <m:t>G</m:t>
                              </m:r>
                            </m:e>
                          </m:d>
                        </m:lim>
                      </m:limLow>
                    </m:lim>
                  </m:limLow>
                  <m:r>
                    <w:rPr>
                      <w:rStyle w:val="Hipervnculo"/>
                      <w:rFonts w:ascii="Cambria Math" w:hAnsi="Cambria Math"/>
                      <w:color w:val="auto"/>
                      <w:szCs w:val="16"/>
                      <w:u w:val="none"/>
                    </w:rPr>
                    <m:t>+</m:t>
                  </m:r>
                  <m:limUpp>
                    <m:limUppPr>
                      <m:ctrlPr>
                        <w:rPr>
                          <w:rFonts w:ascii="Cambria Math" w:hAnsi="Cambria Math"/>
                          <w:i/>
                          <w:iCs/>
                          <w:szCs w:val="16"/>
                        </w:rPr>
                      </m:ctrlPr>
                    </m:limUppPr>
                    <m:e>
                      <m:groupChr>
                        <m:groupChrPr>
                          <m:chr m:val="⏞"/>
                          <m:pos m:val="top"/>
                          <m:vertJc m:val="bot"/>
                          <m:ctrlPr>
                            <w:rPr>
                              <w:rFonts w:ascii="Cambria Math" w:hAnsi="Cambria Math"/>
                              <w:i/>
                              <w:iCs/>
                              <w:szCs w:val="16"/>
                            </w:rPr>
                          </m:ctrlPr>
                        </m:groupChrPr>
                        <m:e>
                          <m:r>
                            <m:rPr>
                              <m:nor/>
                            </m:rPr>
                            <w:rPr>
                              <w:i/>
                              <w:iCs/>
                              <w:szCs w:val="16"/>
                            </w:rPr>
                            <m:t>CK</m:t>
                          </m:r>
                        </m:e>
                      </m:groupChr>
                    </m:e>
                    <m:lim>
                      <m:eqArr>
                        <m:eqArrPr>
                          <m:ctrlPr>
                            <w:rPr>
                              <w:rFonts w:ascii="Cambria Math" w:hAnsi="Cambria Math"/>
                              <w:i/>
                              <w:szCs w:val="16"/>
                            </w:rPr>
                          </m:ctrlPr>
                        </m:eqArrPr>
                        <m:e>
                          <m:r>
                            <m:rPr>
                              <m:nor/>
                            </m:rPr>
                            <w:rPr>
                              <w:i/>
                              <w:sz w:val="14"/>
                              <w:szCs w:val="14"/>
                            </w:rPr>
                            <m:t>Cuenta</m:t>
                          </m:r>
                        </m:e>
                        <m:e>
                          <m:r>
                            <m:rPr>
                              <m:nor/>
                            </m:rPr>
                            <w:rPr>
                              <w:i/>
                              <w:sz w:val="14"/>
                              <w:szCs w:val="14"/>
                            </w:rPr>
                            <m:t>de capital</m:t>
                          </m:r>
                        </m:e>
                      </m:eqArr>
                    </m:lim>
                  </m:limUpp>
                </m:e>
              </m:groupChr>
            </m:e>
            <m:lim>
              <m:r>
                <m:rPr>
                  <m:nor/>
                </m:rPr>
                <w:rPr>
                  <w:i/>
                  <w:szCs w:val="16"/>
                </w:rPr>
                <m:t xml:space="preserve">Capacidad </m:t>
              </m:r>
              <m:d>
                <m:dPr>
                  <m:ctrlPr>
                    <w:rPr>
                      <w:rFonts w:ascii="Cambria Math" w:hAnsi="Cambria Math"/>
                      <w:i/>
                      <w:szCs w:val="16"/>
                    </w:rPr>
                  </m:ctrlPr>
                </m:dPr>
                <m:e>
                  <m:r>
                    <w:rPr>
                      <w:rFonts w:ascii="Cambria Math" w:hAnsi="Cambria Math"/>
                      <w:szCs w:val="16"/>
                    </w:rPr>
                    <m:t>+</m:t>
                  </m:r>
                </m:e>
              </m:d>
              <m:r>
                <m:rPr>
                  <m:nor/>
                </m:rPr>
                <w:rPr>
                  <w:i/>
                  <w:szCs w:val="16"/>
                </w:rPr>
                <m:t xml:space="preserve"> o Necesidad </m:t>
              </m:r>
              <m:d>
                <m:dPr>
                  <m:ctrlPr>
                    <w:rPr>
                      <w:rFonts w:ascii="Cambria Math" w:hAnsi="Cambria Math"/>
                      <w:i/>
                      <w:szCs w:val="16"/>
                    </w:rPr>
                  </m:ctrlPr>
                </m:dPr>
                <m:e>
                  <m:r>
                    <w:rPr>
                      <w:rFonts w:ascii="Cambria Math" w:hAnsi="Cambria Math"/>
                      <w:szCs w:val="16"/>
                    </w:rPr>
                    <m:t>-</m:t>
                  </m:r>
                </m:e>
              </m:d>
              <m:r>
                <m:rPr>
                  <m:nor/>
                </m:rPr>
                <w:rPr>
                  <w:i/>
                  <w:szCs w:val="16"/>
                </w:rPr>
                <m:t xml:space="preserve"> de Financiación</m:t>
              </m:r>
            </m:lim>
          </m:limLow>
          <m:r>
            <w:rPr>
              <w:rFonts w:ascii="Cambria Math" w:hAnsi="Cambria Math"/>
              <w:szCs w:val="16"/>
            </w:rPr>
            <m:t>+</m:t>
          </m:r>
          <m:limUpp>
            <m:limUppPr>
              <m:ctrlPr>
                <w:rPr>
                  <w:rFonts w:ascii="Cambria Math" w:hAnsi="Cambria Math"/>
                  <w:i/>
                  <w:iCs/>
                  <w:szCs w:val="16"/>
                </w:rPr>
              </m:ctrlPr>
            </m:limUppPr>
            <m:e>
              <m:groupChr>
                <m:groupChrPr>
                  <m:chr m:val="⏞"/>
                  <m:pos m:val="top"/>
                  <m:vertJc m:val="bot"/>
                  <m:ctrlPr>
                    <w:rPr>
                      <w:rFonts w:ascii="Cambria Math" w:hAnsi="Cambria Math"/>
                      <w:i/>
                      <w:iCs/>
                      <w:szCs w:val="16"/>
                    </w:rPr>
                  </m:ctrlPr>
                </m:groupChrPr>
                <m:e>
                  <m:r>
                    <m:rPr>
                      <m:nor/>
                    </m:rPr>
                    <w:rPr>
                      <w:i/>
                      <w:iCs/>
                      <w:szCs w:val="16"/>
                    </w:rPr>
                    <m:t>EO</m:t>
                  </m:r>
                </m:e>
              </m:groupChr>
            </m:e>
            <m:lim>
              <m:eqArr>
                <m:eqArrPr>
                  <m:ctrlPr>
                    <w:rPr>
                      <w:rFonts w:ascii="Cambria Math" w:hAnsi="Cambria Math"/>
                      <w:i/>
                      <w:szCs w:val="16"/>
                    </w:rPr>
                  </m:ctrlPr>
                </m:eqArrPr>
                <m:e>
                  <m:r>
                    <m:rPr>
                      <m:nor/>
                    </m:rPr>
                    <w:rPr>
                      <w:i/>
                      <w:sz w:val="14"/>
                      <w:szCs w:val="14"/>
                    </w:rPr>
                    <m:t>Errores y</m:t>
                  </m:r>
                </m:e>
                <m:e>
                  <m:r>
                    <m:rPr>
                      <m:nor/>
                    </m:rPr>
                    <w:rPr>
                      <w:i/>
                      <w:sz w:val="14"/>
                      <w:szCs w:val="14"/>
                    </w:rPr>
                    <m:t>omisiones</m:t>
                  </m:r>
                </m:e>
              </m:eqArr>
            </m:lim>
          </m:limUpp>
          <m:r>
            <w:rPr>
              <w:rStyle w:val="Hipervnculo"/>
              <w:rFonts w:ascii="Cambria Math" w:hAnsi="Cambria Math"/>
              <w:color w:val="auto"/>
              <w:szCs w:val="16"/>
              <w:u w:val="none"/>
            </w:rPr>
            <m:t>=</m:t>
          </m:r>
          <m:limLow>
            <m:limLowPr>
              <m:ctrlPr>
                <w:rPr>
                  <w:rStyle w:val="Hipervnculo"/>
                  <w:rFonts w:ascii="Cambria Math" w:hAnsi="Cambria Math"/>
                  <w:i/>
                  <w:color w:val="auto"/>
                  <w:szCs w:val="16"/>
                  <w:u w:val="none"/>
                </w:rPr>
              </m:ctrlPr>
            </m:limLowPr>
            <m:e>
              <m:groupChr>
                <m:groupChrPr>
                  <m:ctrlPr>
                    <w:rPr>
                      <w:rStyle w:val="Hipervnculo"/>
                      <w:rFonts w:ascii="Cambria Math" w:hAnsi="Cambria Math"/>
                      <w:i/>
                      <w:color w:val="auto"/>
                      <w:szCs w:val="16"/>
                      <w:u w:val="none"/>
                    </w:rPr>
                  </m:ctrlPr>
                </m:groupChrPr>
                <m:e>
                  <m:limUpp>
                    <m:limUppPr>
                      <m:ctrlPr>
                        <w:rPr>
                          <w:rFonts w:ascii="Cambria Math" w:hAnsi="Cambria Math"/>
                          <w:i/>
                          <w:iCs/>
                          <w:szCs w:val="16"/>
                        </w:rPr>
                      </m:ctrlPr>
                    </m:limUppPr>
                    <m:e>
                      <m:groupChr>
                        <m:groupChrPr>
                          <m:chr m:val="⏞"/>
                          <m:pos m:val="top"/>
                          <m:vertJc m:val="bot"/>
                          <m:ctrlPr>
                            <w:rPr>
                              <w:rFonts w:ascii="Cambria Math" w:hAnsi="Cambria Math"/>
                              <w:i/>
                              <w:iCs/>
                              <w:szCs w:val="16"/>
                            </w:rPr>
                          </m:ctrlPr>
                        </m:groupChrPr>
                        <m:e>
                          <m:r>
                            <m:rPr>
                              <m:nor/>
                            </m:rPr>
                            <w:rPr>
                              <w:i/>
                              <w:iCs/>
                              <w:szCs w:val="16"/>
                            </w:rPr>
                            <m:t>CF</m:t>
                          </m:r>
                        </m:e>
                      </m:groupChr>
                    </m:e>
                    <m:lim>
                      <m:eqArr>
                        <m:eqArrPr>
                          <m:ctrlPr>
                            <w:rPr>
                              <w:rFonts w:ascii="Cambria Math" w:hAnsi="Cambria Math"/>
                              <w:i/>
                              <w:szCs w:val="16"/>
                            </w:rPr>
                          </m:ctrlPr>
                        </m:eqArrPr>
                        <m:e>
                          <m:r>
                            <m:rPr>
                              <m:nor/>
                            </m:rPr>
                            <w:rPr>
                              <w:i/>
                              <w:sz w:val="14"/>
                              <w:szCs w:val="14"/>
                            </w:rPr>
                            <m:t>Cuenta</m:t>
                          </m:r>
                        </m:e>
                        <m:e>
                          <m:r>
                            <m:rPr>
                              <m:nor/>
                            </m:rPr>
                            <w:rPr>
                              <w:i/>
                              <w:sz w:val="14"/>
                              <w:szCs w:val="14"/>
                            </w:rPr>
                            <m:t>financiera</m:t>
                          </m:r>
                        </m:e>
                      </m:eqArr>
                    </m:lim>
                  </m:limUpp>
                </m:e>
              </m:groupChr>
            </m:e>
            <m:lim>
              <m:r>
                <m:rPr>
                  <m:nor/>
                </m:rPr>
                <w:rPr>
                  <w:rStyle w:val="Hipervnculo"/>
                  <w:i/>
                  <w:color w:val="auto"/>
                  <w:szCs w:val="16"/>
                  <w:u w:val="none"/>
                </w:rPr>
                <m:t>ID</m:t>
              </m:r>
              <m:r>
                <w:rPr>
                  <w:rStyle w:val="Hipervnculo"/>
                  <w:rFonts w:ascii="Cambria Math" w:hAnsi="Cambria Math"/>
                  <w:color w:val="auto"/>
                  <w:szCs w:val="16"/>
                  <w:u w:val="none"/>
                </w:rPr>
                <m:t>+</m:t>
              </m:r>
              <m:r>
                <m:rPr>
                  <m:nor/>
                </m:rPr>
                <w:rPr>
                  <w:rStyle w:val="Hipervnculo"/>
                  <w:i/>
                  <w:color w:val="auto"/>
                  <w:szCs w:val="16"/>
                  <w:u w:val="none"/>
                </w:rPr>
                <m:t>IC</m:t>
              </m:r>
              <m:r>
                <w:rPr>
                  <w:rStyle w:val="Hipervnculo"/>
                  <w:rFonts w:ascii="Cambria Math" w:hAnsi="Cambria Math"/>
                  <w:color w:val="auto"/>
                  <w:szCs w:val="16"/>
                  <w:u w:val="none"/>
                </w:rPr>
                <m:t>+</m:t>
              </m:r>
              <m:r>
                <m:rPr>
                  <m:nor/>
                </m:rPr>
                <w:rPr>
                  <w:rStyle w:val="Hipervnculo"/>
                  <w:i/>
                  <w:color w:val="auto"/>
                  <w:szCs w:val="16"/>
                  <w:u w:val="none"/>
                </w:rPr>
                <m:t>Otra inversión</m:t>
              </m:r>
              <m:r>
                <w:rPr>
                  <w:rStyle w:val="Hipervnculo"/>
                  <w:rFonts w:ascii="Cambria Math" w:hAnsi="Cambria Math"/>
                  <w:color w:val="auto"/>
                  <w:szCs w:val="16"/>
                  <w:u w:val="none"/>
                </w:rPr>
                <m:t>+</m:t>
              </m:r>
              <m:r>
                <m:rPr>
                  <m:nor/>
                </m:rPr>
                <w:rPr>
                  <w:rStyle w:val="Hipervnculo"/>
                  <w:i/>
                  <w:color w:val="auto"/>
                  <w:szCs w:val="16"/>
                  <w:u w:val="none"/>
                </w:rPr>
                <m:t>Derivados</m:t>
              </m:r>
              <m:r>
                <w:rPr>
                  <w:rStyle w:val="Hipervnculo"/>
                  <w:rFonts w:ascii="Cambria Math" w:hAnsi="Cambria Math"/>
                  <w:color w:val="auto"/>
                  <w:szCs w:val="16"/>
                  <w:u w:val="none"/>
                </w:rPr>
                <m:t>+</m:t>
              </m:r>
              <m:r>
                <m:rPr>
                  <m:nor/>
                </m:rPr>
                <w:rPr>
                  <w:i/>
                  <w:szCs w:val="16"/>
                </w:rPr>
                <m:t>∆R</m:t>
              </m:r>
            </m:lim>
          </m:limLow>
        </m:oMath>
      </m:oMathPara>
    </w:p>
    <w:p w14:paraId="31A91912" w14:textId="104D19E6" w:rsidR="00284A0F" w:rsidRPr="00025F23" w:rsidRDefault="00A70682" w:rsidP="00A70682">
      <w:pPr>
        <w:pStyle w:val="Desarrollocoyuntura"/>
      </w:pPr>
      <w:bookmarkStart w:id="273" w:name="_Toc173446359"/>
      <w:r w:rsidRPr="00025F23">
        <w:t>“El sector exterior de esta economía destaca por su persistente superávit por cuenta corriente, cuyo factor determinante es el superávit de la cuenta de bienes. Con respecto a esto llaman la atención dos hechos. El primero es el déficit recurrente de la balanza de servicios a pesar del alto peso del sector turístico en el PIB (lo que podría ser indicativo de que el sector de servicios profesionales, que genera más valor añadido que los servicios turísticos, no es lo suficientemente competitivo y genera déficit exterior). El otro elemento que llama la atención es que la disrupción de las cadenas globales de valor generada por la pandemia en 2020 no parece haber alterado estos saldos ni la capacidad de financiación de la economía.”</w:t>
      </w:r>
      <w:bookmarkEnd w:id="273"/>
    </w:p>
    <w:p w14:paraId="48D2DFA2" w14:textId="69FD2CF6" w:rsidR="00AF4F87" w:rsidRPr="00025F23" w:rsidRDefault="00AF4F87" w:rsidP="00AF4F87">
      <w:pPr>
        <w:pStyle w:val="Ttulo2"/>
      </w:pPr>
      <w:bookmarkStart w:id="274" w:name="_Toc173446360"/>
      <w:bookmarkStart w:id="275" w:name="_Toc88566004"/>
      <w:bookmarkStart w:id="276" w:name="_Toc88566144"/>
      <w:bookmarkStart w:id="277" w:name="_Toc189085816"/>
      <w:r w:rsidRPr="00025F23">
        <w:lastRenderedPageBreak/>
        <w:t>¿Hay capacidad o necesidad de financiación?</w:t>
      </w:r>
      <w:bookmarkEnd w:id="274"/>
      <w:bookmarkEnd w:id="277"/>
    </w:p>
    <w:p w14:paraId="554AB84A" w14:textId="2E8CE199" w:rsidR="002B483A" w:rsidRPr="00025F23" w:rsidRDefault="00AF4F87" w:rsidP="002B483A">
      <w:pPr>
        <w:pStyle w:val="Nivel1SM"/>
        <w:keepNext/>
        <w:spacing w:after="0"/>
        <w:rPr>
          <w:spacing w:val="-1"/>
        </w:rPr>
      </w:pPr>
      <w:r w:rsidRPr="00025F23">
        <w:rPr>
          <w:spacing w:val="-1"/>
        </w:rPr>
        <w:t xml:space="preserve">Primeramente, hay que analizar la capacidad o necesidad de financiación (i.e. el saldo exterior de la economía). </w:t>
      </w:r>
      <w:r w:rsidR="002B483A" w:rsidRPr="00025F23">
        <w:rPr>
          <w:spacing w:val="-1"/>
        </w:rPr>
        <w:t xml:space="preserve">Además, es necesario analizar que </w:t>
      </w:r>
      <w:proofErr w:type="spellStart"/>
      <w:r w:rsidR="002B483A" w:rsidRPr="00025F23">
        <w:rPr>
          <w:spacing w:val="-1"/>
        </w:rPr>
        <w:t>sub-cuentas</w:t>
      </w:r>
      <w:proofErr w:type="spellEnd"/>
      <w:r w:rsidR="002B483A" w:rsidRPr="00025F23">
        <w:rPr>
          <w:spacing w:val="-1"/>
        </w:rPr>
        <w:t xml:space="preserve"> generan esa capacidad o necesidad de financiación.</w:t>
      </w:r>
    </w:p>
    <w:p w14:paraId="6901E63A" w14:textId="059236BE" w:rsidR="00AF4F87" w:rsidRPr="00025F23" w:rsidRDefault="002B483A" w:rsidP="002B483A">
      <w:pPr>
        <w:pStyle w:val="Nivel2"/>
        <w:keepNext/>
        <w:spacing w:after="0"/>
      </w:pPr>
      <w:r w:rsidRPr="00025F23">
        <w:t xml:space="preserve">Para ello, </w:t>
      </w:r>
      <w:r w:rsidR="00AF4F87" w:rsidRPr="00025F23">
        <w:t xml:space="preserve">nos fijamos en la </w:t>
      </w:r>
      <w:r w:rsidR="00AF4F87" w:rsidRPr="00025F23">
        <w:rPr>
          <w:i/>
          <w:iCs/>
        </w:rPr>
        <w:t>cuenta corriente</w:t>
      </w:r>
      <w:r w:rsidR="00AF4F87" w:rsidRPr="00025F23">
        <w:t xml:space="preserve"> y en la </w:t>
      </w:r>
      <w:r w:rsidR="00AF4F87" w:rsidRPr="00025F23">
        <w:rPr>
          <w:i/>
          <w:iCs/>
        </w:rPr>
        <w:t>cuenta de capital</w:t>
      </w:r>
      <w:r w:rsidR="00AF4F87" w:rsidRPr="00025F23">
        <w:t>:</w:t>
      </w:r>
    </w:p>
    <w:p w14:paraId="7749AEBD" w14:textId="419D40FC" w:rsidR="00886932" w:rsidRPr="00025F23" w:rsidRDefault="00886932" w:rsidP="00AF4F87">
      <w:pPr>
        <w:pStyle w:val="Ttulo3"/>
      </w:pPr>
      <w:bookmarkStart w:id="278" w:name="_Toc173446361"/>
      <w:bookmarkStart w:id="279" w:name="_Toc189085817"/>
      <w:r w:rsidRPr="00025F23">
        <w:t>Cuenta corriente</w:t>
      </w:r>
      <w:bookmarkEnd w:id="275"/>
      <w:bookmarkEnd w:id="276"/>
      <w:bookmarkEnd w:id="278"/>
      <w:bookmarkEnd w:id="279"/>
    </w:p>
    <w:p w14:paraId="5C25F0FD" w14:textId="2C7FB7EE" w:rsidR="00BB49C2" w:rsidRPr="00025F23" w:rsidRDefault="00000000" w:rsidP="00BB49C2">
      <w:pPr>
        <w:ind w:left="-567"/>
        <w:rPr>
          <w:rFonts w:eastAsiaTheme="minorEastAsia"/>
          <w:iCs/>
          <w:sz w:val="15"/>
          <w:szCs w:val="15"/>
        </w:rPr>
      </w:pPr>
      <m:oMathPara>
        <m:oMath>
          <m:limLow>
            <m:limLowPr>
              <m:ctrlPr>
                <w:rPr>
                  <w:rStyle w:val="Hipervnculo"/>
                  <w:rFonts w:ascii="Cambria Math" w:hAnsi="Cambria Math"/>
                  <w:i/>
                  <w:color w:val="auto"/>
                  <w:sz w:val="15"/>
                  <w:szCs w:val="15"/>
                  <w:u w:val="none"/>
                </w:rPr>
              </m:ctrlPr>
            </m:limLowPr>
            <m:e>
              <m:groupChr>
                <m:groupChrPr>
                  <m:ctrlPr>
                    <w:rPr>
                      <w:rStyle w:val="Hipervnculo"/>
                      <w:rFonts w:ascii="Cambria Math" w:hAnsi="Cambria Math"/>
                      <w:i/>
                      <w:color w:val="auto"/>
                      <w:sz w:val="15"/>
                      <w:szCs w:val="15"/>
                      <w:u w:val="none"/>
                    </w:rPr>
                  </m:ctrlPr>
                </m:groupChrPr>
                <m:e>
                  <m:limLow>
                    <m:limLowPr>
                      <m:ctrlPr>
                        <w:rPr>
                          <w:rStyle w:val="Hipervnculo"/>
                          <w:rFonts w:ascii="Cambria Math" w:hAnsi="Cambria Math"/>
                          <w:b/>
                          <w:bCs/>
                          <w:i/>
                          <w:color w:val="800000"/>
                          <w:sz w:val="15"/>
                          <w:szCs w:val="15"/>
                          <w:u w:val="none"/>
                        </w:rPr>
                      </m:ctrlPr>
                    </m:limLowPr>
                    <m:e>
                      <m:groupChr>
                        <m:groupChrPr>
                          <m:ctrlPr>
                            <w:rPr>
                              <w:rStyle w:val="Hipervnculo"/>
                              <w:rFonts w:ascii="Cambria Math" w:hAnsi="Cambria Math"/>
                              <w:b/>
                              <w:bCs/>
                              <w:i/>
                              <w:color w:val="800000"/>
                              <w:sz w:val="15"/>
                              <w:szCs w:val="15"/>
                              <w:u w:val="none"/>
                            </w:rPr>
                          </m:ctrlPr>
                        </m:groupChrPr>
                        <m:e>
                          <m:limUpp>
                            <m:limUppPr>
                              <m:ctrlPr>
                                <w:rPr>
                                  <w:rFonts w:ascii="Cambria Math" w:hAnsi="Cambria Math"/>
                                  <w:b/>
                                  <w:bCs/>
                                  <w:i/>
                                  <w:iCs/>
                                  <w:color w:val="800000"/>
                                  <w:sz w:val="15"/>
                                  <w:szCs w:val="15"/>
                                </w:rPr>
                              </m:ctrlPr>
                            </m:limUppPr>
                            <m:e>
                              <m:groupChr>
                                <m:groupChrPr>
                                  <m:chr m:val="⏞"/>
                                  <m:pos m:val="top"/>
                                  <m:vertJc m:val="bot"/>
                                  <m:ctrlPr>
                                    <w:rPr>
                                      <w:rFonts w:ascii="Cambria Math" w:hAnsi="Cambria Math"/>
                                      <w:b/>
                                      <w:bCs/>
                                      <w:i/>
                                      <w:iCs/>
                                      <w:color w:val="800000"/>
                                      <w:sz w:val="15"/>
                                      <w:szCs w:val="15"/>
                                    </w:rPr>
                                  </m:ctrlPr>
                                </m:groupChrPr>
                                <m:e>
                                  <m:r>
                                    <m:rPr>
                                      <m:nor/>
                                    </m:rPr>
                                    <w:rPr>
                                      <w:b/>
                                      <w:bCs/>
                                      <w:i/>
                                      <w:iCs/>
                                      <w:color w:val="800000"/>
                                      <w:sz w:val="15"/>
                                      <w:szCs w:val="15"/>
                                    </w:rPr>
                                    <m:t>CC</m:t>
                                  </m:r>
                                </m:e>
                              </m:groupChr>
                            </m:e>
                            <m:lim>
                              <m:eqArr>
                                <m:eqArrPr>
                                  <m:ctrlPr>
                                    <w:rPr>
                                      <w:rFonts w:ascii="Cambria Math" w:hAnsi="Cambria Math"/>
                                      <w:b/>
                                      <w:bCs/>
                                      <w:i/>
                                      <w:color w:val="800000"/>
                                      <w:sz w:val="15"/>
                                      <w:szCs w:val="15"/>
                                    </w:rPr>
                                  </m:ctrlPr>
                                </m:eqArrPr>
                                <m:e>
                                  <m:r>
                                    <m:rPr>
                                      <m:nor/>
                                    </m:rPr>
                                    <w:rPr>
                                      <w:b/>
                                      <w:bCs/>
                                      <w:i/>
                                      <w:color w:val="800000"/>
                                      <w:sz w:val="15"/>
                                      <w:szCs w:val="15"/>
                                    </w:rPr>
                                    <m:t>Cuenta</m:t>
                                  </m:r>
                                </m:e>
                                <m:e>
                                  <m:r>
                                    <m:rPr>
                                      <m:nor/>
                                    </m:rPr>
                                    <w:rPr>
                                      <w:b/>
                                      <w:bCs/>
                                      <w:i/>
                                      <w:color w:val="800000"/>
                                      <w:sz w:val="15"/>
                                      <w:szCs w:val="15"/>
                                    </w:rPr>
                                    <m:t xml:space="preserve"> corriente</m:t>
                                  </m:r>
                                </m:e>
                              </m:eqArr>
                            </m:lim>
                          </m:limUpp>
                        </m:e>
                      </m:groupChr>
                    </m:e>
                    <m:lim>
                      <m:limLow>
                        <m:limLowPr>
                          <m:ctrlPr>
                            <w:rPr>
                              <w:rStyle w:val="Hipervnculo"/>
                              <w:rFonts w:ascii="Cambria Math" w:hAnsi="Cambria Math"/>
                              <w:b/>
                              <w:bCs/>
                              <w:i/>
                              <w:color w:val="800000"/>
                              <w:sz w:val="15"/>
                              <w:szCs w:val="15"/>
                              <w:u w:val="none"/>
                            </w:rPr>
                          </m:ctrlPr>
                        </m:limLowPr>
                        <m:e>
                          <m:groupChr>
                            <m:groupChrPr>
                              <m:ctrlPr>
                                <w:rPr>
                                  <w:rStyle w:val="Hipervnculo"/>
                                  <w:rFonts w:ascii="Cambria Math" w:hAnsi="Cambria Math"/>
                                  <w:b/>
                                  <w:bCs/>
                                  <w:i/>
                                  <w:color w:val="800000"/>
                                  <w:sz w:val="15"/>
                                  <w:szCs w:val="15"/>
                                  <w:u w:val="none"/>
                                </w:rPr>
                              </m:ctrlPr>
                            </m:groupChrPr>
                            <m:e>
                              <m:r>
                                <m:rPr>
                                  <m:nor/>
                                </m:rPr>
                                <w:rPr>
                                  <w:rStyle w:val="Hipervnculo"/>
                                  <w:b/>
                                  <w:bCs/>
                                  <w:i/>
                                  <w:color w:val="800000"/>
                                  <w:sz w:val="15"/>
                                  <w:szCs w:val="15"/>
                                  <w:u w:val="none"/>
                                </w:rPr>
                                <m:t>CB&amp;S</m:t>
                              </m:r>
                              <m:r>
                                <m:rPr>
                                  <m:sty m:val="bi"/>
                                </m:rPr>
                                <w:rPr>
                                  <w:rStyle w:val="Hipervnculo"/>
                                  <w:rFonts w:ascii="Cambria Math" w:hAnsi="Cambria Math"/>
                                  <w:color w:val="800000"/>
                                  <w:sz w:val="15"/>
                                  <w:szCs w:val="15"/>
                                  <w:u w:val="none"/>
                                </w:rPr>
                                <m:t>+</m:t>
                              </m:r>
                              <m:r>
                                <m:rPr>
                                  <m:nor/>
                                </m:rPr>
                                <w:rPr>
                                  <w:rStyle w:val="Hipervnculo"/>
                                  <w:b/>
                                  <w:bCs/>
                                  <w:i/>
                                  <w:color w:val="800000"/>
                                  <w:sz w:val="15"/>
                                  <w:szCs w:val="15"/>
                                  <w:u w:val="none"/>
                                </w:rPr>
                                <m:t>CR1</m:t>
                              </m:r>
                              <m:r>
                                <m:rPr>
                                  <m:nor/>
                                </m:rPr>
                                <w:rPr>
                                  <w:rStyle w:val="Hipervnculo"/>
                                  <w:b/>
                                  <w:bCs/>
                                  <w:i/>
                                  <w:color w:val="800000"/>
                                  <w:sz w:val="15"/>
                                  <w:szCs w:val="15"/>
                                  <w:u w:val="none"/>
                                  <w:vertAlign w:val="superscript"/>
                                </w:rPr>
                                <m:t>as</m:t>
                              </m:r>
                              <m:r>
                                <m:rPr>
                                  <m:sty m:val="bi"/>
                                </m:rPr>
                                <w:rPr>
                                  <w:rStyle w:val="Hipervnculo"/>
                                  <w:rFonts w:ascii="Cambria Math" w:hAnsi="Cambria Math"/>
                                  <w:color w:val="800000"/>
                                  <w:sz w:val="15"/>
                                  <w:szCs w:val="15"/>
                                  <w:u w:val="none"/>
                                </w:rPr>
                                <m:t>+</m:t>
                              </m:r>
                              <m:r>
                                <m:rPr>
                                  <m:nor/>
                                </m:rPr>
                                <w:rPr>
                                  <w:rStyle w:val="Hipervnculo"/>
                                  <w:b/>
                                  <w:bCs/>
                                  <w:i/>
                                  <w:color w:val="800000"/>
                                  <w:sz w:val="15"/>
                                  <w:szCs w:val="15"/>
                                  <w:u w:val="none"/>
                                </w:rPr>
                                <m:t>CR2</m:t>
                              </m:r>
                              <m:r>
                                <m:rPr>
                                  <m:nor/>
                                </m:rPr>
                                <w:rPr>
                                  <w:rStyle w:val="Hipervnculo"/>
                                  <w:b/>
                                  <w:bCs/>
                                  <w:i/>
                                  <w:color w:val="800000"/>
                                  <w:sz w:val="15"/>
                                  <w:szCs w:val="15"/>
                                  <w:u w:val="none"/>
                                  <w:vertAlign w:val="superscript"/>
                                </w:rPr>
                                <m:t>as</m:t>
                              </m:r>
                            </m:e>
                          </m:groupChr>
                        </m:e>
                        <m:lim>
                          <m:r>
                            <m:rPr>
                              <m:nor/>
                            </m:rPr>
                            <w:rPr>
                              <w:b/>
                              <w:bCs/>
                              <w:i/>
                              <w:iCs/>
                              <w:color w:val="800000"/>
                              <w:sz w:val="15"/>
                              <w:szCs w:val="15"/>
                            </w:rPr>
                            <m:t>X</m:t>
                          </m:r>
                          <m:r>
                            <m:rPr>
                              <m:sty m:val="bi"/>
                            </m:rPr>
                            <w:rPr>
                              <w:rFonts w:ascii="Cambria Math" w:hAnsi="Cambria Math"/>
                              <w:color w:val="800000"/>
                              <w:sz w:val="15"/>
                              <w:szCs w:val="15"/>
                            </w:rPr>
                            <m:t>-</m:t>
                          </m:r>
                          <m:r>
                            <m:rPr>
                              <m:nor/>
                            </m:rPr>
                            <w:rPr>
                              <w:b/>
                              <w:bCs/>
                              <w:i/>
                              <w:iCs/>
                              <w:color w:val="800000"/>
                              <w:sz w:val="15"/>
                              <w:szCs w:val="15"/>
                            </w:rPr>
                            <m:t>M</m:t>
                          </m:r>
                          <m:r>
                            <m:rPr>
                              <m:sty m:val="bi"/>
                            </m:rPr>
                            <w:rPr>
                              <w:rFonts w:ascii="Cambria Math" w:hAnsi="Cambria Math"/>
                              <w:color w:val="800000"/>
                              <w:sz w:val="15"/>
                              <w:szCs w:val="15"/>
                            </w:rPr>
                            <m:t>+</m:t>
                          </m:r>
                          <m:r>
                            <m:rPr>
                              <m:nor/>
                            </m:rPr>
                            <w:rPr>
                              <w:b/>
                              <w:bCs/>
                              <w:i/>
                              <w:iCs/>
                              <w:color w:val="800000"/>
                              <w:sz w:val="15"/>
                              <w:szCs w:val="15"/>
                            </w:rPr>
                            <m:t>rentas</m:t>
                          </m:r>
                          <m:r>
                            <m:rPr>
                              <m:sty m:val="bi"/>
                            </m:rPr>
                            <w:rPr>
                              <w:rFonts w:ascii="Cambria Math" w:hAnsi="Cambria Math"/>
                              <w:color w:val="800000"/>
                              <w:sz w:val="15"/>
                              <w:szCs w:val="15"/>
                            </w:rPr>
                            <m:t>=</m:t>
                          </m:r>
                          <m:r>
                            <m:rPr>
                              <m:nor/>
                            </m:rPr>
                            <w:rPr>
                              <w:b/>
                              <w:bCs/>
                              <w:i/>
                              <w:iCs/>
                              <w:color w:val="800000"/>
                              <w:sz w:val="15"/>
                              <w:szCs w:val="15"/>
                            </w:rPr>
                            <m:t>Y</m:t>
                          </m:r>
                          <m:r>
                            <m:rPr>
                              <m:sty m:val="bi"/>
                            </m:rPr>
                            <w:rPr>
                              <w:rFonts w:ascii="Cambria Math" w:hAnsi="Cambria Math"/>
                              <w:color w:val="800000"/>
                              <w:sz w:val="15"/>
                              <w:szCs w:val="15"/>
                            </w:rPr>
                            <m:t>-</m:t>
                          </m:r>
                          <m:r>
                            <m:rPr>
                              <m:nor/>
                            </m:rPr>
                            <w:rPr>
                              <w:b/>
                              <w:bCs/>
                              <w:i/>
                              <w:iCs/>
                              <w:color w:val="800000"/>
                              <w:sz w:val="15"/>
                              <w:szCs w:val="15"/>
                            </w:rPr>
                            <m:t>A</m:t>
                          </m:r>
                          <m:r>
                            <m:rPr>
                              <m:sty m:val="bi"/>
                            </m:rPr>
                            <w:rPr>
                              <w:rFonts w:ascii="Cambria Math" w:hAnsi="Cambria Math"/>
                              <w:color w:val="800000"/>
                              <w:sz w:val="15"/>
                              <w:szCs w:val="15"/>
                            </w:rPr>
                            <m:t>+</m:t>
                          </m:r>
                          <m:r>
                            <m:rPr>
                              <m:nor/>
                            </m:rPr>
                            <w:rPr>
                              <w:b/>
                              <w:bCs/>
                              <w:i/>
                              <w:iCs/>
                              <w:color w:val="800000"/>
                              <w:sz w:val="15"/>
                              <w:szCs w:val="15"/>
                            </w:rPr>
                            <m:t>rentas</m:t>
                          </m:r>
                          <m:r>
                            <m:rPr>
                              <m:sty m:val="bi"/>
                            </m:rPr>
                            <w:rPr>
                              <w:rFonts w:ascii="Cambria Math" w:hAnsi="Cambria Math"/>
                              <w:color w:val="800000"/>
                              <w:sz w:val="15"/>
                              <w:szCs w:val="15"/>
                            </w:rPr>
                            <m:t>=</m:t>
                          </m:r>
                          <m:r>
                            <m:rPr>
                              <m:nor/>
                            </m:rPr>
                            <w:rPr>
                              <w:b/>
                              <w:bCs/>
                              <w:i/>
                              <w:iCs/>
                              <w:color w:val="800000"/>
                              <w:sz w:val="15"/>
                              <w:szCs w:val="15"/>
                            </w:rPr>
                            <m:t>S</m:t>
                          </m:r>
                          <m:r>
                            <m:rPr>
                              <m:sty m:val="bi"/>
                            </m:rPr>
                            <w:rPr>
                              <w:rFonts w:ascii="Cambria Math" w:hAnsi="Cambria Math"/>
                              <w:color w:val="800000"/>
                              <w:sz w:val="15"/>
                              <w:szCs w:val="15"/>
                            </w:rPr>
                            <m:t>-</m:t>
                          </m:r>
                          <m:r>
                            <m:rPr>
                              <m:nor/>
                            </m:rPr>
                            <w:rPr>
                              <w:b/>
                              <w:bCs/>
                              <w:i/>
                              <w:iCs/>
                              <w:color w:val="800000"/>
                              <w:sz w:val="15"/>
                              <w:szCs w:val="15"/>
                            </w:rPr>
                            <m:t>I</m:t>
                          </m:r>
                          <m:r>
                            <m:rPr>
                              <m:sty m:val="bi"/>
                            </m:rPr>
                            <w:rPr>
                              <w:rFonts w:ascii="Cambria Math" w:hAnsi="Cambria Math"/>
                              <w:color w:val="800000"/>
                              <w:sz w:val="15"/>
                              <w:szCs w:val="15"/>
                            </w:rPr>
                            <m:t>=</m:t>
                          </m:r>
                          <m:d>
                            <m:dPr>
                              <m:ctrlPr>
                                <w:rPr>
                                  <w:rFonts w:ascii="Cambria Math" w:hAnsi="Cambria Math"/>
                                  <w:b/>
                                  <w:bCs/>
                                  <w:i/>
                                  <w:iCs/>
                                  <w:color w:val="800000"/>
                                  <w:sz w:val="15"/>
                                  <w:szCs w:val="15"/>
                                </w:rPr>
                              </m:ctrlPr>
                            </m:dPr>
                            <m:e>
                              <m:sSub>
                                <m:sSubPr>
                                  <m:ctrlPr>
                                    <w:rPr>
                                      <w:rFonts w:ascii="Cambria Math" w:hAnsi="Cambria Math"/>
                                      <w:b/>
                                      <w:bCs/>
                                      <w:i/>
                                      <w:iCs/>
                                      <w:color w:val="800000"/>
                                      <w:sz w:val="15"/>
                                      <w:szCs w:val="15"/>
                                    </w:rPr>
                                  </m:ctrlPr>
                                </m:sSubPr>
                                <m:e>
                                  <m:r>
                                    <m:rPr>
                                      <m:nor/>
                                    </m:rPr>
                                    <w:rPr>
                                      <w:b/>
                                      <w:bCs/>
                                      <w:i/>
                                      <w:iCs/>
                                      <w:color w:val="800000"/>
                                      <w:sz w:val="15"/>
                                      <w:szCs w:val="15"/>
                                    </w:rPr>
                                    <m:t>S</m:t>
                                  </m:r>
                                </m:e>
                                <m:sub>
                                  <m:r>
                                    <m:rPr>
                                      <m:nor/>
                                    </m:rPr>
                                    <w:rPr>
                                      <w:b/>
                                      <w:bCs/>
                                      <w:i/>
                                      <w:iCs/>
                                      <w:color w:val="800000"/>
                                      <w:sz w:val="15"/>
                                      <w:szCs w:val="15"/>
                                    </w:rPr>
                                    <m:t>PDO</m:t>
                                  </m:r>
                                </m:sub>
                              </m:sSub>
                              <m:r>
                                <m:rPr>
                                  <m:sty m:val="bi"/>
                                </m:rPr>
                                <w:rPr>
                                  <w:rFonts w:ascii="Cambria Math" w:hAnsi="Cambria Math"/>
                                  <w:color w:val="800000"/>
                                  <w:sz w:val="15"/>
                                  <w:szCs w:val="15"/>
                                </w:rPr>
                                <m:t>-</m:t>
                              </m:r>
                              <m:sSub>
                                <m:sSubPr>
                                  <m:ctrlPr>
                                    <w:rPr>
                                      <w:rFonts w:ascii="Cambria Math" w:hAnsi="Cambria Math"/>
                                      <w:b/>
                                      <w:bCs/>
                                      <w:i/>
                                      <w:iCs/>
                                      <w:color w:val="800000"/>
                                      <w:sz w:val="15"/>
                                      <w:szCs w:val="15"/>
                                    </w:rPr>
                                  </m:ctrlPr>
                                </m:sSubPr>
                                <m:e>
                                  <m:r>
                                    <m:rPr>
                                      <m:nor/>
                                    </m:rPr>
                                    <w:rPr>
                                      <w:b/>
                                      <w:bCs/>
                                      <w:i/>
                                      <w:iCs/>
                                      <w:color w:val="800000"/>
                                      <w:sz w:val="15"/>
                                      <w:szCs w:val="15"/>
                                    </w:rPr>
                                    <m:t>I</m:t>
                                  </m:r>
                                </m:e>
                                <m:sub>
                                  <m:r>
                                    <m:rPr>
                                      <m:nor/>
                                    </m:rPr>
                                    <w:rPr>
                                      <w:b/>
                                      <w:bCs/>
                                      <w:i/>
                                      <w:iCs/>
                                      <w:color w:val="800000"/>
                                      <w:sz w:val="15"/>
                                      <w:szCs w:val="15"/>
                                    </w:rPr>
                                    <m:t>PDA</m:t>
                                  </m:r>
                                </m:sub>
                              </m:sSub>
                            </m:e>
                          </m:d>
                          <m:r>
                            <m:rPr>
                              <m:sty m:val="bi"/>
                            </m:rPr>
                            <w:rPr>
                              <w:rFonts w:ascii="Cambria Math" w:hAnsi="Cambria Math"/>
                              <w:color w:val="800000"/>
                              <w:sz w:val="15"/>
                              <w:szCs w:val="15"/>
                            </w:rPr>
                            <m:t>+</m:t>
                          </m:r>
                          <m:d>
                            <m:dPr>
                              <m:ctrlPr>
                                <w:rPr>
                                  <w:rFonts w:ascii="Cambria Math" w:hAnsi="Cambria Math"/>
                                  <w:b/>
                                  <w:bCs/>
                                  <w:i/>
                                  <w:iCs/>
                                  <w:color w:val="800000"/>
                                  <w:sz w:val="15"/>
                                  <w:szCs w:val="15"/>
                                </w:rPr>
                              </m:ctrlPr>
                            </m:dPr>
                            <m:e>
                              <m:r>
                                <m:rPr>
                                  <m:nor/>
                                </m:rPr>
                                <w:rPr>
                                  <w:b/>
                                  <w:bCs/>
                                  <w:i/>
                                  <w:iCs/>
                                  <w:color w:val="800000"/>
                                  <w:sz w:val="15"/>
                                  <w:szCs w:val="15"/>
                                </w:rPr>
                                <m:t>T</m:t>
                              </m:r>
                              <m:r>
                                <m:rPr>
                                  <m:sty m:val="bi"/>
                                </m:rPr>
                                <w:rPr>
                                  <w:rFonts w:ascii="Cambria Math" w:hAnsi="Cambria Math"/>
                                  <w:color w:val="800000"/>
                                  <w:sz w:val="15"/>
                                  <w:szCs w:val="15"/>
                                </w:rPr>
                                <m:t>-</m:t>
                              </m:r>
                              <m:r>
                                <m:rPr>
                                  <m:nor/>
                                </m:rPr>
                                <w:rPr>
                                  <w:b/>
                                  <w:bCs/>
                                  <w:i/>
                                  <w:iCs/>
                                  <w:color w:val="800000"/>
                                  <w:sz w:val="15"/>
                                  <w:szCs w:val="15"/>
                                </w:rPr>
                                <m:t>G</m:t>
                              </m:r>
                            </m:e>
                          </m:d>
                        </m:lim>
                      </m:limLow>
                    </m:lim>
                  </m:limLow>
                  <m:r>
                    <w:rPr>
                      <w:rStyle w:val="Hipervnculo"/>
                      <w:rFonts w:ascii="Cambria Math" w:hAnsi="Cambria Math"/>
                      <w:color w:val="auto"/>
                      <w:sz w:val="15"/>
                      <w:szCs w:val="15"/>
                      <w:u w:val="none"/>
                    </w:rPr>
                    <m:t>+</m:t>
                  </m:r>
                  <m:limUpp>
                    <m:limUppPr>
                      <m:ctrlPr>
                        <w:rPr>
                          <w:rFonts w:ascii="Cambria Math" w:hAnsi="Cambria Math"/>
                          <w:i/>
                          <w:iCs/>
                          <w:sz w:val="15"/>
                          <w:szCs w:val="15"/>
                        </w:rPr>
                      </m:ctrlPr>
                    </m:limUppPr>
                    <m:e>
                      <m:groupChr>
                        <m:groupChrPr>
                          <m:chr m:val="⏞"/>
                          <m:pos m:val="top"/>
                          <m:vertJc m:val="bot"/>
                          <m:ctrlPr>
                            <w:rPr>
                              <w:rFonts w:ascii="Cambria Math" w:hAnsi="Cambria Math"/>
                              <w:i/>
                              <w:iCs/>
                              <w:sz w:val="15"/>
                              <w:szCs w:val="15"/>
                            </w:rPr>
                          </m:ctrlPr>
                        </m:groupChrPr>
                        <m:e>
                          <m:r>
                            <m:rPr>
                              <m:nor/>
                            </m:rPr>
                            <w:rPr>
                              <w:i/>
                              <w:iCs/>
                              <w:sz w:val="15"/>
                              <w:szCs w:val="15"/>
                            </w:rPr>
                            <m:t>CK</m:t>
                          </m:r>
                        </m:e>
                      </m:groupChr>
                    </m:e>
                    <m:lim>
                      <m:eqArr>
                        <m:eqArrPr>
                          <m:ctrlPr>
                            <w:rPr>
                              <w:rFonts w:ascii="Cambria Math" w:hAnsi="Cambria Math"/>
                              <w:i/>
                              <w:sz w:val="15"/>
                              <w:szCs w:val="15"/>
                            </w:rPr>
                          </m:ctrlPr>
                        </m:eqArrPr>
                        <m:e>
                          <m:r>
                            <m:rPr>
                              <m:nor/>
                            </m:rPr>
                            <w:rPr>
                              <w:i/>
                              <w:sz w:val="15"/>
                              <w:szCs w:val="15"/>
                            </w:rPr>
                            <m:t>Cuenta</m:t>
                          </m:r>
                        </m:e>
                        <m:e>
                          <m:r>
                            <m:rPr>
                              <m:nor/>
                            </m:rPr>
                            <w:rPr>
                              <w:i/>
                              <w:sz w:val="15"/>
                              <w:szCs w:val="15"/>
                            </w:rPr>
                            <m:t>de capital</m:t>
                          </m:r>
                        </m:e>
                      </m:eqArr>
                    </m:lim>
                  </m:limUpp>
                </m:e>
              </m:groupChr>
            </m:e>
            <m:lim>
              <m:r>
                <m:rPr>
                  <m:nor/>
                </m:rPr>
                <w:rPr>
                  <w:i/>
                  <w:sz w:val="15"/>
                  <w:szCs w:val="15"/>
                </w:rPr>
                <m:t xml:space="preserve">Capacidad </m:t>
              </m:r>
              <m:d>
                <m:dPr>
                  <m:ctrlPr>
                    <w:rPr>
                      <w:rFonts w:ascii="Cambria Math" w:hAnsi="Cambria Math"/>
                      <w:i/>
                      <w:sz w:val="15"/>
                      <w:szCs w:val="15"/>
                    </w:rPr>
                  </m:ctrlPr>
                </m:dPr>
                <m:e>
                  <m:r>
                    <w:rPr>
                      <w:rFonts w:ascii="Cambria Math" w:hAnsi="Cambria Math"/>
                      <w:sz w:val="15"/>
                      <w:szCs w:val="15"/>
                    </w:rPr>
                    <m:t>+</m:t>
                  </m:r>
                </m:e>
              </m:d>
              <m:r>
                <m:rPr>
                  <m:nor/>
                </m:rPr>
                <w:rPr>
                  <w:i/>
                  <w:sz w:val="15"/>
                  <w:szCs w:val="15"/>
                </w:rPr>
                <m:t xml:space="preserve"> o Necesidad </m:t>
              </m:r>
              <m:d>
                <m:dPr>
                  <m:ctrlPr>
                    <w:rPr>
                      <w:rFonts w:ascii="Cambria Math" w:hAnsi="Cambria Math"/>
                      <w:i/>
                      <w:sz w:val="15"/>
                      <w:szCs w:val="15"/>
                    </w:rPr>
                  </m:ctrlPr>
                </m:dPr>
                <m:e>
                  <m:r>
                    <w:rPr>
                      <w:rFonts w:ascii="Cambria Math" w:hAnsi="Cambria Math"/>
                      <w:sz w:val="15"/>
                      <w:szCs w:val="15"/>
                    </w:rPr>
                    <m:t>–</m:t>
                  </m:r>
                </m:e>
              </m:d>
              <m:r>
                <m:rPr>
                  <m:nor/>
                </m:rPr>
                <w:rPr>
                  <w:i/>
                  <w:sz w:val="15"/>
                  <w:szCs w:val="15"/>
                </w:rPr>
                <m:t xml:space="preserve"> de Financiación</m:t>
              </m:r>
            </m:lim>
          </m:limLow>
          <m:r>
            <w:rPr>
              <w:rFonts w:ascii="Cambria Math" w:hAnsi="Cambria Math"/>
              <w:sz w:val="15"/>
              <w:szCs w:val="15"/>
            </w:rPr>
            <m:t>+</m:t>
          </m:r>
          <m:limUpp>
            <m:limUppPr>
              <m:ctrlPr>
                <w:rPr>
                  <w:rFonts w:ascii="Cambria Math" w:hAnsi="Cambria Math"/>
                  <w:i/>
                  <w:iCs/>
                  <w:sz w:val="15"/>
                  <w:szCs w:val="15"/>
                </w:rPr>
              </m:ctrlPr>
            </m:limUppPr>
            <m:e>
              <m:groupChr>
                <m:groupChrPr>
                  <m:chr m:val="⏞"/>
                  <m:pos m:val="top"/>
                  <m:vertJc m:val="bot"/>
                  <m:ctrlPr>
                    <w:rPr>
                      <w:rFonts w:ascii="Cambria Math" w:hAnsi="Cambria Math"/>
                      <w:i/>
                      <w:iCs/>
                      <w:sz w:val="15"/>
                      <w:szCs w:val="15"/>
                    </w:rPr>
                  </m:ctrlPr>
                </m:groupChrPr>
                <m:e>
                  <m:r>
                    <m:rPr>
                      <m:nor/>
                    </m:rPr>
                    <w:rPr>
                      <w:i/>
                      <w:iCs/>
                      <w:sz w:val="15"/>
                      <w:szCs w:val="15"/>
                    </w:rPr>
                    <m:t>EO</m:t>
                  </m:r>
                </m:e>
              </m:groupChr>
            </m:e>
            <m:lim>
              <m:eqArr>
                <m:eqArrPr>
                  <m:ctrlPr>
                    <w:rPr>
                      <w:rFonts w:ascii="Cambria Math" w:hAnsi="Cambria Math"/>
                      <w:i/>
                      <w:sz w:val="15"/>
                      <w:szCs w:val="15"/>
                    </w:rPr>
                  </m:ctrlPr>
                </m:eqArrPr>
                <m:e>
                  <m:r>
                    <m:rPr>
                      <m:nor/>
                    </m:rPr>
                    <w:rPr>
                      <w:i/>
                      <w:sz w:val="15"/>
                      <w:szCs w:val="15"/>
                    </w:rPr>
                    <m:t>Errores y</m:t>
                  </m:r>
                </m:e>
                <m:e>
                  <m:r>
                    <m:rPr>
                      <m:nor/>
                    </m:rPr>
                    <w:rPr>
                      <w:i/>
                      <w:sz w:val="15"/>
                      <w:szCs w:val="15"/>
                    </w:rPr>
                    <m:t>omisiones</m:t>
                  </m:r>
                </m:e>
              </m:eqArr>
            </m:lim>
          </m:limUpp>
          <m:r>
            <w:rPr>
              <w:rStyle w:val="Hipervnculo"/>
              <w:rFonts w:ascii="Cambria Math" w:hAnsi="Cambria Math"/>
              <w:color w:val="auto"/>
              <w:sz w:val="15"/>
              <w:szCs w:val="15"/>
              <w:u w:val="none"/>
            </w:rPr>
            <m:t>=</m:t>
          </m:r>
          <m:limLow>
            <m:limLowPr>
              <m:ctrlPr>
                <w:rPr>
                  <w:rStyle w:val="Hipervnculo"/>
                  <w:rFonts w:ascii="Cambria Math" w:hAnsi="Cambria Math"/>
                  <w:i/>
                  <w:color w:val="auto"/>
                  <w:sz w:val="15"/>
                  <w:szCs w:val="15"/>
                  <w:u w:val="none"/>
                </w:rPr>
              </m:ctrlPr>
            </m:limLowPr>
            <m:e>
              <m:groupChr>
                <m:groupChrPr>
                  <m:ctrlPr>
                    <w:rPr>
                      <w:rStyle w:val="Hipervnculo"/>
                      <w:rFonts w:ascii="Cambria Math" w:hAnsi="Cambria Math"/>
                      <w:i/>
                      <w:color w:val="auto"/>
                      <w:sz w:val="15"/>
                      <w:szCs w:val="15"/>
                      <w:u w:val="none"/>
                    </w:rPr>
                  </m:ctrlPr>
                </m:groupChrPr>
                <m:e>
                  <m:limUpp>
                    <m:limUppPr>
                      <m:ctrlPr>
                        <w:rPr>
                          <w:rFonts w:ascii="Cambria Math" w:hAnsi="Cambria Math"/>
                          <w:i/>
                          <w:iCs/>
                          <w:sz w:val="15"/>
                          <w:szCs w:val="15"/>
                        </w:rPr>
                      </m:ctrlPr>
                    </m:limUppPr>
                    <m:e>
                      <m:groupChr>
                        <m:groupChrPr>
                          <m:chr m:val="⏞"/>
                          <m:pos m:val="top"/>
                          <m:vertJc m:val="bot"/>
                          <m:ctrlPr>
                            <w:rPr>
                              <w:rFonts w:ascii="Cambria Math" w:hAnsi="Cambria Math"/>
                              <w:i/>
                              <w:iCs/>
                              <w:sz w:val="15"/>
                              <w:szCs w:val="15"/>
                            </w:rPr>
                          </m:ctrlPr>
                        </m:groupChrPr>
                        <m:e>
                          <m:r>
                            <m:rPr>
                              <m:nor/>
                            </m:rPr>
                            <w:rPr>
                              <w:i/>
                              <w:iCs/>
                              <w:sz w:val="15"/>
                              <w:szCs w:val="15"/>
                            </w:rPr>
                            <m:t>CF</m:t>
                          </m:r>
                        </m:e>
                      </m:groupChr>
                    </m:e>
                    <m:lim>
                      <m:eqArr>
                        <m:eqArrPr>
                          <m:ctrlPr>
                            <w:rPr>
                              <w:rFonts w:ascii="Cambria Math" w:hAnsi="Cambria Math"/>
                              <w:i/>
                              <w:sz w:val="15"/>
                              <w:szCs w:val="15"/>
                            </w:rPr>
                          </m:ctrlPr>
                        </m:eqArrPr>
                        <m:e>
                          <m:r>
                            <m:rPr>
                              <m:nor/>
                            </m:rPr>
                            <w:rPr>
                              <w:i/>
                              <w:sz w:val="15"/>
                              <w:szCs w:val="15"/>
                            </w:rPr>
                            <m:t>Cuenta</m:t>
                          </m:r>
                        </m:e>
                        <m:e>
                          <m:r>
                            <m:rPr>
                              <m:nor/>
                            </m:rPr>
                            <w:rPr>
                              <w:i/>
                              <w:sz w:val="15"/>
                              <w:szCs w:val="15"/>
                            </w:rPr>
                            <m:t>financiera</m:t>
                          </m:r>
                        </m:e>
                      </m:eqArr>
                    </m:lim>
                  </m:limUpp>
                </m:e>
              </m:groupChr>
            </m:e>
            <m:lim>
              <m:r>
                <m:rPr>
                  <m:nor/>
                </m:rPr>
                <w:rPr>
                  <w:rStyle w:val="Hipervnculo"/>
                  <w:i/>
                  <w:color w:val="auto"/>
                  <w:sz w:val="15"/>
                  <w:szCs w:val="15"/>
                  <w:u w:val="none"/>
                </w:rPr>
                <m:t>ID</m:t>
              </m:r>
              <m:r>
                <w:rPr>
                  <w:rStyle w:val="Hipervnculo"/>
                  <w:rFonts w:ascii="Cambria Math" w:hAnsi="Cambria Math"/>
                  <w:color w:val="auto"/>
                  <w:sz w:val="15"/>
                  <w:szCs w:val="15"/>
                  <w:u w:val="none"/>
                </w:rPr>
                <m:t>+</m:t>
              </m:r>
              <m:r>
                <m:rPr>
                  <m:nor/>
                </m:rPr>
                <w:rPr>
                  <w:rStyle w:val="Hipervnculo"/>
                  <w:i/>
                  <w:color w:val="auto"/>
                  <w:sz w:val="15"/>
                  <w:szCs w:val="15"/>
                  <w:u w:val="none"/>
                </w:rPr>
                <m:t>IC</m:t>
              </m:r>
              <m:r>
                <w:rPr>
                  <w:rStyle w:val="Hipervnculo"/>
                  <w:rFonts w:ascii="Cambria Math" w:hAnsi="Cambria Math"/>
                  <w:color w:val="auto"/>
                  <w:sz w:val="15"/>
                  <w:szCs w:val="15"/>
                  <w:u w:val="none"/>
                </w:rPr>
                <m:t>+</m:t>
              </m:r>
              <m:r>
                <m:rPr>
                  <m:nor/>
                </m:rPr>
                <w:rPr>
                  <w:rStyle w:val="Hipervnculo"/>
                  <w:i/>
                  <w:color w:val="auto"/>
                  <w:sz w:val="15"/>
                  <w:szCs w:val="15"/>
                  <w:u w:val="none"/>
                </w:rPr>
                <m:t>Otra inversión</m:t>
              </m:r>
              <m:r>
                <w:rPr>
                  <w:rStyle w:val="Hipervnculo"/>
                  <w:rFonts w:ascii="Cambria Math" w:hAnsi="Cambria Math"/>
                  <w:color w:val="auto"/>
                  <w:sz w:val="15"/>
                  <w:szCs w:val="15"/>
                  <w:u w:val="none"/>
                </w:rPr>
                <m:t>+</m:t>
              </m:r>
              <m:r>
                <m:rPr>
                  <m:nor/>
                </m:rPr>
                <w:rPr>
                  <w:rStyle w:val="Hipervnculo"/>
                  <w:i/>
                  <w:color w:val="auto"/>
                  <w:sz w:val="15"/>
                  <w:szCs w:val="15"/>
                  <w:u w:val="none"/>
                </w:rPr>
                <m:t>Derivados</m:t>
              </m:r>
              <m:r>
                <w:rPr>
                  <w:rStyle w:val="Hipervnculo"/>
                  <w:rFonts w:ascii="Cambria Math" w:hAnsi="Cambria Math"/>
                  <w:color w:val="auto"/>
                  <w:sz w:val="15"/>
                  <w:szCs w:val="15"/>
                  <w:u w:val="none"/>
                </w:rPr>
                <m:t>+</m:t>
              </m:r>
              <m:r>
                <m:rPr>
                  <m:nor/>
                </m:rPr>
                <w:rPr>
                  <w:i/>
                  <w:sz w:val="15"/>
                  <w:szCs w:val="15"/>
                </w:rPr>
                <m:t>∆R</m:t>
              </m:r>
            </m:lim>
          </m:limLow>
        </m:oMath>
      </m:oMathPara>
    </w:p>
    <w:p w14:paraId="517DD959" w14:textId="081A0CD6" w:rsidR="00903E88" w:rsidRDefault="00903E88" w:rsidP="00903E88">
      <w:pPr>
        <w:pStyle w:val="Nivel1SM"/>
        <w:keepNext/>
        <w:spacing w:after="0"/>
      </w:pPr>
      <w:r>
        <w:t xml:space="preserve">Analizar por </w:t>
      </w:r>
      <w:proofErr w:type="spellStart"/>
      <w:r>
        <w:t>sub-cuentas</w:t>
      </w:r>
      <w:proofErr w:type="spellEnd"/>
      <w:r>
        <w:t xml:space="preserve"> de la cuenta corriente:</w:t>
      </w:r>
    </w:p>
    <w:p w14:paraId="7179E3A1" w14:textId="77777777" w:rsidR="00903E88" w:rsidRDefault="00903E88" w:rsidP="002D28EA">
      <w:pPr>
        <w:pStyle w:val="Nivel2SM"/>
      </w:pPr>
      <w:r w:rsidRPr="002D28EA">
        <w:rPr>
          <w:i/>
          <w:iCs/>
        </w:rPr>
        <w:t>Cuenta de bienes y servicios</w:t>
      </w:r>
      <w:r>
        <w:t>.</w:t>
      </w:r>
    </w:p>
    <w:p w14:paraId="209B7D13" w14:textId="77777777" w:rsidR="00903E88" w:rsidRDefault="00903E88" w:rsidP="002D28EA">
      <w:pPr>
        <w:pStyle w:val="Nivel2SM"/>
      </w:pPr>
      <w:r w:rsidRPr="002D28EA">
        <w:rPr>
          <w:i/>
          <w:iCs/>
        </w:rPr>
        <w:t>Cuenta de rentas primarias</w:t>
      </w:r>
      <w:r>
        <w:t>.</w:t>
      </w:r>
    </w:p>
    <w:p w14:paraId="25096020" w14:textId="060230C9" w:rsidR="00AF5888" w:rsidRDefault="00AF5888" w:rsidP="002D28EA">
      <w:pPr>
        <w:pStyle w:val="Nivel3SM"/>
      </w:pPr>
      <w:r>
        <w:t>Rentas del trabajo.</w:t>
      </w:r>
    </w:p>
    <w:p w14:paraId="79527BB2" w14:textId="6E553D88" w:rsidR="00AF5888" w:rsidRDefault="00AF5888" w:rsidP="002D28EA">
      <w:pPr>
        <w:pStyle w:val="Nivel3SM"/>
      </w:pPr>
      <w:r>
        <w:t>Rentas del capital.</w:t>
      </w:r>
    </w:p>
    <w:p w14:paraId="69A21596" w14:textId="036A5069" w:rsidR="00903E88" w:rsidRDefault="00903E88" w:rsidP="002D28EA">
      <w:pPr>
        <w:pStyle w:val="Nivel2SM"/>
      </w:pPr>
      <w:r w:rsidRPr="002D28EA">
        <w:rPr>
          <w:i/>
          <w:iCs/>
        </w:rPr>
        <w:t>Cuenta de rentas secundarias</w:t>
      </w:r>
      <w:r>
        <w:t>.</w:t>
      </w:r>
    </w:p>
    <w:p w14:paraId="7B7561DD" w14:textId="7FAD2098" w:rsidR="00AF5888" w:rsidRDefault="00AF5888" w:rsidP="002D28EA">
      <w:pPr>
        <w:pStyle w:val="Nivel3SM"/>
      </w:pPr>
      <w:r>
        <w:t xml:space="preserve">Transacciones sin contrapartida recibidas o pagadas al exterior (p.ej. donaciones entre gobiernos, remesas </w:t>
      </w:r>
      <w:r w:rsidRPr="00AF5888">
        <w:rPr>
          <w:sz w:val="14"/>
          <w:szCs w:val="20"/>
        </w:rPr>
        <w:t>(</w:t>
      </w:r>
      <w:r>
        <w:rPr>
          <w:sz w:val="14"/>
          <w:szCs w:val="20"/>
        </w:rPr>
        <w:t>muy importantes para PED y muy positivas por anticíclicas, estables, etc.</w:t>
      </w:r>
      <w:r w:rsidRPr="00AF5888">
        <w:rPr>
          <w:sz w:val="14"/>
          <w:szCs w:val="20"/>
        </w:rPr>
        <w:t>)</w:t>
      </w:r>
      <w:r>
        <w:t>, etc.).</w:t>
      </w:r>
    </w:p>
    <w:p w14:paraId="2AA7BFAC" w14:textId="0D8564EF" w:rsidR="00903E88" w:rsidRDefault="00903E88" w:rsidP="00903E88">
      <w:pPr>
        <w:pStyle w:val="Nivel1SM"/>
        <w:keepNext/>
        <w:spacing w:after="0"/>
      </w:pPr>
      <w:r>
        <w:t>¿A qué se debe el posible déficit?</w:t>
      </w:r>
    </w:p>
    <w:p w14:paraId="10195871" w14:textId="77777777" w:rsidR="00903E88" w:rsidRDefault="00903E88" w:rsidP="002D28EA">
      <w:pPr>
        <w:pStyle w:val="Nivel2SM"/>
      </w:pPr>
      <w:r>
        <w:t>¿Baja competitividad de la economía?</w:t>
      </w:r>
    </w:p>
    <w:p w14:paraId="39C08DCE" w14:textId="77777777" w:rsidR="00903E88" w:rsidRDefault="00903E88" w:rsidP="002D28EA">
      <w:pPr>
        <w:pStyle w:val="Nivel2SM"/>
      </w:pPr>
      <w:r>
        <w:t>¿Producción insuficiente o alta absorción?</w:t>
      </w:r>
    </w:p>
    <w:p w14:paraId="5100A4F9" w14:textId="77777777" w:rsidR="00903E88" w:rsidRDefault="00903E88" w:rsidP="002D28EA">
      <w:pPr>
        <w:pStyle w:val="Nivel2SM"/>
      </w:pPr>
      <w:r>
        <w:t>¿Ahorro escaso o inversión excesiva?</w:t>
      </w:r>
    </w:p>
    <w:p w14:paraId="30EF01D4" w14:textId="200A1C1B" w:rsidR="00BB49C2" w:rsidRDefault="00903E88" w:rsidP="002D28EA">
      <w:pPr>
        <w:pStyle w:val="Nivel2SM"/>
      </w:pPr>
      <w:r>
        <w:t>¿Poco ahorro privado o poco ahorro público?</w:t>
      </w:r>
    </w:p>
    <w:p w14:paraId="1AF451BB" w14:textId="64401A11" w:rsidR="00903E88" w:rsidRDefault="00903E88" w:rsidP="00903E88">
      <w:pPr>
        <w:pStyle w:val="Nivel1SM"/>
        <w:keepNext/>
        <w:spacing w:after="0"/>
      </w:pPr>
      <w:r>
        <w:t>¿A qué se debe el posible superávit?</w:t>
      </w:r>
    </w:p>
    <w:p w14:paraId="28E83C46" w14:textId="7A901937" w:rsidR="00903E88" w:rsidRDefault="00903E88" w:rsidP="002D28EA">
      <w:pPr>
        <w:pStyle w:val="Nivel2SM"/>
      </w:pPr>
      <w:r>
        <w:t>¿Deuda interna anémica (p.ej. por envejecimiento)?</w:t>
      </w:r>
    </w:p>
    <w:p w14:paraId="5E139E55" w14:textId="36CDBAD6" w:rsidR="00903E88" w:rsidRDefault="00903E88" w:rsidP="002D28EA">
      <w:pPr>
        <w:pStyle w:val="Nivel2SM"/>
      </w:pPr>
      <w:r>
        <w:t>¿Incapacidad de mercados financieros para canalizar la inversión?</w:t>
      </w:r>
    </w:p>
    <w:p w14:paraId="3633084E" w14:textId="5180A11D" w:rsidR="00BF79DD" w:rsidRDefault="00BF79DD" w:rsidP="00BF79DD">
      <w:pPr>
        <w:pStyle w:val="Ttulo6"/>
        <w:rPr>
          <w:spacing w:val="-4"/>
        </w:rPr>
      </w:pPr>
      <w:bookmarkStart w:id="280" w:name="_Toc173446362"/>
      <w:bookmarkStart w:id="281" w:name="_Toc189085818"/>
      <w:r w:rsidRPr="00BF79DD">
        <w:rPr>
          <w:spacing w:val="-4"/>
        </w:rPr>
        <w:t>Relacionar el saldo de la cuenta corriente con ahorro e inversión nacional</w:t>
      </w:r>
      <w:bookmarkEnd w:id="280"/>
      <w:bookmarkEnd w:id="281"/>
    </w:p>
    <w:p w14:paraId="4BA8635E" w14:textId="619DB42E" w:rsidR="00DF0261" w:rsidRPr="00DF0261" w:rsidRDefault="00DF0261" w:rsidP="00DF0261">
      <w:r>
        <w:t xml:space="preserve">Como señala el </w:t>
      </w:r>
      <w:r w:rsidRPr="00DF0261">
        <w:rPr>
          <w:b/>
          <w:bCs/>
        </w:rPr>
        <w:t xml:space="preserve">enfoque </w:t>
      </w:r>
      <w:proofErr w:type="spellStart"/>
      <w:r w:rsidRPr="00DF0261">
        <w:rPr>
          <w:b/>
          <w:bCs/>
        </w:rPr>
        <w:t>intertemporal</w:t>
      </w:r>
      <w:proofErr w:type="spellEnd"/>
      <w:r w:rsidRPr="00DF0261">
        <w:rPr>
          <w:b/>
          <w:bCs/>
        </w:rPr>
        <w:t xml:space="preserve"> de la balanza de pagos</w:t>
      </w:r>
      <w:r>
        <w:t xml:space="preserve"> un déficit por cuenta corriente no tiene por qué considerarse negativo (y, del mismo modo, un superávit no tiene por qué ser preferible). Por tanto, para determinar cuál es el impacto esperado del </w:t>
      </w:r>
      <w:r w:rsidRPr="00DF0261">
        <w:rPr>
          <w:b/>
          <w:bCs/>
        </w:rPr>
        <w:t>déficit</w:t>
      </w:r>
      <w:r>
        <w:t xml:space="preserve"> sobre el bienestar de la economía es importante ir más allá de su saldo y </w:t>
      </w:r>
      <w:r w:rsidRPr="00DF0261">
        <w:rPr>
          <w:b/>
          <w:bCs/>
        </w:rPr>
        <w:t>analizar su composición</w:t>
      </w:r>
      <w:r>
        <w:t>.</w:t>
      </w:r>
    </w:p>
    <w:p w14:paraId="14C0E399" w14:textId="39621A6B" w:rsidR="00BF79DD" w:rsidRPr="00BF79DD" w:rsidRDefault="00DF0261" w:rsidP="00BF79DD">
      <w:pPr>
        <w:rPr>
          <w:lang w:val="en-US"/>
        </w:rPr>
      </w:pPr>
      <m:oMathPara>
        <m:oMath>
          <m:r>
            <m:rPr>
              <m:sty m:val="bi"/>
            </m:rPr>
            <w:rPr>
              <w:rFonts w:ascii="Cambria Math" w:eastAsiaTheme="minorEastAsia" w:hAnsi="Cambria Math"/>
              <w:sz w:val="15"/>
              <w:szCs w:val="15"/>
              <w:lang w:val="en-US"/>
            </w:rPr>
            <m:t xml:space="preserve"> </m:t>
          </m:r>
          <m:r>
            <m:rPr>
              <m:nor/>
            </m:rPr>
            <w:rPr>
              <w:b/>
              <w:bCs/>
              <w:i/>
              <w:iCs/>
              <w:sz w:val="15"/>
              <w:szCs w:val="15"/>
              <w:lang w:val="en-US"/>
            </w:rPr>
            <m:t>CC</m:t>
          </m:r>
          <m:r>
            <m:rPr>
              <m:sty m:val="bi"/>
            </m:rPr>
            <w:rPr>
              <w:rFonts w:ascii="Cambria Math" w:eastAsiaTheme="minorEastAsia" w:hAnsi="Cambria Math"/>
              <w:sz w:val="15"/>
              <w:szCs w:val="15"/>
              <w:lang w:val="en-US"/>
            </w:rPr>
            <m:t>=</m:t>
          </m:r>
          <m:r>
            <m:rPr>
              <m:nor/>
            </m:rPr>
            <w:rPr>
              <w:b/>
              <w:bCs/>
              <w:i/>
              <w:iCs/>
              <w:sz w:val="15"/>
              <w:szCs w:val="15"/>
              <w:lang w:val="en-US"/>
            </w:rPr>
            <m:t>S</m:t>
          </m:r>
          <m:r>
            <m:rPr>
              <m:sty m:val="bi"/>
            </m:rPr>
            <w:rPr>
              <w:rFonts w:ascii="Cambria Math" w:hAnsi="Cambria Math"/>
              <w:sz w:val="15"/>
              <w:szCs w:val="15"/>
              <w:lang w:val="en-US"/>
            </w:rPr>
            <m:t>-</m:t>
          </m:r>
          <m:r>
            <m:rPr>
              <m:nor/>
            </m:rPr>
            <w:rPr>
              <w:b/>
              <w:bCs/>
              <w:i/>
              <w:iCs/>
              <w:sz w:val="15"/>
              <w:szCs w:val="15"/>
              <w:lang w:val="en-US"/>
            </w:rPr>
            <m:t>I</m:t>
          </m:r>
          <m:r>
            <m:rPr>
              <m:sty m:val="bi"/>
            </m:rPr>
            <w:rPr>
              <w:rFonts w:ascii="Cambria Math" w:hAnsi="Cambria Math"/>
              <w:sz w:val="15"/>
              <w:szCs w:val="15"/>
              <w:lang w:val="en-US"/>
            </w:rPr>
            <m:t>=</m:t>
          </m:r>
          <m:d>
            <m:dPr>
              <m:ctrlPr>
                <w:rPr>
                  <w:rFonts w:ascii="Cambria Math" w:hAnsi="Cambria Math"/>
                  <w:b/>
                  <w:bCs/>
                  <w:i/>
                  <w:iCs/>
                  <w:sz w:val="15"/>
                  <w:szCs w:val="15"/>
                </w:rPr>
              </m:ctrlPr>
            </m:dPr>
            <m:e>
              <m:sSub>
                <m:sSubPr>
                  <m:ctrlPr>
                    <w:rPr>
                      <w:rFonts w:ascii="Cambria Math" w:hAnsi="Cambria Math"/>
                      <w:b/>
                      <w:bCs/>
                      <w:i/>
                      <w:iCs/>
                      <w:sz w:val="15"/>
                      <w:szCs w:val="15"/>
                    </w:rPr>
                  </m:ctrlPr>
                </m:sSubPr>
                <m:e>
                  <m:r>
                    <m:rPr>
                      <m:nor/>
                    </m:rPr>
                    <w:rPr>
                      <w:b/>
                      <w:bCs/>
                      <w:i/>
                      <w:iCs/>
                      <w:sz w:val="15"/>
                      <w:szCs w:val="15"/>
                      <w:lang w:val="en-US"/>
                    </w:rPr>
                    <m:t>S</m:t>
                  </m:r>
                </m:e>
                <m:sub>
                  <m:r>
                    <m:rPr>
                      <m:nor/>
                    </m:rPr>
                    <w:rPr>
                      <w:b/>
                      <w:bCs/>
                      <w:i/>
                      <w:iCs/>
                      <w:sz w:val="15"/>
                      <w:szCs w:val="15"/>
                      <w:lang w:val="en-US"/>
                    </w:rPr>
                    <m:t>PDO</m:t>
                  </m:r>
                </m:sub>
              </m:sSub>
              <m:r>
                <m:rPr>
                  <m:sty m:val="bi"/>
                </m:rPr>
                <w:rPr>
                  <w:rFonts w:ascii="Cambria Math" w:hAnsi="Cambria Math"/>
                  <w:sz w:val="15"/>
                  <w:szCs w:val="15"/>
                  <w:lang w:val="en-US"/>
                </w:rPr>
                <m:t>-</m:t>
              </m:r>
              <m:sSub>
                <m:sSubPr>
                  <m:ctrlPr>
                    <w:rPr>
                      <w:rFonts w:ascii="Cambria Math" w:hAnsi="Cambria Math"/>
                      <w:b/>
                      <w:bCs/>
                      <w:i/>
                      <w:iCs/>
                      <w:sz w:val="15"/>
                      <w:szCs w:val="15"/>
                    </w:rPr>
                  </m:ctrlPr>
                </m:sSubPr>
                <m:e>
                  <m:r>
                    <m:rPr>
                      <m:nor/>
                    </m:rPr>
                    <w:rPr>
                      <w:b/>
                      <w:bCs/>
                      <w:i/>
                      <w:iCs/>
                      <w:sz w:val="15"/>
                      <w:szCs w:val="15"/>
                      <w:lang w:val="en-US"/>
                    </w:rPr>
                    <m:t>I</m:t>
                  </m:r>
                </m:e>
                <m:sub>
                  <m:r>
                    <m:rPr>
                      <m:nor/>
                    </m:rPr>
                    <w:rPr>
                      <w:b/>
                      <w:bCs/>
                      <w:i/>
                      <w:iCs/>
                      <w:sz w:val="15"/>
                      <w:szCs w:val="15"/>
                      <w:lang w:val="en-US"/>
                    </w:rPr>
                    <m:t>PDA</m:t>
                  </m:r>
                </m:sub>
              </m:sSub>
            </m:e>
          </m:d>
          <m:r>
            <m:rPr>
              <m:sty m:val="bi"/>
            </m:rPr>
            <w:rPr>
              <w:rFonts w:ascii="Cambria Math" w:hAnsi="Cambria Math"/>
              <w:sz w:val="15"/>
              <w:szCs w:val="15"/>
              <w:lang w:val="en-US"/>
            </w:rPr>
            <m:t>+</m:t>
          </m:r>
          <m:d>
            <m:dPr>
              <m:ctrlPr>
                <w:rPr>
                  <w:rFonts w:ascii="Cambria Math" w:hAnsi="Cambria Math"/>
                  <w:b/>
                  <w:bCs/>
                  <w:i/>
                  <w:iCs/>
                  <w:sz w:val="15"/>
                  <w:szCs w:val="15"/>
                </w:rPr>
              </m:ctrlPr>
            </m:dPr>
            <m:e>
              <m:r>
                <m:rPr>
                  <m:nor/>
                </m:rPr>
                <w:rPr>
                  <w:b/>
                  <w:bCs/>
                  <w:i/>
                  <w:iCs/>
                  <w:sz w:val="15"/>
                  <w:szCs w:val="15"/>
                  <w:lang w:val="en-US"/>
                </w:rPr>
                <m:t>T</m:t>
              </m:r>
              <m:r>
                <m:rPr>
                  <m:sty m:val="bi"/>
                </m:rPr>
                <w:rPr>
                  <w:rFonts w:ascii="Cambria Math" w:hAnsi="Cambria Math"/>
                  <w:sz w:val="15"/>
                  <w:szCs w:val="15"/>
                  <w:lang w:val="en-US"/>
                </w:rPr>
                <m:t>-</m:t>
              </m:r>
              <m:r>
                <m:rPr>
                  <m:nor/>
                </m:rPr>
                <w:rPr>
                  <w:b/>
                  <w:bCs/>
                  <w:i/>
                  <w:iCs/>
                  <w:sz w:val="15"/>
                  <w:szCs w:val="15"/>
                  <w:lang w:val="en-US"/>
                </w:rPr>
                <m:t>G</m:t>
              </m:r>
            </m:e>
          </m:d>
        </m:oMath>
      </m:oMathPara>
    </w:p>
    <w:p w14:paraId="01B5A24C" w14:textId="072481FB" w:rsidR="00BF79DD" w:rsidRPr="00BF79DD" w:rsidRDefault="00BF79DD" w:rsidP="00DF0261">
      <w:pPr>
        <w:pStyle w:val="Nivel1SM"/>
        <w:keepNext/>
        <w:spacing w:after="0"/>
      </w:pPr>
      <w:r w:rsidRPr="00BF79DD">
        <w:t>¿Los cambios vienen explicados por cambios en el ahorro nacional o cambios en la inversión nacional?</w:t>
      </w:r>
    </w:p>
    <w:p w14:paraId="301FEB8B" w14:textId="4F27CC54" w:rsidR="00BF79DD" w:rsidRPr="00BF79DD" w:rsidRDefault="00BF79DD" w:rsidP="002D28EA">
      <w:pPr>
        <w:pStyle w:val="Nivel2SM"/>
        <w:keepNext/>
        <w:spacing w:after="0"/>
      </w:pPr>
      <w:r w:rsidRPr="00BF79DD">
        <w:t>Una cuenta corriente negativa implica que la economía invierte más de lo que ahorra</w:t>
      </w:r>
      <w:r>
        <w:t>.</w:t>
      </w:r>
    </w:p>
    <w:p w14:paraId="11B99F56" w14:textId="28FB6393" w:rsidR="00BF79DD" w:rsidRDefault="00BF79DD" w:rsidP="002D28EA">
      <w:pPr>
        <w:pStyle w:val="Nivel3SM"/>
      </w:pPr>
      <w:r>
        <w:t>Si</w:t>
      </w:r>
      <w:r w:rsidRPr="00BF79DD">
        <w:t xml:space="preserve"> no dan los datos de ahorro e inversión nacional y tampoco lo dan por sectores (</w:t>
      </w:r>
      <w:r>
        <w:t>a</w:t>
      </w:r>
      <w:r w:rsidRPr="00BF79DD">
        <w:t>horro empresas + ahorro público + ahorro hogares), pero sí que dan el ahorro del sector privado o de los hogares, decir que es necesario el ahorro nacional en su conjunto, pero que suponiendo que el nacional sigue la misma tónica que el privado/hogares, entonces…</w:t>
      </w:r>
    </w:p>
    <w:p w14:paraId="7FFF998A" w14:textId="24214BC9" w:rsidR="00DF0261" w:rsidRDefault="00DF0261" w:rsidP="002D28EA">
      <w:pPr>
        <w:pStyle w:val="Nivel2SM"/>
      </w:pPr>
      <w:r>
        <w:t>Un déficit por cuenta corriente puede verse como un insuficiente ahorro nacional (a valorar como algo negativo) o a una excesiva inversión nacional (no necesariamente negativo).</w:t>
      </w:r>
    </w:p>
    <w:p w14:paraId="7CD7C274" w14:textId="4D1BE53D" w:rsidR="00BF79DD" w:rsidRDefault="00BF79DD" w:rsidP="00DF0261">
      <w:pPr>
        <w:pStyle w:val="Nivel1SM"/>
        <w:keepNext/>
        <w:spacing w:after="0"/>
      </w:pPr>
      <w:r w:rsidRPr="00BF79DD">
        <w:t>Comentar si el desequilibrio tiene su origen en el sector público o en el sector privado.</w:t>
      </w:r>
      <w:r w:rsidR="00DF0261">
        <w:t xml:space="preserve"> Un déficit por cuenta corriente puede verse como un insuficiente ahorro privado y/o como un insuficiente ahorro público. </w:t>
      </w:r>
      <w:r w:rsidR="00DF0261">
        <w:t>Permite, pues, ver si el déficit exterior va seguido de un déficit público –déficits gemelos– (a valorar como algo negativo).</w:t>
      </w:r>
    </w:p>
    <w:p w14:paraId="36D7E097" w14:textId="6765C14A" w:rsidR="00DF0261" w:rsidRDefault="00DF0261" w:rsidP="002D28EA">
      <w:pPr>
        <w:pStyle w:val="Nivel2SM"/>
        <w:keepNext/>
        <w:spacing w:after="0"/>
      </w:pPr>
      <w:r>
        <w:t xml:space="preserve">Aquí es importante destacar el </w:t>
      </w:r>
      <w:r>
        <w:rPr>
          <w:i/>
          <w:iCs/>
        </w:rPr>
        <w:t>enfoque fiscal de la balanza de pagos</w:t>
      </w:r>
      <w:r>
        <w:t>, según el cual la causalidad entre ambos déficits es que el déficit público estimula el déficit por cuenta corriente (y no al revés) a través de 2 vías:</w:t>
      </w:r>
    </w:p>
    <w:p w14:paraId="4F26D501" w14:textId="16192F21" w:rsidR="00DF0261" w:rsidRPr="002D28EA" w:rsidRDefault="00DF0261" w:rsidP="002D28EA">
      <w:pPr>
        <w:pStyle w:val="Nivel3SM"/>
        <w:rPr>
          <w:szCs w:val="20"/>
        </w:rPr>
      </w:pPr>
      <m:oMath>
        <m:r>
          <m:rPr>
            <m:nor/>
          </m:rPr>
          <w:rPr>
            <w:rFonts w:cs="Times New Roman"/>
            <w:sz w:val="14"/>
            <w:szCs w:val="14"/>
          </w:rPr>
          <m:t>↑</m:t>
        </m:r>
        <m:d>
          <m:dPr>
            <m:ctrlPr>
              <w:rPr>
                <w:rFonts w:ascii="Cambria Math" w:hAnsi="Cambria Math"/>
                <w:i/>
                <w:iCs/>
                <w:sz w:val="14"/>
                <w:szCs w:val="14"/>
              </w:rPr>
            </m:ctrlPr>
          </m:dPr>
          <m:e>
            <m:r>
              <m:rPr>
                <m:nor/>
              </m:rPr>
              <w:rPr>
                <w:i/>
                <w:iCs/>
                <w:sz w:val="14"/>
                <w:szCs w:val="14"/>
              </w:rPr>
              <m:t>T</m:t>
            </m:r>
            <m:r>
              <w:rPr>
                <w:rFonts w:ascii="Cambria Math" w:hAnsi="Cambria Math"/>
                <w:sz w:val="14"/>
                <w:szCs w:val="14"/>
              </w:rPr>
              <m:t>-</m:t>
            </m:r>
            <m:r>
              <m:rPr>
                <m:nor/>
              </m:rPr>
              <w:rPr>
                <w:i/>
                <w:iCs/>
                <w:sz w:val="14"/>
                <w:szCs w:val="14"/>
              </w:rPr>
              <m:t>G</m:t>
            </m:r>
          </m:e>
        </m:d>
        <m:r>
          <m:rPr>
            <m:sty m:val="bi"/>
          </m:rPr>
          <w:rPr>
            <w:rFonts w:ascii="Cambria Math" w:hAnsi="Cambria Math"/>
            <w:sz w:val="14"/>
            <w:szCs w:val="14"/>
          </w:rPr>
          <m:t>⟹</m:t>
        </m:r>
        <m:r>
          <m:rPr>
            <m:nor/>
          </m:rPr>
          <w:rPr>
            <w:rFonts w:cs="Times New Roman"/>
            <w:i/>
            <w:iCs/>
            <w:sz w:val="14"/>
            <w:szCs w:val="14"/>
          </w:rPr>
          <m:t>↑</m:t>
        </m:r>
        <m:r>
          <m:rPr>
            <m:nor/>
          </m:rPr>
          <w:rPr>
            <w:i/>
            <w:iCs/>
            <w:sz w:val="14"/>
            <w:szCs w:val="14"/>
          </w:rPr>
          <m:t>i</m:t>
        </m:r>
        <m:r>
          <m:rPr>
            <m:sty m:val="bi"/>
          </m:rPr>
          <w:rPr>
            <w:rFonts w:ascii="Cambria Math" w:hAnsi="Cambria Math"/>
            <w:sz w:val="14"/>
            <w:szCs w:val="14"/>
          </w:rPr>
          <m:t>⟹</m:t>
        </m:r>
        <m:r>
          <m:rPr>
            <m:nor/>
          </m:rPr>
          <w:rPr>
            <w:i/>
            <w:iCs/>
            <w:sz w:val="14"/>
            <w:szCs w:val="14"/>
          </w:rPr>
          <m:t>Entran capitales</m:t>
        </m:r>
        <m:r>
          <m:rPr>
            <m:sty m:val="bi"/>
          </m:rPr>
          <w:rPr>
            <w:rFonts w:ascii="Cambria Math" w:hAnsi="Cambria Math"/>
            <w:sz w:val="14"/>
            <w:szCs w:val="14"/>
          </w:rPr>
          <m:t>⟹</m:t>
        </m:r>
        <m:r>
          <m:rPr>
            <m:nor/>
          </m:rPr>
          <w:rPr>
            <w:rFonts w:cs="Times New Roman"/>
            <w:i/>
            <w:iCs/>
            <w:sz w:val="14"/>
            <w:szCs w:val="14"/>
          </w:rPr>
          <m:t>↓</m:t>
        </m:r>
        <m:r>
          <m:rPr>
            <m:nor/>
          </m:rPr>
          <w:rPr>
            <w:i/>
            <w:iCs/>
            <w:sz w:val="14"/>
            <w:szCs w:val="14"/>
          </w:rPr>
          <m:t>E (i.e. la moneda se aprecia)</m:t>
        </m:r>
        <m:r>
          <m:rPr>
            <m:sty m:val="bi"/>
          </m:rPr>
          <w:rPr>
            <w:rFonts w:ascii="Cambria Math" w:hAnsi="Cambria Math"/>
            <w:sz w:val="14"/>
            <w:szCs w:val="14"/>
          </w:rPr>
          <m:t>⟹</m:t>
        </m:r>
        <m:r>
          <m:rPr>
            <m:nor/>
          </m:rPr>
          <w:rPr>
            <w:rFonts w:cs="Times New Roman"/>
            <w:i/>
            <w:iCs/>
            <w:sz w:val="14"/>
            <w:szCs w:val="14"/>
          </w:rPr>
          <m:t>↓</m:t>
        </m:r>
        <m:r>
          <m:rPr>
            <m:nor/>
          </m:rPr>
          <w:rPr>
            <w:i/>
            <w:iCs/>
            <w:sz w:val="14"/>
            <w:szCs w:val="14"/>
          </w:rPr>
          <m:t>XN</m:t>
        </m:r>
      </m:oMath>
      <w:r w:rsidRPr="002D28EA">
        <w:rPr>
          <w:rFonts w:eastAsiaTheme="minorEastAsia"/>
          <w:sz w:val="15"/>
          <w:szCs w:val="15"/>
        </w:rPr>
        <w:t>.</w:t>
      </w:r>
    </w:p>
    <w:p w14:paraId="73342987" w14:textId="77AFBBDB" w:rsidR="00DF0261" w:rsidRPr="00DF0261" w:rsidRDefault="00DF0261" w:rsidP="002D28EA">
      <w:pPr>
        <w:pStyle w:val="Nivel3SM"/>
        <w:rPr>
          <w:szCs w:val="20"/>
          <w:lang w:val="fr-FR"/>
        </w:rPr>
      </w:pPr>
      <m:oMath>
        <m:r>
          <m:rPr>
            <m:nor/>
          </m:rPr>
          <w:rPr>
            <w:rFonts w:cs="Times New Roman"/>
            <w:sz w:val="14"/>
            <w:szCs w:val="14"/>
            <w:lang w:val="fr-FR"/>
          </w:rPr>
          <m:t>↑</m:t>
        </m:r>
        <m:d>
          <m:dPr>
            <m:ctrlPr>
              <w:rPr>
                <w:rFonts w:ascii="Cambria Math" w:hAnsi="Cambria Math"/>
                <w:i/>
                <w:iCs/>
                <w:sz w:val="14"/>
                <w:szCs w:val="14"/>
              </w:rPr>
            </m:ctrlPr>
          </m:dPr>
          <m:e>
            <m:r>
              <m:rPr>
                <m:nor/>
              </m:rPr>
              <w:rPr>
                <w:i/>
                <w:iCs/>
                <w:sz w:val="14"/>
                <w:szCs w:val="14"/>
                <w:lang w:val="fr-FR"/>
              </w:rPr>
              <m:t>T</m:t>
            </m:r>
            <m:r>
              <w:rPr>
                <w:rFonts w:ascii="Cambria Math" w:hAnsi="Cambria Math"/>
                <w:sz w:val="14"/>
                <w:szCs w:val="14"/>
                <w:lang w:val="fr-FR"/>
              </w:rPr>
              <m:t>-</m:t>
            </m:r>
            <m:r>
              <m:rPr>
                <m:nor/>
              </m:rPr>
              <w:rPr>
                <w:i/>
                <w:iCs/>
                <w:sz w:val="14"/>
                <w:szCs w:val="14"/>
                <w:lang w:val="fr-FR"/>
              </w:rPr>
              <m:t>G</m:t>
            </m:r>
          </m:e>
        </m:d>
        <m:r>
          <m:rPr>
            <m:sty m:val="bi"/>
          </m:rPr>
          <w:rPr>
            <w:rFonts w:ascii="Cambria Math" w:hAnsi="Cambria Math"/>
            <w:sz w:val="14"/>
            <w:szCs w:val="14"/>
          </w:rPr>
          <m:t>⟹</m:t>
        </m:r>
        <m:r>
          <m:rPr>
            <m:nor/>
          </m:rPr>
          <w:rPr>
            <w:rFonts w:cs="Times New Roman"/>
            <w:i/>
            <w:iCs/>
            <w:sz w:val="14"/>
            <w:szCs w:val="14"/>
            <w:lang w:val="fr-FR"/>
          </w:rPr>
          <m:t>↑</m:t>
        </m:r>
        <m:r>
          <m:rPr>
            <m:nor/>
          </m:rPr>
          <w:rPr>
            <w:i/>
            <w:iCs/>
            <w:sz w:val="14"/>
            <w:szCs w:val="14"/>
            <w:lang w:val="fr-FR"/>
          </w:rPr>
          <m:t>Y</m:t>
        </m:r>
        <m:r>
          <m:rPr>
            <m:sty m:val="bi"/>
          </m:rPr>
          <w:rPr>
            <w:rFonts w:ascii="Cambria Math" w:hAnsi="Cambria Math"/>
            <w:sz w:val="14"/>
            <w:szCs w:val="14"/>
          </w:rPr>
          <m:t>⟹</m:t>
        </m:r>
        <m:r>
          <m:rPr>
            <m:nor/>
          </m:rPr>
          <w:rPr>
            <w:rFonts w:cs="Times New Roman"/>
            <w:i/>
            <w:iCs/>
            <w:sz w:val="14"/>
            <w:szCs w:val="14"/>
            <w:lang w:val="fr-FR"/>
          </w:rPr>
          <m:t>↑</m:t>
        </m:r>
        <m:r>
          <m:rPr>
            <m:nor/>
          </m:rPr>
          <w:rPr>
            <w:i/>
            <w:iCs/>
            <w:sz w:val="14"/>
            <w:szCs w:val="14"/>
            <w:lang w:val="fr-FR"/>
          </w:rPr>
          <m:t>M</m:t>
        </m:r>
        <m:r>
          <m:rPr>
            <m:sty m:val="bi"/>
          </m:rPr>
          <w:rPr>
            <w:rFonts w:ascii="Cambria Math" w:hAnsi="Cambria Math"/>
            <w:sz w:val="14"/>
            <w:szCs w:val="14"/>
          </w:rPr>
          <m:t>⟹</m:t>
        </m:r>
        <m:r>
          <m:rPr>
            <m:nor/>
          </m:rPr>
          <w:rPr>
            <w:rFonts w:cs="Times New Roman"/>
            <w:i/>
            <w:iCs/>
            <w:sz w:val="14"/>
            <w:szCs w:val="14"/>
            <w:lang w:val="fr-FR"/>
          </w:rPr>
          <m:t>↓</m:t>
        </m:r>
        <m:r>
          <m:rPr>
            <m:nor/>
          </m:rPr>
          <w:rPr>
            <w:i/>
            <w:iCs/>
            <w:sz w:val="14"/>
            <w:szCs w:val="14"/>
            <w:lang w:val="fr-FR"/>
          </w:rPr>
          <m:t>XN</m:t>
        </m:r>
      </m:oMath>
      <w:r w:rsidRPr="002D28EA">
        <w:rPr>
          <w:rFonts w:eastAsiaTheme="minorEastAsia"/>
          <w:lang w:val="fr-FR"/>
        </w:rPr>
        <w:t>.</w:t>
      </w:r>
    </w:p>
    <w:p w14:paraId="745EB3AF" w14:textId="2D91976E" w:rsidR="00886932" w:rsidRPr="00BF79DD" w:rsidRDefault="00886932" w:rsidP="00AF4F87">
      <w:pPr>
        <w:pStyle w:val="Ttulo3"/>
        <w:rPr>
          <w:lang w:val="en-US"/>
        </w:rPr>
      </w:pPr>
      <w:bookmarkStart w:id="282" w:name="_Toc88566005"/>
      <w:bookmarkStart w:id="283" w:name="_Toc88566145"/>
      <w:bookmarkStart w:id="284" w:name="_Toc173446363"/>
      <w:bookmarkStart w:id="285" w:name="_Toc189085819"/>
      <w:proofErr w:type="spellStart"/>
      <w:r w:rsidRPr="00BF79DD">
        <w:rPr>
          <w:lang w:val="en-US"/>
        </w:rPr>
        <w:t>Cuenta</w:t>
      </w:r>
      <w:proofErr w:type="spellEnd"/>
      <w:r w:rsidRPr="00BF79DD">
        <w:rPr>
          <w:lang w:val="en-US"/>
        </w:rPr>
        <w:t xml:space="preserve"> de capital</w:t>
      </w:r>
      <w:bookmarkEnd w:id="282"/>
      <w:bookmarkEnd w:id="283"/>
      <w:bookmarkEnd w:id="284"/>
      <w:bookmarkEnd w:id="285"/>
    </w:p>
    <w:p w14:paraId="3C97F602" w14:textId="71D4A89A" w:rsidR="00BB49C2" w:rsidRPr="00025F23" w:rsidRDefault="00000000" w:rsidP="00BB49C2">
      <w:pPr>
        <w:ind w:right="-4253"/>
        <w:rPr>
          <w:rFonts w:eastAsiaTheme="minorEastAsia"/>
          <w:iCs/>
          <w:sz w:val="15"/>
          <w:szCs w:val="15"/>
        </w:rPr>
      </w:pPr>
      <m:oMathPara>
        <m:oMathParaPr>
          <m:jc m:val="left"/>
        </m:oMathParaPr>
        <m:oMath>
          <m:limLow>
            <m:limLowPr>
              <m:ctrlPr>
                <w:rPr>
                  <w:rStyle w:val="Hipervnculo"/>
                  <w:rFonts w:ascii="Cambria Math" w:hAnsi="Cambria Math"/>
                  <w:i/>
                  <w:color w:val="auto"/>
                  <w:sz w:val="15"/>
                  <w:szCs w:val="15"/>
                  <w:u w:val="none"/>
                </w:rPr>
              </m:ctrlPr>
            </m:limLowPr>
            <m:e>
              <m:groupChr>
                <m:groupChrPr>
                  <m:ctrlPr>
                    <w:rPr>
                      <w:rStyle w:val="Hipervnculo"/>
                      <w:rFonts w:ascii="Cambria Math" w:hAnsi="Cambria Math"/>
                      <w:i/>
                      <w:color w:val="auto"/>
                      <w:sz w:val="15"/>
                      <w:szCs w:val="15"/>
                      <w:u w:val="none"/>
                    </w:rPr>
                  </m:ctrlPr>
                </m:groupChrPr>
                <m:e>
                  <m:limLow>
                    <m:limLowPr>
                      <m:ctrlPr>
                        <w:rPr>
                          <w:rStyle w:val="Hipervnculo"/>
                          <w:rFonts w:ascii="Cambria Math" w:hAnsi="Cambria Math"/>
                          <w:i/>
                          <w:color w:val="auto"/>
                          <w:sz w:val="15"/>
                          <w:szCs w:val="15"/>
                          <w:u w:val="none"/>
                        </w:rPr>
                      </m:ctrlPr>
                    </m:limLowPr>
                    <m:e>
                      <m:groupChr>
                        <m:groupChrPr>
                          <m:ctrlPr>
                            <w:rPr>
                              <w:rStyle w:val="Hipervnculo"/>
                              <w:rFonts w:ascii="Cambria Math" w:hAnsi="Cambria Math"/>
                              <w:i/>
                              <w:color w:val="auto"/>
                              <w:sz w:val="15"/>
                              <w:szCs w:val="15"/>
                              <w:u w:val="none"/>
                            </w:rPr>
                          </m:ctrlPr>
                        </m:groupChrPr>
                        <m:e>
                          <m:limUpp>
                            <m:limUppPr>
                              <m:ctrlPr>
                                <w:rPr>
                                  <w:rFonts w:ascii="Cambria Math" w:hAnsi="Cambria Math"/>
                                  <w:i/>
                                  <w:iCs/>
                                  <w:sz w:val="15"/>
                                  <w:szCs w:val="15"/>
                                </w:rPr>
                              </m:ctrlPr>
                            </m:limUppPr>
                            <m:e>
                              <m:groupChr>
                                <m:groupChrPr>
                                  <m:chr m:val="⏞"/>
                                  <m:pos m:val="top"/>
                                  <m:vertJc m:val="bot"/>
                                  <m:ctrlPr>
                                    <w:rPr>
                                      <w:rFonts w:ascii="Cambria Math" w:hAnsi="Cambria Math"/>
                                      <w:i/>
                                      <w:iCs/>
                                      <w:sz w:val="15"/>
                                      <w:szCs w:val="15"/>
                                    </w:rPr>
                                  </m:ctrlPr>
                                </m:groupChrPr>
                                <m:e>
                                  <m:r>
                                    <m:rPr>
                                      <m:nor/>
                                    </m:rPr>
                                    <w:rPr>
                                      <w:i/>
                                      <w:iCs/>
                                      <w:sz w:val="15"/>
                                      <w:szCs w:val="15"/>
                                    </w:rPr>
                                    <m:t>CC</m:t>
                                  </m:r>
                                </m:e>
                              </m:groupChr>
                            </m:e>
                            <m:lim>
                              <m:eqArr>
                                <m:eqArrPr>
                                  <m:ctrlPr>
                                    <w:rPr>
                                      <w:rFonts w:ascii="Cambria Math" w:hAnsi="Cambria Math"/>
                                      <w:i/>
                                      <w:sz w:val="15"/>
                                      <w:szCs w:val="15"/>
                                    </w:rPr>
                                  </m:ctrlPr>
                                </m:eqArrPr>
                                <m:e>
                                  <m:r>
                                    <m:rPr>
                                      <m:nor/>
                                    </m:rPr>
                                    <w:rPr>
                                      <w:i/>
                                      <w:sz w:val="15"/>
                                      <w:szCs w:val="15"/>
                                    </w:rPr>
                                    <m:t>Cuenta</m:t>
                                  </m:r>
                                </m:e>
                                <m:e>
                                  <m:r>
                                    <m:rPr>
                                      <m:nor/>
                                    </m:rPr>
                                    <w:rPr>
                                      <w:i/>
                                      <w:sz w:val="15"/>
                                      <w:szCs w:val="15"/>
                                    </w:rPr>
                                    <m:t xml:space="preserve"> corriente</m:t>
                                  </m:r>
                                </m:e>
                              </m:eqArr>
                            </m:lim>
                          </m:limUpp>
                        </m:e>
                      </m:groupChr>
                    </m:e>
                    <m:lim>
                      <m:limLow>
                        <m:limLowPr>
                          <m:ctrlPr>
                            <w:rPr>
                              <w:rStyle w:val="Hipervnculo"/>
                              <w:rFonts w:ascii="Cambria Math" w:hAnsi="Cambria Math"/>
                              <w:i/>
                              <w:color w:val="auto"/>
                              <w:sz w:val="15"/>
                              <w:szCs w:val="15"/>
                              <w:u w:val="none"/>
                            </w:rPr>
                          </m:ctrlPr>
                        </m:limLowPr>
                        <m:e>
                          <m:groupChr>
                            <m:groupChrPr>
                              <m:ctrlPr>
                                <w:rPr>
                                  <w:rStyle w:val="Hipervnculo"/>
                                  <w:rFonts w:ascii="Cambria Math" w:hAnsi="Cambria Math"/>
                                  <w:i/>
                                  <w:color w:val="auto"/>
                                  <w:sz w:val="15"/>
                                  <w:szCs w:val="15"/>
                                  <w:u w:val="none"/>
                                </w:rPr>
                              </m:ctrlPr>
                            </m:groupChrPr>
                            <m:e>
                              <m:r>
                                <m:rPr>
                                  <m:nor/>
                                </m:rPr>
                                <w:rPr>
                                  <w:rStyle w:val="Hipervnculo"/>
                                  <w:i/>
                                  <w:color w:val="auto"/>
                                  <w:sz w:val="15"/>
                                  <w:szCs w:val="15"/>
                                  <w:u w:val="none"/>
                                </w:rPr>
                                <m:t>CB&amp;S</m:t>
                              </m:r>
                              <m:r>
                                <w:rPr>
                                  <w:rStyle w:val="Hipervnculo"/>
                                  <w:rFonts w:ascii="Cambria Math" w:hAnsi="Cambria Math"/>
                                  <w:color w:val="auto"/>
                                  <w:sz w:val="15"/>
                                  <w:szCs w:val="15"/>
                                  <w:u w:val="none"/>
                                </w:rPr>
                                <m:t>+</m:t>
                              </m:r>
                              <m:r>
                                <m:rPr>
                                  <m:nor/>
                                </m:rPr>
                                <w:rPr>
                                  <w:rStyle w:val="Hipervnculo"/>
                                  <w:i/>
                                  <w:color w:val="auto"/>
                                  <w:sz w:val="15"/>
                                  <w:szCs w:val="15"/>
                                  <w:u w:val="none"/>
                                </w:rPr>
                                <m:t>CR1</m:t>
                              </m:r>
                              <m:r>
                                <m:rPr>
                                  <m:nor/>
                                </m:rPr>
                                <w:rPr>
                                  <w:rStyle w:val="Hipervnculo"/>
                                  <w:i/>
                                  <w:color w:val="auto"/>
                                  <w:sz w:val="15"/>
                                  <w:szCs w:val="15"/>
                                  <w:u w:val="none"/>
                                  <w:vertAlign w:val="superscript"/>
                                </w:rPr>
                                <m:t>as</m:t>
                              </m:r>
                              <m:r>
                                <w:rPr>
                                  <w:rStyle w:val="Hipervnculo"/>
                                  <w:rFonts w:ascii="Cambria Math" w:hAnsi="Cambria Math"/>
                                  <w:color w:val="auto"/>
                                  <w:sz w:val="15"/>
                                  <w:szCs w:val="15"/>
                                  <w:u w:val="none"/>
                                </w:rPr>
                                <m:t>+</m:t>
                              </m:r>
                              <m:r>
                                <m:rPr>
                                  <m:nor/>
                                </m:rPr>
                                <w:rPr>
                                  <w:rStyle w:val="Hipervnculo"/>
                                  <w:i/>
                                  <w:color w:val="auto"/>
                                  <w:sz w:val="15"/>
                                  <w:szCs w:val="15"/>
                                  <w:u w:val="none"/>
                                </w:rPr>
                                <m:t>CR2</m:t>
                              </m:r>
                              <m:r>
                                <m:rPr>
                                  <m:nor/>
                                </m:rPr>
                                <w:rPr>
                                  <w:rStyle w:val="Hipervnculo"/>
                                  <w:i/>
                                  <w:color w:val="auto"/>
                                  <w:sz w:val="15"/>
                                  <w:szCs w:val="15"/>
                                  <w:u w:val="none"/>
                                  <w:vertAlign w:val="superscript"/>
                                </w:rPr>
                                <m:t>as</m:t>
                              </m:r>
                            </m:e>
                          </m:groupChr>
                        </m:e>
                        <m:lim>
                          <m:r>
                            <m:rPr>
                              <m:nor/>
                            </m:rPr>
                            <w:rPr>
                              <w:i/>
                              <w:iCs/>
                              <w:sz w:val="15"/>
                              <w:szCs w:val="15"/>
                            </w:rPr>
                            <m:t>X</m:t>
                          </m:r>
                          <m:r>
                            <w:rPr>
                              <w:rFonts w:ascii="Cambria Math" w:hAnsi="Cambria Math"/>
                              <w:sz w:val="15"/>
                              <w:szCs w:val="15"/>
                            </w:rPr>
                            <m:t>-</m:t>
                          </m:r>
                          <m:r>
                            <m:rPr>
                              <m:nor/>
                            </m:rPr>
                            <w:rPr>
                              <w:i/>
                              <w:iCs/>
                              <w:sz w:val="15"/>
                              <w:szCs w:val="15"/>
                            </w:rPr>
                            <m:t>M</m:t>
                          </m:r>
                          <m:r>
                            <w:rPr>
                              <w:rFonts w:ascii="Cambria Math" w:hAnsi="Cambria Math"/>
                              <w:sz w:val="15"/>
                              <w:szCs w:val="15"/>
                            </w:rPr>
                            <m:t>+</m:t>
                          </m:r>
                          <m:r>
                            <m:rPr>
                              <m:nor/>
                            </m:rPr>
                            <w:rPr>
                              <w:i/>
                              <w:iCs/>
                              <w:sz w:val="15"/>
                              <w:szCs w:val="15"/>
                            </w:rPr>
                            <m:t>rentas</m:t>
                          </m:r>
                          <m:r>
                            <w:rPr>
                              <w:rFonts w:ascii="Cambria Math" w:hAnsi="Cambria Math"/>
                              <w:sz w:val="15"/>
                              <w:szCs w:val="15"/>
                            </w:rPr>
                            <m:t>=</m:t>
                          </m:r>
                          <m:r>
                            <m:rPr>
                              <m:nor/>
                            </m:rPr>
                            <w:rPr>
                              <w:i/>
                              <w:iCs/>
                              <w:sz w:val="15"/>
                              <w:szCs w:val="15"/>
                            </w:rPr>
                            <m:t>Y</m:t>
                          </m:r>
                          <m:r>
                            <w:rPr>
                              <w:rFonts w:ascii="Cambria Math" w:hAnsi="Cambria Math"/>
                              <w:sz w:val="15"/>
                              <w:szCs w:val="15"/>
                            </w:rPr>
                            <m:t>-</m:t>
                          </m:r>
                          <m:r>
                            <m:rPr>
                              <m:nor/>
                            </m:rPr>
                            <w:rPr>
                              <w:i/>
                              <w:iCs/>
                              <w:sz w:val="15"/>
                              <w:szCs w:val="15"/>
                            </w:rPr>
                            <m:t>A</m:t>
                          </m:r>
                          <m:r>
                            <w:rPr>
                              <w:rFonts w:ascii="Cambria Math" w:hAnsi="Cambria Math"/>
                              <w:sz w:val="15"/>
                              <w:szCs w:val="15"/>
                            </w:rPr>
                            <m:t>+</m:t>
                          </m:r>
                          <m:r>
                            <m:rPr>
                              <m:nor/>
                            </m:rPr>
                            <w:rPr>
                              <w:i/>
                              <w:iCs/>
                              <w:sz w:val="15"/>
                              <w:szCs w:val="15"/>
                            </w:rPr>
                            <m:t>rentas</m:t>
                          </m:r>
                          <m:r>
                            <w:rPr>
                              <w:rFonts w:ascii="Cambria Math" w:hAnsi="Cambria Math"/>
                              <w:sz w:val="15"/>
                              <w:szCs w:val="15"/>
                            </w:rPr>
                            <m:t>=</m:t>
                          </m:r>
                          <m:r>
                            <m:rPr>
                              <m:nor/>
                            </m:rPr>
                            <w:rPr>
                              <w:i/>
                              <w:iCs/>
                              <w:sz w:val="15"/>
                              <w:szCs w:val="15"/>
                            </w:rPr>
                            <m:t>S</m:t>
                          </m:r>
                          <m:r>
                            <w:rPr>
                              <w:rFonts w:ascii="Cambria Math" w:hAnsi="Cambria Math"/>
                              <w:sz w:val="15"/>
                              <w:szCs w:val="15"/>
                            </w:rPr>
                            <m:t>-</m:t>
                          </m:r>
                          <m:r>
                            <m:rPr>
                              <m:nor/>
                            </m:rPr>
                            <w:rPr>
                              <w:i/>
                              <w:iCs/>
                              <w:sz w:val="15"/>
                              <w:szCs w:val="15"/>
                            </w:rPr>
                            <m:t>I</m:t>
                          </m:r>
                          <m:r>
                            <w:rPr>
                              <w:rFonts w:ascii="Cambria Math" w:hAnsi="Cambria Math"/>
                              <w:sz w:val="15"/>
                              <w:szCs w:val="15"/>
                            </w:rPr>
                            <m:t>=</m:t>
                          </m:r>
                          <m:d>
                            <m:dPr>
                              <m:ctrlPr>
                                <w:rPr>
                                  <w:rFonts w:ascii="Cambria Math" w:hAnsi="Cambria Math"/>
                                  <w:i/>
                                  <w:iCs/>
                                  <w:sz w:val="15"/>
                                  <w:szCs w:val="15"/>
                                </w:rPr>
                              </m:ctrlPr>
                            </m:dPr>
                            <m:e>
                              <m:sSub>
                                <m:sSubPr>
                                  <m:ctrlPr>
                                    <w:rPr>
                                      <w:rFonts w:ascii="Cambria Math" w:hAnsi="Cambria Math"/>
                                      <w:i/>
                                      <w:iCs/>
                                      <w:sz w:val="15"/>
                                      <w:szCs w:val="15"/>
                                    </w:rPr>
                                  </m:ctrlPr>
                                </m:sSubPr>
                                <m:e>
                                  <m:r>
                                    <m:rPr>
                                      <m:nor/>
                                    </m:rPr>
                                    <w:rPr>
                                      <w:i/>
                                      <w:iCs/>
                                      <w:sz w:val="15"/>
                                      <w:szCs w:val="15"/>
                                    </w:rPr>
                                    <m:t>S</m:t>
                                  </m:r>
                                </m:e>
                                <m:sub>
                                  <m:r>
                                    <m:rPr>
                                      <m:nor/>
                                    </m:rPr>
                                    <w:rPr>
                                      <w:i/>
                                      <w:iCs/>
                                      <w:sz w:val="15"/>
                                      <w:szCs w:val="15"/>
                                    </w:rPr>
                                    <m:t>PDO</m:t>
                                  </m:r>
                                </m:sub>
                              </m:sSub>
                              <m:r>
                                <w:rPr>
                                  <w:rFonts w:ascii="Cambria Math" w:hAnsi="Cambria Math"/>
                                  <w:sz w:val="15"/>
                                  <w:szCs w:val="15"/>
                                </w:rPr>
                                <m:t>-</m:t>
                              </m:r>
                              <m:sSub>
                                <m:sSubPr>
                                  <m:ctrlPr>
                                    <w:rPr>
                                      <w:rFonts w:ascii="Cambria Math" w:hAnsi="Cambria Math"/>
                                      <w:i/>
                                      <w:iCs/>
                                      <w:sz w:val="15"/>
                                      <w:szCs w:val="15"/>
                                    </w:rPr>
                                  </m:ctrlPr>
                                </m:sSubPr>
                                <m:e>
                                  <m:r>
                                    <m:rPr>
                                      <m:nor/>
                                    </m:rPr>
                                    <w:rPr>
                                      <w:i/>
                                      <w:iCs/>
                                      <w:sz w:val="15"/>
                                      <w:szCs w:val="15"/>
                                    </w:rPr>
                                    <m:t>I</m:t>
                                  </m:r>
                                </m:e>
                                <m:sub>
                                  <m:r>
                                    <m:rPr>
                                      <m:nor/>
                                    </m:rPr>
                                    <w:rPr>
                                      <w:i/>
                                      <w:iCs/>
                                      <w:sz w:val="15"/>
                                      <w:szCs w:val="15"/>
                                    </w:rPr>
                                    <m:t>PDA</m:t>
                                  </m:r>
                                </m:sub>
                              </m:sSub>
                            </m:e>
                          </m:d>
                          <m:r>
                            <w:rPr>
                              <w:rFonts w:ascii="Cambria Math" w:hAnsi="Cambria Math"/>
                              <w:sz w:val="15"/>
                              <w:szCs w:val="15"/>
                            </w:rPr>
                            <m:t>+</m:t>
                          </m:r>
                          <m:d>
                            <m:dPr>
                              <m:ctrlPr>
                                <w:rPr>
                                  <w:rFonts w:ascii="Cambria Math" w:hAnsi="Cambria Math"/>
                                  <w:i/>
                                  <w:iCs/>
                                  <w:sz w:val="15"/>
                                  <w:szCs w:val="15"/>
                                </w:rPr>
                              </m:ctrlPr>
                            </m:dPr>
                            <m:e>
                              <m:r>
                                <m:rPr>
                                  <m:nor/>
                                </m:rPr>
                                <w:rPr>
                                  <w:i/>
                                  <w:iCs/>
                                  <w:sz w:val="15"/>
                                  <w:szCs w:val="15"/>
                                </w:rPr>
                                <m:t>T</m:t>
                              </m:r>
                              <m:r>
                                <w:rPr>
                                  <w:rFonts w:ascii="Cambria Math" w:hAnsi="Cambria Math"/>
                                  <w:sz w:val="15"/>
                                  <w:szCs w:val="15"/>
                                </w:rPr>
                                <m:t>-</m:t>
                              </m:r>
                              <m:r>
                                <m:rPr>
                                  <m:nor/>
                                </m:rPr>
                                <w:rPr>
                                  <w:i/>
                                  <w:iCs/>
                                  <w:sz w:val="15"/>
                                  <w:szCs w:val="15"/>
                                </w:rPr>
                                <m:t>G</m:t>
                              </m:r>
                            </m:e>
                          </m:d>
                        </m:lim>
                      </m:limLow>
                    </m:lim>
                  </m:limLow>
                  <m:r>
                    <w:rPr>
                      <w:rStyle w:val="Hipervnculo"/>
                      <w:rFonts w:ascii="Cambria Math" w:hAnsi="Cambria Math"/>
                      <w:color w:val="auto"/>
                      <w:sz w:val="15"/>
                      <w:szCs w:val="15"/>
                      <w:u w:val="none"/>
                    </w:rPr>
                    <m:t>+</m:t>
                  </m:r>
                  <m:limUpp>
                    <m:limUppPr>
                      <m:ctrlPr>
                        <w:rPr>
                          <w:rFonts w:ascii="Cambria Math" w:hAnsi="Cambria Math"/>
                          <w:b/>
                          <w:bCs/>
                          <w:i/>
                          <w:iCs/>
                          <w:color w:val="800000"/>
                          <w:sz w:val="15"/>
                          <w:szCs w:val="15"/>
                        </w:rPr>
                      </m:ctrlPr>
                    </m:limUppPr>
                    <m:e>
                      <m:groupChr>
                        <m:groupChrPr>
                          <m:chr m:val="⏞"/>
                          <m:pos m:val="top"/>
                          <m:vertJc m:val="bot"/>
                          <m:ctrlPr>
                            <w:rPr>
                              <w:rFonts w:ascii="Cambria Math" w:hAnsi="Cambria Math"/>
                              <w:b/>
                              <w:bCs/>
                              <w:i/>
                              <w:iCs/>
                              <w:color w:val="800000"/>
                              <w:sz w:val="15"/>
                              <w:szCs w:val="15"/>
                            </w:rPr>
                          </m:ctrlPr>
                        </m:groupChrPr>
                        <m:e>
                          <m:r>
                            <m:rPr>
                              <m:nor/>
                            </m:rPr>
                            <w:rPr>
                              <w:b/>
                              <w:bCs/>
                              <w:i/>
                              <w:iCs/>
                              <w:color w:val="800000"/>
                              <w:sz w:val="15"/>
                              <w:szCs w:val="15"/>
                            </w:rPr>
                            <m:t>CK</m:t>
                          </m:r>
                        </m:e>
                      </m:groupChr>
                    </m:e>
                    <m:lim>
                      <m:eqArr>
                        <m:eqArrPr>
                          <m:ctrlPr>
                            <w:rPr>
                              <w:rFonts w:ascii="Cambria Math" w:hAnsi="Cambria Math"/>
                              <w:b/>
                              <w:bCs/>
                              <w:i/>
                              <w:color w:val="800000"/>
                              <w:sz w:val="15"/>
                              <w:szCs w:val="15"/>
                            </w:rPr>
                          </m:ctrlPr>
                        </m:eqArrPr>
                        <m:e>
                          <m:r>
                            <m:rPr>
                              <m:nor/>
                            </m:rPr>
                            <w:rPr>
                              <w:b/>
                              <w:bCs/>
                              <w:i/>
                              <w:color w:val="800000"/>
                              <w:sz w:val="15"/>
                              <w:szCs w:val="15"/>
                            </w:rPr>
                            <m:t>Cuenta</m:t>
                          </m:r>
                        </m:e>
                        <m:e>
                          <m:r>
                            <m:rPr>
                              <m:nor/>
                            </m:rPr>
                            <w:rPr>
                              <w:b/>
                              <w:bCs/>
                              <w:i/>
                              <w:color w:val="800000"/>
                              <w:sz w:val="15"/>
                              <w:szCs w:val="15"/>
                            </w:rPr>
                            <m:t>de capital</m:t>
                          </m:r>
                        </m:e>
                      </m:eqArr>
                    </m:lim>
                  </m:limUpp>
                </m:e>
              </m:groupChr>
            </m:e>
            <m:lim>
              <m:r>
                <m:rPr>
                  <m:nor/>
                </m:rPr>
                <w:rPr>
                  <w:i/>
                  <w:sz w:val="15"/>
                  <w:szCs w:val="15"/>
                </w:rPr>
                <m:t xml:space="preserve">Capacidad </m:t>
              </m:r>
              <m:d>
                <m:dPr>
                  <m:ctrlPr>
                    <w:rPr>
                      <w:rFonts w:ascii="Cambria Math" w:hAnsi="Cambria Math"/>
                      <w:i/>
                      <w:sz w:val="15"/>
                      <w:szCs w:val="15"/>
                    </w:rPr>
                  </m:ctrlPr>
                </m:dPr>
                <m:e>
                  <m:r>
                    <w:rPr>
                      <w:rFonts w:ascii="Cambria Math" w:hAnsi="Cambria Math"/>
                      <w:sz w:val="15"/>
                      <w:szCs w:val="15"/>
                    </w:rPr>
                    <m:t>+</m:t>
                  </m:r>
                </m:e>
              </m:d>
              <m:r>
                <m:rPr>
                  <m:nor/>
                </m:rPr>
                <w:rPr>
                  <w:i/>
                  <w:sz w:val="15"/>
                  <w:szCs w:val="15"/>
                </w:rPr>
                <m:t xml:space="preserve"> o Necesidad </m:t>
              </m:r>
              <m:d>
                <m:dPr>
                  <m:ctrlPr>
                    <w:rPr>
                      <w:rFonts w:ascii="Cambria Math" w:hAnsi="Cambria Math"/>
                      <w:i/>
                      <w:sz w:val="15"/>
                      <w:szCs w:val="15"/>
                    </w:rPr>
                  </m:ctrlPr>
                </m:dPr>
                <m:e>
                  <m:r>
                    <w:rPr>
                      <w:rFonts w:ascii="Cambria Math" w:hAnsi="Cambria Math"/>
                      <w:sz w:val="15"/>
                      <w:szCs w:val="15"/>
                    </w:rPr>
                    <m:t>–</m:t>
                  </m:r>
                </m:e>
              </m:d>
              <m:r>
                <m:rPr>
                  <m:nor/>
                </m:rPr>
                <w:rPr>
                  <w:i/>
                  <w:sz w:val="15"/>
                  <w:szCs w:val="15"/>
                </w:rPr>
                <m:t xml:space="preserve"> de Financiación</m:t>
              </m:r>
            </m:lim>
          </m:limLow>
          <m:r>
            <w:rPr>
              <w:rFonts w:ascii="Cambria Math" w:hAnsi="Cambria Math"/>
              <w:sz w:val="15"/>
              <w:szCs w:val="15"/>
            </w:rPr>
            <m:t>+</m:t>
          </m:r>
          <m:limUpp>
            <m:limUppPr>
              <m:ctrlPr>
                <w:rPr>
                  <w:rFonts w:ascii="Cambria Math" w:hAnsi="Cambria Math"/>
                  <w:i/>
                  <w:iCs/>
                  <w:sz w:val="15"/>
                  <w:szCs w:val="15"/>
                </w:rPr>
              </m:ctrlPr>
            </m:limUppPr>
            <m:e>
              <m:groupChr>
                <m:groupChrPr>
                  <m:chr m:val="⏞"/>
                  <m:pos m:val="top"/>
                  <m:vertJc m:val="bot"/>
                  <m:ctrlPr>
                    <w:rPr>
                      <w:rFonts w:ascii="Cambria Math" w:hAnsi="Cambria Math"/>
                      <w:i/>
                      <w:iCs/>
                      <w:sz w:val="15"/>
                      <w:szCs w:val="15"/>
                    </w:rPr>
                  </m:ctrlPr>
                </m:groupChrPr>
                <m:e>
                  <m:r>
                    <m:rPr>
                      <m:nor/>
                    </m:rPr>
                    <w:rPr>
                      <w:i/>
                      <w:iCs/>
                      <w:sz w:val="15"/>
                      <w:szCs w:val="15"/>
                    </w:rPr>
                    <m:t>EO</m:t>
                  </m:r>
                </m:e>
              </m:groupChr>
            </m:e>
            <m:lim>
              <m:eqArr>
                <m:eqArrPr>
                  <m:ctrlPr>
                    <w:rPr>
                      <w:rFonts w:ascii="Cambria Math" w:hAnsi="Cambria Math"/>
                      <w:i/>
                      <w:sz w:val="15"/>
                      <w:szCs w:val="15"/>
                    </w:rPr>
                  </m:ctrlPr>
                </m:eqArrPr>
                <m:e>
                  <m:r>
                    <m:rPr>
                      <m:nor/>
                    </m:rPr>
                    <w:rPr>
                      <w:i/>
                      <w:sz w:val="15"/>
                      <w:szCs w:val="15"/>
                    </w:rPr>
                    <m:t>Errores y</m:t>
                  </m:r>
                </m:e>
                <m:e>
                  <m:r>
                    <m:rPr>
                      <m:nor/>
                    </m:rPr>
                    <w:rPr>
                      <w:i/>
                      <w:sz w:val="15"/>
                      <w:szCs w:val="15"/>
                    </w:rPr>
                    <m:t>omisiones</m:t>
                  </m:r>
                </m:e>
              </m:eqArr>
            </m:lim>
          </m:limUpp>
          <m:r>
            <w:rPr>
              <w:rStyle w:val="Hipervnculo"/>
              <w:rFonts w:ascii="Cambria Math" w:hAnsi="Cambria Math"/>
              <w:color w:val="auto"/>
              <w:sz w:val="15"/>
              <w:szCs w:val="15"/>
              <w:u w:val="none"/>
            </w:rPr>
            <m:t>=</m:t>
          </m:r>
          <m:limLow>
            <m:limLowPr>
              <m:ctrlPr>
                <w:rPr>
                  <w:rStyle w:val="Hipervnculo"/>
                  <w:rFonts w:ascii="Cambria Math" w:hAnsi="Cambria Math"/>
                  <w:i/>
                  <w:color w:val="auto"/>
                  <w:sz w:val="15"/>
                  <w:szCs w:val="15"/>
                  <w:u w:val="none"/>
                </w:rPr>
              </m:ctrlPr>
            </m:limLowPr>
            <m:e>
              <m:groupChr>
                <m:groupChrPr>
                  <m:ctrlPr>
                    <w:rPr>
                      <w:rStyle w:val="Hipervnculo"/>
                      <w:rFonts w:ascii="Cambria Math" w:hAnsi="Cambria Math"/>
                      <w:i/>
                      <w:color w:val="auto"/>
                      <w:sz w:val="15"/>
                      <w:szCs w:val="15"/>
                      <w:u w:val="none"/>
                    </w:rPr>
                  </m:ctrlPr>
                </m:groupChrPr>
                <m:e>
                  <m:limUpp>
                    <m:limUppPr>
                      <m:ctrlPr>
                        <w:rPr>
                          <w:rFonts w:ascii="Cambria Math" w:hAnsi="Cambria Math"/>
                          <w:i/>
                          <w:iCs/>
                          <w:sz w:val="15"/>
                          <w:szCs w:val="15"/>
                        </w:rPr>
                      </m:ctrlPr>
                    </m:limUppPr>
                    <m:e>
                      <m:groupChr>
                        <m:groupChrPr>
                          <m:chr m:val="⏞"/>
                          <m:pos m:val="top"/>
                          <m:vertJc m:val="bot"/>
                          <m:ctrlPr>
                            <w:rPr>
                              <w:rFonts w:ascii="Cambria Math" w:hAnsi="Cambria Math"/>
                              <w:i/>
                              <w:iCs/>
                              <w:sz w:val="15"/>
                              <w:szCs w:val="15"/>
                            </w:rPr>
                          </m:ctrlPr>
                        </m:groupChrPr>
                        <m:e>
                          <m:r>
                            <m:rPr>
                              <m:nor/>
                            </m:rPr>
                            <w:rPr>
                              <w:i/>
                              <w:iCs/>
                              <w:sz w:val="15"/>
                              <w:szCs w:val="15"/>
                            </w:rPr>
                            <m:t>CF</m:t>
                          </m:r>
                        </m:e>
                      </m:groupChr>
                    </m:e>
                    <m:lim>
                      <m:eqArr>
                        <m:eqArrPr>
                          <m:ctrlPr>
                            <w:rPr>
                              <w:rFonts w:ascii="Cambria Math" w:hAnsi="Cambria Math"/>
                              <w:i/>
                              <w:sz w:val="15"/>
                              <w:szCs w:val="15"/>
                            </w:rPr>
                          </m:ctrlPr>
                        </m:eqArrPr>
                        <m:e>
                          <m:r>
                            <m:rPr>
                              <m:nor/>
                            </m:rPr>
                            <w:rPr>
                              <w:i/>
                              <w:sz w:val="15"/>
                              <w:szCs w:val="15"/>
                            </w:rPr>
                            <m:t>Cuenta</m:t>
                          </m:r>
                        </m:e>
                        <m:e>
                          <m:r>
                            <m:rPr>
                              <m:nor/>
                            </m:rPr>
                            <w:rPr>
                              <w:i/>
                              <w:sz w:val="15"/>
                              <w:szCs w:val="15"/>
                            </w:rPr>
                            <m:t>financiera</m:t>
                          </m:r>
                        </m:e>
                      </m:eqArr>
                    </m:lim>
                  </m:limUpp>
                </m:e>
              </m:groupChr>
            </m:e>
            <m:lim>
              <m:r>
                <m:rPr>
                  <m:nor/>
                </m:rPr>
                <w:rPr>
                  <w:rStyle w:val="Hipervnculo"/>
                  <w:i/>
                  <w:color w:val="auto"/>
                  <w:sz w:val="15"/>
                  <w:szCs w:val="15"/>
                  <w:u w:val="none"/>
                </w:rPr>
                <m:t>ID</m:t>
              </m:r>
              <m:r>
                <w:rPr>
                  <w:rStyle w:val="Hipervnculo"/>
                  <w:rFonts w:ascii="Cambria Math" w:hAnsi="Cambria Math"/>
                  <w:color w:val="auto"/>
                  <w:sz w:val="15"/>
                  <w:szCs w:val="15"/>
                  <w:u w:val="none"/>
                </w:rPr>
                <m:t>+</m:t>
              </m:r>
              <m:r>
                <m:rPr>
                  <m:nor/>
                </m:rPr>
                <w:rPr>
                  <w:rStyle w:val="Hipervnculo"/>
                  <w:i/>
                  <w:color w:val="auto"/>
                  <w:sz w:val="15"/>
                  <w:szCs w:val="15"/>
                  <w:u w:val="none"/>
                </w:rPr>
                <m:t>IC</m:t>
              </m:r>
              <m:r>
                <w:rPr>
                  <w:rStyle w:val="Hipervnculo"/>
                  <w:rFonts w:ascii="Cambria Math" w:hAnsi="Cambria Math"/>
                  <w:color w:val="auto"/>
                  <w:sz w:val="15"/>
                  <w:szCs w:val="15"/>
                  <w:u w:val="none"/>
                </w:rPr>
                <m:t>+</m:t>
              </m:r>
              <m:r>
                <m:rPr>
                  <m:nor/>
                </m:rPr>
                <w:rPr>
                  <w:rStyle w:val="Hipervnculo"/>
                  <w:i/>
                  <w:color w:val="auto"/>
                  <w:sz w:val="15"/>
                  <w:szCs w:val="15"/>
                  <w:u w:val="none"/>
                </w:rPr>
                <m:t>Otra inversión</m:t>
              </m:r>
              <m:r>
                <w:rPr>
                  <w:rStyle w:val="Hipervnculo"/>
                  <w:rFonts w:ascii="Cambria Math" w:hAnsi="Cambria Math"/>
                  <w:color w:val="auto"/>
                  <w:sz w:val="15"/>
                  <w:szCs w:val="15"/>
                  <w:u w:val="none"/>
                </w:rPr>
                <m:t>+</m:t>
              </m:r>
              <m:r>
                <m:rPr>
                  <m:nor/>
                </m:rPr>
                <w:rPr>
                  <w:rStyle w:val="Hipervnculo"/>
                  <w:i/>
                  <w:color w:val="auto"/>
                  <w:sz w:val="15"/>
                  <w:szCs w:val="15"/>
                  <w:u w:val="none"/>
                </w:rPr>
                <m:t>Derivados</m:t>
              </m:r>
              <m:r>
                <w:rPr>
                  <w:rStyle w:val="Hipervnculo"/>
                  <w:rFonts w:ascii="Cambria Math" w:hAnsi="Cambria Math"/>
                  <w:color w:val="auto"/>
                  <w:sz w:val="15"/>
                  <w:szCs w:val="15"/>
                  <w:u w:val="none"/>
                </w:rPr>
                <m:t>+</m:t>
              </m:r>
              <m:r>
                <m:rPr>
                  <m:nor/>
                </m:rPr>
                <w:rPr>
                  <w:i/>
                  <w:sz w:val="15"/>
                  <w:szCs w:val="15"/>
                </w:rPr>
                <m:t>∆R</m:t>
              </m:r>
            </m:lim>
          </m:limLow>
        </m:oMath>
      </m:oMathPara>
    </w:p>
    <w:p w14:paraId="7B917BF8" w14:textId="6C8589B9" w:rsidR="00A622DD" w:rsidRPr="00025F23" w:rsidRDefault="002B483A" w:rsidP="00563AD6">
      <w:pPr>
        <w:pStyle w:val="Nivel1SM"/>
      </w:pPr>
      <w:r w:rsidRPr="00025F23">
        <w:t>La cuenta de capital r</w:t>
      </w:r>
      <w:r w:rsidR="00A622DD" w:rsidRPr="00025F23">
        <w:t>ecoge las transferencias de capital y la compraventa de activos no financieros no producidos (recursos naturales, recursos del subsuelo, etc.).</w:t>
      </w:r>
    </w:p>
    <w:p w14:paraId="3E62A6D6" w14:textId="77777777" w:rsidR="00A622DD" w:rsidRPr="00025F23" w:rsidRDefault="00A622DD" w:rsidP="00563AD6">
      <w:pPr>
        <w:pStyle w:val="Nivel1SM"/>
      </w:pPr>
      <w:r w:rsidRPr="00025F23">
        <w:t>A veces se obvia por ser poco importante, pero debe citarse en el cálculo de la capacidad/necesidad de financiación:</w:t>
      </w:r>
    </w:p>
    <w:p w14:paraId="6A3975F6" w14:textId="6B5B7A82" w:rsidR="00A622DD" w:rsidRPr="00025F23" w:rsidRDefault="00A622DD" w:rsidP="00A622DD">
      <w:pPr>
        <w:pStyle w:val="Desarrollocoyuntura"/>
      </w:pPr>
      <w:bookmarkStart w:id="286" w:name="_Toc173446364"/>
      <w:r w:rsidRPr="00025F23">
        <w:t>“La suma de la cuenta corriente y la cuenta de capital determina la capacidad/necesidad de financiación de la economía.</w:t>
      </w:r>
      <w:r w:rsidR="002B483A" w:rsidRPr="00025F23">
        <w:t>”</w:t>
      </w:r>
      <w:bookmarkEnd w:id="286"/>
    </w:p>
    <w:p w14:paraId="0AA81514" w14:textId="3D4C93BB" w:rsidR="00A622DD" w:rsidRPr="00025F23" w:rsidRDefault="00A622DD" w:rsidP="00563AD6">
      <w:pPr>
        <w:pStyle w:val="Nivel1SM"/>
      </w:pPr>
      <w:r w:rsidRPr="00025F23">
        <w:t>Se anotan como ingresos las reducciones de activos netos en el exterior (venta de terrenos, etc.).</w:t>
      </w:r>
    </w:p>
    <w:p w14:paraId="3724899F" w14:textId="1F821A89" w:rsidR="00AF4F87" w:rsidRPr="00025F23" w:rsidRDefault="00AF4F87" w:rsidP="00AD1AFB">
      <w:pPr>
        <w:pStyle w:val="Ttulo2"/>
      </w:pPr>
      <w:bookmarkStart w:id="287" w:name="_Toc173446365"/>
      <w:bookmarkStart w:id="288" w:name="_Toc88566006"/>
      <w:bookmarkStart w:id="289" w:name="_Toc88566146"/>
      <w:bookmarkStart w:id="290" w:name="_Toc189085820"/>
      <w:r w:rsidRPr="00025F23">
        <w:t>¿Cómo se financia el saldo exterior?</w:t>
      </w:r>
      <w:bookmarkEnd w:id="287"/>
      <w:bookmarkEnd w:id="290"/>
    </w:p>
    <w:p w14:paraId="20E5D429" w14:textId="4B263708" w:rsidR="002B483A" w:rsidRPr="00025F23" w:rsidRDefault="002B483A" w:rsidP="002B483A">
      <w:pPr>
        <w:pStyle w:val="Desarrollocoyuntura"/>
        <w:keepNext/>
        <w:rPr>
          <w:spacing w:val="-2"/>
        </w:rPr>
      </w:pPr>
      <w:bookmarkStart w:id="291" w:name="_Toc173446366"/>
      <w:r w:rsidRPr="00025F23">
        <w:rPr>
          <w:spacing w:val="-2"/>
        </w:rPr>
        <w:t>“Veamos cómo [financia/se financia] esta economía a través de la cuenta financiera.”</w:t>
      </w:r>
      <w:bookmarkEnd w:id="291"/>
    </w:p>
    <w:p w14:paraId="19CC6750" w14:textId="0C5E3F49" w:rsidR="00AF4F87" w:rsidRPr="00025F23" w:rsidRDefault="00AF4F87" w:rsidP="00AF4F87">
      <w:pPr>
        <w:keepNext/>
        <w:spacing w:after="0"/>
      </w:pPr>
      <w:r w:rsidRPr="00025F23">
        <w:t>Para responder a esta cuestión es necesario fijarse en la cuenta financiera:</w:t>
      </w:r>
    </w:p>
    <w:p w14:paraId="5B681201" w14:textId="5ED1F157" w:rsidR="001044B3" w:rsidRPr="00025F23" w:rsidRDefault="00886932" w:rsidP="00AF4F87">
      <w:pPr>
        <w:pStyle w:val="Ttulo3"/>
      </w:pPr>
      <w:bookmarkStart w:id="292" w:name="_Toc173446367"/>
      <w:bookmarkStart w:id="293" w:name="_Toc189085821"/>
      <w:r w:rsidRPr="00025F23">
        <w:t>Cuenta financiera</w:t>
      </w:r>
      <w:bookmarkEnd w:id="288"/>
      <w:bookmarkEnd w:id="289"/>
      <w:bookmarkEnd w:id="292"/>
      <w:bookmarkEnd w:id="293"/>
    </w:p>
    <w:p w14:paraId="6BAF39F5" w14:textId="05E4407F" w:rsidR="00BB49C2" w:rsidRPr="00025F23" w:rsidRDefault="00000000" w:rsidP="00BB49C2">
      <w:pPr>
        <w:ind w:left="-425" w:right="-214"/>
        <w:rPr>
          <w:sz w:val="15"/>
          <w:szCs w:val="15"/>
        </w:rPr>
      </w:pPr>
      <m:oMathPara>
        <m:oMath>
          <m:limLow>
            <m:limLowPr>
              <m:ctrlPr>
                <w:rPr>
                  <w:rStyle w:val="Hipervnculo"/>
                  <w:rFonts w:ascii="Cambria Math" w:hAnsi="Cambria Math"/>
                  <w:i/>
                  <w:color w:val="auto"/>
                  <w:spacing w:val="-2"/>
                  <w:sz w:val="15"/>
                  <w:szCs w:val="15"/>
                  <w:u w:val="none"/>
                </w:rPr>
              </m:ctrlPr>
            </m:limLowPr>
            <m:e>
              <m:groupChr>
                <m:groupChrPr>
                  <m:ctrlPr>
                    <w:rPr>
                      <w:rStyle w:val="Hipervnculo"/>
                      <w:rFonts w:ascii="Cambria Math" w:hAnsi="Cambria Math"/>
                      <w:i/>
                      <w:color w:val="auto"/>
                      <w:spacing w:val="-2"/>
                      <w:sz w:val="15"/>
                      <w:szCs w:val="15"/>
                      <w:u w:val="none"/>
                    </w:rPr>
                  </m:ctrlPr>
                </m:groupChrPr>
                <m:e>
                  <m:limLow>
                    <m:limLowPr>
                      <m:ctrlPr>
                        <w:rPr>
                          <w:rStyle w:val="Hipervnculo"/>
                          <w:rFonts w:ascii="Cambria Math" w:hAnsi="Cambria Math"/>
                          <w:i/>
                          <w:color w:val="auto"/>
                          <w:spacing w:val="-2"/>
                          <w:sz w:val="15"/>
                          <w:szCs w:val="15"/>
                          <w:u w:val="none"/>
                        </w:rPr>
                      </m:ctrlPr>
                    </m:limLowPr>
                    <m:e>
                      <m:groupChr>
                        <m:groupChrPr>
                          <m:ctrlPr>
                            <w:rPr>
                              <w:rStyle w:val="Hipervnculo"/>
                              <w:rFonts w:ascii="Cambria Math" w:hAnsi="Cambria Math"/>
                              <w:i/>
                              <w:color w:val="auto"/>
                              <w:spacing w:val="-2"/>
                              <w:sz w:val="15"/>
                              <w:szCs w:val="15"/>
                              <w:u w:val="none"/>
                            </w:rPr>
                          </m:ctrlPr>
                        </m:groupChrPr>
                        <m:e>
                          <m:limUpp>
                            <m:limUppPr>
                              <m:ctrlPr>
                                <w:rPr>
                                  <w:rFonts w:ascii="Cambria Math" w:hAnsi="Cambria Math"/>
                                  <w:i/>
                                  <w:iCs/>
                                  <w:spacing w:val="-2"/>
                                  <w:sz w:val="15"/>
                                  <w:szCs w:val="15"/>
                                </w:rPr>
                              </m:ctrlPr>
                            </m:limUppPr>
                            <m:e>
                              <m:groupChr>
                                <m:groupChrPr>
                                  <m:chr m:val="⏞"/>
                                  <m:pos m:val="top"/>
                                  <m:vertJc m:val="bot"/>
                                  <m:ctrlPr>
                                    <w:rPr>
                                      <w:rFonts w:ascii="Cambria Math" w:hAnsi="Cambria Math"/>
                                      <w:i/>
                                      <w:iCs/>
                                      <w:spacing w:val="-2"/>
                                      <w:sz w:val="15"/>
                                      <w:szCs w:val="15"/>
                                    </w:rPr>
                                  </m:ctrlPr>
                                </m:groupChrPr>
                                <m:e>
                                  <m:r>
                                    <m:rPr>
                                      <m:nor/>
                                    </m:rPr>
                                    <w:rPr>
                                      <w:i/>
                                      <w:iCs/>
                                      <w:spacing w:val="-2"/>
                                      <w:sz w:val="15"/>
                                      <w:szCs w:val="15"/>
                                    </w:rPr>
                                    <m:t>CC</m:t>
                                  </m:r>
                                </m:e>
                              </m:groupChr>
                            </m:e>
                            <m:lim>
                              <m:eqArr>
                                <m:eqArrPr>
                                  <m:ctrlPr>
                                    <w:rPr>
                                      <w:rFonts w:ascii="Cambria Math" w:hAnsi="Cambria Math"/>
                                      <w:i/>
                                      <w:spacing w:val="-2"/>
                                      <w:sz w:val="15"/>
                                      <w:szCs w:val="15"/>
                                    </w:rPr>
                                  </m:ctrlPr>
                                </m:eqArrPr>
                                <m:e>
                                  <m:r>
                                    <m:rPr>
                                      <m:nor/>
                                    </m:rPr>
                                    <w:rPr>
                                      <w:i/>
                                      <w:spacing w:val="-2"/>
                                      <w:sz w:val="15"/>
                                      <w:szCs w:val="15"/>
                                    </w:rPr>
                                    <m:t>Cuenta</m:t>
                                  </m:r>
                                </m:e>
                                <m:e>
                                  <m:r>
                                    <m:rPr>
                                      <m:nor/>
                                    </m:rPr>
                                    <w:rPr>
                                      <w:i/>
                                      <w:spacing w:val="-2"/>
                                      <w:sz w:val="15"/>
                                      <w:szCs w:val="15"/>
                                    </w:rPr>
                                    <m:t xml:space="preserve"> corriente</m:t>
                                  </m:r>
                                </m:e>
                              </m:eqArr>
                            </m:lim>
                          </m:limUpp>
                        </m:e>
                      </m:groupChr>
                    </m:e>
                    <m:lim>
                      <m:limLow>
                        <m:limLowPr>
                          <m:ctrlPr>
                            <w:rPr>
                              <w:rStyle w:val="Hipervnculo"/>
                              <w:rFonts w:ascii="Cambria Math" w:hAnsi="Cambria Math"/>
                              <w:i/>
                              <w:color w:val="auto"/>
                              <w:spacing w:val="-2"/>
                              <w:sz w:val="15"/>
                              <w:szCs w:val="15"/>
                              <w:u w:val="none"/>
                            </w:rPr>
                          </m:ctrlPr>
                        </m:limLowPr>
                        <m:e>
                          <m:groupChr>
                            <m:groupChrPr>
                              <m:ctrlPr>
                                <w:rPr>
                                  <w:rStyle w:val="Hipervnculo"/>
                                  <w:rFonts w:ascii="Cambria Math" w:hAnsi="Cambria Math"/>
                                  <w:i/>
                                  <w:color w:val="auto"/>
                                  <w:spacing w:val="-2"/>
                                  <w:sz w:val="15"/>
                                  <w:szCs w:val="15"/>
                                  <w:u w:val="none"/>
                                </w:rPr>
                              </m:ctrlPr>
                            </m:groupChrPr>
                            <m:e>
                              <m:r>
                                <m:rPr>
                                  <m:nor/>
                                </m:rPr>
                                <w:rPr>
                                  <w:rStyle w:val="Hipervnculo"/>
                                  <w:i/>
                                  <w:color w:val="auto"/>
                                  <w:spacing w:val="-2"/>
                                  <w:sz w:val="15"/>
                                  <w:szCs w:val="15"/>
                                  <w:u w:val="none"/>
                                </w:rPr>
                                <m:t>CB&amp;S</m:t>
                              </m:r>
                              <m:r>
                                <w:rPr>
                                  <w:rStyle w:val="Hipervnculo"/>
                                  <w:rFonts w:ascii="Cambria Math" w:hAnsi="Cambria Math"/>
                                  <w:color w:val="auto"/>
                                  <w:spacing w:val="-2"/>
                                  <w:sz w:val="15"/>
                                  <w:szCs w:val="15"/>
                                  <w:u w:val="none"/>
                                </w:rPr>
                                <m:t>+</m:t>
                              </m:r>
                              <m:r>
                                <m:rPr>
                                  <m:nor/>
                                </m:rPr>
                                <w:rPr>
                                  <w:rStyle w:val="Hipervnculo"/>
                                  <w:i/>
                                  <w:color w:val="auto"/>
                                  <w:spacing w:val="-2"/>
                                  <w:sz w:val="15"/>
                                  <w:szCs w:val="15"/>
                                  <w:u w:val="none"/>
                                </w:rPr>
                                <m:t>CR1</m:t>
                              </m:r>
                              <m:r>
                                <m:rPr>
                                  <m:nor/>
                                </m:rPr>
                                <w:rPr>
                                  <w:rStyle w:val="Hipervnculo"/>
                                  <w:i/>
                                  <w:color w:val="auto"/>
                                  <w:spacing w:val="-2"/>
                                  <w:sz w:val="15"/>
                                  <w:szCs w:val="15"/>
                                  <w:u w:val="none"/>
                                  <w:vertAlign w:val="superscript"/>
                                </w:rPr>
                                <m:t>as</m:t>
                              </m:r>
                              <m:r>
                                <w:rPr>
                                  <w:rStyle w:val="Hipervnculo"/>
                                  <w:rFonts w:ascii="Cambria Math" w:hAnsi="Cambria Math"/>
                                  <w:color w:val="auto"/>
                                  <w:spacing w:val="-2"/>
                                  <w:sz w:val="15"/>
                                  <w:szCs w:val="15"/>
                                  <w:u w:val="none"/>
                                </w:rPr>
                                <m:t>+</m:t>
                              </m:r>
                              <m:r>
                                <m:rPr>
                                  <m:nor/>
                                </m:rPr>
                                <w:rPr>
                                  <w:rStyle w:val="Hipervnculo"/>
                                  <w:i/>
                                  <w:color w:val="auto"/>
                                  <w:spacing w:val="-2"/>
                                  <w:sz w:val="15"/>
                                  <w:szCs w:val="15"/>
                                  <w:u w:val="none"/>
                                </w:rPr>
                                <m:t>CR2</m:t>
                              </m:r>
                              <m:r>
                                <m:rPr>
                                  <m:nor/>
                                </m:rPr>
                                <w:rPr>
                                  <w:rStyle w:val="Hipervnculo"/>
                                  <w:i/>
                                  <w:color w:val="auto"/>
                                  <w:spacing w:val="-2"/>
                                  <w:sz w:val="15"/>
                                  <w:szCs w:val="15"/>
                                  <w:u w:val="none"/>
                                  <w:vertAlign w:val="superscript"/>
                                </w:rPr>
                                <m:t>as</m:t>
                              </m:r>
                            </m:e>
                          </m:groupChr>
                        </m:e>
                        <m:lim>
                          <m:r>
                            <m:rPr>
                              <m:nor/>
                            </m:rPr>
                            <w:rPr>
                              <w:i/>
                              <w:iCs/>
                              <w:spacing w:val="-2"/>
                              <w:sz w:val="15"/>
                              <w:szCs w:val="15"/>
                            </w:rPr>
                            <m:t>X</m:t>
                          </m:r>
                          <m:r>
                            <w:rPr>
                              <w:rFonts w:ascii="Cambria Math" w:hAnsi="Cambria Math"/>
                              <w:spacing w:val="-2"/>
                              <w:sz w:val="15"/>
                              <w:szCs w:val="15"/>
                            </w:rPr>
                            <m:t>-</m:t>
                          </m:r>
                          <m:r>
                            <m:rPr>
                              <m:nor/>
                            </m:rPr>
                            <w:rPr>
                              <w:i/>
                              <w:iCs/>
                              <w:spacing w:val="-2"/>
                              <w:sz w:val="15"/>
                              <w:szCs w:val="15"/>
                            </w:rPr>
                            <m:t>M</m:t>
                          </m:r>
                          <m:r>
                            <w:rPr>
                              <w:rFonts w:ascii="Cambria Math" w:hAnsi="Cambria Math"/>
                              <w:spacing w:val="-2"/>
                              <w:sz w:val="15"/>
                              <w:szCs w:val="15"/>
                            </w:rPr>
                            <m:t>+</m:t>
                          </m:r>
                          <m:r>
                            <m:rPr>
                              <m:nor/>
                            </m:rPr>
                            <w:rPr>
                              <w:i/>
                              <w:iCs/>
                              <w:spacing w:val="-2"/>
                              <w:sz w:val="15"/>
                              <w:szCs w:val="15"/>
                            </w:rPr>
                            <m:t>rentas</m:t>
                          </m:r>
                          <m:r>
                            <w:rPr>
                              <w:rFonts w:ascii="Cambria Math" w:hAnsi="Cambria Math"/>
                              <w:spacing w:val="-2"/>
                              <w:sz w:val="15"/>
                              <w:szCs w:val="15"/>
                            </w:rPr>
                            <m:t>=</m:t>
                          </m:r>
                          <m:r>
                            <m:rPr>
                              <m:nor/>
                            </m:rPr>
                            <w:rPr>
                              <w:i/>
                              <w:iCs/>
                              <w:spacing w:val="-2"/>
                              <w:sz w:val="15"/>
                              <w:szCs w:val="15"/>
                            </w:rPr>
                            <m:t>Y</m:t>
                          </m:r>
                          <m:r>
                            <w:rPr>
                              <w:rFonts w:ascii="Cambria Math" w:hAnsi="Cambria Math"/>
                              <w:spacing w:val="-2"/>
                              <w:sz w:val="15"/>
                              <w:szCs w:val="15"/>
                            </w:rPr>
                            <m:t>-</m:t>
                          </m:r>
                          <m:r>
                            <m:rPr>
                              <m:nor/>
                            </m:rPr>
                            <w:rPr>
                              <w:i/>
                              <w:iCs/>
                              <w:spacing w:val="-2"/>
                              <w:sz w:val="15"/>
                              <w:szCs w:val="15"/>
                            </w:rPr>
                            <m:t>A</m:t>
                          </m:r>
                          <m:r>
                            <w:rPr>
                              <w:rFonts w:ascii="Cambria Math" w:hAnsi="Cambria Math"/>
                              <w:spacing w:val="-2"/>
                              <w:sz w:val="15"/>
                              <w:szCs w:val="15"/>
                            </w:rPr>
                            <m:t>+</m:t>
                          </m:r>
                          <m:r>
                            <m:rPr>
                              <m:nor/>
                            </m:rPr>
                            <w:rPr>
                              <w:i/>
                              <w:iCs/>
                              <w:spacing w:val="-2"/>
                              <w:sz w:val="15"/>
                              <w:szCs w:val="15"/>
                            </w:rPr>
                            <m:t>rentas</m:t>
                          </m:r>
                          <m:r>
                            <w:rPr>
                              <w:rFonts w:ascii="Cambria Math" w:hAnsi="Cambria Math"/>
                              <w:spacing w:val="-2"/>
                              <w:sz w:val="15"/>
                              <w:szCs w:val="15"/>
                            </w:rPr>
                            <m:t>=</m:t>
                          </m:r>
                          <m:r>
                            <m:rPr>
                              <m:nor/>
                            </m:rPr>
                            <w:rPr>
                              <w:i/>
                              <w:iCs/>
                              <w:spacing w:val="-2"/>
                              <w:sz w:val="15"/>
                              <w:szCs w:val="15"/>
                            </w:rPr>
                            <m:t>S</m:t>
                          </m:r>
                          <m:r>
                            <w:rPr>
                              <w:rFonts w:ascii="Cambria Math" w:hAnsi="Cambria Math"/>
                              <w:spacing w:val="-2"/>
                              <w:sz w:val="15"/>
                              <w:szCs w:val="15"/>
                            </w:rPr>
                            <m:t>-</m:t>
                          </m:r>
                          <m:r>
                            <m:rPr>
                              <m:nor/>
                            </m:rPr>
                            <w:rPr>
                              <w:i/>
                              <w:iCs/>
                              <w:spacing w:val="-2"/>
                              <w:sz w:val="15"/>
                              <w:szCs w:val="15"/>
                            </w:rPr>
                            <m:t>I</m:t>
                          </m:r>
                          <m:r>
                            <w:rPr>
                              <w:rFonts w:ascii="Cambria Math" w:hAnsi="Cambria Math"/>
                              <w:spacing w:val="-2"/>
                              <w:sz w:val="15"/>
                              <w:szCs w:val="15"/>
                            </w:rPr>
                            <m:t>=</m:t>
                          </m:r>
                          <m:d>
                            <m:dPr>
                              <m:ctrlPr>
                                <w:rPr>
                                  <w:rFonts w:ascii="Cambria Math" w:hAnsi="Cambria Math"/>
                                  <w:i/>
                                  <w:iCs/>
                                  <w:spacing w:val="-2"/>
                                  <w:sz w:val="15"/>
                                  <w:szCs w:val="15"/>
                                </w:rPr>
                              </m:ctrlPr>
                            </m:dPr>
                            <m:e>
                              <m:sSub>
                                <m:sSubPr>
                                  <m:ctrlPr>
                                    <w:rPr>
                                      <w:rFonts w:ascii="Cambria Math" w:hAnsi="Cambria Math"/>
                                      <w:i/>
                                      <w:iCs/>
                                      <w:spacing w:val="-2"/>
                                      <w:sz w:val="15"/>
                                      <w:szCs w:val="15"/>
                                    </w:rPr>
                                  </m:ctrlPr>
                                </m:sSubPr>
                                <m:e>
                                  <m:r>
                                    <m:rPr>
                                      <m:nor/>
                                    </m:rPr>
                                    <w:rPr>
                                      <w:i/>
                                      <w:iCs/>
                                      <w:spacing w:val="-2"/>
                                      <w:sz w:val="15"/>
                                      <w:szCs w:val="15"/>
                                    </w:rPr>
                                    <m:t>S</m:t>
                                  </m:r>
                                </m:e>
                                <m:sub>
                                  <m:r>
                                    <m:rPr>
                                      <m:nor/>
                                    </m:rPr>
                                    <w:rPr>
                                      <w:i/>
                                      <w:iCs/>
                                      <w:spacing w:val="-2"/>
                                      <w:sz w:val="15"/>
                                      <w:szCs w:val="15"/>
                                    </w:rPr>
                                    <m:t>PDO</m:t>
                                  </m:r>
                                </m:sub>
                              </m:sSub>
                              <m:r>
                                <w:rPr>
                                  <w:rFonts w:ascii="Cambria Math" w:hAnsi="Cambria Math"/>
                                  <w:spacing w:val="-2"/>
                                  <w:sz w:val="15"/>
                                  <w:szCs w:val="15"/>
                                </w:rPr>
                                <m:t>-</m:t>
                              </m:r>
                              <m:sSub>
                                <m:sSubPr>
                                  <m:ctrlPr>
                                    <w:rPr>
                                      <w:rFonts w:ascii="Cambria Math" w:hAnsi="Cambria Math"/>
                                      <w:i/>
                                      <w:iCs/>
                                      <w:spacing w:val="-2"/>
                                      <w:sz w:val="15"/>
                                      <w:szCs w:val="15"/>
                                    </w:rPr>
                                  </m:ctrlPr>
                                </m:sSubPr>
                                <m:e>
                                  <m:r>
                                    <m:rPr>
                                      <m:nor/>
                                    </m:rPr>
                                    <w:rPr>
                                      <w:i/>
                                      <w:iCs/>
                                      <w:spacing w:val="-2"/>
                                      <w:sz w:val="15"/>
                                      <w:szCs w:val="15"/>
                                    </w:rPr>
                                    <m:t>I</m:t>
                                  </m:r>
                                </m:e>
                                <m:sub>
                                  <m:r>
                                    <m:rPr>
                                      <m:nor/>
                                    </m:rPr>
                                    <w:rPr>
                                      <w:i/>
                                      <w:iCs/>
                                      <w:spacing w:val="-2"/>
                                      <w:sz w:val="15"/>
                                      <w:szCs w:val="15"/>
                                    </w:rPr>
                                    <m:t>PDA</m:t>
                                  </m:r>
                                </m:sub>
                              </m:sSub>
                            </m:e>
                          </m:d>
                          <m:r>
                            <w:rPr>
                              <w:rFonts w:ascii="Cambria Math" w:hAnsi="Cambria Math"/>
                              <w:spacing w:val="-2"/>
                              <w:sz w:val="15"/>
                              <w:szCs w:val="15"/>
                            </w:rPr>
                            <m:t>+</m:t>
                          </m:r>
                          <m:d>
                            <m:dPr>
                              <m:ctrlPr>
                                <w:rPr>
                                  <w:rFonts w:ascii="Cambria Math" w:hAnsi="Cambria Math"/>
                                  <w:i/>
                                  <w:iCs/>
                                  <w:spacing w:val="-2"/>
                                  <w:sz w:val="15"/>
                                  <w:szCs w:val="15"/>
                                </w:rPr>
                              </m:ctrlPr>
                            </m:dPr>
                            <m:e>
                              <m:r>
                                <m:rPr>
                                  <m:nor/>
                                </m:rPr>
                                <w:rPr>
                                  <w:i/>
                                  <w:iCs/>
                                  <w:spacing w:val="-2"/>
                                  <w:sz w:val="15"/>
                                  <w:szCs w:val="15"/>
                                </w:rPr>
                                <m:t>T</m:t>
                              </m:r>
                              <m:r>
                                <w:rPr>
                                  <w:rFonts w:ascii="Cambria Math" w:hAnsi="Cambria Math"/>
                                  <w:spacing w:val="-2"/>
                                  <w:sz w:val="15"/>
                                  <w:szCs w:val="15"/>
                                </w:rPr>
                                <m:t>-</m:t>
                              </m:r>
                              <m:r>
                                <m:rPr>
                                  <m:nor/>
                                </m:rPr>
                                <w:rPr>
                                  <w:i/>
                                  <w:iCs/>
                                  <w:spacing w:val="-2"/>
                                  <w:sz w:val="15"/>
                                  <w:szCs w:val="15"/>
                                </w:rPr>
                                <m:t>G</m:t>
                              </m:r>
                            </m:e>
                          </m:d>
                        </m:lim>
                      </m:limLow>
                    </m:lim>
                  </m:limLow>
                  <m:r>
                    <w:rPr>
                      <w:rStyle w:val="Hipervnculo"/>
                      <w:rFonts w:ascii="Cambria Math" w:hAnsi="Cambria Math"/>
                      <w:color w:val="auto"/>
                      <w:spacing w:val="-2"/>
                      <w:sz w:val="15"/>
                      <w:szCs w:val="15"/>
                      <w:u w:val="none"/>
                    </w:rPr>
                    <m:t>+</m:t>
                  </m:r>
                  <m:limUpp>
                    <m:limUppPr>
                      <m:ctrlPr>
                        <w:rPr>
                          <w:rFonts w:ascii="Cambria Math" w:hAnsi="Cambria Math"/>
                          <w:i/>
                          <w:iCs/>
                          <w:spacing w:val="-2"/>
                          <w:sz w:val="15"/>
                          <w:szCs w:val="15"/>
                        </w:rPr>
                      </m:ctrlPr>
                    </m:limUppPr>
                    <m:e>
                      <m:groupChr>
                        <m:groupChrPr>
                          <m:chr m:val="⏞"/>
                          <m:pos m:val="top"/>
                          <m:vertJc m:val="bot"/>
                          <m:ctrlPr>
                            <w:rPr>
                              <w:rFonts w:ascii="Cambria Math" w:hAnsi="Cambria Math"/>
                              <w:i/>
                              <w:iCs/>
                              <w:spacing w:val="-2"/>
                              <w:sz w:val="15"/>
                              <w:szCs w:val="15"/>
                            </w:rPr>
                          </m:ctrlPr>
                        </m:groupChrPr>
                        <m:e>
                          <m:r>
                            <m:rPr>
                              <m:nor/>
                            </m:rPr>
                            <w:rPr>
                              <w:i/>
                              <w:iCs/>
                              <w:spacing w:val="-2"/>
                              <w:sz w:val="15"/>
                              <w:szCs w:val="15"/>
                            </w:rPr>
                            <m:t>CK</m:t>
                          </m:r>
                        </m:e>
                      </m:groupChr>
                    </m:e>
                    <m:lim>
                      <m:eqArr>
                        <m:eqArrPr>
                          <m:ctrlPr>
                            <w:rPr>
                              <w:rFonts w:ascii="Cambria Math" w:hAnsi="Cambria Math"/>
                              <w:i/>
                              <w:spacing w:val="-2"/>
                              <w:sz w:val="15"/>
                              <w:szCs w:val="15"/>
                            </w:rPr>
                          </m:ctrlPr>
                        </m:eqArrPr>
                        <m:e>
                          <m:r>
                            <m:rPr>
                              <m:nor/>
                            </m:rPr>
                            <w:rPr>
                              <w:i/>
                              <w:spacing w:val="-2"/>
                              <w:sz w:val="15"/>
                              <w:szCs w:val="15"/>
                            </w:rPr>
                            <m:t>Cuenta</m:t>
                          </m:r>
                        </m:e>
                        <m:e>
                          <m:r>
                            <m:rPr>
                              <m:nor/>
                            </m:rPr>
                            <w:rPr>
                              <w:i/>
                              <w:spacing w:val="-2"/>
                              <w:sz w:val="15"/>
                              <w:szCs w:val="15"/>
                            </w:rPr>
                            <m:t>de capital</m:t>
                          </m:r>
                        </m:e>
                      </m:eqArr>
                    </m:lim>
                  </m:limUpp>
                </m:e>
              </m:groupChr>
            </m:e>
            <m:lim>
              <m:r>
                <m:rPr>
                  <m:nor/>
                </m:rPr>
                <w:rPr>
                  <w:i/>
                  <w:spacing w:val="-2"/>
                  <w:sz w:val="15"/>
                  <w:szCs w:val="15"/>
                </w:rPr>
                <m:t xml:space="preserve">Capacidad </m:t>
              </m:r>
              <m:d>
                <m:dPr>
                  <m:ctrlPr>
                    <w:rPr>
                      <w:rFonts w:ascii="Cambria Math" w:hAnsi="Cambria Math"/>
                      <w:i/>
                      <w:spacing w:val="-2"/>
                      <w:sz w:val="15"/>
                      <w:szCs w:val="15"/>
                    </w:rPr>
                  </m:ctrlPr>
                </m:dPr>
                <m:e>
                  <m:r>
                    <w:rPr>
                      <w:rFonts w:ascii="Cambria Math" w:hAnsi="Cambria Math"/>
                      <w:spacing w:val="-2"/>
                      <w:sz w:val="15"/>
                      <w:szCs w:val="15"/>
                    </w:rPr>
                    <m:t>+</m:t>
                  </m:r>
                </m:e>
              </m:d>
              <m:r>
                <m:rPr>
                  <m:nor/>
                </m:rPr>
                <w:rPr>
                  <w:i/>
                  <w:spacing w:val="-2"/>
                  <w:sz w:val="15"/>
                  <w:szCs w:val="15"/>
                </w:rPr>
                <m:t xml:space="preserve"> o Necesidad </m:t>
              </m:r>
              <m:d>
                <m:dPr>
                  <m:ctrlPr>
                    <w:rPr>
                      <w:rFonts w:ascii="Cambria Math" w:hAnsi="Cambria Math"/>
                      <w:i/>
                      <w:spacing w:val="-2"/>
                      <w:sz w:val="15"/>
                      <w:szCs w:val="15"/>
                    </w:rPr>
                  </m:ctrlPr>
                </m:dPr>
                <m:e>
                  <m:r>
                    <w:rPr>
                      <w:rFonts w:ascii="Cambria Math" w:hAnsi="Cambria Math"/>
                      <w:spacing w:val="-2"/>
                      <w:sz w:val="15"/>
                      <w:szCs w:val="15"/>
                    </w:rPr>
                    <m:t>–</m:t>
                  </m:r>
                </m:e>
              </m:d>
              <m:r>
                <m:rPr>
                  <m:nor/>
                </m:rPr>
                <w:rPr>
                  <w:i/>
                  <w:spacing w:val="-2"/>
                  <w:sz w:val="15"/>
                  <w:szCs w:val="15"/>
                </w:rPr>
                <m:t xml:space="preserve"> de Financiación</m:t>
              </m:r>
            </m:lim>
          </m:limLow>
          <m:r>
            <w:rPr>
              <w:rFonts w:ascii="Cambria Math" w:hAnsi="Cambria Math"/>
              <w:spacing w:val="-2"/>
              <w:sz w:val="15"/>
              <w:szCs w:val="15"/>
            </w:rPr>
            <m:t>+</m:t>
          </m:r>
          <m:limUpp>
            <m:limUppPr>
              <m:ctrlPr>
                <w:rPr>
                  <w:rFonts w:ascii="Cambria Math" w:hAnsi="Cambria Math"/>
                  <w:i/>
                  <w:iCs/>
                  <w:spacing w:val="-2"/>
                  <w:sz w:val="15"/>
                  <w:szCs w:val="15"/>
                </w:rPr>
              </m:ctrlPr>
            </m:limUppPr>
            <m:e>
              <m:groupChr>
                <m:groupChrPr>
                  <m:chr m:val="⏞"/>
                  <m:pos m:val="top"/>
                  <m:vertJc m:val="bot"/>
                  <m:ctrlPr>
                    <w:rPr>
                      <w:rFonts w:ascii="Cambria Math" w:hAnsi="Cambria Math"/>
                      <w:i/>
                      <w:iCs/>
                      <w:spacing w:val="-2"/>
                      <w:sz w:val="15"/>
                      <w:szCs w:val="15"/>
                    </w:rPr>
                  </m:ctrlPr>
                </m:groupChrPr>
                <m:e>
                  <m:r>
                    <m:rPr>
                      <m:nor/>
                    </m:rPr>
                    <w:rPr>
                      <w:i/>
                      <w:iCs/>
                      <w:spacing w:val="-2"/>
                      <w:sz w:val="15"/>
                      <w:szCs w:val="15"/>
                    </w:rPr>
                    <m:t>EO</m:t>
                  </m:r>
                </m:e>
              </m:groupChr>
            </m:e>
            <m:lim>
              <m:eqArr>
                <m:eqArrPr>
                  <m:ctrlPr>
                    <w:rPr>
                      <w:rFonts w:ascii="Cambria Math" w:hAnsi="Cambria Math"/>
                      <w:i/>
                      <w:spacing w:val="-2"/>
                      <w:sz w:val="15"/>
                      <w:szCs w:val="15"/>
                    </w:rPr>
                  </m:ctrlPr>
                </m:eqArrPr>
                <m:e>
                  <m:r>
                    <m:rPr>
                      <m:nor/>
                    </m:rPr>
                    <w:rPr>
                      <w:i/>
                      <w:spacing w:val="-2"/>
                      <w:sz w:val="15"/>
                      <w:szCs w:val="15"/>
                    </w:rPr>
                    <m:t>Errores y</m:t>
                  </m:r>
                </m:e>
                <m:e>
                  <m:r>
                    <m:rPr>
                      <m:nor/>
                    </m:rPr>
                    <w:rPr>
                      <w:i/>
                      <w:spacing w:val="-2"/>
                      <w:sz w:val="15"/>
                      <w:szCs w:val="15"/>
                    </w:rPr>
                    <m:t>omisiones</m:t>
                  </m:r>
                </m:e>
              </m:eqArr>
            </m:lim>
          </m:limUpp>
          <m:r>
            <w:rPr>
              <w:rStyle w:val="Hipervnculo"/>
              <w:rFonts w:ascii="Cambria Math" w:hAnsi="Cambria Math"/>
              <w:color w:val="auto"/>
              <w:sz w:val="15"/>
              <w:szCs w:val="15"/>
              <w:u w:val="none"/>
            </w:rPr>
            <m:t>=</m:t>
          </m:r>
          <m:limLow>
            <m:limLowPr>
              <m:ctrlPr>
                <w:rPr>
                  <w:rStyle w:val="Hipervnculo"/>
                  <w:rFonts w:ascii="Cambria Math" w:hAnsi="Cambria Math"/>
                  <w:b/>
                  <w:bCs/>
                  <w:i/>
                  <w:color w:val="800000"/>
                  <w:sz w:val="15"/>
                  <w:szCs w:val="15"/>
                  <w:u w:val="none"/>
                </w:rPr>
              </m:ctrlPr>
            </m:limLowPr>
            <m:e>
              <m:groupChr>
                <m:groupChrPr>
                  <m:ctrlPr>
                    <w:rPr>
                      <w:rStyle w:val="Hipervnculo"/>
                      <w:rFonts w:ascii="Cambria Math" w:hAnsi="Cambria Math"/>
                      <w:b/>
                      <w:bCs/>
                      <w:i/>
                      <w:color w:val="800000"/>
                      <w:sz w:val="15"/>
                      <w:szCs w:val="15"/>
                      <w:u w:val="none"/>
                    </w:rPr>
                  </m:ctrlPr>
                </m:groupChrPr>
                <m:e>
                  <m:limUpp>
                    <m:limUppPr>
                      <m:ctrlPr>
                        <w:rPr>
                          <w:rFonts w:ascii="Cambria Math" w:hAnsi="Cambria Math"/>
                          <w:b/>
                          <w:bCs/>
                          <w:i/>
                          <w:iCs/>
                          <w:color w:val="800000"/>
                          <w:sz w:val="15"/>
                          <w:szCs w:val="15"/>
                        </w:rPr>
                      </m:ctrlPr>
                    </m:limUppPr>
                    <m:e>
                      <m:groupChr>
                        <m:groupChrPr>
                          <m:chr m:val="⏞"/>
                          <m:pos m:val="top"/>
                          <m:vertJc m:val="bot"/>
                          <m:ctrlPr>
                            <w:rPr>
                              <w:rFonts w:ascii="Cambria Math" w:hAnsi="Cambria Math"/>
                              <w:b/>
                              <w:bCs/>
                              <w:i/>
                              <w:iCs/>
                              <w:color w:val="800000"/>
                              <w:sz w:val="15"/>
                              <w:szCs w:val="15"/>
                            </w:rPr>
                          </m:ctrlPr>
                        </m:groupChrPr>
                        <m:e>
                          <m:r>
                            <m:rPr>
                              <m:nor/>
                            </m:rPr>
                            <w:rPr>
                              <w:b/>
                              <w:bCs/>
                              <w:i/>
                              <w:iCs/>
                              <w:color w:val="800000"/>
                              <w:sz w:val="15"/>
                              <w:szCs w:val="15"/>
                            </w:rPr>
                            <m:t>CF</m:t>
                          </m:r>
                        </m:e>
                      </m:groupChr>
                    </m:e>
                    <m:lim>
                      <m:eqArr>
                        <m:eqArrPr>
                          <m:ctrlPr>
                            <w:rPr>
                              <w:rFonts w:ascii="Cambria Math" w:hAnsi="Cambria Math"/>
                              <w:b/>
                              <w:bCs/>
                              <w:i/>
                              <w:color w:val="800000"/>
                              <w:sz w:val="15"/>
                              <w:szCs w:val="15"/>
                            </w:rPr>
                          </m:ctrlPr>
                        </m:eqArrPr>
                        <m:e>
                          <m:r>
                            <m:rPr>
                              <m:nor/>
                            </m:rPr>
                            <w:rPr>
                              <w:b/>
                              <w:bCs/>
                              <w:i/>
                              <w:color w:val="800000"/>
                              <w:sz w:val="15"/>
                              <w:szCs w:val="15"/>
                            </w:rPr>
                            <m:t>Cuenta</m:t>
                          </m:r>
                        </m:e>
                        <m:e>
                          <m:r>
                            <m:rPr>
                              <m:nor/>
                            </m:rPr>
                            <w:rPr>
                              <w:b/>
                              <w:bCs/>
                              <w:i/>
                              <w:color w:val="800000"/>
                              <w:sz w:val="15"/>
                              <w:szCs w:val="15"/>
                            </w:rPr>
                            <m:t>financiera</m:t>
                          </m:r>
                        </m:e>
                      </m:eqArr>
                    </m:lim>
                  </m:limUpp>
                </m:e>
              </m:groupChr>
            </m:e>
            <m:lim>
              <m:r>
                <m:rPr>
                  <m:nor/>
                </m:rPr>
                <w:rPr>
                  <w:rStyle w:val="Hipervnculo"/>
                  <w:b/>
                  <w:bCs/>
                  <w:i/>
                  <w:color w:val="800000"/>
                  <w:sz w:val="15"/>
                  <w:szCs w:val="15"/>
                  <w:u w:val="none"/>
                </w:rPr>
                <m:t>ID</m:t>
              </m:r>
              <m:r>
                <m:rPr>
                  <m:sty m:val="bi"/>
                </m:rPr>
                <w:rPr>
                  <w:rStyle w:val="Hipervnculo"/>
                  <w:rFonts w:ascii="Cambria Math" w:hAnsi="Cambria Math"/>
                  <w:color w:val="800000"/>
                  <w:sz w:val="15"/>
                  <w:szCs w:val="15"/>
                  <w:u w:val="none"/>
                </w:rPr>
                <m:t>+</m:t>
              </m:r>
              <m:r>
                <m:rPr>
                  <m:nor/>
                </m:rPr>
                <w:rPr>
                  <w:rStyle w:val="Hipervnculo"/>
                  <w:b/>
                  <w:bCs/>
                  <w:i/>
                  <w:color w:val="800000"/>
                  <w:sz w:val="15"/>
                  <w:szCs w:val="15"/>
                  <w:u w:val="none"/>
                </w:rPr>
                <m:t>IC</m:t>
              </m:r>
              <m:r>
                <m:rPr>
                  <m:sty m:val="bi"/>
                </m:rPr>
                <w:rPr>
                  <w:rStyle w:val="Hipervnculo"/>
                  <w:rFonts w:ascii="Cambria Math" w:hAnsi="Cambria Math"/>
                  <w:color w:val="800000"/>
                  <w:sz w:val="15"/>
                  <w:szCs w:val="15"/>
                  <w:u w:val="none"/>
                </w:rPr>
                <m:t>+</m:t>
              </m:r>
              <m:r>
                <m:rPr>
                  <m:nor/>
                </m:rPr>
                <w:rPr>
                  <w:rStyle w:val="Hipervnculo"/>
                  <w:b/>
                  <w:bCs/>
                  <w:i/>
                  <w:color w:val="800000"/>
                  <w:sz w:val="15"/>
                  <w:szCs w:val="15"/>
                  <w:u w:val="none"/>
                </w:rPr>
                <m:t>Otra inversión</m:t>
              </m:r>
              <m:r>
                <m:rPr>
                  <m:sty m:val="bi"/>
                </m:rPr>
                <w:rPr>
                  <w:rStyle w:val="Hipervnculo"/>
                  <w:rFonts w:ascii="Cambria Math" w:hAnsi="Cambria Math"/>
                  <w:color w:val="800000"/>
                  <w:sz w:val="15"/>
                  <w:szCs w:val="15"/>
                  <w:u w:val="none"/>
                </w:rPr>
                <m:t>+</m:t>
              </m:r>
              <m:r>
                <m:rPr>
                  <m:nor/>
                </m:rPr>
                <w:rPr>
                  <w:rStyle w:val="Hipervnculo"/>
                  <w:b/>
                  <w:bCs/>
                  <w:i/>
                  <w:color w:val="800000"/>
                  <w:sz w:val="15"/>
                  <w:szCs w:val="15"/>
                  <w:u w:val="none"/>
                </w:rPr>
                <m:t>Derivados</m:t>
              </m:r>
              <m:r>
                <m:rPr>
                  <m:sty m:val="bi"/>
                </m:rPr>
                <w:rPr>
                  <w:rStyle w:val="Hipervnculo"/>
                  <w:rFonts w:ascii="Cambria Math" w:hAnsi="Cambria Math"/>
                  <w:color w:val="800000"/>
                  <w:sz w:val="15"/>
                  <w:szCs w:val="15"/>
                  <w:u w:val="none"/>
                </w:rPr>
                <m:t>+</m:t>
              </m:r>
              <m:r>
                <m:rPr>
                  <m:nor/>
                </m:rPr>
                <w:rPr>
                  <w:b/>
                  <w:bCs/>
                  <w:i/>
                  <w:color w:val="800000"/>
                  <w:sz w:val="15"/>
                  <w:szCs w:val="15"/>
                </w:rPr>
                <m:t>∆R</m:t>
              </m:r>
            </m:lim>
          </m:limLow>
        </m:oMath>
      </m:oMathPara>
    </w:p>
    <w:p w14:paraId="4D935BD6" w14:textId="08D22752" w:rsidR="00FC3C44" w:rsidRDefault="00FC3C44" w:rsidP="00FC3C44">
      <w:pPr>
        <w:pStyle w:val="Nivel1SM"/>
        <w:keepNext/>
        <w:spacing w:after="0"/>
      </w:pPr>
      <w:r>
        <w:t xml:space="preserve">Analizar por </w:t>
      </w:r>
      <w:proofErr w:type="spellStart"/>
      <w:r>
        <w:t>sub-cuentas</w:t>
      </w:r>
      <w:proofErr w:type="spellEnd"/>
      <w:r>
        <w:t xml:space="preserve"> de la cuenta financiera:</w:t>
      </w:r>
    </w:p>
    <w:p w14:paraId="293709B8" w14:textId="52659414" w:rsidR="00FC3C44" w:rsidRDefault="00FC3C44" w:rsidP="00FC3C44">
      <w:pPr>
        <w:pStyle w:val="Nivel2"/>
      </w:pPr>
      <w:r w:rsidRPr="003A0A30">
        <w:rPr>
          <w:i/>
          <w:iCs/>
        </w:rPr>
        <w:t>Inversión directa</w:t>
      </w:r>
      <w:r>
        <w:t xml:space="preserve">: </w:t>
      </w:r>
      <w:r w:rsidRPr="00FC3C44">
        <w:rPr>
          <w:sz w:val="14"/>
          <w:szCs w:val="14"/>
        </w:rPr>
        <w:t>Estable, efectos desbordamiento</w:t>
      </w:r>
      <w:r>
        <w:t>.</w:t>
      </w:r>
    </w:p>
    <w:p w14:paraId="3F7C9DAD" w14:textId="2165AD61" w:rsidR="00FC3C44" w:rsidRDefault="00FC3C44" w:rsidP="00FC3C44">
      <w:pPr>
        <w:pStyle w:val="Nivel2"/>
      </w:pPr>
      <w:r w:rsidRPr="003A0A30">
        <w:rPr>
          <w:i/>
          <w:iCs/>
        </w:rPr>
        <w:t>Inversión en cartera</w:t>
      </w:r>
      <w:r>
        <w:t>:</w:t>
      </w:r>
      <w:r w:rsidR="00FA3E5F">
        <w:t xml:space="preserve"> </w:t>
      </w:r>
      <w:r w:rsidR="00FA3E5F">
        <w:rPr>
          <w:sz w:val="14"/>
          <w:szCs w:val="20"/>
        </w:rPr>
        <w:t>Muy volátil, posibilidad de efectos de rebaño ante un cambio de las expectativas macroeconómicas (generando tensiones de deuda externa)</w:t>
      </w:r>
      <w:r>
        <w:t>.</w:t>
      </w:r>
    </w:p>
    <w:p w14:paraId="2157BF36" w14:textId="210B0E9D" w:rsidR="00886932" w:rsidRDefault="00FC3C44" w:rsidP="00886932">
      <w:pPr>
        <w:pStyle w:val="Nivel2"/>
      </w:pPr>
      <w:r w:rsidRPr="003A0A30">
        <w:rPr>
          <w:i/>
          <w:iCs/>
        </w:rPr>
        <w:t>Derivados</w:t>
      </w:r>
      <w:r>
        <w:t>:</w:t>
      </w:r>
      <w:r w:rsidR="00FA3E5F">
        <w:t xml:space="preserve"> </w:t>
      </w:r>
      <w:r w:rsidR="00FA3E5F">
        <w:rPr>
          <w:sz w:val="14"/>
          <w:szCs w:val="20"/>
        </w:rPr>
        <w:t>Más volátil aún</w:t>
      </w:r>
      <w:r>
        <w:t>.</w:t>
      </w:r>
    </w:p>
    <w:p w14:paraId="1B750D49" w14:textId="249E96DE" w:rsidR="00FC3C44" w:rsidRDefault="00FC3C44" w:rsidP="00886932">
      <w:pPr>
        <w:pStyle w:val="Nivel2"/>
      </w:pPr>
      <w:r w:rsidRPr="003A0A30">
        <w:rPr>
          <w:i/>
          <w:iCs/>
        </w:rPr>
        <w:t>Otras inversiones</w:t>
      </w:r>
      <w:r w:rsidR="003A5271">
        <w:t xml:space="preserve">: </w:t>
      </w:r>
      <w:r w:rsidR="003A5271" w:rsidRPr="003A5271">
        <w:rPr>
          <w:sz w:val="14"/>
          <w:szCs w:val="14"/>
        </w:rPr>
        <w:t>Constituyen fondos movilizados a través de depósitos, de préstamos a largo plazo, etc</w:t>
      </w:r>
      <w:r w:rsidR="003A5271">
        <w:rPr>
          <w:sz w:val="14"/>
          <w:szCs w:val="14"/>
        </w:rPr>
        <w:t>.</w:t>
      </w:r>
    </w:p>
    <w:p w14:paraId="579A9BE4" w14:textId="095E7B66" w:rsidR="00FC3C44" w:rsidRDefault="00FC3C44" w:rsidP="00886932">
      <w:pPr>
        <w:pStyle w:val="Nivel2"/>
      </w:pPr>
      <w:r w:rsidRPr="003A0A30">
        <w:rPr>
          <w:i/>
          <w:iCs/>
        </w:rPr>
        <w:t>Variación de reservas</w:t>
      </w:r>
      <w:r>
        <w:t xml:space="preserve">: </w:t>
      </w:r>
      <w:r w:rsidR="004D649D">
        <w:rPr>
          <w:sz w:val="14"/>
          <w:szCs w:val="20"/>
        </w:rPr>
        <w:t>M</w:t>
      </w:r>
      <w:r>
        <w:rPr>
          <w:sz w:val="14"/>
          <w:szCs w:val="20"/>
        </w:rPr>
        <w:t xml:space="preserve">oderada si </w:t>
      </w:r>
      <w:r w:rsidR="00E149A7">
        <w:rPr>
          <w:sz w:val="14"/>
          <w:szCs w:val="20"/>
        </w:rPr>
        <w:t xml:space="preserve">régimen de </w:t>
      </w:r>
      <w:r>
        <w:rPr>
          <w:sz w:val="14"/>
          <w:szCs w:val="20"/>
        </w:rPr>
        <w:t xml:space="preserve">tipo </w:t>
      </w:r>
      <w:r w:rsidR="00E149A7">
        <w:rPr>
          <w:sz w:val="14"/>
          <w:szCs w:val="20"/>
        </w:rPr>
        <w:t xml:space="preserve">de cambio </w:t>
      </w:r>
      <w:r>
        <w:rPr>
          <w:sz w:val="14"/>
          <w:szCs w:val="20"/>
        </w:rPr>
        <w:t>flexible, nivel de reservas 3 meses de importaciones</w:t>
      </w:r>
      <w:r w:rsidR="00BF79DD">
        <w:rPr>
          <w:rStyle w:val="Refdenotaalpie"/>
          <w:sz w:val="14"/>
          <w:szCs w:val="20"/>
        </w:rPr>
        <w:footnoteReference w:id="35"/>
      </w:r>
      <w:r>
        <w:t>.</w:t>
      </w:r>
    </w:p>
    <w:p w14:paraId="5DCFD781" w14:textId="77777777" w:rsidR="00BF79DD" w:rsidRPr="00025F23" w:rsidRDefault="00BF79DD" w:rsidP="00BF79DD">
      <w:pPr>
        <w:pStyle w:val="Ttulo2"/>
      </w:pPr>
      <w:bookmarkStart w:id="294" w:name="_Toc173446368"/>
      <w:bookmarkStart w:id="295" w:name="_Toc189085822"/>
      <w:r w:rsidRPr="00025F23">
        <w:t>¿Es la necesidad de financiación sostenible?</w:t>
      </w:r>
      <w:bookmarkEnd w:id="294"/>
      <w:bookmarkEnd w:id="295"/>
    </w:p>
    <w:p w14:paraId="57AF7ADC" w14:textId="052EE3F6" w:rsidR="00BF79DD" w:rsidRDefault="00BF79DD" w:rsidP="00BF79DD">
      <w:pPr>
        <w:pStyle w:val="Nivel1SM"/>
        <w:keepNext/>
        <w:spacing w:after="0"/>
      </w:pPr>
      <w:r>
        <w:t xml:space="preserve">Ahora es necesario analizar las variables </w:t>
      </w:r>
      <w:r>
        <w:rPr>
          <w:i/>
          <w:iCs w:val="0"/>
        </w:rPr>
        <w:t>stock</w:t>
      </w:r>
      <w:r>
        <w:t>, es decir, la Posición de Inversión Internacional Neta y la Deuda Externa, que reflejarán el balance financiero de una economía frente al exterior</w:t>
      </w:r>
      <w:r>
        <w:rPr>
          <w:rStyle w:val="Refdenotaalpie"/>
        </w:rPr>
        <w:footnoteReference w:id="36"/>
      </w:r>
      <w:r>
        <w:t>.</w:t>
      </w:r>
    </w:p>
    <w:p w14:paraId="27D2E515" w14:textId="613CEE13" w:rsidR="003A0A30" w:rsidRDefault="003A0A30" w:rsidP="003A0A30">
      <w:pPr>
        <w:pStyle w:val="Nivel2"/>
      </w:pPr>
      <w:r>
        <w:t xml:space="preserve">Los </w:t>
      </w:r>
      <w:r w:rsidRPr="003A0A30">
        <w:rPr>
          <w:i/>
          <w:iCs/>
        </w:rPr>
        <w:t>pasivos externos</w:t>
      </w:r>
      <w:r>
        <w:t xml:space="preserve"> son todas aquellas deudas, exigibles o no, que tienen los agentes residentes de un país frente al exterior.</w:t>
      </w:r>
    </w:p>
    <w:p w14:paraId="2B47CA7C" w14:textId="001E2E63" w:rsidR="003A0A30" w:rsidRDefault="003A0A30" w:rsidP="003A0A30">
      <w:pPr>
        <w:pStyle w:val="Nivel2"/>
        <w:keepNext/>
        <w:spacing w:after="0"/>
      </w:pPr>
      <w:r>
        <w:t xml:space="preserve">La </w:t>
      </w:r>
      <w:r w:rsidRPr="003A0A30">
        <w:rPr>
          <w:i/>
          <w:iCs/>
        </w:rPr>
        <w:t>deuda externa</w:t>
      </w:r>
      <w:r>
        <w:t xml:space="preserve"> son sólo los pasivos externos exigibles, es decir, excluyendo principalmente todos aquellos pasivos que no acarrean necesariamente obligaciones de pago: participaciones en capital </w:t>
      </w:r>
      <w:r>
        <w:lastRenderedPageBreak/>
        <w:t>(ya sea en forma de inversión en cartera o de IDE) y derivados financieros.</w:t>
      </w:r>
    </w:p>
    <w:p w14:paraId="7C2FAEA4" w14:textId="7A445421" w:rsidR="003A0A30" w:rsidRDefault="003A0A30" w:rsidP="003A0A30">
      <w:pPr>
        <w:pStyle w:val="Nivel3"/>
      </w:pPr>
      <w:r>
        <w:t>Ojo, que parte de la inversión en cartera sí es exigible (p.ej. bonos del Tesoro o de las empresas) y, por lo tanto, sí es deuda externa.</w:t>
      </w:r>
    </w:p>
    <w:p w14:paraId="6023D776" w14:textId="2C2EC32D" w:rsidR="003A0A30" w:rsidRDefault="003A0A30" w:rsidP="003A0A30">
      <w:pPr>
        <w:pStyle w:val="Nivel2"/>
      </w:pPr>
      <w:r>
        <w:t xml:space="preserve">La </w:t>
      </w:r>
      <w:r w:rsidRPr="003A0A30">
        <w:rPr>
          <w:i/>
          <w:iCs/>
        </w:rPr>
        <w:t>Posición de Inversión Internacional Neta</w:t>
      </w:r>
      <w:r>
        <w:t xml:space="preserve"> es la diferencia entre </w:t>
      </w:r>
      <w:proofErr w:type="gramStart"/>
      <w:r>
        <w:t>pasivos externos y activos externos</w:t>
      </w:r>
      <w:proofErr w:type="gramEnd"/>
      <w:r>
        <w:t>.</w:t>
      </w:r>
    </w:p>
    <w:p w14:paraId="098B5C83" w14:textId="033A332F" w:rsidR="00BF79DD" w:rsidRDefault="001A575F" w:rsidP="001A575F">
      <w:pPr>
        <w:pStyle w:val="Nivel1SM"/>
      </w:pPr>
      <w:r>
        <w:t xml:space="preserve">En primer lugar, analizar si el país es </w:t>
      </w:r>
      <w:r w:rsidRPr="001A575F">
        <w:rPr>
          <w:i/>
          <w:iCs w:val="0"/>
          <w:u w:val="single"/>
        </w:rPr>
        <w:t>acreedor o deudor</w:t>
      </w:r>
      <w:r>
        <w:t>. ¡Ojo! t</w:t>
      </w:r>
      <w:r w:rsidR="00BF79DD" w:rsidRPr="00025F23">
        <w:t xml:space="preserve">al y como muestra el enfoque </w:t>
      </w:r>
      <w:proofErr w:type="spellStart"/>
      <w:r w:rsidR="00BF79DD" w:rsidRPr="00025F23">
        <w:t>intertemporal</w:t>
      </w:r>
      <w:proofErr w:type="spellEnd"/>
      <w:r w:rsidR="00BF79DD" w:rsidRPr="00025F23">
        <w:t xml:space="preserve"> de la balanza de pagos </w:t>
      </w:r>
      <w:r w:rsidR="00BF79DD" w:rsidRPr="001A575F">
        <w:rPr>
          <w:color w:val="767171" w:themeColor="background2" w:themeShade="80"/>
          <w:sz w:val="14"/>
          <w:szCs w:val="20"/>
        </w:rPr>
        <w:t>[ver tema 3.B.1</w:t>
      </w:r>
      <w:r w:rsidR="00EE58E7">
        <w:rPr>
          <w:color w:val="767171" w:themeColor="background2" w:themeShade="80"/>
          <w:sz w:val="14"/>
          <w:szCs w:val="20"/>
        </w:rPr>
        <w:t>2</w:t>
      </w:r>
      <w:r w:rsidR="00BF79DD" w:rsidRPr="001A575F">
        <w:rPr>
          <w:color w:val="767171" w:themeColor="background2" w:themeShade="80"/>
          <w:sz w:val="14"/>
          <w:szCs w:val="20"/>
        </w:rPr>
        <w:t>]</w:t>
      </w:r>
      <w:r w:rsidR="00BF79DD" w:rsidRPr="00025F23">
        <w:t xml:space="preserve">, la necesidad de financiación </w:t>
      </w:r>
      <w:r>
        <w:t xml:space="preserve">y </w:t>
      </w:r>
      <w:r w:rsidR="00BF79DD" w:rsidRPr="00025F23">
        <w:t>no es necesariamente negativa</w:t>
      </w:r>
      <w:r>
        <w:t xml:space="preserve"> (y ser deudor tampoco)</w:t>
      </w:r>
      <w:r w:rsidR="00BF79DD" w:rsidRPr="00025F23">
        <w:t>; lo importante es su sostenibilidad.</w:t>
      </w:r>
    </w:p>
    <w:p w14:paraId="6E901178" w14:textId="5A1BAE72" w:rsidR="001A575F" w:rsidRPr="00025F23" w:rsidRDefault="001A575F" w:rsidP="00631DC6">
      <w:pPr>
        <w:pStyle w:val="Nivel1SM"/>
        <w:keepNext/>
        <w:spacing w:after="0"/>
      </w:pPr>
      <w:r>
        <w:t xml:space="preserve">Por ello, en segundo lugar, analizaremos la </w:t>
      </w:r>
      <w:r w:rsidRPr="001A575F">
        <w:rPr>
          <w:i/>
          <w:iCs w:val="0"/>
          <w:u w:val="single"/>
        </w:rPr>
        <w:t>sostenibilidad</w:t>
      </w:r>
      <w:r>
        <w:t xml:space="preserve"> y comentaremos la evolución de la posición del país frente al exterior.</w:t>
      </w:r>
    </w:p>
    <w:p w14:paraId="4268CF9A" w14:textId="77777777" w:rsidR="00BF79DD" w:rsidRPr="00025F23" w:rsidRDefault="00BF79DD" w:rsidP="00BF79DD">
      <w:pPr>
        <w:pStyle w:val="Nivel2"/>
        <w:keepNext/>
        <w:spacing w:after="0"/>
      </w:pPr>
      <w:r w:rsidRPr="00025F23">
        <w:t>(</w:t>
      </w:r>
      <w:r w:rsidRPr="00025F23">
        <w:rPr>
          <w:rFonts w:ascii="Cambria Math" w:hAnsi="Cambria Math" w:cs="Cambria Math"/>
        </w:rPr>
        <w:t>∼</w:t>
      </w:r>
      <w:r w:rsidRPr="00025F23">
        <w:t xml:space="preserve"> déficit por cuenta corriente). Un país no puede mantener un déficit por cuenta corriente crónico, ya que la capacidad de endeudamiento de un país tiene un límite. Así, la sostenibilidad de la necesidad de financiación depende de:</w:t>
      </w:r>
    </w:p>
    <w:p w14:paraId="49F121C2" w14:textId="77777777" w:rsidR="00BF79DD" w:rsidRPr="00025F23" w:rsidRDefault="00BF79DD" w:rsidP="00BF79DD">
      <w:pPr>
        <w:keepNext/>
        <w:spacing w:after="0"/>
        <w:ind w:left="-142"/>
        <w:rPr>
          <w:rFonts w:eastAsiaTheme="minorEastAsia"/>
          <w:iCs/>
          <w:spacing w:val="-2"/>
        </w:rPr>
      </w:pPr>
      <m:oMathPara>
        <m:oMath>
          <m:r>
            <m:rPr>
              <m:nor/>
            </m:rPr>
            <w:rPr>
              <w:spacing w:val="-2"/>
            </w:rPr>
            <m:t xml:space="preserve"> </m:t>
          </m:r>
          <m:r>
            <m:rPr>
              <m:nor/>
            </m:rPr>
            <w:rPr>
              <w:i/>
              <w:iCs/>
              <w:spacing w:val="-2"/>
              <w:lang w:val="en-US"/>
            </w:rPr>
            <m:t>Sost.</m:t>
          </m:r>
          <m:r>
            <w:rPr>
              <w:rFonts w:ascii="Cambria Math" w:hAnsi="Cambria Math"/>
              <w:spacing w:val="-2"/>
              <w:lang w:val="en-US"/>
            </w:rPr>
            <m:t>=</m:t>
          </m:r>
          <m:r>
            <m:rPr>
              <m:nor/>
            </m:rPr>
            <w:rPr>
              <w:i/>
              <w:iCs/>
              <w:spacing w:val="-2"/>
              <w:lang w:val="en-US"/>
            </w:rPr>
            <m:t>f</m:t>
          </m:r>
          <m:d>
            <m:dPr>
              <m:ctrlPr>
                <w:rPr>
                  <w:rFonts w:ascii="Cambria Math" w:hAnsi="Cambria Math"/>
                  <w:i/>
                  <w:iCs/>
                  <w:spacing w:val="-2"/>
                </w:rPr>
              </m:ctrlPr>
            </m:dPr>
            <m:e>
              <m:limLow>
                <m:limLowPr>
                  <m:ctrlPr>
                    <w:rPr>
                      <w:rFonts w:ascii="Cambria Math" w:hAnsi="Cambria Math"/>
                      <w:i/>
                      <w:spacing w:val="-2"/>
                    </w:rPr>
                  </m:ctrlPr>
                </m:limLowPr>
                <m:e>
                  <m:sSub>
                    <m:sSubPr>
                      <m:ctrlPr>
                        <w:rPr>
                          <w:rFonts w:ascii="Cambria Math" w:hAnsi="Cambria Math"/>
                          <w:i/>
                          <w:spacing w:val="-2"/>
                        </w:rPr>
                      </m:ctrlPr>
                    </m:sSubPr>
                    <m:e>
                      <m:r>
                        <m:rPr>
                          <m:nor/>
                        </m:rPr>
                        <w:rPr>
                          <w:i/>
                          <w:spacing w:val="-2"/>
                          <w:lang w:val="en-US"/>
                        </w:rPr>
                        <m:t>Vol.</m:t>
                      </m:r>
                    </m:e>
                    <m:sub>
                      <m:r>
                        <m:rPr>
                          <m:nor/>
                        </m:rPr>
                        <w:rPr>
                          <w:i/>
                          <w:spacing w:val="-2"/>
                          <w:lang w:val="en-US"/>
                        </w:rPr>
                        <m:t>deuda</m:t>
                      </m:r>
                    </m:sub>
                  </m:sSub>
                </m:e>
                <m:lim>
                  <m:r>
                    <w:rPr>
                      <w:rFonts w:ascii="Cambria Math" w:hAnsi="Cambria Math"/>
                      <w:spacing w:val="-2"/>
                      <w:lang w:val="en-US"/>
                    </w:rPr>
                    <m:t>-</m:t>
                  </m:r>
                </m:lim>
              </m:limLow>
              <m:r>
                <w:rPr>
                  <w:rFonts w:ascii="Cambria Math" w:hAnsi="Cambria Math"/>
                  <w:spacing w:val="-2"/>
                  <w:lang w:val="en-US"/>
                </w:rPr>
                <m:t xml:space="preserve"> | </m:t>
              </m:r>
              <m:limLow>
                <m:limLowPr>
                  <m:ctrlPr>
                    <w:rPr>
                      <w:rFonts w:ascii="Cambria Math" w:hAnsi="Cambria Math"/>
                      <w:i/>
                      <w:spacing w:val="-2"/>
                    </w:rPr>
                  </m:ctrlPr>
                </m:limLowPr>
                <m:e>
                  <m:sSub>
                    <m:sSubPr>
                      <m:ctrlPr>
                        <w:rPr>
                          <w:rFonts w:ascii="Cambria Math" w:hAnsi="Cambria Math"/>
                          <w:i/>
                          <w:spacing w:val="-2"/>
                        </w:rPr>
                      </m:ctrlPr>
                    </m:sSubPr>
                    <m:e>
                      <m:r>
                        <m:rPr>
                          <m:nor/>
                        </m:rPr>
                        <w:rPr>
                          <w:i/>
                          <w:iCs/>
                          <w:spacing w:val="-2"/>
                          <w:szCs w:val="16"/>
                        </w:rPr>
                        <m:t>γ</m:t>
                      </m:r>
                    </m:e>
                    <m:sub>
                      <m:r>
                        <m:rPr>
                          <m:nor/>
                        </m:rPr>
                        <w:rPr>
                          <w:i/>
                          <w:spacing w:val="-2"/>
                          <w:lang w:val="en-US"/>
                        </w:rPr>
                        <m:t>PIB</m:t>
                      </m:r>
                    </m:sub>
                  </m:sSub>
                </m:e>
                <m:lim>
                  <m:r>
                    <w:rPr>
                      <w:rFonts w:ascii="Cambria Math" w:hAnsi="Cambria Math"/>
                      <w:spacing w:val="-2"/>
                      <w:lang w:val="en-US"/>
                    </w:rPr>
                    <m:t>+</m:t>
                  </m:r>
                </m:lim>
              </m:limLow>
              <m:r>
                <w:rPr>
                  <w:rFonts w:ascii="Cambria Math" w:hAnsi="Cambria Math"/>
                  <w:spacing w:val="-2"/>
                  <w:lang w:val="en-US"/>
                </w:rPr>
                <m:t xml:space="preserve"> | </m:t>
              </m:r>
              <m:limLow>
                <m:limLowPr>
                  <m:ctrlPr>
                    <w:rPr>
                      <w:rFonts w:ascii="Cambria Math" w:hAnsi="Cambria Math"/>
                      <w:i/>
                      <w:spacing w:val="-2"/>
                    </w:rPr>
                  </m:ctrlPr>
                </m:limLowPr>
                <m:e>
                  <m:r>
                    <m:rPr>
                      <m:nor/>
                    </m:rPr>
                    <w:rPr>
                      <w:rFonts w:ascii="Palatino Linotype" w:hAnsi="Palatino Linotype"/>
                      <w:i/>
                      <w:iCs/>
                      <w:spacing w:val="-2"/>
                      <w:lang w:val="en-US"/>
                    </w:rPr>
                    <m:t>i</m:t>
                  </m:r>
                </m:e>
                <m:lim>
                  <m:r>
                    <w:rPr>
                      <w:rFonts w:ascii="Cambria Math" w:hAnsi="Cambria Math"/>
                      <w:spacing w:val="-2"/>
                      <w:lang w:val="en-US"/>
                    </w:rPr>
                    <m:t>-</m:t>
                  </m:r>
                </m:lim>
              </m:limLow>
              <m:r>
                <w:rPr>
                  <w:rFonts w:ascii="Cambria Math" w:hAnsi="Cambria Math"/>
                  <w:spacing w:val="-2"/>
                  <w:lang w:val="en-US"/>
                </w:rPr>
                <m:t xml:space="preserve"> | </m:t>
              </m:r>
              <m:limLow>
                <m:limLowPr>
                  <m:ctrlPr>
                    <w:rPr>
                      <w:rFonts w:ascii="Cambria Math" w:hAnsi="Cambria Math"/>
                      <w:i/>
                      <w:spacing w:val="-2"/>
                    </w:rPr>
                  </m:ctrlPr>
                </m:limLowPr>
                <m:e>
                  <m:r>
                    <m:rPr>
                      <m:nor/>
                    </m:rPr>
                    <w:rPr>
                      <w:rFonts w:ascii="Palatino Linotype" w:hAnsi="Palatino Linotype"/>
                      <w:i/>
                      <w:iCs/>
                      <w:spacing w:val="-2"/>
                    </w:rPr>
                    <m:t>π</m:t>
                  </m:r>
                </m:e>
                <m:lim>
                  <m:r>
                    <w:rPr>
                      <w:rFonts w:ascii="Cambria Math" w:hAnsi="Cambria Math"/>
                      <w:spacing w:val="-2"/>
                      <w:lang w:val="en-US"/>
                    </w:rPr>
                    <m:t>+</m:t>
                  </m:r>
                </m:lim>
              </m:limLow>
              <m:r>
                <w:rPr>
                  <w:rFonts w:ascii="Cambria Math" w:hAnsi="Cambria Math"/>
                  <w:spacing w:val="-2"/>
                  <w:lang w:val="en-US"/>
                </w:rPr>
                <m:t xml:space="preserve"> | </m:t>
              </m:r>
              <m:limLow>
                <m:limLowPr>
                  <m:ctrlPr>
                    <w:rPr>
                      <w:rFonts w:ascii="Cambria Math" w:hAnsi="Cambria Math"/>
                      <w:i/>
                      <w:spacing w:val="-2"/>
                    </w:rPr>
                  </m:ctrlPr>
                </m:limLowPr>
                <m:e>
                  <m:r>
                    <m:rPr>
                      <m:nor/>
                    </m:rPr>
                    <w:rPr>
                      <w:i/>
                      <w:spacing w:val="-2"/>
                      <w:lang w:val="en-US"/>
                    </w:rPr>
                    <m:t>Absorc. int.</m:t>
                  </m:r>
                </m:e>
                <m:lim>
                  <m:r>
                    <w:rPr>
                      <w:rFonts w:ascii="Cambria Math" w:hAnsi="Cambria Math"/>
                      <w:spacing w:val="-2"/>
                      <w:lang w:val="en-US"/>
                    </w:rPr>
                    <m:t>-</m:t>
                  </m:r>
                </m:lim>
              </m:limLow>
              <m:r>
                <w:rPr>
                  <w:rFonts w:ascii="Cambria Math" w:hAnsi="Cambria Math"/>
                  <w:spacing w:val="-2"/>
                  <w:lang w:val="en-US"/>
                </w:rPr>
                <m:t xml:space="preserve"> | </m:t>
              </m:r>
              <m:limLow>
                <m:limLowPr>
                  <m:ctrlPr>
                    <w:rPr>
                      <w:rFonts w:ascii="Cambria Math" w:hAnsi="Cambria Math"/>
                      <w:i/>
                      <w:spacing w:val="-2"/>
                    </w:rPr>
                  </m:ctrlPr>
                </m:limLowPr>
                <m:e>
                  <m:sSub>
                    <m:sSubPr>
                      <m:ctrlPr>
                        <w:rPr>
                          <w:rFonts w:ascii="Cambria Math" w:hAnsi="Cambria Math"/>
                          <w:i/>
                          <w:spacing w:val="-2"/>
                        </w:rPr>
                      </m:ctrlPr>
                    </m:sSubPr>
                    <m:e>
                      <m:r>
                        <m:rPr>
                          <m:nor/>
                        </m:rPr>
                        <w:rPr>
                          <w:i/>
                          <w:iCs/>
                          <w:spacing w:val="-2"/>
                          <w:szCs w:val="16"/>
                        </w:rPr>
                        <m:t>TC</m:t>
                      </m:r>
                    </m:e>
                    <m:sub>
                      <m:r>
                        <m:rPr>
                          <m:nor/>
                        </m:rPr>
                        <w:rPr>
                          <w:i/>
                          <w:spacing w:val="-2"/>
                        </w:rPr>
                        <m:t>nominal</m:t>
                      </m:r>
                    </m:sub>
                  </m:sSub>
                </m:e>
                <m:lim>
                  <m:r>
                    <w:rPr>
                      <w:rFonts w:ascii="Cambria Math" w:hAnsi="Cambria Math"/>
                      <w:spacing w:val="-2"/>
                    </w:rPr>
                    <m:t>-</m:t>
                  </m:r>
                </m:lim>
              </m:limLow>
              <m:r>
                <w:rPr>
                  <w:rFonts w:ascii="Cambria Math" w:hAnsi="Cambria Math"/>
                  <w:spacing w:val="-2"/>
                </w:rPr>
                <m:t xml:space="preserve"> | </m:t>
              </m:r>
              <m:limLow>
                <m:limLowPr>
                  <m:ctrlPr>
                    <w:rPr>
                      <w:rFonts w:ascii="Cambria Math" w:hAnsi="Cambria Math"/>
                      <w:i/>
                      <w:spacing w:val="-2"/>
                    </w:rPr>
                  </m:ctrlPr>
                </m:limLowPr>
                <m:e>
                  <m:r>
                    <m:rPr>
                      <m:nor/>
                    </m:rPr>
                    <w:rPr>
                      <w:rFonts w:ascii="Palatino Linotype" w:hAnsi="Palatino Linotype"/>
                      <w:i/>
                      <w:iCs/>
                      <w:spacing w:val="-2"/>
                    </w:rPr>
                    <m:t>Acc. a financ. intern.</m:t>
                  </m:r>
                </m:e>
                <m:lim>
                  <m:r>
                    <w:rPr>
                      <w:rFonts w:ascii="Cambria Math" w:hAnsi="Cambria Math"/>
                      <w:spacing w:val="-2"/>
                    </w:rPr>
                    <m:t>+</m:t>
                  </m:r>
                </m:lim>
              </m:limLow>
            </m:e>
          </m:d>
        </m:oMath>
      </m:oMathPara>
    </w:p>
    <w:p w14:paraId="42A8EF03" w14:textId="39AA702C" w:rsidR="00BF79DD" w:rsidRDefault="00BF79DD" w:rsidP="00BF79DD">
      <w:pPr>
        <w:pStyle w:val="Nivel3"/>
      </w:pPr>
      <w:r w:rsidRPr="001A575F">
        <w:rPr>
          <w:i/>
          <w:iCs/>
        </w:rPr>
        <w:t>Volumen de deuda</w:t>
      </w:r>
      <w:r>
        <w:t xml:space="preserve"> (</w:t>
      </w:r>
      <w:r>
        <w:rPr>
          <w:rFonts w:ascii="Times New Roman" w:hAnsi="Times New Roman" w:cs="Times New Roman"/>
        </w:rPr>
        <w:t>−</w:t>
      </w:r>
      <w:r>
        <w:t>):</w:t>
      </w:r>
      <w:r w:rsidR="001A575F">
        <w:t xml:space="preserve"> Mayor deuda tiende a aumentar los intereses (el problema se retroalimenta).</w:t>
      </w:r>
    </w:p>
    <w:p w14:paraId="65E61044" w14:textId="6E00CDB2" w:rsidR="00BF79DD" w:rsidRPr="001A575F" w:rsidRDefault="00BF79DD" w:rsidP="00BF79DD">
      <w:pPr>
        <w:pStyle w:val="Nivel3"/>
        <w:rPr>
          <w:spacing w:val="-4"/>
        </w:rPr>
      </w:pPr>
      <w:r w:rsidRPr="001A575F">
        <w:rPr>
          <w:i/>
          <w:iCs/>
          <w:spacing w:val="-4"/>
        </w:rPr>
        <w:t>Crecimiento del PIB</w:t>
      </w:r>
      <w:r w:rsidRPr="001A575F">
        <w:rPr>
          <w:spacing w:val="-4"/>
        </w:rPr>
        <w:t xml:space="preserve">, </w:t>
      </w:r>
      <m:oMath>
        <m:sSub>
          <m:sSubPr>
            <m:ctrlPr>
              <w:rPr>
                <w:rFonts w:ascii="Cambria Math" w:hAnsi="Cambria Math"/>
                <w:i/>
                <w:spacing w:val="-4"/>
              </w:rPr>
            </m:ctrlPr>
          </m:sSubPr>
          <m:e>
            <m:r>
              <m:rPr>
                <m:nor/>
              </m:rPr>
              <w:rPr>
                <w:i/>
                <w:iCs/>
                <w:spacing w:val="-4"/>
                <w:szCs w:val="16"/>
              </w:rPr>
              <m:t>γ</m:t>
            </m:r>
          </m:e>
          <m:sub>
            <m:r>
              <m:rPr>
                <m:nor/>
              </m:rPr>
              <w:rPr>
                <w:i/>
                <w:spacing w:val="-4"/>
              </w:rPr>
              <m:t>PIB</m:t>
            </m:r>
          </m:sub>
        </m:sSub>
      </m:oMath>
      <w:r w:rsidRPr="001A575F">
        <w:rPr>
          <w:spacing w:val="-4"/>
        </w:rPr>
        <w:t xml:space="preserve"> (+):</w:t>
      </w:r>
      <w:r w:rsidR="001A575F" w:rsidRPr="001A575F">
        <w:rPr>
          <w:spacing w:val="-4"/>
        </w:rPr>
        <w:t xml:space="preserve"> De ahí que sea importante el uso que se le dé a los préstamos del exterior </w:t>
      </w:r>
      <w:r w:rsidR="001A575F" w:rsidRPr="001A575F">
        <w:rPr>
          <w:spacing w:val="-4"/>
          <w:sz w:val="14"/>
          <w:szCs w:val="20"/>
        </w:rPr>
        <w:t>(gasto corriente vs. Inversión pública)</w:t>
      </w:r>
      <w:r w:rsidR="001A575F" w:rsidRPr="001A575F">
        <w:rPr>
          <w:spacing w:val="-4"/>
        </w:rPr>
        <w:t>.</w:t>
      </w:r>
    </w:p>
    <w:p w14:paraId="460AFA29" w14:textId="58504360" w:rsidR="00BF79DD" w:rsidRDefault="00BF79DD" w:rsidP="00BF79DD">
      <w:pPr>
        <w:pStyle w:val="Nivel3"/>
      </w:pPr>
      <w:r w:rsidRPr="001A575F">
        <w:rPr>
          <w:i/>
          <w:iCs/>
        </w:rPr>
        <w:t>Tipos de interés</w:t>
      </w:r>
      <w:r>
        <w:t xml:space="preserve">, </w:t>
      </w:r>
      <w:r>
        <w:rPr>
          <w:i/>
          <w:iCs/>
        </w:rPr>
        <w:t>i</w:t>
      </w:r>
      <w:r>
        <w:t xml:space="preserve"> (</w:t>
      </w:r>
      <w:r>
        <w:rPr>
          <w:rFonts w:ascii="Times New Roman" w:hAnsi="Times New Roman" w:cs="Times New Roman"/>
        </w:rPr>
        <w:t>−</w:t>
      </w:r>
      <w:r>
        <w:t>)</w:t>
      </w:r>
      <w:r w:rsidR="001A575F">
        <w:t>.</w:t>
      </w:r>
    </w:p>
    <w:p w14:paraId="2E2BE198" w14:textId="22EFA1C1" w:rsidR="00BF79DD" w:rsidRDefault="00BF79DD" w:rsidP="00BF79DD">
      <w:pPr>
        <w:pStyle w:val="Nivel3"/>
      </w:pPr>
      <w:r w:rsidRPr="001A575F">
        <w:rPr>
          <w:i/>
          <w:iCs/>
        </w:rPr>
        <w:t>Inflación</w:t>
      </w:r>
      <w:r>
        <w:t xml:space="preserve">, </w:t>
      </w:r>
      <w:r w:rsidRPr="00025F23">
        <w:rPr>
          <w:rFonts w:cs="Times New Roman"/>
          <w:i/>
          <w:iCs/>
        </w:rPr>
        <w:t>π</w:t>
      </w:r>
      <w:r>
        <w:t xml:space="preserve"> (+):</w:t>
      </w:r>
      <w:r w:rsidR="001A575F">
        <w:t xml:space="preserve"> Cuanto mayor sea la inflación, menor será el valor real de la deuda. En sentido contrario, una deflación aumenta el valor real de la deuda.</w:t>
      </w:r>
    </w:p>
    <w:p w14:paraId="647A50DE" w14:textId="58979BC3" w:rsidR="00BF79DD" w:rsidRDefault="00BF79DD" w:rsidP="00BF79DD">
      <w:pPr>
        <w:pStyle w:val="Nivel3"/>
      </w:pPr>
      <w:r w:rsidRPr="001A575F">
        <w:rPr>
          <w:i/>
          <w:iCs/>
        </w:rPr>
        <w:t>Absorción interna</w:t>
      </w:r>
      <w:r>
        <w:t xml:space="preserve"> (</w:t>
      </w:r>
      <w:r>
        <w:rPr>
          <w:rFonts w:ascii="Times New Roman" w:hAnsi="Times New Roman" w:cs="Times New Roman"/>
        </w:rPr>
        <w:t>−</w:t>
      </w:r>
      <w:r>
        <w:t>)</w:t>
      </w:r>
      <w:r w:rsidR="001A575F">
        <w:t xml:space="preserve">, entendida como </w:t>
      </w:r>
      <m:oMath>
        <m:r>
          <m:rPr>
            <m:nor/>
          </m:rPr>
          <w:rPr>
            <w:i/>
            <w:spacing w:val="-2"/>
          </w:rPr>
          <m:t>C</m:t>
        </m:r>
        <m:r>
          <w:rPr>
            <w:rFonts w:ascii="Cambria Math" w:eastAsiaTheme="minorEastAsia" w:hAnsi="Cambria Math"/>
            <w:spacing w:val="-2"/>
          </w:rPr>
          <m:t>+</m:t>
        </m:r>
        <m:r>
          <m:rPr>
            <m:nor/>
          </m:rPr>
          <w:rPr>
            <w:i/>
            <w:spacing w:val="-2"/>
          </w:rPr>
          <m:t>I</m:t>
        </m:r>
        <m:r>
          <w:rPr>
            <w:rFonts w:ascii="Cambria Math" w:eastAsiaTheme="minorEastAsia" w:hAnsi="Cambria Math"/>
            <w:spacing w:val="-2"/>
          </w:rPr>
          <m:t>+</m:t>
        </m:r>
        <m:r>
          <m:rPr>
            <m:nor/>
          </m:rPr>
          <w:rPr>
            <w:i/>
            <w:spacing w:val="-2"/>
          </w:rPr>
          <m:t>G</m:t>
        </m:r>
      </m:oMath>
      <w:r w:rsidR="001A575F">
        <w:rPr>
          <w:rFonts w:eastAsiaTheme="minorEastAsia"/>
          <w:spacing w:val="-2"/>
        </w:rPr>
        <w:t>. Cuanto mayor sea la absorción interna, menores serán los recursos libres para atender al servicio de la deuda.</w:t>
      </w:r>
    </w:p>
    <w:p w14:paraId="437D4DE2" w14:textId="2D839D66" w:rsidR="00BF79DD" w:rsidRPr="003A5271" w:rsidRDefault="00BF79DD" w:rsidP="00BF79DD">
      <w:pPr>
        <w:pStyle w:val="Nivel3"/>
        <w:rPr>
          <w:spacing w:val="-4"/>
        </w:rPr>
      </w:pPr>
      <w:r w:rsidRPr="003A5271">
        <w:rPr>
          <w:i/>
          <w:iCs/>
          <w:spacing w:val="-4"/>
        </w:rPr>
        <w:t>Tipo de cambio nominal</w:t>
      </w:r>
      <w:r w:rsidRPr="003A5271">
        <w:rPr>
          <w:spacing w:val="-4"/>
        </w:rPr>
        <w:t xml:space="preserve">, </w:t>
      </w:r>
      <m:oMath>
        <m:sSub>
          <m:sSubPr>
            <m:ctrlPr>
              <w:rPr>
                <w:rFonts w:ascii="Cambria Math" w:hAnsi="Cambria Math"/>
                <w:i/>
                <w:spacing w:val="-4"/>
              </w:rPr>
            </m:ctrlPr>
          </m:sSubPr>
          <m:e>
            <m:r>
              <m:rPr>
                <m:nor/>
              </m:rPr>
              <w:rPr>
                <w:i/>
                <w:iCs/>
                <w:spacing w:val="-4"/>
                <w:szCs w:val="16"/>
              </w:rPr>
              <m:t>TC</m:t>
            </m:r>
          </m:e>
          <m:sub>
            <m:r>
              <m:rPr>
                <m:nor/>
              </m:rPr>
              <w:rPr>
                <w:i/>
                <w:spacing w:val="-4"/>
              </w:rPr>
              <m:t>nominal</m:t>
            </m:r>
          </m:sub>
        </m:sSub>
      </m:oMath>
      <w:r w:rsidRPr="003A5271">
        <w:rPr>
          <w:spacing w:val="-4"/>
        </w:rPr>
        <w:t xml:space="preserve"> (</w:t>
      </w:r>
      <w:r w:rsidRPr="003A5271">
        <w:rPr>
          <w:rFonts w:ascii="Times New Roman" w:hAnsi="Times New Roman" w:cs="Times New Roman"/>
          <w:spacing w:val="-4"/>
        </w:rPr>
        <w:t>−</w:t>
      </w:r>
      <w:r w:rsidRPr="003A5271">
        <w:rPr>
          <w:spacing w:val="-4"/>
        </w:rPr>
        <w:t>):</w:t>
      </w:r>
      <w:r w:rsidR="001A575F" w:rsidRPr="003A5271">
        <w:rPr>
          <w:spacing w:val="-4"/>
        </w:rPr>
        <w:t xml:space="preserve"> Dado que la deuda externa está denominada en moneda extranjera, una depreciación de la moneda (aumento del tipo de cambio nominal) hará más cara la deuda.</w:t>
      </w:r>
    </w:p>
    <w:p w14:paraId="3921ACE5" w14:textId="6DC843A7" w:rsidR="00BF79DD" w:rsidRDefault="00BF79DD" w:rsidP="00BF79DD">
      <w:pPr>
        <w:pStyle w:val="Nivel3"/>
      </w:pPr>
      <w:r w:rsidRPr="001A575F">
        <w:rPr>
          <w:i/>
          <w:iCs/>
        </w:rPr>
        <w:t>Acceso a la financiación internacional</w:t>
      </w:r>
      <w:r>
        <w:t xml:space="preserve"> (+):</w:t>
      </w:r>
      <w:r w:rsidR="003A5271">
        <w:t xml:space="preserve"> Si se pierde el acceso, las posibilidades del pago de la deuda quedan limitadas a la producción corriente del período.</w:t>
      </w:r>
    </w:p>
    <w:p w14:paraId="5F7A114D" w14:textId="0FCA3A97" w:rsidR="001A575F" w:rsidRDefault="001A575F" w:rsidP="001A575F">
      <w:pPr>
        <w:pStyle w:val="Nivel2"/>
      </w:pPr>
      <w:r>
        <w:t>Como regla general, deuda externa bruta preocupante a partir de 100 %, muy preocupante a partir de 200 %.</w:t>
      </w:r>
    </w:p>
    <w:p w14:paraId="01BBD409" w14:textId="1E6198B6" w:rsidR="00886932" w:rsidRPr="00025F23" w:rsidRDefault="001044B3" w:rsidP="00AD1AFB">
      <w:pPr>
        <w:pStyle w:val="Ttulo1"/>
      </w:pPr>
      <w:bookmarkStart w:id="296" w:name="_Toc88566007"/>
      <w:bookmarkStart w:id="297" w:name="_Toc88566147"/>
      <w:bookmarkStart w:id="298" w:name="_Toc173446369"/>
      <w:bookmarkStart w:id="299" w:name="_Toc189085823"/>
      <w:r w:rsidRPr="00025F23">
        <w:t>POLÍTICA ECONÓMICA</w:t>
      </w:r>
      <w:bookmarkEnd w:id="296"/>
      <w:bookmarkEnd w:id="297"/>
      <w:bookmarkEnd w:id="298"/>
      <w:bookmarkEnd w:id="299"/>
    </w:p>
    <w:p w14:paraId="3C119A7A" w14:textId="2FAB3E98" w:rsidR="00AF41EA" w:rsidRPr="00025F23" w:rsidRDefault="00AF41EA" w:rsidP="00563AD6">
      <w:pPr>
        <w:pStyle w:val="Nivel1SM"/>
        <w:keepNext/>
        <w:spacing w:after="0"/>
      </w:pPr>
      <w:r w:rsidRPr="00025F23">
        <w:t xml:space="preserve">La </w:t>
      </w:r>
      <w:r w:rsidRPr="00025F23">
        <w:rPr>
          <w:b/>
          <w:bCs/>
        </w:rPr>
        <w:t>política económica</w:t>
      </w:r>
      <w:r w:rsidRPr="00025F23">
        <w:t xml:space="preserve"> busca</w:t>
      </w:r>
      <w:r w:rsidR="00067F08" w:rsidRPr="00025F23">
        <w:t xml:space="preserve"> [ver anexo</w:t>
      </w:r>
      <w:r w:rsidR="004D649D">
        <w:t> </w:t>
      </w:r>
      <w:r w:rsidR="00067F08" w:rsidRPr="00025F23">
        <w:fldChar w:fldCharType="begin"/>
      </w:r>
      <w:r w:rsidR="00067F08" w:rsidRPr="00025F23">
        <w:instrText xml:space="preserve"> REF _Ref102036679 \r \h  \* MERGEFORMAT </w:instrText>
      </w:r>
      <w:r w:rsidR="00067F08" w:rsidRPr="00025F23">
        <w:fldChar w:fldCharType="separate"/>
      </w:r>
      <w:r w:rsidR="00903E0C">
        <w:t>A.4</w:t>
      </w:r>
      <w:r w:rsidR="00067F08" w:rsidRPr="00025F23">
        <w:fldChar w:fldCharType="end"/>
      </w:r>
      <w:r w:rsidR="00067F08" w:rsidRPr="00025F23">
        <w:t>]</w:t>
      </w:r>
      <w:r w:rsidRPr="00025F23">
        <w:t>:</w:t>
      </w:r>
    </w:p>
    <w:p w14:paraId="37E62F13" w14:textId="116D4A5E" w:rsidR="00AF41EA" w:rsidRPr="00025F23" w:rsidRDefault="00AF41EA">
      <w:pPr>
        <w:pStyle w:val="Nmeroromano"/>
        <w:numPr>
          <w:ilvl w:val="0"/>
          <w:numId w:val="16"/>
        </w:numPr>
        <w:ind w:left="539" w:hanging="85"/>
      </w:pPr>
      <w:r w:rsidRPr="00025F23">
        <w:t>Alcanzar altas tasas de crecimiento,</w:t>
      </w:r>
    </w:p>
    <w:p w14:paraId="0AC901B8" w14:textId="1BB0AD31" w:rsidR="00AF41EA" w:rsidRPr="00025F23" w:rsidRDefault="00AF41EA">
      <w:pPr>
        <w:pStyle w:val="Nmeroromano"/>
        <w:numPr>
          <w:ilvl w:val="0"/>
          <w:numId w:val="16"/>
        </w:numPr>
        <w:ind w:left="539" w:hanging="85"/>
      </w:pPr>
      <w:r w:rsidRPr="00025F23">
        <w:t>que sean sostenibles, y</w:t>
      </w:r>
    </w:p>
    <w:p w14:paraId="1885590E" w14:textId="10E13CB1" w:rsidR="00AF41EA" w:rsidRPr="00025F23" w:rsidRDefault="00AF41EA">
      <w:pPr>
        <w:pStyle w:val="Nmeroromano"/>
        <w:numPr>
          <w:ilvl w:val="0"/>
          <w:numId w:val="16"/>
        </w:numPr>
        <w:ind w:left="539" w:hanging="85"/>
      </w:pPr>
      <w:r w:rsidRPr="00025F23">
        <w:t>amortiguar el impacto de los ciclos</w:t>
      </w:r>
    </w:p>
    <w:p w14:paraId="092D2D28" w14:textId="0557A6B3" w:rsidR="00886932" w:rsidRPr="00025F23" w:rsidRDefault="00886932" w:rsidP="00AD1AFB">
      <w:pPr>
        <w:pStyle w:val="Ttulo2"/>
      </w:pPr>
      <w:bookmarkStart w:id="300" w:name="_Toc88566008"/>
      <w:bookmarkStart w:id="301" w:name="_Toc88566148"/>
      <w:bookmarkStart w:id="302" w:name="_Toc173446370"/>
      <w:bookmarkStart w:id="303" w:name="_Toc189085824"/>
      <w:r w:rsidRPr="00025F23">
        <w:t>Políticas de demanda</w:t>
      </w:r>
      <w:bookmarkEnd w:id="300"/>
      <w:bookmarkEnd w:id="301"/>
      <w:bookmarkEnd w:id="302"/>
      <w:bookmarkEnd w:id="303"/>
    </w:p>
    <w:p w14:paraId="40A6D0A9" w14:textId="142136E2" w:rsidR="000E595D" w:rsidRPr="0004074D" w:rsidRDefault="0004074D" w:rsidP="00563AD6">
      <w:pPr>
        <w:pStyle w:val="Nivel1SM"/>
      </w:pPr>
      <w:r>
        <w:t xml:space="preserve">En general, las políticas de demanda se van a utilizar para </w:t>
      </w:r>
      <w:r>
        <w:rPr>
          <w:b/>
          <w:bCs/>
        </w:rPr>
        <w:t>amortiguar</w:t>
      </w:r>
      <w:r w:rsidRPr="0004074D">
        <w:rPr>
          <w:b/>
          <w:bCs/>
        </w:rPr>
        <w:t xml:space="preserve"> el impacto de los ciclos</w:t>
      </w:r>
      <w:r>
        <w:t xml:space="preserve">, ya que se ha demostrado que, salvo raras actuaciones, no son capaces de afectar a los niveles de producción y de empleo de equilibrio (ese papel se reserva a las </w:t>
      </w:r>
      <w:r>
        <w:rPr>
          <w:i/>
        </w:rPr>
        <w:t>políticas de oferta</w:t>
      </w:r>
      <w:r>
        <w:t>).</w:t>
      </w:r>
    </w:p>
    <w:p w14:paraId="2C479D12" w14:textId="314B56EA" w:rsidR="000E595D" w:rsidRPr="00025F23" w:rsidRDefault="000E595D" w:rsidP="00AD1AFB">
      <w:pPr>
        <w:pStyle w:val="Ttulo3"/>
      </w:pPr>
      <w:bookmarkStart w:id="304" w:name="_Toc88566009"/>
      <w:bookmarkStart w:id="305" w:name="_Toc88566149"/>
      <w:bookmarkStart w:id="306" w:name="_Toc173446371"/>
      <w:bookmarkStart w:id="307" w:name="_Toc189085825"/>
      <w:r w:rsidRPr="00025F23">
        <w:t>Política monetaria</w:t>
      </w:r>
      <w:r w:rsidR="00D12DFA" w:rsidRPr="00025F23">
        <w:t xml:space="preserve"> y precios</w:t>
      </w:r>
      <w:bookmarkEnd w:id="304"/>
      <w:bookmarkEnd w:id="305"/>
      <w:bookmarkEnd w:id="306"/>
      <w:bookmarkEnd w:id="307"/>
    </w:p>
    <w:p w14:paraId="2ED50995" w14:textId="46D660E9" w:rsidR="000E595D" w:rsidRPr="00025F23" w:rsidRDefault="000E595D" w:rsidP="000E595D">
      <w:hyperlink r:id="rId36" w:history="1">
        <w:r w:rsidRPr="00025F23">
          <w:rPr>
            <w:rStyle w:val="Hipervnculo"/>
          </w:rPr>
          <w:t>https://en.wikipedia.org/wiki/Triangle_model</w:t>
        </w:r>
      </w:hyperlink>
      <w:r w:rsidRPr="00025F23">
        <w:t xml:space="preserve"> Inflación- Tres orígenes</w:t>
      </w:r>
    </w:p>
    <w:p w14:paraId="0EA2CA9E" w14:textId="13CEDCB0" w:rsidR="000E595D" w:rsidRDefault="00D64BA1" w:rsidP="000E595D">
      <w:pPr>
        <w:rPr>
          <w:rStyle w:val="Hipervnculo"/>
        </w:rPr>
      </w:pPr>
      <w:hyperlink r:id="rId37" w:history="1">
        <w:r w:rsidRPr="00025F23">
          <w:rPr>
            <w:rStyle w:val="Hipervnculo"/>
          </w:rPr>
          <w:t>https://www.eleconomista.es/economia/noticias/10161849/10/19/El-indicador-de-inflacion-que-rebate-al-IPC-y-muestra-que-los-precios-podrian-estar-subiendo-mucho-mas-rapido.html</w:t>
        </w:r>
      </w:hyperlink>
    </w:p>
    <w:p w14:paraId="46409F71" w14:textId="25650CA6" w:rsidR="0004074D" w:rsidRPr="0004074D" w:rsidRDefault="0004074D" w:rsidP="00563AD6">
      <w:pPr>
        <w:pStyle w:val="Nivel1SM"/>
      </w:pPr>
      <w:r>
        <w:t xml:space="preserve">En la actualidad existe cierto consenso sobre la </w:t>
      </w:r>
      <w:r>
        <w:rPr>
          <w:b/>
          <w:bCs/>
        </w:rPr>
        <w:t>poca eficacia</w:t>
      </w:r>
      <w:r>
        <w:t xml:space="preserve"> de la </w:t>
      </w:r>
      <w:r>
        <w:rPr>
          <w:b/>
          <w:bCs/>
        </w:rPr>
        <w:t>política monetaria</w:t>
      </w:r>
      <w:r>
        <w:t xml:space="preserve"> para alterar a </w:t>
      </w:r>
      <w:r>
        <w:rPr>
          <w:b/>
          <w:bCs/>
        </w:rPr>
        <w:t>largo plazo el nivel de actividad económica</w:t>
      </w:r>
      <w:r>
        <w:t xml:space="preserve">, de manera que el papel básico que se le asigna hoy a los bancos centrales es el de </w:t>
      </w:r>
      <w:r>
        <w:rPr>
          <w:b/>
          <w:bCs/>
        </w:rPr>
        <w:t>controlar la inflación</w:t>
      </w:r>
      <w:r>
        <w:t>, con ciertas atribuciones de estabilidad del output a corto plazo y del sistema financiero.</w:t>
      </w:r>
    </w:p>
    <w:p w14:paraId="287D3076" w14:textId="334B9135" w:rsidR="002F3F42" w:rsidRDefault="002C42F6" w:rsidP="00B970A1">
      <w:pPr>
        <w:pStyle w:val="Nivel1SM"/>
        <w:keepNext/>
        <w:spacing w:after="0"/>
      </w:pPr>
      <w:r>
        <w:rPr>
          <w:b/>
          <w:bCs/>
        </w:rPr>
        <w:t>Instrumentación</w:t>
      </w:r>
      <w:r w:rsidR="002F3F42">
        <w:t>:</w:t>
      </w:r>
      <w:r>
        <w:t xml:space="preserve"> Ver cómo se instrumenta la política monetaria. Puede ser a través de los </w:t>
      </w:r>
      <w:r w:rsidRPr="002C42F6">
        <w:rPr>
          <w:i/>
          <w:iCs w:val="0"/>
        </w:rPr>
        <w:t>tipos de interés</w:t>
      </w:r>
      <w:r>
        <w:t xml:space="preserve"> (lo normal en países de desarrollo) o a través de los </w:t>
      </w:r>
      <w:r>
        <w:rPr>
          <w:i/>
          <w:iCs w:val="0"/>
        </w:rPr>
        <w:t>agregados monetarios</w:t>
      </w:r>
      <w:r>
        <w:t xml:space="preserve"> (países en vías de desarrollo).</w:t>
      </w:r>
    </w:p>
    <w:p w14:paraId="0362950E" w14:textId="6295B158" w:rsidR="002F3F42" w:rsidRDefault="002F3F42" w:rsidP="002C42F6">
      <w:pPr>
        <w:pStyle w:val="Nivel2"/>
        <w:keepNext/>
        <w:spacing w:after="0"/>
      </w:pPr>
      <w:r>
        <w:rPr>
          <w:i/>
          <w:iCs/>
          <w:u w:val="single"/>
        </w:rPr>
        <w:t>Tipos de interés</w:t>
      </w:r>
      <w:r>
        <w:rPr>
          <w:rStyle w:val="Refdenotaalpie"/>
        </w:rPr>
        <w:footnoteReference w:id="37"/>
      </w:r>
      <w:r w:rsidR="002C42F6">
        <w:t>: Existen distintos tipos de interés:</w:t>
      </w:r>
    </w:p>
    <w:p w14:paraId="4B00F6D0" w14:textId="7BF7E0EB" w:rsidR="002C42F6" w:rsidRDefault="002C42F6" w:rsidP="002C42F6">
      <w:pPr>
        <w:pStyle w:val="Nivel3"/>
      </w:pPr>
      <w:r>
        <w:rPr>
          <w:i/>
          <w:iCs/>
        </w:rPr>
        <w:t>Tipo de interés básico o de intervención</w:t>
      </w:r>
      <w:r>
        <w:t>: Es el tipo al que el banco central interviene en el mercado interbancario para controlar la liquidez día a día.</w:t>
      </w:r>
    </w:p>
    <w:p w14:paraId="170F8226" w14:textId="342B1E25" w:rsidR="002C42F6" w:rsidRDefault="002C42F6" w:rsidP="002C42F6">
      <w:pPr>
        <w:pStyle w:val="Nivel3"/>
      </w:pPr>
      <w:r>
        <w:rPr>
          <w:i/>
          <w:iCs/>
        </w:rPr>
        <w:t>Tipo de interés interbancario</w:t>
      </w:r>
      <w:r>
        <w:t xml:space="preserve">: </w:t>
      </w:r>
      <w:r w:rsidR="00B821EB">
        <w:t>Tipo al que los bancos se prestan entre sí a muy corto plazo.</w:t>
      </w:r>
    </w:p>
    <w:p w14:paraId="331227CD" w14:textId="7F4741AC" w:rsidR="002C42F6" w:rsidRDefault="002C42F6" w:rsidP="002C42F6">
      <w:pPr>
        <w:pStyle w:val="Nivel3"/>
      </w:pPr>
      <w:r>
        <w:rPr>
          <w:i/>
          <w:iCs/>
        </w:rPr>
        <w:t>Tipos de interés a corto plazo</w:t>
      </w:r>
      <w:r>
        <w:t>:</w:t>
      </w:r>
      <w:r w:rsidR="00B821EB">
        <w:t xml:space="preserve"> Tipos de interés cargados por efectos financieros con un vencimiento de hasta 12 meses. Están </w:t>
      </w:r>
      <w:r w:rsidR="00B821EB">
        <w:t>determinados fundamentalmente por la intervención del banco central, aunque también influyen las expectativas y la solvencia.</w:t>
      </w:r>
    </w:p>
    <w:p w14:paraId="7817B7FF" w14:textId="52DBC2AD" w:rsidR="002C42F6" w:rsidRDefault="002C42F6" w:rsidP="002C42F6">
      <w:pPr>
        <w:pStyle w:val="Nivel4"/>
      </w:pPr>
      <w:r>
        <w:t xml:space="preserve">¿Cuál utilizamos? El </w:t>
      </w:r>
      <w:r w:rsidRPr="002C42F6">
        <w:rPr>
          <w:i/>
          <w:iCs/>
        </w:rPr>
        <w:t>tipo de interés básico o de intervención</w:t>
      </w:r>
      <w:r>
        <w:t xml:space="preserve"> nos señala el signo de la política monetaria aplicada; serviría igualmente el </w:t>
      </w:r>
      <w:r w:rsidRPr="002C42F6">
        <w:rPr>
          <w:i/>
          <w:iCs/>
        </w:rPr>
        <w:t>tipo de interés interbancario</w:t>
      </w:r>
      <w:r>
        <w:t>, ligeramente superior por el riesgo adicional de préstamo.</w:t>
      </w:r>
    </w:p>
    <w:p w14:paraId="030A5911" w14:textId="4DE3E0AF" w:rsidR="002F3F42" w:rsidRDefault="002F3F42" w:rsidP="002F3F42">
      <w:pPr>
        <w:pStyle w:val="Nivel2"/>
        <w:keepNext/>
        <w:spacing w:after="0"/>
      </w:pPr>
      <w:r>
        <w:rPr>
          <w:i/>
          <w:iCs/>
          <w:u w:val="single"/>
        </w:rPr>
        <w:t>Masa monetaria</w:t>
      </w:r>
      <w:r w:rsidRPr="002F3F42">
        <w:t>:</w:t>
      </w:r>
    </w:p>
    <w:p w14:paraId="6069E065" w14:textId="016BF85C" w:rsidR="002F3F42" w:rsidRPr="002F3F42" w:rsidRDefault="002F3F42" w:rsidP="002F3F42">
      <w:pPr>
        <w:pStyle w:val="Nivel3"/>
      </w:pPr>
      <w:proofErr w:type="spellStart"/>
      <w:r>
        <w:t>Quantitative</w:t>
      </w:r>
      <w:proofErr w:type="spellEnd"/>
      <w:r>
        <w:t xml:space="preserve"> </w:t>
      </w:r>
      <w:proofErr w:type="spellStart"/>
      <w:r>
        <w:t>Easing</w:t>
      </w:r>
      <w:proofErr w:type="spellEnd"/>
      <w:r>
        <w:t>.</w:t>
      </w:r>
    </w:p>
    <w:p w14:paraId="7A555A12" w14:textId="54F3CFF1" w:rsidR="00B970A1" w:rsidRDefault="00B970A1" w:rsidP="00B970A1">
      <w:pPr>
        <w:pStyle w:val="Nivel1SM"/>
        <w:keepNext/>
        <w:spacing w:after="0"/>
      </w:pPr>
      <w:proofErr w:type="gramStart"/>
      <w:r w:rsidRPr="0005581A">
        <w:rPr>
          <w:b/>
          <w:bCs/>
        </w:rPr>
        <w:t>Cuestiones a analizar</w:t>
      </w:r>
      <w:proofErr w:type="gramEnd"/>
      <w:r>
        <w:t>:</w:t>
      </w:r>
    </w:p>
    <w:p w14:paraId="00A37A69" w14:textId="77777777" w:rsidR="002C42F6" w:rsidRDefault="00B970A1" w:rsidP="002C42F6">
      <w:pPr>
        <w:pStyle w:val="Nivel2"/>
        <w:keepNext/>
        <w:spacing w:after="0"/>
      </w:pPr>
      <w:r w:rsidRPr="0005581A">
        <w:rPr>
          <w:i/>
          <w:iCs/>
          <w:u w:val="single"/>
        </w:rPr>
        <w:t>Tono/orientación</w:t>
      </w:r>
      <w:r>
        <w:t>:</w:t>
      </w:r>
    </w:p>
    <w:p w14:paraId="179E3AC5" w14:textId="59C5B2E5" w:rsidR="002C42F6" w:rsidRDefault="002C42F6" w:rsidP="002C42F6">
      <w:pPr>
        <w:pStyle w:val="Nivel3"/>
      </w:pPr>
      <w:r>
        <w:t>Esto se estudia con el tipo de interés nominal a corto plazo (pues son los que están bajo control directo de las autoridades monetarias). Puede ser:</w:t>
      </w:r>
    </w:p>
    <w:p w14:paraId="376D6C16" w14:textId="279F502A" w:rsidR="00B970A1" w:rsidRDefault="002C42F6" w:rsidP="002C42F6">
      <w:pPr>
        <w:pStyle w:val="Nivel4"/>
      </w:pPr>
      <w:r w:rsidRPr="002C42F6">
        <w:rPr>
          <w:i/>
          <w:iCs/>
        </w:rPr>
        <w:t>Expansiva</w:t>
      </w:r>
      <w:r>
        <w:t>: S</w:t>
      </w:r>
      <w:r w:rsidR="00B970A1">
        <w:t xml:space="preserve">i el tipo de interés disminuye </w:t>
      </w:r>
      <w:r>
        <w:t>mucho</w:t>
      </w:r>
      <w:r w:rsidR="00B970A1">
        <w:t>.</w:t>
      </w:r>
    </w:p>
    <w:p w14:paraId="311C239A" w14:textId="2790F40F" w:rsidR="002C42F6" w:rsidRDefault="002C42F6" w:rsidP="002C42F6">
      <w:pPr>
        <w:pStyle w:val="Nivel4"/>
      </w:pPr>
      <w:r>
        <w:rPr>
          <w:i/>
          <w:iCs/>
        </w:rPr>
        <w:t>Contractiva</w:t>
      </w:r>
      <w:r>
        <w:t>: Si el tipo de interés sube mucho.</w:t>
      </w:r>
    </w:p>
    <w:p w14:paraId="49BFC549" w14:textId="683C8B03" w:rsidR="002C42F6" w:rsidRDefault="002C42F6" w:rsidP="002C42F6">
      <w:pPr>
        <w:pStyle w:val="Nivel4"/>
      </w:pPr>
      <w:r>
        <w:rPr>
          <w:i/>
          <w:iCs/>
        </w:rPr>
        <w:t>Acomodaticia</w:t>
      </w:r>
      <w:r>
        <w:t>: Algo intermedio.</w:t>
      </w:r>
    </w:p>
    <w:p w14:paraId="2C1B4598" w14:textId="0F85656B" w:rsidR="002C42F6" w:rsidRDefault="002C42F6" w:rsidP="002C42F6">
      <w:pPr>
        <w:pStyle w:val="Nivel3"/>
      </w:pPr>
      <w:r>
        <w:t xml:space="preserve">Normalmente asociamos un aumento de interés con una política monetaria más restrictiva. Sin embargo, esto no tiene por qué ser así. Por ejemplo, supongamos que el banco central sube los tipos porque existen presiones inflacionistas. Este movimiento podría ser, en realidad, una respuesta acomodaticia si la subida de tipos nominales es inferior al aumento de las expectativas de inflación, pues dejaría los tipos de interés reales (que son los relevantes para las decisiones de gasto) a un tipo más bajo que el inicial, en lugar de, no ya mantenerlos sino aumentarlos para contrarrestar las presiones inflacionistas. De ahí que, en puridad, para valorar el tono de la política monetaria deberíamos fijarnos en el tipo de interés </w:t>
      </w:r>
      <w:r>
        <w:rPr>
          <w:i/>
          <w:iCs/>
        </w:rPr>
        <w:t>real</w:t>
      </w:r>
      <w:r>
        <w:t xml:space="preserve"> que el banco central está consintiendo.</w:t>
      </w:r>
    </w:p>
    <w:p w14:paraId="7BD85218" w14:textId="305315B0" w:rsidR="00B970A1" w:rsidRDefault="00B970A1" w:rsidP="00B970A1">
      <w:pPr>
        <w:pStyle w:val="Nivel2"/>
        <w:keepNext/>
        <w:spacing w:after="0"/>
      </w:pPr>
      <w:r w:rsidRPr="0005581A">
        <w:rPr>
          <w:i/>
          <w:iCs/>
          <w:u w:val="single"/>
        </w:rPr>
        <w:t>Relación con el ciclo</w:t>
      </w:r>
      <w:r w:rsidRPr="0005581A">
        <w:t>:</w:t>
      </w:r>
      <w:r>
        <w:t xml:space="preserve"> Ver cómo varía el tipo de interés en relación con la situación cíclica</w:t>
      </w:r>
      <w:r w:rsidR="002C42F6">
        <w:t xml:space="preserve"> (i.e. en relación a la variación del PIB)</w:t>
      </w:r>
      <w:r>
        <w:t>:</w:t>
      </w:r>
    </w:p>
    <w:p w14:paraId="34D25536" w14:textId="7FAF5FA4" w:rsidR="00B970A1" w:rsidRDefault="00B970A1" w:rsidP="00B970A1">
      <w:pPr>
        <w:pStyle w:val="Nivel3"/>
      </w:pPr>
      <w:r>
        <w:rPr>
          <w:i/>
          <w:iCs/>
        </w:rPr>
        <w:t xml:space="preserve">Política monetaria </w:t>
      </w:r>
      <w:proofErr w:type="spellStart"/>
      <w:r>
        <w:rPr>
          <w:i/>
          <w:iCs/>
        </w:rPr>
        <w:t>contracíclica</w:t>
      </w:r>
      <w:proofErr w:type="spellEnd"/>
      <w:r>
        <w:rPr>
          <w:i/>
          <w:iCs/>
        </w:rPr>
        <w:t xml:space="preserve"> </w:t>
      </w:r>
      <w:r w:rsidRPr="0005581A">
        <w:rPr>
          <w:sz w:val="14"/>
          <w:szCs w:val="14"/>
        </w:rPr>
        <w:t>(suaviza el ciclo)</w:t>
      </w:r>
      <w:r w:rsidRPr="0005581A">
        <w:t>:</w:t>
      </w:r>
      <w:r>
        <w:t xml:space="preserve"> Se aumenta el </w:t>
      </w:r>
      <w:r w:rsidR="002F3F42">
        <w:t>tipo de interés</w:t>
      </w:r>
      <w:r>
        <w:t xml:space="preserve"> cuando el ciclo es fuerte y se disminuye cuando el ciclo es débil.</w:t>
      </w:r>
    </w:p>
    <w:p w14:paraId="041BC114" w14:textId="1E7B6A72" w:rsidR="00B970A1" w:rsidRDefault="00B970A1" w:rsidP="002F3F42">
      <w:pPr>
        <w:pStyle w:val="Nivel3"/>
        <w:keepNext/>
      </w:pPr>
      <w:r>
        <w:rPr>
          <w:i/>
          <w:iCs/>
        </w:rPr>
        <w:t xml:space="preserve">Política monetaria procíclica </w:t>
      </w:r>
      <w:r w:rsidRPr="0005581A">
        <w:rPr>
          <w:sz w:val="14"/>
          <w:szCs w:val="14"/>
        </w:rPr>
        <w:t>(</w:t>
      </w:r>
      <w:r>
        <w:rPr>
          <w:sz w:val="14"/>
          <w:szCs w:val="14"/>
        </w:rPr>
        <w:t>acentúa</w:t>
      </w:r>
      <w:r w:rsidRPr="0005581A">
        <w:rPr>
          <w:sz w:val="14"/>
          <w:szCs w:val="14"/>
        </w:rPr>
        <w:t xml:space="preserve"> el ciclo)</w:t>
      </w:r>
      <w:r w:rsidRPr="0005581A">
        <w:t>:</w:t>
      </w:r>
      <w:r>
        <w:t xml:space="preserve"> Se disminuye el </w:t>
      </w:r>
      <w:r w:rsidR="002F3F42">
        <w:t>tipo de interés</w:t>
      </w:r>
      <w:r>
        <w:t xml:space="preserve"> cuando el ciclo es fuerte y se aumenta cuando el ciclo es débil.</w:t>
      </w:r>
    </w:p>
    <w:p w14:paraId="270D41AE" w14:textId="48823355" w:rsidR="002F3F42" w:rsidRDefault="002F3F42" w:rsidP="002F3F42">
      <w:pPr>
        <w:pStyle w:val="Nivel4"/>
      </w:pPr>
      <w:r>
        <w:t>Aquí es necesario relacionarlo también con la inflación</w:t>
      </w:r>
      <w:r w:rsidR="0004074D">
        <w:t xml:space="preserve"> y con el output gap (i.e. ver si se sigue una política monetaria coherente con una regla monetaria </w:t>
      </w:r>
      <w:r w:rsidR="0004074D">
        <w:rPr>
          <w:i/>
          <w:iCs/>
        </w:rPr>
        <w:t>à la Taylor</w:t>
      </w:r>
      <w:r w:rsidR="0004074D">
        <w:t>)</w:t>
      </w:r>
      <w:r>
        <w:t>.</w:t>
      </w:r>
    </w:p>
    <w:p w14:paraId="1CB7BF5F" w14:textId="77777777" w:rsidR="002F3F42" w:rsidRDefault="002F3F42" w:rsidP="002F3F42">
      <w:pPr>
        <w:pStyle w:val="Nivel2"/>
        <w:keepNext/>
        <w:spacing w:after="0"/>
      </w:pPr>
      <w:r>
        <w:rPr>
          <w:i/>
          <w:iCs/>
          <w:u w:val="single"/>
        </w:rPr>
        <w:t>Objetivo aparente del banco central</w:t>
      </w:r>
      <w:r w:rsidR="00B970A1" w:rsidRPr="0005581A">
        <w:t>:</w:t>
      </w:r>
    </w:p>
    <w:p w14:paraId="37CAC22E" w14:textId="35AEEED7" w:rsidR="00B970A1" w:rsidRDefault="002F3F42" w:rsidP="002F3F42">
      <w:pPr>
        <w:pStyle w:val="Nivel3"/>
      </w:pPr>
      <w:r>
        <w:t>¿Estabilidad de precios?</w:t>
      </w:r>
    </w:p>
    <w:p w14:paraId="43BDE0D7" w14:textId="5E7991BA" w:rsidR="002F3F42" w:rsidRDefault="002F3F42" w:rsidP="002F3F42">
      <w:pPr>
        <w:pStyle w:val="Nivel3"/>
      </w:pPr>
      <w:r>
        <w:t>¿Pleno empleo?</w:t>
      </w:r>
    </w:p>
    <w:p w14:paraId="7888351A" w14:textId="77777777" w:rsidR="00B970A1" w:rsidRPr="0005581A" w:rsidRDefault="00B970A1" w:rsidP="00B970A1">
      <w:pPr>
        <w:pStyle w:val="Nivel1SM"/>
        <w:keepNext/>
        <w:spacing w:after="0"/>
      </w:pPr>
      <w:r>
        <w:rPr>
          <w:b/>
          <w:bCs/>
        </w:rPr>
        <w:t>Análisis opcionales</w:t>
      </w:r>
      <w:r>
        <w:t>:</w:t>
      </w:r>
    </w:p>
    <w:p w14:paraId="1C6A10D9" w14:textId="77777777" w:rsidR="00B970A1" w:rsidRPr="0005581A" w:rsidRDefault="00B970A1" w:rsidP="00B970A1">
      <w:pPr>
        <w:pStyle w:val="Nivel2"/>
      </w:pPr>
      <w:r w:rsidRPr="0005581A">
        <w:rPr>
          <w:i/>
          <w:iCs/>
        </w:rPr>
        <w:t xml:space="preserve">Nivel </w:t>
      </w:r>
      <w:r>
        <w:rPr>
          <w:i/>
          <w:iCs/>
        </w:rPr>
        <w:t>de ingresos y gastos sobre PIB, efectividad de los estabilizadores automáticos (saldo público vs cíclicamente ajustado), peso de la deuda a corto plazo (vencimientos, mejor cuanto más escalonado para reducir el riesgo de refinanciación), peso de la deuda regional, etc.</w:t>
      </w:r>
    </w:p>
    <w:p w14:paraId="475DD9AF" w14:textId="17063CEC" w:rsidR="00284B54" w:rsidRPr="00025F23" w:rsidRDefault="00083A56" w:rsidP="00083A56">
      <w:pPr>
        <w:pStyle w:val="Desarrollocoyuntura"/>
      </w:pPr>
      <w:bookmarkStart w:id="308" w:name="_Toc173446372"/>
      <w:r w:rsidRPr="00025F23">
        <w:t>“</w:t>
      </w:r>
      <w:r w:rsidR="00284B54" w:rsidRPr="00025F23">
        <w:t>Para analizar el tono de la política monetaria suele ser conveniente fijarse en la evolución del tipo de interés a corto plazo (pues es el que está bajo control directo del banco central) y real (pues es el que afecta a las decisiones de los agentes y la autoridad monetaria estima la inflación futura). Para ello, restamos la inflación al tipo de interés nominal a corto plazo del cuadro macroeconómico.</w:t>
      </w:r>
      <w:r w:rsidR="00C82590" w:rsidRPr="00025F23">
        <w:t>”</w:t>
      </w:r>
      <w:bookmarkEnd w:id="308"/>
    </w:p>
    <w:p w14:paraId="3BF9AAF1" w14:textId="0F76A6AA" w:rsidR="00C82590" w:rsidRPr="00025F23" w:rsidRDefault="00C82590" w:rsidP="00083A56">
      <w:pPr>
        <w:pStyle w:val="Desarrollocoyuntura"/>
      </w:pPr>
      <w:bookmarkStart w:id="309" w:name="_Toc173446373"/>
      <w:r w:rsidRPr="00025F23">
        <w:t xml:space="preserve">“Vemos como, atendiendo a esta métrica, parecería que el Banco Central Europeo ha llevado a cabo una política monetaria contractiva en la mayor parte de la serie. No obstante, conviene no precipitarse con esta conclusión, ya que lo cierto es que el BCE alcanza pronto la cota cero de tipo de interés nominal, y desde entonces no dispone de margen de maniobra con este instrumento tradicional de política monetaria.  Por ello, para hacer una valoración más certera del tono de la política monetaria se hace necesario tener una visión más completa del instrumental </w:t>
      </w:r>
      <w:r w:rsidR="00147446" w:rsidRPr="00025F23">
        <w:t>utilizado por el BCE desde el estallido de la crisis financiera. En efecto, a partir de 2014, y a medida que el tipo de interés agotaba su margen de maniobra, el BCE puso en marcha múltiples programas de compras de acticos, cuyo impacto se refleja en parte en el agregado M3 del cuadro macroeconómico. Así, se observa cómo este agregado crece más fuertemente a partir de 2015 y se dispara entre 2020 y 2021, tras la puesta en marcha del Programa de Compras de Emergencia frente a la Pandemia, lo que muestra una política monetaria no convencional fuertemente expansiva.</w:t>
      </w:r>
      <w:r w:rsidRPr="00025F23">
        <w:t>”</w:t>
      </w:r>
      <w:bookmarkEnd w:id="309"/>
    </w:p>
    <w:p w14:paraId="354D67F8" w14:textId="751EDC63" w:rsidR="00083A56" w:rsidRPr="00025F23" w:rsidRDefault="00C82590" w:rsidP="00083A56">
      <w:pPr>
        <w:pStyle w:val="Desarrollocoyuntura"/>
      </w:pPr>
      <w:bookmarkStart w:id="310" w:name="_Toc173446374"/>
      <w:r w:rsidRPr="00025F23">
        <w:t>“</w:t>
      </w:r>
      <w:r w:rsidR="00083A56" w:rsidRPr="00025F23">
        <w:t>Aunque es cierto que los agentes económicos toman sus decisiones en base al tipo de interés real, es cierto que si nos fijamos únicamente en el tipo de interés nominal que está subiendo en la fase final de la serie podríamos decir que la política monetaria está siendo contractiva</w:t>
      </w:r>
      <w:r w:rsidRPr="00025F23">
        <w:t>.</w:t>
      </w:r>
      <w:r w:rsidR="00083A56" w:rsidRPr="00025F23">
        <w:t>”</w:t>
      </w:r>
      <w:bookmarkEnd w:id="310"/>
    </w:p>
    <w:p w14:paraId="75450D5F" w14:textId="6CB7E6F0" w:rsidR="00C82590" w:rsidRPr="00025F23" w:rsidRDefault="00147446" w:rsidP="00083A56">
      <w:pPr>
        <w:pStyle w:val="Desarrollocoyuntura"/>
      </w:pPr>
      <w:bookmarkStart w:id="311" w:name="_Toc173446375"/>
      <w:r w:rsidRPr="00025F23">
        <w:lastRenderedPageBreak/>
        <w:t xml:space="preserve">“En cuanto a la relación de la política monetaria con el ciclo, de nuevo sería conveniente evitar conclusiones tajantes basadas en el tipo de interés real dada la cota cero de los tipos nominales. Sí parece deducirse una compra masiva de activos por parte del BCE durante la crisis de coronavirus, lo que representaría una política monetaria claramente </w:t>
      </w:r>
      <w:proofErr w:type="spellStart"/>
      <w:r w:rsidRPr="00025F23">
        <w:t>contracíclica</w:t>
      </w:r>
      <w:proofErr w:type="spellEnd"/>
      <w:r w:rsidRPr="00025F23">
        <w:t>.”</w:t>
      </w:r>
      <w:bookmarkEnd w:id="311"/>
    </w:p>
    <w:p w14:paraId="66237B0C" w14:textId="439B77D1" w:rsidR="00147446" w:rsidRPr="00025F23" w:rsidRDefault="00147446" w:rsidP="00083A56">
      <w:pPr>
        <w:pStyle w:val="Desarrollocoyuntura"/>
      </w:pPr>
      <w:bookmarkStart w:id="312" w:name="_Toc173446376"/>
      <w:r w:rsidRPr="00025F23">
        <w:t xml:space="preserve">“Por último, dado que la brecha de producción se mantiene negativa durante casi toda la serie, y puesto que la inflación se sitúa en niveles persistentemente bajos, no parece arriesgado concluir que la política monetaria expansiva llevada a cabo por el BCE es acertada para la economía de Numitor, aunque no hay que perder de vista las </w:t>
      </w:r>
      <w:proofErr w:type="gramStart"/>
      <w:r w:rsidRPr="00025F23">
        <w:t>expectativas futuras</w:t>
      </w:r>
      <w:proofErr w:type="gramEnd"/>
      <w:r w:rsidRPr="00025F23">
        <w:t xml:space="preserve"> de inflación y la evolución del precio de los activos.”</w:t>
      </w:r>
      <w:bookmarkEnd w:id="312"/>
    </w:p>
    <w:p w14:paraId="4C33844A" w14:textId="297D7A1E" w:rsidR="00C166AD" w:rsidRPr="00C166AD" w:rsidRDefault="00C166AD" w:rsidP="00C166AD">
      <w:pPr>
        <w:pStyle w:val="Ttuloimagen"/>
        <w:rPr>
          <w:i/>
          <w:iCs/>
          <w:smallCaps w:val="0"/>
        </w:rPr>
      </w:pPr>
      <w:bookmarkStart w:id="313" w:name="_Toc88566010"/>
      <w:bookmarkStart w:id="314" w:name="_Toc88566150"/>
      <w:r>
        <w:t>Imagen </w:t>
      </w:r>
      <w:r>
        <w:fldChar w:fldCharType="begin"/>
      </w:r>
      <w:r>
        <w:instrText xml:space="preserve"> SEQ Ilustración \* ARABIC </w:instrText>
      </w:r>
      <w:r>
        <w:fldChar w:fldCharType="separate"/>
      </w:r>
      <w:r w:rsidR="00903E0C">
        <w:t>8</w:t>
      </w:r>
      <w:r>
        <w:fldChar w:fldCharType="end"/>
      </w:r>
      <w:r>
        <w:rPr>
          <w:smallCaps w:val="0"/>
        </w:rPr>
        <w:t xml:space="preserve">.– </w:t>
      </w:r>
      <w:r w:rsidRPr="00C166AD">
        <w:rPr>
          <w:i/>
          <w:iCs/>
          <w:smallCaps w:val="0"/>
        </w:rPr>
        <w:t>Modificaciones de los tipos de interés oficiales del BCE</w:t>
      </w:r>
      <w:r w:rsidR="00DF3D99">
        <w:rPr>
          <w:i/>
          <w:iCs/>
          <w:smallCaps w:val="0"/>
        </w:rPr>
        <w:br/>
        <w:t>y evolución del balance consolidado del Eurosistema</w:t>
      </w:r>
    </w:p>
    <w:p w14:paraId="5644C161" w14:textId="15CE0CF2" w:rsidR="00C166AD" w:rsidRDefault="00C166AD" w:rsidP="00C166AD">
      <w:pPr>
        <w:pStyle w:val="Imagen"/>
      </w:pPr>
      <w:r>
        <w:drawing>
          <wp:inline distT="0" distB="0" distL="0" distR="0" wp14:anchorId="22D19951" wp14:editId="6CA04F33">
            <wp:extent cx="3015934" cy="1524000"/>
            <wp:effectExtent l="0" t="0" r="0" b="0"/>
            <wp:docPr id="389082877" name="Imagen 1" descr="Gráf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082877" name="Imagen 1" descr="Gráfico&#10;&#10;Descripción generada automáticamente"/>
                    <pic:cNvPicPr>
                      <a:picLocks noChangeAspect="1" noChangeArrowheads="1"/>
                    </pic:cNvPicPr>
                  </pic:nvPicPr>
                  <pic:blipFill>
                    <a:blip r:embed="rId38">
                      <a:extLst>
                        <a:ext uri="{28A0092B-C50C-407E-A947-70E740481C1C}">
                          <a14:useLocalDpi xmlns:a14="http://schemas.microsoft.com/office/drawing/2010/main"/>
                        </a:ext>
                      </a:extLst>
                    </a:blip>
                    <a:srcRect/>
                    <a:stretch>
                      <a:fillRect/>
                    </a:stretch>
                  </pic:blipFill>
                  <pic:spPr bwMode="auto">
                    <a:xfrm>
                      <a:off x="0" y="0"/>
                      <a:ext cx="3017809" cy="1524948"/>
                    </a:xfrm>
                    <a:prstGeom prst="rect">
                      <a:avLst/>
                    </a:prstGeom>
                    <a:noFill/>
                    <a:ln>
                      <a:noFill/>
                    </a:ln>
                  </pic:spPr>
                </pic:pic>
              </a:graphicData>
            </a:graphic>
          </wp:inline>
        </w:drawing>
      </w:r>
      <w:r w:rsidR="00DF3D99" w:rsidRPr="00DF3D99">
        <w:t xml:space="preserve"> </w:t>
      </w:r>
      <w:r w:rsidR="00DF3D99">
        <w:drawing>
          <wp:inline distT="0" distB="0" distL="0" distR="0" wp14:anchorId="0363757E" wp14:editId="2606F654">
            <wp:extent cx="3284855" cy="1727200"/>
            <wp:effectExtent l="0" t="0" r="0" b="6350"/>
            <wp:docPr id="776845258" name="Imagen 2" descr="Gráfico, 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6845258" name="Imagen 2" descr="Gráfico, Diagrama&#10;&#10;Descripción generada automáticamente"/>
                    <pic:cNvPicPr>
                      <a:picLocks noChangeAspect="1" noChangeArrowheads="1"/>
                    </pic:cNvPicPr>
                  </pic:nvPicPr>
                  <pic:blipFill>
                    <a:blip r:embed="rId39">
                      <a:extLst>
                        <a:ext uri="{28A0092B-C50C-407E-A947-70E740481C1C}">
                          <a14:useLocalDpi xmlns:a14="http://schemas.microsoft.com/office/drawing/2010/main"/>
                        </a:ext>
                      </a:extLst>
                    </a:blip>
                    <a:srcRect/>
                    <a:stretch>
                      <a:fillRect/>
                    </a:stretch>
                  </pic:blipFill>
                  <pic:spPr bwMode="auto">
                    <a:xfrm>
                      <a:off x="0" y="0"/>
                      <a:ext cx="3284855" cy="1727200"/>
                    </a:xfrm>
                    <a:prstGeom prst="rect">
                      <a:avLst/>
                    </a:prstGeom>
                    <a:noFill/>
                    <a:ln>
                      <a:noFill/>
                    </a:ln>
                  </pic:spPr>
                </pic:pic>
              </a:graphicData>
            </a:graphic>
          </wp:inline>
        </w:drawing>
      </w:r>
    </w:p>
    <w:p w14:paraId="036F4275" w14:textId="03803B07" w:rsidR="00C166AD" w:rsidRPr="00C166AD" w:rsidRDefault="00C166AD" w:rsidP="00C166AD">
      <w:pPr>
        <w:pStyle w:val="Piedeimagen"/>
        <w:rPr>
          <w:i w:val="0"/>
        </w:rPr>
      </w:pPr>
      <w:r>
        <w:t>Fuente</w:t>
      </w:r>
      <w:r>
        <w:rPr>
          <w:i w:val="0"/>
          <w:iCs/>
        </w:rPr>
        <w:t>:</w:t>
      </w:r>
      <w:r w:rsidRPr="00C166AD">
        <w:rPr>
          <w:i w:val="0"/>
        </w:rPr>
        <w:t xml:space="preserve"> </w:t>
      </w:r>
      <w:r w:rsidRPr="00C166AD">
        <w:rPr>
          <w:i w:val="0"/>
          <w:spacing w:val="-5"/>
        </w:rPr>
        <w:t xml:space="preserve">European Central Bank (May 2023). </w:t>
      </w:r>
      <w:r w:rsidRPr="00C166AD">
        <w:rPr>
          <w:iCs/>
          <w:spacing w:val="-5"/>
        </w:rPr>
        <w:t>Informe Anual 2022</w:t>
      </w:r>
      <w:r w:rsidRPr="00C166AD">
        <w:rPr>
          <w:i w:val="0"/>
          <w:spacing w:val="-5"/>
        </w:rPr>
        <w:t xml:space="preserve">. </w:t>
      </w:r>
      <w:hyperlink r:id="rId40" w:history="1">
        <w:r w:rsidRPr="00F63AD1">
          <w:rPr>
            <w:rStyle w:val="Hipervnculo"/>
            <w:i w:val="0"/>
            <w:spacing w:val="-5"/>
          </w:rPr>
          <w:t>https://www.ecb.europa.eu/pub/annual/html/ecb.ar2022~8ae51d163b.es.html</w:t>
        </w:r>
      </w:hyperlink>
    </w:p>
    <w:p w14:paraId="3A21B941" w14:textId="4D86ECB4" w:rsidR="000E595D" w:rsidRPr="00025F23" w:rsidRDefault="000E595D" w:rsidP="00AD1AFB">
      <w:pPr>
        <w:pStyle w:val="Ttulo3"/>
      </w:pPr>
      <w:bookmarkStart w:id="315" w:name="_Toc173446377"/>
      <w:bookmarkStart w:id="316" w:name="_Toc189085826"/>
      <w:r w:rsidRPr="00025F23">
        <w:t>Política fiscal</w:t>
      </w:r>
      <w:r w:rsidR="00D12DFA" w:rsidRPr="00025F23">
        <w:t xml:space="preserve"> y déficit público</w:t>
      </w:r>
      <w:bookmarkEnd w:id="313"/>
      <w:bookmarkEnd w:id="314"/>
      <w:bookmarkEnd w:id="315"/>
      <w:bookmarkEnd w:id="316"/>
    </w:p>
    <w:p w14:paraId="3D66C1F5" w14:textId="77777777" w:rsidR="00741403" w:rsidRDefault="0042128F" w:rsidP="00741403">
      <w:pPr>
        <w:pStyle w:val="Nivel1SM"/>
        <w:keepNext/>
        <w:spacing w:after="0"/>
      </w:pPr>
      <w:r>
        <w:t xml:space="preserve">En la actualidad, existe cierto </w:t>
      </w:r>
      <w:r w:rsidRPr="0042128F">
        <w:rPr>
          <w:b/>
          <w:bCs/>
        </w:rPr>
        <w:t>consenso</w:t>
      </w:r>
      <w:r>
        <w:t xml:space="preserve"> acerca de la </w:t>
      </w:r>
      <w:r w:rsidRPr="0042128F">
        <w:rPr>
          <w:b/>
          <w:bCs/>
        </w:rPr>
        <w:t>inefectividad</w:t>
      </w:r>
      <w:r>
        <w:t xml:space="preserve"> de una </w:t>
      </w:r>
      <w:r w:rsidRPr="0042128F">
        <w:rPr>
          <w:b/>
          <w:bCs/>
        </w:rPr>
        <w:t>política fiscal expansiva</w:t>
      </w:r>
      <w:r>
        <w:t xml:space="preserve"> para alterar los niveles de producción y de empleo de largo plazo</w:t>
      </w:r>
      <w:r>
        <w:rPr>
          <w:rStyle w:val="Refdenotaalpie"/>
        </w:rPr>
        <w:footnoteReference w:id="38"/>
      </w:r>
      <w:r>
        <w:t>.</w:t>
      </w:r>
    </w:p>
    <w:p w14:paraId="6844B4D7" w14:textId="77777777" w:rsidR="00741403" w:rsidRDefault="0042128F" w:rsidP="00741403">
      <w:pPr>
        <w:pStyle w:val="Nivel2SM"/>
      </w:pPr>
      <w:r>
        <w:t xml:space="preserve">Por ello, la gran mayoría de economistas pide seguir una </w:t>
      </w:r>
      <w:r w:rsidRPr="0042128F">
        <w:rPr>
          <w:b/>
          <w:bCs/>
        </w:rPr>
        <w:t>política fiscal neutral</w:t>
      </w:r>
      <w:r>
        <w:t xml:space="preserve">, esto es, que se deje actuar a los estabilizadores automáticos, de forma que se generen superávits durante las expansiones y déficits recesiones (i.e. el déficit sería </w:t>
      </w:r>
      <w:proofErr w:type="spellStart"/>
      <w:r>
        <w:t>contracíclico</w:t>
      </w:r>
      <w:proofErr w:type="spellEnd"/>
      <w:r>
        <w:t>, de manera que el papel de la deuda pública sería el de absorber los shocks que golpean a la economía). Esto implicaría un saldo estructural en equilibrio.</w:t>
      </w:r>
    </w:p>
    <w:p w14:paraId="32CFDA56" w14:textId="10A6C0F2" w:rsidR="0042128F" w:rsidRDefault="0042128F" w:rsidP="00741403">
      <w:pPr>
        <w:pStyle w:val="Nivel2SM"/>
      </w:pPr>
      <w:r>
        <w:t xml:space="preserve">Sólo en situaciones de </w:t>
      </w:r>
      <w:r>
        <w:rPr>
          <w:b/>
          <w:bCs/>
        </w:rPr>
        <w:t>grave recesión o sobrecalentamiento</w:t>
      </w:r>
      <w:r>
        <w:t xml:space="preserve"> debería el Gobierno implementar una </w:t>
      </w:r>
      <w:r>
        <w:rPr>
          <w:b/>
          <w:bCs/>
        </w:rPr>
        <w:t xml:space="preserve">política fiscal discrecional </w:t>
      </w:r>
      <w:proofErr w:type="spellStart"/>
      <w:r>
        <w:rPr>
          <w:b/>
          <w:bCs/>
        </w:rPr>
        <w:t>contracíclica</w:t>
      </w:r>
      <w:proofErr w:type="spellEnd"/>
      <w:r>
        <w:t xml:space="preserve"> en el </w:t>
      </w:r>
      <w:r>
        <w:rPr>
          <w:b/>
          <w:bCs/>
        </w:rPr>
        <w:t>corto plazo</w:t>
      </w:r>
      <w:r w:rsidRPr="0042128F">
        <w:t>.</w:t>
      </w:r>
    </w:p>
    <w:p w14:paraId="3D71E482" w14:textId="2205B2EC" w:rsidR="00FA3E5F" w:rsidRDefault="00FA3E5F" w:rsidP="00FA3E5F">
      <w:pPr>
        <w:pStyle w:val="Nivel1SM"/>
        <w:keepNext/>
        <w:spacing w:after="0"/>
      </w:pPr>
      <w:r w:rsidRPr="0005581A">
        <w:rPr>
          <w:b/>
          <w:bCs/>
        </w:rPr>
        <w:t>Variables</w:t>
      </w:r>
      <w:r>
        <w:t>:</w:t>
      </w:r>
    </w:p>
    <w:p w14:paraId="1351C3F7" w14:textId="71389DCF" w:rsidR="00FA3E5F" w:rsidRPr="0005581A" w:rsidRDefault="0005581A">
      <w:pPr>
        <w:pStyle w:val="Prrafodelista"/>
        <w:numPr>
          <w:ilvl w:val="0"/>
          <w:numId w:val="30"/>
        </w:numPr>
        <w:spacing w:after="0"/>
        <w:ind w:left="284" w:hanging="57"/>
      </w:pPr>
      <w:r w:rsidRPr="0005581A">
        <w:rPr>
          <w:i/>
          <w:iCs/>
          <w:u w:val="single"/>
        </w:rPr>
        <w:t>Saldo público</w:t>
      </w:r>
      <w:r>
        <w:t xml:space="preserve"> (o capacidad/necesidad de financiación de las AA.PP.): </w:t>
      </w:r>
      <w:r w:rsidRPr="0005581A">
        <w:rPr>
          <w:sz w:val="14"/>
          <w:szCs w:val="14"/>
        </w:rPr>
        <w:t>In</w:t>
      </w:r>
      <w:r>
        <w:rPr>
          <w:sz w:val="14"/>
          <w:szCs w:val="14"/>
        </w:rPr>
        <w:t>gresos totales menos gastos totales</w:t>
      </w:r>
      <w:r w:rsidRPr="0005581A">
        <w:rPr>
          <w:szCs w:val="16"/>
        </w:rPr>
        <w:t>.</w:t>
      </w:r>
    </w:p>
    <w:p w14:paraId="53886161" w14:textId="6E536C3D" w:rsidR="0005581A" w:rsidRDefault="0005581A">
      <w:pPr>
        <w:pStyle w:val="Prrafodelista"/>
        <w:numPr>
          <w:ilvl w:val="0"/>
          <w:numId w:val="30"/>
        </w:numPr>
        <w:spacing w:after="0"/>
        <w:ind w:left="284" w:hanging="57"/>
      </w:pPr>
      <w:r w:rsidRPr="0005581A">
        <w:rPr>
          <w:i/>
          <w:iCs/>
          <w:u w:val="single"/>
        </w:rPr>
        <w:t>Saldo primario</w:t>
      </w:r>
      <w:r w:rsidRPr="0005581A">
        <w:t>:</w:t>
      </w:r>
      <w:r>
        <w:t xml:space="preserve"> </w:t>
      </w:r>
      <w:r w:rsidRPr="0005581A">
        <w:rPr>
          <w:sz w:val="14"/>
          <w:szCs w:val="14"/>
        </w:rPr>
        <w:t>Saldo público neto de interese</w:t>
      </w:r>
      <w:r>
        <w:rPr>
          <w:sz w:val="14"/>
          <w:szCs w:val="14"/>
        </w:rPr>
        <w:t>s de la deuda</w:t>
      </w:r>
      <w:r>
        <w:t>.</w:t>
      </w:r>
    </w:p>
    <w:p w14:paraId="1445731A" w14:textId="7782E18D" w:rsidR="0005581A" w:rsidRDefault="0005581A">
      <w:pPr>
        <w:pStyle w:val="Prrafodelista"/>
        <w:numPr>
          <w:ilvl w:val="0"/>
          <w:numId w:val="30"/>
        </w:numPr>
        <w:spacing w:after="0"/>
        <w:ind w:left="284" w:hanging="57"/>
      </w:pPr>
      <w:r w:rsidRPr="0005581A">
        <w:rPr>
          <w:i/>
          <w:iCs/>
          <w:u w:val="single"/>
        </w:rPr>
        <w:t>Saldo cíclicamente ajustado</w:t>
      </w:r>
      <w:r w:rsidRPr="0005581A">
        <w:t>:</w:t>
      </w:r>
      <w:r>
        <w:t xml:space="preserve"> </w:t>
      </w:r>
      <w:r w:rsidRPr="0005581A">
        <w:rPr>
          <w:sz w:val="14"/>
          <w:szCs w:val="14"/>
        </w:rPr>
        <w:t>El déficit que habría si el país estuviera en una fase neutral del ciclo (i.e. si no estuviera ni en expansión ni en recesión)</w:t>
      </w:r>
      <w:r>
        <w:t>.</w:t>
      </w:r>
    </w:p>
    <w:p w14:paraId="1306DE5B" w14:textId="087542DA" w:rsidR="0005581A" w:rsidRDefault="0005581A">
      <w:pPr>
        <w:pStyle w:val="Prrafodelista"/>
        <w:numPr>
          <w:ilvl w:val="0"/>
          <w:numId w:val="30"/>
        </w:numPr>
        <w:spacing w:after="0"/>
        <w:ind w:left="284" w:hanging="57"/>
      </w:pPr>
      <w:r w:rsidRPr="0005581A">
        <w:rPr>
          <w:i/>
          <w:iCs/>
          <w:u w:val="single"/>
        </w:rPr>
        <w:t>Saldo estructural</w:t>
      </w:r>
      <w:r>
        <w:t>:</w:t>
      </w:r>
      <w:r w:rsidR="00F26F4E">
        <w:t xml:space="preserve"> </w:t>
      </w:r>
      <w:r w:rsidR="00F26F4E" w:rsidRPr="00A87F3A">
        <w:rPr>
          <w:sz w:val="14"/>
          <w:szCs w:val="14"/>
        </w:rPr>
        <w:t xml:space="preserve">El saldo estructural le quita los </w:t>
      </w:r>
      <w:proofErr w:type="spellStart"/>
      <w:r w:rsidR="00F26F4E" w:rsidRPr="00A87F3A">
        <w:rPr>
          <w:i/>
          <w:iCs/>
          <w:sz w:val="14"/>
          <w:szCs w:val="14"/>
        </w:rPr>
        <w:t>one-offs</w:t>
      </w:r>
      <w:proofErr w:type="spellEnd"/>
      <w:r w:rsidR="00F26F4E" w:rsidRPr="00A87F3A">
        <w:rPr>
          <w:sz w:val="14"/>
          <w:szCs w:val="14"/>
        </w:rPr>
        <w:t xml:space="preserve"> al saldo cíclicamente ajustado</w:t>
      </w:r>
      <w:r w:rsidRPr="00A87F3A">
        <w:rPr>
          <w:sz w:val="14"/>
          <w:szCs w:val="14"/>
        </w:rPr>
        <w:t>.</w:t>
      </w:r>
      <w:r w:rsidR="00F26F4E" w:rsidRPr="00A87F3A">
        <w:rPr>
          <w:sz w:val="14"/>
          <w:szCs w:val="14"/>
        </w:rPr>
        <w:t xml:space="preserve"> Es decir, el saldo estructural es el saldo cíclicamente ajustado menos aquella</w:t>
      </w:r>
      <w:r w:rsidR="00DF4D55" w:rsidRPr="00A87F3A">
        <w:rPr>
          <w:sz w:val="14"/>
          <w:szCs w:val="14"/>
        </w:rPr>
        <w:t>s medidas de ingresos o de gastos que son puntuales (o temporales</w:t>
      </w:r>
      <w:r w:rsidR="00DF4D55" w:rsidRPr="00A87F3A">
        <w:rPr>
          <w:rStyle w:val="Refdenotaalpie"/>
          <w:sz w:val="14"/>
          <w:szCs w:val="14"/>
        </w:rPr>
        <w:footnoteReference w:id="39"/>
      </w:r>
      <w:r w:rsidR="00DF4D55" w:rsidRPr="00A87F3A">
        <w:rPr>
          <w:sz w:val="14"/>
          <w:szCs w:val="14"/>
        </w:rPr>
        <w:t>)</w:t>
      </w:r>
      <w:r w:rsidR="00DF4D55">
        <w:t>.</w:t>
      </w:r>
    </w:p>
    <w:p w14:paraId="3A9C9367" w14:textId="295E4F55" w:rsidR="0005581A" w:rsidRPr="00A87F3A" w:rsidRDefault="0005581A">
      <w:pPr>
        <w:pStyle w:val="Prrafodelista"/>
        <w:numPr>
          <w:ilvl w:val="0"/>
          <w:numId w:val="30"/>
        </w:numPr>
        <w:spacing w:after="0"/>
        <w:ind w:left="284" w:hanging="57"/>
        <w:rPr>
          <w:spacing w:val="-1"/>
        </w:rPr>
      </w:pPr>
      <w:r w:rsidRPr="00A87F3A">
        <w:rPr>
          <w:i/>
          <w:iCs/>
          <w:spacing w:val="-1"/>
          <w:u w:val="single"/>
        </w:rPr>
        <w:t>Saldo estructural primario</w:t>
      </w:r>
      <w:r w:rsidRPr="00A87F3A">
        <w:rPr>
          <w:spacing w:val="-1"/>
        </w:rPr>
        <w:t>:</w:t>
      </w:r>
      <w:r w:rsidR="00A87F3A" w:rsidRPr="00A87F3A">
        <w:rPr>
          <w:spacing w:val="-1"/>
        </w:rPr>
        <w:t xml:space="preserve"> </w:t>
      </w:r>
      <w:r w:rsidR="00A87F3A" w:rsidRPr="00A87F3A">
        <w:rPr>
          <w:spacing w:val="-1"/>
          <w:sz w:val="14"/>
          <w:szCs w:val="14"/>
        </w:rPr>
        <w:t>Es el saldo estructural neto de intereses de la deuda</w:t>
      </w:r>
      <w:r w:rsidRPr="00A87F3A">
        <w:rPr>
          <w:spacing w:val="-1"/>
        </w:rPr>
        <w:t>.</w:t>
      </w:r>
    </w:p>
    <w:p w14:paraId="58ABA480" w14:textId="504F9A0E" w:rsidR="00FA3E5F" w:rsidRDefault="00FA3E5F" w:rsidP="00FA3E5F">
      <w:pPr>
        <w:pStyle w:val="Nivel1SM"/>
        <w:keepNext/>
        <w:spacing w:after="0"/>
      </w:pPr>
      <w:proofErr w:type="gramStart"/>
      <w:r w:rsidRPr="0005581A">
        <w:rPr>
          <w:b/>
          <w:bCs/>
        </w:rPr>
        <w:t>Cuestiones a analizar</w:t>
      </w:r>
      <w:proofErr w:type="gramEnd"/>
      <w:r>
        <w:t>:</w:t>
      </w:r>
    </w:p>
    <w:p w14:paraId="0C001246" w14:textId="77777777" w:rsidR="0042128F" w:rsidRDefault="0005581A" w:rsidP="0042128F">
      <w:pPr>
        <w:pStyle w:val="Nivel2SM"/>
        <w:keepNext/>
        <w:spacing w:after="0"/>
      </w:pPr>
      <w:r w:rsidRPr="0005581A">
        <w:rPr>
          <w:i/>
          <w:iCs/>
          <w:u w:val="single"/>
        </w:rPr>
        <w:t>Tono/orientación</w:t>
      </w:r>
      <w:r>
        <w:t>: Ver si el saldo estructural primario disminuye (tono expansivo) o aumenta (tono contractivo)</w:t>
      </w:r>
    </w:p>
    <w:p w14:paraId="551F37EC" w14:textId="13B1400D" w:rsidR="00E16481" w:rsidRDefault="001A2AFC" w:rsidP="0042128F">
      <w:pPr>
        <w:pStyle w:val="Nivel3SM"/>
      </w:pPr>
      <w:r>
        <w:t>¡Ojo!, no estamos hablando en valor absoluto, es decir, si el saldo estructural primario era negativo y se torna más negativo ha disminuido e interpretaremos tono expansivo</w:t>
      </w:r>
      <w:r w:rsidR="0005581A">
        <w:t>.</w:t>
      </w:r>
    </w:p>
    <w:p w14:paraId="78C2E088" w14:textId="5A96D924" w:rsidR="00E16481" w:rsidRPr="00D7652F" w:rsidRDefault="00E16481" w:rsidP="00E16481">
      <w:pPr>
        <w:pStyle w:val="Ttuloimagen"/>
        <w:rPr>
          <w:smallCaps w:val="0"/>
        </w:rPr>
      </w:pPr>
      <w:r>
        <w:t>Imagen </w:t>
      </w:r>
      <w:r>
        <w:fldChar w:fldCharType="begin"/>
      </w:r>
      <w:r>
        <w:instrText xml:space="preserve"> SEQ Ilustración \* ARABIC </w:instrText>
      </w:r>
      <w:r>
        <w:fldChar w:fldCharType="separate"/>
      </w:r>
      <w:r w:rsidR="00903E0C">
        <w:t>9</w:t>
      </w:r>
      <w:r>
        <w:fldChar w:fldCharType="end"/>
      </w:r>
      <w:r>
        <w:rPr>
          <w:smallCaps w:val="0"/>
        </w:rPr>
        <w:t xml:space="preserve">.– </w:t>
      </w:r>
      <w:r>
        <w:rPr>
          <w:i/>
          <w:iCs/>
          <w:smallCaps w:val="0"/>
        </w:rPr>
        <w:t>Impulso fiscal en las economías avanzadas</w:t>
      </w:r>
    </w:p>
    <w:p w14:paraId="672CA74F" w14:textId="3E3FBF2B" w:rsidR="00E16481" w:rsidRPr="00DF3D99" w:rsidRDefault="00E16481" w:rsidP="00E16481">
      <w:pPr>
        <w:pStyle w:val="Imagen"/>
      </w:pPr>
      <w:r w:rsidRPr="00E16481">
        <w:drawing>
          <wp:inline distT="0" distB="0" distL="0" distR="0" wp14:anchorId="4BC5FB4E" wp14:editId="0546C5D7">
            <wp:extent cx="2522310" cy="2682240"/>
            <wp:effectExtent l="0" t="0" r="0" b="3810"/>
            <wp:docPr id="1900379065" name="Imagen 1" descr="Gráf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0379065" name="Imagen 1" descr="Gráfico&#10;&#10;Descripción generada automáticamente"/>
                    <pic:cNvPicPr/>
                  </pic:nvPicPr>
                  <pic:blipFill>
                    <a:blip r:embed="rId41"/>
                    <a:stretch>
                      <a:fillRect/>
                    </a:stretch>
                  </pic:blipFill>
                  <pic:spPr>
                    <a:xfrm>
                      <a:off x="0" y="0"/>
                      <a:ext cx="2524537" cy="2684608"/>
                    </a:xfrm>
                    <a:prstGeom prst="rect">
                      <a:avLst/>
                    </a:prstGeom>
                  </pic:spPr>
                </pic:pic>
              </a:graphicData>
            </a:graphic>
          </wp:inline>
        </w:drawing>
      </w:r>
    </w:p>
    <w:p w14:paraId="211D3BAE" w14:textId="1E935D12" w:rsidR="00E16481" w:rsidRPr="00E16481" w:rsidRDefault="00E16481" w:rsidP="00E16481">
      <w:pPr>
        <w:pStyle w:val="Piedeimagen"/>
        <w:rPr>
          <w:i w:val="0"/>
          <w:iCs/>
          <w:spacing w:val="-6"/>
        </w:rPr>
      </w:pPr>
      <w:r>
        <w:t>Fuente:</w:t>
      </w:r>
      <w:r w:rsidRPr="00DF3D99">
        <w:rPr>
          <w:i w:val="0"/>
          <w:iCs/>
        </w:rPr>
        <w:t xml:space="preserve"> I.M.F. (2023). </w:t>
      </w:r>
      <w:r w:rsidRPr="00DF3D99">
        <w:t>Fiscal Monitor</w:t>
      </w:r>
      <w:r w:rsidRPr="00DF3D99">
        <w:rPr>
          <w:i w:val="0"/>
          <w:iCs/>
        </w:rPr>
        <w:t xml:space="preserve">. </w:t>
      </w:r>
      <w:hyperlink r:id="rId42" w:history="1">
        <w:r w:rsidRPr="00DF3D99">
          <w:rPr>
            <w:rStyle w:val="Hipervnculo"/>
            <w:i w:val="0"/>
            <w:iCs/>
            <w:spacing w:val="-6"/>
          </w:rPr>
          <w:t>https://www.imf.org/es/Publications/FM/Issues/2023/04/03/fiscal-monitor-april-2023</w:t>
        </w:r>
      </w:hyperlink>
    </w:p>
    <w:p w14:paraId="2414CB4D" w14:textId="50496713" w:rsidR="0005581A" w:rsidRDefault="0005581A" w:rsidP="0042128F">
      <w:pPr>
        <w:pStyle w:val="Nivel2SM"/>
        <w:keepNext/>
        <w:spacing w:after="0"/>
      </w:pPr>
      <w:r w:rsidRPr="0005581A">
        <w:rPr>
          <w:i/>
          <w:iCs/>
          <w:u w:val="single"/>
        </w:rPr>
        <w:t>Relación con el ciclo</w:t>
      </w:r>
      <w:r w:rsidRPr="0005581A">
        <w:t>:</w:t>
      </w:r>
      <w:r>
        <w:t xml:space="preserve"> Ver cómo varía el saldo estructural prim</w:t>
      </w:r>
      <w:r w:rsidR="00A87F3A">
        <w:t>a</w:t>
      </w:r>
      <w:r>
        <w:t>rio en relación con la situación cíclica:</w:t>
      </w:r>
    </w:p>
    <w:p w14:paraId="41E9EEEB" w14:textId="3BADC198" w:rsidR="0005581A" w:rsidRDefault="0005581A" w:rsidP="0042128F">
      <w:pPr>
        <w:pStyle w:val="Nivel3SM"/>
      </w:pPr>
      <w:r>
        <w:rPr>
          <w:i/>
          <w:iCs/>
        </w:rPr>
        <w:t xml:space="preserve">Política fiscal </w:t>
      </w:r>
      <w:proofErr w:type="spellStart"/>
      <w:r>
        <w:rPr>
          <w:i/>
          <w:iCs/>
        </w:rPr>
        <w:t>contracíclica</w:t>
      </w:r>
      <w:proofErr w:type="spellEnd"/>
      <w:r>
        <w:rPr>
          <w:i/>
          <w:iCs/>
        </w:rPr>
        <w:t xml:space="preserve"> </w:t>
      </w:r>
      <w:r w:rsidRPr="0005581A">
        <w:rPr>
          <w:sz w:val="14"/>
          <w:szCs w:val="14"/>
        </w:rPr>
        <w:t>(suaviza el ciclo)</w:t>
      </w:r>
      <w:r w:rsidRPr="0005581A">
        <w:t>:</w:t>
      </w:r>
      <w:r>
        <w:t xml:space="preserve"> Se aumenta el saldo cuando el ciclo es fuerte y se disminuye el saldo cuando el ciclo es débil</w:t>
      </w:r>
      <w:r w:rsidR="00B345AE">
        <w:t xml:space="preserve"> </w:t>
      </w:r>
      <w:r w:rsidR="00B345AE" w:rsidRPr="0005581A">
        <w:rPr>
          <w:sz w:val="14"/>
          <w:szCs w:val="14"/>
        </w:rPr>
        <w:t>(</w:t>
      </w:r>
      <w:r w:rsidR="00B345AE">
        <w:rPr>
          <w:sz w:val="14"/>
          <w:szCs w:val="14"/>
        </w:rPr>
        <w:t>sería lo ideal</w:t>
      </w:r>
      <w:r w:rsidR="00B345AE" w:rsidRPr="0005581A">
        <w:rPr>
          <w:sz w:val="14"/>
          <w:szCs w:val="14"/>
        </w:rPr>
        <w:t>)</w:t>
      </w:r>
      <w:r>
        <w:t>.</w:t>
      </w:r>
    </w:p>
    <w:p w14:paraId="56896759" w14:textId="3C9BC691" w:rsidR="0005581A" w:rsidRDefault="0005581A" w:rsidP="0042128F">
      <w:pPr>
        <w:pStyle w:val="Nivel3SM"/>
      </w:pPr>
      <w:r>
        <w:rPr>
          <w:i/>
          <w:iCs/>
        </w:rPr>
        <w:t xml:space="preserve">Política fiscal procíclica </w:t>
      </w:r>
      <w:r w:rsidRPr="0005581A">
        <w:rPr>
          <w:sz w:val="14"/>
          <w:szCs w:val="14"/>
        </w:rPr>
        <w:t>(</w:t>
      </w:r>
      <w:r>
        <w:rPr>
          <w:sz w:val="14"/>
          <w:szCs w:val="14"/>
        </w:rPr>
        <w:t>acentúa</w:t>
      </w:r>
      <w:r w:rsidRPr="0005581A">
        <w:rPr>
          <w:sz w:val="14"/>
          <w:szCs w:val="14"/>
        </w:rPr>
        <w:t xml:space="preserve"> el ciclo)</w:t>
      </w:r>
      <w:r w:rsidRPr="0005581A">
        <w:t>:</w:t>
      </w:r>
      <w:r>
        <w:t xml:space="preserve"> Se disminuye el saldo cuando el ciclo es fuerte y se aumenta el saldo cuando el ciclo es débil.</w:t>
      </w:r>
    </w:p>
    <w:p w14:paraId="211C6146" w14:textId="5FF8E07B" w:rsidR="0005581A" w:rsidRDefault="0005581A" w:rsidP="0042128F">
      <w:pPr>
        <w:pStyle w:val="Nivel2SM"/>
      </w:pPr>
      <w:r w:rsidRPr="0042128F">
        <w:rPr>
          <w:i/>
          <w:u w:val="single"/>
        </w:rPr>
        <w:t>Evolución de la deuda pública y sus sostenibilidad</w:t>
      </w:r>
      <w:r w:rsidRPr="0005581A">
        <w:t>:</w:t>
      </w:r>
      <w:r w:rsidR="00F71544">
        <w:t xml:space="preserve"> Trayectoria del stock, </w:t>
      </w:r>
      <m:oMath>
        <m:sSub>
          <m:sSubPr>
            <m:ctrlPr>
              <w:rPr>
                <w:rFonts w:ascii="Cambria Math" w:hAnsi="Cambria Math"/>
                <w:i/>
                <w:iCs/>
                <w:spacing w:val="-2"/>
              </w:rPr>
            </m:ctrlPr>
          </m:sSubPr>
          <m:e>
            <m:r>
              <m:rPr>
                <m:nor/>
              </m:rPr>
              <w:rPr>
                <w:i/>
                <w:iCs/>
                <w:spacing w:val="-2"/>
                <w:szCs w:val="16"/>
              </w:rPr>
              <m:t>γ</m:t>
            </m:r>
          </m:e>
          <m:sub>
            <m:r>
              <m:rPr>
                <m:nor/>
              </m:rPr>
              <w:rPr>
                <w:i/>
                <w:iCs/>
                <w:spacing w:val="-2"/>
              </w:rPr>
              <m:t>PIB real</m:t>
            </m:r>
          </m:sub>
        </m:sSub>
      </m:oMath>
      <w:r w:rsidR="00F71544">
        <w:t>, coste de la deuda viva.</w:t>
      </w:r>
    </w:p>
    <w:p w14:paraId="6B330777" w14:textId="663EADE3" w:rsidR="0005581A" w:rsidRPr="0005581A" w:rsidRDefault="0005581A" w:rsidP="0005581A">
      <w:pPr>
        <w:pStyle w:val="Nivel1SM"/>
        <w:keepNext/>
        <w:spacing w:after="0"/>
      </w:pPr>
      <w:r>
        <w:rPr>
          <w:b/>
          <w:bCs/>
        </w:rPr>
        <w:t>Análisis opcionales</w:t>
      </w:r>
      <w:r>
        <w:t>:</w:t>
      </w:r>
    </w:p>
    <w:p w14:paraId="5761DE06" w14:textId="53FBB486" w:rsidR="00DF3D99" w:rsidRDefault="00F16BCC" w:rsidP="00F16BCC">
      <w:pPr>
        <w:pStyle w:val="Nivel2SM"/>
        <w:keepNext/>
        <w:spacing w:after="0"/>
      </w:pPr>
      <w:r w:rsidRPr="00F16BCC">
        <w:rPr>
          <w:i/>
          <w:iCs/>
          <w:u w:val="single"/>
        </w:rPr>
        <w:t>Impacto de la inflación en el déficit público</w:t>
      </w:r>
      <w:r>
        <w:t>: La inflación aumenta los ingresos y los gastos públicos, pero con distinto intervalo temporal.</w:t>
      </w:r>
    </w:p>
    <w:p w14:paraId="6D06066C" w14:textId="7D9F0760" w:rsidR="00F16BCC" w:rsidRDefault="00F16BCC" w:rsidP="00F16BCC">
      <w:pPr>
        <w:pStyle w:val="Nivel3SM"/>
        <w:keepNext/>
      </w:pPr>
      <w:r w:rsidRPr="00F16BCC">
        <w:rPr>
          <w:i/>
          <w:iCs/>
        </w:rPr>
        <w:t>Ingresos públicos</w:t>
      </w:r>
      <w:r>
        <w:t>: Aumentan rápidamente con la inflación por:</w:t>
      </w:r>
    </w:p>
    <w:p w14:paraId="4528A757" w14:textId="6C1BF89E" w:rsidR="00F16BCC" w:rsidRDefault="00F16BCC" w:rsidP="00F16BCC">
      <w:pPr>
        <w:pStyle w:val="Nivel4"/>
      </w:pPr>
      <w:r>
        <w:t>Las bases tributarias (consumo, beneficios, masa salarial…) aumentan con la inflación (i.e. son variables nominales).</w:t>
      </w:r>
    </w:p>
    <w:p w14:paraId="7441AF98" w14:textId="79BEEA91" w:rsidR="00F16BCC" w:rsidRDefault="00F16BCC" w:rsidP="00F16BCC">
      <w:pPr>
        <w:pStyle w:val="Nivel4"/>
      </w:pPr>
      <w:r>
        <w:t>Progresividad en frío (i.e. rémora fiscal).</w:t>
      </w:r>
    </w:p>
    <w:p w14:paraId="481B22AB" w14:textId="1970BA60" w:rsidR="00F16BCC" w:rsidRDefault="00F16BCC" w:rsidP="00F16BCC">
      <w:pPr>
        <w:pStyle w:val="Nivel3SM"/>
        <w:keepNext/>
      </w:pPr>
      <w:r w:rsidRPr="00F16BCC">
        <w:rPr>
          <w:i/>
          <w:iCs/>
        </w:rPr>
        <w:t>Gasto público</w:t>
      </w:r>
      <w:r>
        <w:t>: Aumentan más despacio que los ingresos:</w:t>
      </w:r>
    </w:p>
    <w:p w14:paraId="3DB784FA" w14:textId="5E8B944D" w:rsidR="00DF3D99" w:rsidRDefault="00F16BCC" w:rsidP="00F16BCC">
      <w:pPr>
        <w:pStyle w:val="Nivel4"/>
      </w:pPr>
      <w:r>
        <w:t>Gastos en intereses: Aumentan a medida que se amortiza deuda antigua con menores intereses y se emite nueva deuda a mayor tipo de interés. Aumentan lentamente porque el stock de deuda viva se amortiza poco a poco.</w:t>
      </w:r>
    </w:p>
    <w:p w14:paraId="33A410CD" w14:textId="32A9E96D" w:rsidR="00F16BCC" w:rsidRDefault="00F16BCC" w:rsidP="00F16BCC">
      <w:pPr>
        <w:pStyle w:val="Nivel4"/>
      </w:pPr>
      <w:r>
        <w:t>Gastos indexados (pensiones y salarios públicos): Aumentan lentamente porque normalmente se indexan a la inflación del año anterior. Cuidado con la revalorización de los salarios públicos, pues a veces sirven de referencia para los aumentos salariales del sector privado.</w:t>
      </w:r>
    </w:p>
    <w:p w14:paraId="0E217C7C" w14:textId="30472FDA" w:rsidR="00F16BCC" w:rsidRDefault="00F16BCC" w:rsidP="00F16BCC">
      <w:pPr>
        <w:pStyle w:val="Nivel4"/>
      </w:pPr>
      <w:r>
        <w:t>Gastos en aprovisionamientos (suministros, alquileres, etc.): Aumentan lentamente a medida que expiran los contratos y hay que licitarlos a mayores precios.</w:t>
      </w:r>
    </w:p>
    <w:p w14:paraId="23792601" w14:textId="4F31270B" w:rsidR="00DF3D99" w:rsidRPr="00D7652F" w:rsidRDefault="00DF3D99" w:rsidP="00DF3D99">
      <w:pPr>
        <w:pStyle w:val="Ttuloimagen"/>
        <w:rPr>
          <w:smallCaps w:val="0"/>
        </w:rPr>
      </w:pPr>
      <w:r>
        <w:t>Imagen </w:t>
      </w:r>
      <w:r>
        <w:fldChar w:fldCharType="begin"/>
      </w:r>
      <w:r>
        <w:instrText xml:space="preserve"> SEQ Ilustración \* ARABIC </w:instrText>
      </w:r>
      <w:r>
        <w:fldChar w:fldCharType="separate"/>
      </w:r>
      <w:r w:rsidR="00903E0C">
        <w:t>10</w:t>
      </w:r>
      <w:r>
        <w:fldChar w:fldCharType="end"/>
      </w:r>
      <w:r>
        <w:rPr>
          <w:smallCaps w:val="0"/>
        </w:rPr>
        <w:t xml:space="preserve">.– </w:t>
      </w:r>
      <w:r>
        <w:rPr>
          <w:i/>
          <w:iCs/>
          <w:smallCaps w:val="0"/>
        </w:rPr>
        <w:t>Repercusiones inmediatas de la inflación en las finanzas públicas</w:t>
      </w:r>
    </w:p>
    <w:p w14:paraId="52BE3D4B" w14:textId="0146268D" w:rsidR="00DF3D99" w:rsidRPr="00DF3D99" w:rsidRDefault="00DF3D99" w:rsidP="00E16481">
      <w:pPr>
        <w:pStyle w:val="Imagen"/>
      </w:pPr>
      <w:r w:rsidRPr="00DF3D99">
        <w:drawing>
          <wp:inline distT="0" distB="0" distL="0" distR="0" wp14:anchorId="27E65DA9" wp14:editId="6908ECDD">
            <wp:extent cx="3194004" cy="2369820"/>
            <wp:effectExtent l="0" t="0" r="6985" b="0"/>
            <wp:docPr id="1177556503" name="Imagen 1" descr="Escala de tiem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7556503" name="Imagen 1" descr="Escala de tiempo&#10;&#10;Descripción generada automáticamente"/>
                    <pic:cNvPicPr/>
                  </pic:nvPicPr>
                  <pic:blipFill>
                    <a:blip r:embed="rId43"/>
                    <a:stretch>
                      <a:fillRect/>
                    </a:stretch>
                  </pic:blipFill>
                  <pic:spPr>
                    <a:xfrm>
                      <a:off x="0" y="0"/>
                      <a:ext cx="3206121" cy="2378810"/>
                    </a:xfrm>
                    <a:prstGeom prst="rect">
                      <a:avLst/>
                    </a:prstGeom>
                  </pic:spPr>
                </pic:pic>
              </a:graphicData>
            </a:graphic>
          </wp:inline>
        </w:drawing>
      </w:r>
    </w:p>
    <w:p w14:paraId="1815F53B" w14:textId="2BA0EBE7" w:rsidR="00DF3D99" w:rsidRPr="00DF3D99" w:rsidRDefault="00DF3D99" w:rsidP="00DF3D99">
      <w:pPr>
        <w:pStyle w:val="Piedeimagen"/>
        <w:rPr>
          <w:i w:val="0"/>
          <w:iCs/>
          <w:spacing w:val="-6"/>
        </w:rPr>
      </w:pPr>
      <w:r>
        <w:t>Fuente:</w:t>
      </w:r>
      <w:r w:rsidRPr="00DF3D99">
        <w:rPr>
          <w:i w:val="0"/>
          <w:iCs/>
        </w:rPr>
        <w:t xml:space="preserve"> I.M.F. (2023). </w:t>
      </w:r>
      <w:r w:rsidRPr="00DF3D99">
        <w:t>Fiscal Monitor</w:t>
      </w:r>
      <w:r w:rsidRPr="00DF3D99">
        <w:rPr>
          <w:i w:val="0"/>
          <w:iCs/>
        </w:rPr>
        <w:t xml:space="preserve">. </w:t>
      </w:r>
      <w:hyperlink r:id="rId44" w:history="1">
        <w:r w:rsidRPr="00DF3D99">
          <w:rPr>
            <w:rStyle w:val="Hipervnculo"/>
            <w:i w:val="0"/>
            <w:iCs/>
            <w:spacing w:val="-6"/>
          </w:rPr>
          <w:t>https://www.imf.org/es/Publications/FM/Issues/2023/04/03/fiscal-monitor-april-2023</w:t>
        </w:r>
      </w:hyperlink>
    </w:p>
    <w:p w14:paraId="4FB8D803" w14:textId="56E1531D" w:rsidR="00F16BCC" w:rsidRDefault="0005581A" w:rsidP="00F16BCC">
      <w:pPr>
        <w:pStyle w:val="Nivel2SM"/>
      </w:pPr>
      <w:r w:rsidRPr="00F16BCC">
        <w:rPr>
          <w:i/>
          <w:iCs/>
          <w:u w:val="single"/>
        </w:rPr>
        <w:t>Nivel de ingresos y gastos sobre PIB</w:t>
      </w:r>
      <w:r w:rsidR="00F16BCC">
        <w:t>,</w:t>
      </w:r>
    </w:p>
    <w:p w14:paraId="2276602E" w14:textId="1D3E5BB3" w:rsidR="00F16BCC" w:rsidRDefault="00F16BCC" w:rsidP="00F16BCC">
      <w:pPr>
        <w:pStyle w:val="Nivel2SM"/>
      </w:pPr>
      <w:r w:rsidRPr="00F16BCC">
        <w:rPr>
          <w:i/>
          <w:iCs/>
          <w:u w:val="single"/>
        </w:rPr>
        <w:lastRenderedPageBreak/>
        <w:t>E</w:t>
      </w:r>
      <w:r w:rsidR="0005581A" w:rsidRPr="00F16BCC">
        <w:rPr>
          <w:i/>
          <w:iCs/>
          <w:u w:val="single"/>
        </w:rPr>
        <w:t>fectividad de los estabilizadores automáticos</w:t>
      </w:r>
      <w:r w:rsidR="0005581A" w:rsidRPr="00F16BCC">
        <w:rPr>
          <w:i/>
          <w:iCs/>
        </w:rPr>
        <w:t xml:space="preserve"> (saldo público vs cíclicamente ajustado)</w:t>
      </w:r>
      <w:r>
        <w:t>,</w:t>
      </w:r>
    </w:p>
    <w:p w14:paraId="39304195" w14:textId="7C50A589" w:rsidR="00F16BCC" w:rsidRDefault="00F16BCC" w:rsidP="00F16BCC">
      <w:pPr>
        <w:pStyle w:val="Nivel2SM"/>
      </w:pPr>
      <w:r>
        <w:rPr>
          <w:i/>
          <w:iCs/>
          <w:u w:val="single"/>
        </w:rPr>
        <w:t>P</w:t>
      </w:r>
      <w:r w:rsidR="0005581A" w:rsidRPr="00F16BCC">
        <w:rPr>
          <w:i/>
          <w:iCs/>
          <w:u w:val="single"/>
        </w:rPr>
        <w:t>eso de la deuda a corto plazo</w:t>
      </w:r>
      <w:r w:rsidR="00B345AE" w:rsidRPr="00F16BCC">
        <w:rPr>
          <w:i/>
          <w:iCs/>
        </w:rPr>
        <w:t xml:space="preserve"> (vencimientos, mejor cuanto más escalonado para reducir el riesgo de refinanciación)</w:t>
      </w:r>
      <w:r>
        <w:t>,</w:t>
      </w:r>
    </w:p>
    <w:p w14:paraId="6880ED04" w14:textId="5E2BB11E" w:rsidR="0005581A" w:rsidRDefault="00F16BCC" w:rsidP="00F16BCC">
      <w:pPr>
        <w:pStyle w:val="Nivel2SM"/>
      </w:pPr>
      <w:r>
        <w:rPr>
          <w:i/>
          <w:iCs/>
          <w:u w:val="single"/>
        </w:rPr>
        <w:t>P</w:t>
      </w:r>
      <w:r w:rsidR="0005581A" w:rsidRPr="00F16BCC">
        <w:rPr>
          <w:i/>
          <w:iCs/>
          <w:u w:val="single"/>
        </w:rPr>
        <w:t>eso de la deuda regional</w:t>
      </w:r>
      <w:r w:rsidR="0005581A">
        <w:t>,</w:t>
      </w:r>
    </w:p>
    <w:p w14:paraId="4818EBF3" w14:textId="5CCB7C8A" w:rsidR="00F16BCC" w:rsidRPr="0005581A" w:rsidRDefault="00F16BCC" w:rsidP="00F16BCC">
      <w:pPr>
        <w:pStyle w:val="Nivel2SM"/>
      </w:pPr>
      <w:r>
        <w:rPr>
          <w:i/>
          <w:iCs/>
          <w:u w:val="single"/>
        </w:rPr>
        <w:t>Calidad crediticia de la deuda</w:t>
      </w:r>
      <w:r>
        <w:t>,</w:t>
      </w:r>
    </w:p>
    <w:p w14:paraId="1CC84B67" w14:textId="2FC3BE89" w:rsidR="00706F1E" w:rsidRPr="00025F23" w:rsidRDefault="00706F1E" w:rsidP="00706F1E">
      <w:pPr>
        <w:pStyle w:val="Ttuloimagen"/>
        <w:rPr>
          <w:rFonts w:ascii="Book Antiqua" w:hAnsi="Book Antiqua"/>
          <w:i/>
          <w:iCs/>
          <w:smallCaps w:val="0"/>
        </w:rPr>
      </w:pPr>
      <w:r w:rsidRPr="00025F23">
        <w:rPr>
          <w:rFonts w:ascii="Book Antiqua" w:hAnsi="Book Antiqua"/>
        </w:rPr>
        <w:t>Imagen</w:t>
      </w:r>
      <w:r w:rsidR="00B77C3E" w:rsidRPr="00025F23">
        <w:rPr>
          <w:rFonts w:ascii="Book Antiqua" w:hAnsi="Book Antiqua"/>
        </w:rPr>
        <w:t> </w:t>
      </w:r>
      <w:r w:rsidRPr="00025F23">
        <w:rPr>
          <w:rFonts w:ascii="Book Antiqua" w:hAnsi="Book Antiqua"/>
        </w:rPr>
        <w:fldChar w:fldCharType="begin"/>
      </w:r>
      <w:r w:rsidRPr="00025F23">
        <w:rPr>
          <w:rFonts w:ascii="Book Antiqua" w:hAnsi="Book Antiqua"/>
        </w:rPr>
        <w:instrText xml:space="preserve"> SEQ Ilustración \* ARABIC </w:instrText>
      </w:r>
      <w:r w:rsidRPr="00025F23">
        <w:rPr>
          <w:rFonts w:ascii="Book Antiqua" w:hAnsi="Book Antiqua"/>
        </w:rPr>
        <w:fldChar w:fldCharType="separate"/>
      </w:r>
      <w:r w:rsidR="00903E0C">
        <w:rPr>
          <w:rFonts w:ascii="Book Antiqua" w:hAnsi="Book Antiqua"/>
        </w:rPr>
        <w:t>11</w:t>
      </w:r>
      <w:r w:rsidRPr="00025F23">
        <w:rPr>
          <w:rFonts w:ascii="Book Antiqua" w:hAnsi="Book Antiqua"/>
        </w:rPr>
        <w:fldChar w:fldCharType="end"/>
      </w:r>
      <w:r w:rsidRPr="00025F23">
        <w:rPr>
          <w:rFonts w:ascii="Book Antiqua" w:hAnsi="Book Antiqua"/>
          <w:smallCaps w:val="0"/>
        </w:rPr>
        <w:t xml:space="preserve">.– </w:t>
      </w:r>
      <w:r w:rsidRPr="00025F23">
        <w:rPr>
          <w:rFonts w:ascii="Book Antiqua" w:hAnsi="Book Antiqua"/>
          <w:i/>
          <w:iCs/>
          <w:smallCaps w:val="0"/>
        </w:rPr>
        <w:t>Calificación crediticia según distintas agencias de rating</w:t>
      </w:r>
    </w:p>
    <w:p w14:paraId="73462946" w14:textId="07D8EEB5" w:rsidR="00706F1E" w:rsidRPr="00025F23" w:rsidRDefault="00706F1E" w:rsidP="00706F1E">
      <w:pPr>
        <w:pStyle w:val="Imagen"/>
      </w:pPr>
      <w:r w:rsidRPr="00025F23">
        <w:drawing>
          <wp:inline distT="0" distB="0" distL="0" distR="0" wp14:anchorId="4353ED20" wp14:editId="34A93E27">
            <wp:extent cx="2322862" cy="2514600"/>
            <wp:effectExtent l="0" t="0" r="1270" b="0"/>
            <wp:docPr id="3" name="Imagen 3" descr="Las agencias de calificación financiera más importantes y cómo leer sus  ratings | Blog Bankin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s agencias de calificación financiera más importantes y cómo leer sus  ratings | Blog Bankinter"/>
                    <pic:cNvPicPr>
                      <a:picLocks noChangeAspect="1" noChangeArrowheads="1"/>
                    </pic:cNvPicPr>
                  </pic:nvPicPr>
                  <pic:blipFill>
                    <a:blip r:embed="rId45">
                      <a:extLst>
                        <a:ext uri="{28A0092B-C50C-407E-A947-70E740481C1C}">
                          <a14:useLocalDpi xmlns:a14="http://schemas.microsoft.com/office/drawing/2010/main"/>
                        </a:ext>
                      </a:extLst>
                    </a:blip>
                    <a:srcRect/>
                    <a:stretch>
                      <a:fillRect/>
                    </a:stretch>
                  </pic:blipFill>
                  <pic:spPr bwMode="auto">
                    <a:xfrm>
                      <a:off x="0" y="0"/>
                      <a:ext cx="2325738" cy="2517714"/>
                    </a:xfrm>
                    <a:prstGeom prst="rect">
                      <a:avLst/>
                    </a:prstGeom>
                    <a:noFill/>
                    <a:ln>
                      <a:noFill/>
                    </a:ln>
                  </pic:spPr>
                </pic:pic>
              </a:graphicData>
            </a:graphic>
          </wp:inline>
        </w:drawing>
      </w:r>
    </w:p>
    <w:p w14:paraId="3FF7B3DB" w14:textId="3C947120" w:rsidR="00DE1819" w:rsidRDefault="00706F1E" w:rsidP="005B52A1">
      <w:pPr>
        <w:pStyle w:val="Piedeimagen"/>
        <w:rPr>
          <w:rStyle w:val="Hipervnculo"/>
          <w:i w:val="0"/>
          <w:iCs/>
          <w:sz w:val="11"/>
          <w:szCs w:val="11"/>
        </w:rPr>
      </w:pPr>
      <w:r w:rsidRPr="00025F23">
        <w:t>Fuente</w:t>
      </w:r>
      <w:r w:rsidRPr="00025F23">
        <w:rPr>
          <w:i w:val="0"/>
          <w:iCs/>
        </w:rPr>
        <w:t>:</w:t>
      </w:r>
      <w:r w:rsidR="00DE1819" w:rsidRPr="00025F23">
        <w:rPr>
          <w:i w:val="0"/>
          <w:iCs/>
        </w:rPr>
        <w:t xml:space="preserve"> </w:t>
      </w:r>
      <w:hyperlink r:id="rId46" w:history="1">
        <w:r w:rsidR="00DE1819" w:rsidRPr="00025F23">
          <w:rPr>
            <w:rStyle w:val="Hipervnculo"/>
            <w:i w:val="0"/>
            <w:iCs/>
            <w:sz w:val="11"/>
            <w:szCs w:val="11"/>
          </w:rPr>
          <w:t>https://www.bankinter.com/blog/economia/leer-rating-agencias-calificacion-financiera</w:t>
        </w:r>
      </w:hyperlink>
    </w:p>
    <w:p w14:paraId="1CA89270" w14:textId="26186C36" w:rsidR="00C81830" w:rsidRDefault="00C81830" w:rsidP="00F16BCC">
      <w:pPr>
        <w:pStyle w:val="Nivel2SM"/>
        <w:rPr>
          <w:highlight w:val="yellow"/>
        </w:rPr>
      </w:pPr>
      <w:r w:rsidRPr="00F16BCC">
        <w:rPr>
          <w:i/>
          <w:iCs/>
          <w:highlight w:val="yellow"/>
          <w:u w:val="single"/>
        </w:rPr>
        <w:t>Vida media de la deuda</w:t>
      </w:r>
      <w:r w:rsidR="007B091A" w:rsidRPr="007B091A">
        <w:rPr>
          <w:highlight w:val="yellow"/>
        </w:rPr>
        <w:t xml:space="preserve">: En un </w:t>
      </w:r>
      <w:r w:rsidR="007B091A">
        <w:rPr>
          <w:highlight w:val="yellow"/>
        </w:rPr>
        <w:t>c</w:t>
      </w:r>
      <w:r w:rsidR="007B091A" w:rsidRPr="007B091A">
        <w:rPr>
          <w:highlight w:val="yellow"/>
        </w:rPr>
        <w:t>onte</w:t>
      </w:r>
      <w:r w:rsidR="007B091A">
        <w:rPr>
          <w:highlight w:val="yellow"/>
        </w:rPr>
        <w:t>x</w:t>
      </w:r>
      <w:r w:rsidR="007B091A" w:rsidRPr="007B091A">
        <w:rPr>
          <w:highlight w:val="yellow"/>
        </w:rPr>
        <w:t xml:space="preserve">to de </w:t>
      </w:r>
      <w:r w:rsidR="007B091A">
        <w:rPr>
          <w:highlight w:val="yellow"/>
        </w:rPr>
        <w:t xml:space="preserve">cambios en los tipos de interés es una cuestión que toma relevancia [ver </w:t>
      </w:r>
      <w:proofErr w:type="spellStart"/>
      <w:r w:rsidR="007B091A">
        <w:rPr>
          <w:highlight w:val="yellow"/>
        </w:rPr>
        <w:t>Sahuquillo</w:t>
      </w:r>
      <w:proofErr w:type="spellEnd"/>
      <w:r w:rsidR="007B091A">
        <w:rPr>
          <w:highlight w:val="yellow"/>
        </w:rPr>
        <w:t xml:space="preserve"> 2023].</w:t>
      </w:r>
    </w:p>
    <w:p w14:paraId="15D8A943" w14:textId="51302991" w:rsidR="00603C27" w:rsidRPr="00603C27" w:rsidRDefault="00603C27" w:rsidP="00F16BCC">
      <w:pPr>
        <w:pStyle w:val="Nivel2SM"/>
      </w:pPr>
      <w:r w:rsidRPr="00F16BCC">
        <w:rPr>
          <w:i/>
          <w:iCs/>
          <w:u w:val="single"/>
        </w:rPr>
        <w:t>Posibles efectos no keynesianos de la política fiscal</w:t>
      </w:r>
      <w:r w:rsidRPr="00603C27">
        <w:t xml:space="preserve">: Ante las dudas sobre la sostenibilidad de las finanzas públicas, una consolidación fiscal (i.e. política fiscal restrictiva) hoy, podría despejar dicha incertidumbre y generar confianza sobre el futuro, de manera que los agentes confíen en una futura recuperación de la economía que los anime a </w:t>
      </w:r>
      <w:proofErr w:type="spellStart"/>
      <w:r w:rsidRPr="00603C27">
        <w:t>desahorrar</w:t>
      </w:r>
      <w:proofErr w:type="spellEnd"/>
      <w:r w:rsidRPr="00603C27">
        <w:t xml:space="preserve"> y consumir hoy. El razonamiento anterior es tanto como suponer un </w:t>
      </w:r>
      <w:r w:rsidRPr="00603C27">
        <w:rPr>
          <w:i/>
          <w:iCs/>
        </w:rPr>
        <w:t>multiplicador keynesiano negativo</w:t>
      </w:r>
      <w:r w:rsidRPr="00603C27">
        <w:t>.</w:t>
      </w:r>
    </w:p>
    <w:p w14:paraId="53C378B0" w14:textId="77777777" w:rsidR="00DA524B" w:rsidRPr="00025F23" w:rsidRDefault="00DA524B" w:rsidP="00DA524B">
      <w:pPr>
        <w:pStyle w:val="Desarrollocoyuntura"/>
      </w:pPr>
      <w:bookmarkStart w:id="317" w:name="_Toc173446378"/>
      <w:r w:rsidRPr="00025F23">
        <w:t>“Tradicionalmente, el tono de la política fiscal se ha evaluado en base a la variación anual del saldo estructural primario: un aumento del saldo se interpretaba como una política fiscal contractiva, y una disminución, como una política fiscal expansiva. De esta manera, nuestra economía habría llevado a cabo una política fiscal contractiva en 20xx, 20xx y 20xx y expansiva el resto de los años.</w:t>
      </w:r>
      <w:bookmarkEnd w:id="317"/>
    </w:p>
    <w:p w14:paraId="756C5840" w14:textId="2DDC8BA6" w:rsidR="000B59E4" w:rsidRPr="00025F23" w:rsidRDefault="00DA524B" w:rsidP="00DA524B">
      <w:pPr>
        <w:pStyle w:val="Desarrollocoyuntura"/>
      </w:pPr>
      <w:bookmarkStart w:id="318" w:name="_Toc173446379"/>
      <w:r w:rsidRPr="00025F23">
        <w:t>Ahora bien, esta interpretación tan mecánica de la orientación de la política fiscal podría ser inadecuada en épocas extraordinarias en las que el déficit es muy alto, como ocurre en la actualidad. Estaríamos tentados a decir que en 2021 nuestra economía va a llevar a cabo una política fiscal contractiva porque pasa de un déficit estructural primario del 2,2</w:t>
      </w:r>
      <w:r w:rsidR="00BB5DBC" w:rsidRPr="00025F23">
        <w:t> </w:t>
      </w:r>
      <w:r w:rsidRPr="00025F23">
        <w:t>% del PIB en 2020 a uno del 1,7</w:t>
      </w:r>
      <w:r w:rsidR="00BB5DBC" w:rsidRPr="00025F23">
        <w:t> </w:t>
      </w:r>
      <w:r w:rsidRPr="00025F23">
        <w:t>% del PIB en 2021. Sin embargo, no parece del todo acertado hablar de política fiscal contractiva en 2021 con un déficit general del 7,7</w:t>
      </w:r>
      <w:r w:rsidR="00BB5DBC" w:rsidRPr="00025F23">
        <w:t> </w:t>
      </w:r>
      <w:r w:rsidRPr="00025F23">
        <w:t>%. Así lo ha señalado recientemente el Consejo Fiscal Europeo, que defiende que en épocas de altos y persistentes déficits estructurales primarios es preferible fijarse en el nivel (no en la variación) y hablar de política fiscal expansiva, aunque el déficit se vaya reduciendo)</w:t>
      </w:r>
      <w:r w:rsidR="000B59E4" w:rsidRPr="00025F23">
        <w:rPr>
          <w:rStyle w:val="PiedepginaCar"/>
          <w:i w:val="0"/>
          <w:iCs/>
        </w:rPr>
        <w:t xml:space="preserve"> </w:t>
      </w:r>
      <w:r w:rsidR="000B59E4" w:rsidRPr="00025F23">
        <w:rPr>
          <w:rStyle w:val="Refdenotaalpie"/>
          <w:i w:val="0"/>
          <w:iCs/>
        </w:rPr>
        <w:footnoteReference w:id="40"/>
      </w:r>
      <w:r w:rsidR="00B526C5" w:rsidRPr="00025F23">
        <w:t>.</w:t>
      </w:r>
      <w:bookmarkEnd w:id="318"/>
    </w:p>
    <w:p w14:paraId="161489EF" w14:textId="447BF970" w:rsidR="00DA524B" w:rsidRPr="00025F23" w:rsidRDefault="000B59E4" w:rsidP="00DA524B">
      <w:pPr>
        <w:pStyle w:val="Desarrollocoyuntura"/>
      </w:pPr>
      <w:bookmarkStart w:id="319" w:name="_Toc173446380"/>
      <w:r w:rsidRPr="00025F23">
        <w:t>En cuanto a su relación con el ciclo, y adoptando en parte la interpretación anterior, se podría decir que Numitor ha llevado a cabo una política fiscal más o menos procíclica hasta 2018 (contractiva o neutral en la fase de crisis económica</w:t>
      </w:r>
      <w:r w:rsidR="00922C37" w:rsidRPr="00025F23">
        <w:t xml:space="preserve"> de 2012-2014, y expansiva en la recuperación económica de 2015-2018),</w:t>
      </w:r>
      <w:r w:rsidR="00DE39C0" w:rsidRPr="00025F23">
        <w:t xml:space="preserve"> y </w:t>
      </w:r>
      <w:proofErr w:type="spellStart"/>
      <w:r w:rsidR="00922C37" w:rsidRPr="00025F23">
        <w:t>contracíclica</w:t>
      </w:r>
      <w:proofErr w:type="spellEnd"/>
      <w:r w:rsidR="00922C37" w:rsidRPr="00025F23">
        <w:t xml:space="preserve"> </w:t>
      </w:r>
      <w:r w:rsidR="00DE39C0" w:rsidRPr="00025F23">
        <w:t>desde</w:t>
      </w:r>
      <w:r w:rsidR="00922C37" w:rsidRPr="00025F23">
        <w:t xml:space="preserve"> 2019 (</w:t>
      </w:r>
      <w:r w:rsidR="00DE39C0" w:rsidRPr="00025F23">
        <w:t xml:space="preserve">en 2019 </w:t>
      </w:r>
      <w:r w:rsidR="00922C37" w:rsidRPr="00025F23">
        <w:t>contractiva con crecimiento económico y output gap positivo</w:t>
      </w:r>
      <w:r w:rsidR="00DE39C0" w:rsidRPr="00025F23">
        <w:t xml:space="preserve">, y en 2020 </w:t>
      </w:r>
      <w:r w:rsidR="00922C37" w:rsidRPr="00025F23">
        <w:t xml:space="preserve">expansiva con crisis económico), y se espera </w:t>
      </w:r>
      <w:proofErr w:type="spellStart"/>
      <w:r w:rsidR="00922C37" w:rsidRPr="00025F23">
        <w:t>contracíclica</w:t>
      </w:r>
      <w:proofErr w:type="spellEnd"/>
      <w:r w:rsidR="00922C37" w:rsidRPr="00025F23">
        <w:t xml:space="preserve"> también en 2021 y 2022 (contractiva con recuperación económica).</w:t>
      </w:r>
      <w:r w:rsidR="00DA524B" w:rsidRPr="00025F23">
        <w:t>”</w:t>
      </w:r>
      <w:bookmarkEnd w:id="319"/>
    </w:p>
    <w:p w14:paraId="631D12F4" w14:textId="5D8B9626" w:rsidR="00DE39C0" w:rsidRPr="00025F23" w:rsidRDefault="00DE39C0" w:rsidP="00DA524B">
      <w:pPr>
        <w:pStyle w:val="Desarrollocoyuntura"/>
      </w:pPr>
      <w:bookmarkStart w:id="320" w:name="_Toc173446381"/>
      <w:r w:rsidRPr="00025F23">
        <w:t xml:space="preserve">“El paquete de estímulo que representa el programa Next </w:t>
      </w:r>
      <w:proofErr w:type="spellStart"/>
      <w:r w:rsidRPr="00025F23">
        <w:t>Generation</w:t>
      </w:r>
      <w:proofErr w:type="spellEnd"/>
      <w:r w:rsidRPr="00025F23">
        <w:t xml:space="preserve"> EU podría suponer un importante impulso al crecimiento del PIB y del PIB potencial si se diseña correctamente. Así, su impacto será más profundo y duradero si se compone de reformas estructurales e inversiones productivas que si se dedica a gasto corriente. Precisamente, en la medida en que la regulación de Next </w:t>
      </w:r>
      <w:proofErr w:type="spellStart"/>
      <w:r w:rsidRPr="00025F23">
        <w:t>Generation</w:t>
      </w:r>
      <w:proofErr w:type="spellEnd"/>
      <w:r w:rsidRPr="00025F23">
        <w:t xml:space="preserve"> EU exige que los fondos se dediquen a reformas y a gasto en capital, y que se desembolsarán conforme el país demuestre haber cumplido determinados hitos y objetivos, es de esperar un importante impacto estructural en esta economía. No obstante, mientras estén activas las medidas de distanciamiento social y de contención de la pandemia podrían suponer que el multiplicados fiscal de estos programas de estímulo sea menor que el que se ha documentado empíricamente en otros episodios previos.”</w:t>
      </w:r>
      <w:bookmarkEnd w:id="320"/>
    </w:p>
    <w:p w14:paraId="1D1174E3" w14:textId="16F6E8E5" w:rsidR="00DE1819" w:rsidRPr="00025F23" w:rsidRDefault="00FE0DA0" w:rsidP="00DA524B">
      <w:pPr>
        <w:pStyle w:val="Desarrollocoyuntura"/>
      </w:pPr>
      <w:bookmarkStart w:id="321" w:name="_Toc173446382"/>
      <w:r w:rsidRPr="00025F23">
        <w:t xml:space="preserve">“En lo que respecta a los paquetes de estímulo de otros países, especialmente los de </w:t>
      </w:r>
      <w:r w:rsidR="00BB5DBC" w:rsidRPr="00025F23">
        <w:t>Estados Unidos</w:t>
      </w:r>
      <w:r w:rsidRPr="00025F23">
        <w:t xml:space="preserve">, cabe esperar que éstos tengan un efecto desbordamiento positivo sobre nuestro país en la medida que aumentarían sus exportaciones ante el incremento de la demanda mundial. La posible apreciación del dólar frente al euro representa otro canal que también podría beneficiar a las exportaciones </w:t>
      </w:r>
      <w:r w:rsidRPr="00025F23">
        <w:t>domésticas. Sin embargo, existe un posible canal negativo: la magnitud de los paquetes de estímulo podría sobrecalentar la demanda agregada y generar presiones inflacionistas, aumentando las expectativas de que los bancos centrales normalicen sus políticas monetarias antes de lo previsto, lo que conduciría a un endurecimiento de las actuales condiciones de financiación de gobiernos, empresas y hogares.</w:t>
      </w:r>
      <w:bookmarkEnd w:id="321"/>
    </w:p>
    <w:p w14:paraId="45CA115F" w14:textId="00E624EB" w:rsidR="00FE0DA0" w:rsidRPr="00025F23" w:rsidRDefault="00DE1819" w:rsidP="00DA524B">
      <w:pPr>
        <w:pStyle w:val="Desarrollocoyuntura"/>
      </w:pPr>
      <w:bookmarkStart w:id="322" w:name="_Toc173446383"/>
      <w:r w:rsidRPr="00025F23">
        <w:t xml:space="preserve">Por último, es necesario llamar la atención sobre el elevado nivel de deuda pública de esta economía, que crece durante toda la serie (especialmente en 2020, debido a las medidas fiscales desplegadas para luchar contra los efectos del coronavirus), hasta situarse en el </w:t>
      </w:r>
      <w:proofErr w:type="spellStart"/>
      <w:r w:rsidR="006C2140" w:rsidRPr="00025F23">
        <w:t>xxx,x</w:t>
      </w:r>
      <w:proofErr w:type="spellEnd"/>
      <w:r w:rsidR="00BB5DBC" w:rsidRPr="00025F23">
        <w:t> </w:t>
      </w:r>
      <w:r w:rsidRPr="00025F23">
        <w:t xml:space="preserve">% del PIB. La agencia de rating Standard &amp; </w:t>
      </w:r>
      <w:proofErr w:type="spellStart"/>
      <w:r w:rsidRPr="00025F23">
        <w:t>Poor’s</w:t>
      </w:r>
      <w:proofErr w:type="spellEnd"/>
      <w:r w:rsidRPr="00025F23">
        <w:t xml:space="preserve"> ha mantenido constante su rating en grado de inversión desde 2014 (en 20</w:t>
      </w:r>
      <w:r w:rsidR="00474859" w:rsidRPr="00025F23">
        <w:t>1</w:t>
      </w:r>
      <w:r w:rsidRPr="00025F23">
        <w:t>3 llegó a situar la deuda del país en grado especulativo). No obstante, el persistentemente bajo crecimiento económico de nuestra economía, una brecha de producción negativa sin perspectivas de cerrarse en el corto-medio plazo y una normalización de la política monetaria antes de lo previsto podrían poner en riesgo la sostenibilidad de las finanzas públicas de este país.</w:t>
      </w:r>
      <w:r w:rsidR="00FE0DA0" w:rsidRPr="00025F23">
        <w:t>”</w:t>
      </w:r>
      <w:bookmarkEnd w:id="322"/>
    </w:p>
    <w:p w14:paraId="4AB34646" w14:textId="3D254EC8" w:rsidR="00603C27" w:rsidRDefault="00603C27" w:rsidP="00603C27">
      <w:pPr>
        <w:pStyle w:val="Ttulo3"/>
      </w:pPr>
      <w:bookmarkStart w:id="323" w:name="_Toc173446384"/>
      <w:bookmarkStart w:id="324" w:name="_Toc88566011"/>
      <w:bookmarkStart w:id="325" w:name="_Toc88566151"/>
      <w:bookmarkStart w:id="326" w:name="_Toc189085827"/>
      <w:proofErr w:type="spellStart"/>
      <w:r>
        <w:t>Policy</w:t>
      </w:r>
      <w:proofErr w:type="spellEnd"/>
      <w:r>
        <w:t xml:space="preserve"> mix</w:t>
      </w:r>
      <w:bookmarkEnd w:id="323"/>
      <w:bookmarkEnd w:id="326"/>
    </w:p>
    <w:p w14:paraId="1216B4B1" w14:textId="4D15E67A" w:rsidR="00603C27" w:rsidRDefault="00603C27" w:rsidP="00603C27">
      <w:pPr>
        <w:pStyle w:val="Nivel1SM"/>
      </w:pPr>
      <w:r>
        <w:t>Hay que ver si la combinación de las políticas fiscal y monetaria es coherente (ambas contractivas o expansivas).</w:t>
      </w:r>
    </w:p>
    <w:p w14:paraId="381A2BC4" w14:textId="616A6C30" w:rsidR="00DF3D99" w:rsidRPr="00C166AD" w:rsidRDefault="00DF3D99" w:rsidP="00DF3D99">
      <w:pPr>
        <w:pStyle w:val="Ttuloimagen"/>
        <w:rPr>
          <w:i/>
          <w:iCs/>
          <w:smallCaps w:val="0"/>
        </w:rPr>
      </w:pPr>
      <w:r>
        <w:t>Imagen </w:t>
      </w:r>
      <w:r>
        <w:fldChar w:fldCharType="begin"/>
      </w:r>
      <w:r>
        <w:instrText xml:space="preserve"> SEQ Ilustración \* ARABIC </w:instrText>
      </w:r>
      <w:r>
        <w:fldChar w:fldCharType="separate"/>
      </w:r>
      <w:r w:rsidR="00903E0C">
        <w:t>12</w:t>
      </w:r>
      <w:r>
        <w:fldChar w:fldCharType="end"/>
      </w:r>
      <w:r>
        <w:rPr>
          <w:smallCaps w:val="0"/>
        </w:rPr>
        <w:t xml:space="preserve">.– </w:t>
      </w:r>
      <w:r>
        <w:rPr>
          <w:i/>
          <w:iCs/>
          <w:smallCaps w:val="0"/>
        </w:rPr>
        <w:t>Policy mix</w:t>
      </w:r>
    </w:p>
    <w:p w14:paraId="5F0DD62B" w14:textId="60FC815E" w:rsidR="00DF3D99" w:rsidRDefault="00DF3D99" w:rsidP="00DF3D99">
      <w:pPr>
        <w:pStyle w:val="Imagen"/>
      </w:pPr>
      <w:r w:rsidRPr="00DF3D99">
        <w:drawing>
          <wp:inline distT="0" distB="0" distL="0" distR="0" wp14:anchorId="7DB02A7A" wp14:editId="7A591D5C">
            <wp:extent cx="2405878" cy="2499360"/>
            <wp:effectExtent l="0" t="0" r="0" b="0"/>
            <wp:docPr id="1849253106" name="Imagen 1" descr="Imagen que contiene Escala de tiem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9253106" name="Imagen 1" descr="Imagen que contiene Escala de tiempo&#10;&#10;Descripción generada automáticamente"/>
                    <pic:cNvPicPr/>
                  </pic:nvPicPr>
                  <pic:blipFill>
                    <a:blip r:embed="rId47"/>
                    <a:stretch>
                      <a:fillRect/>
                    </a:stretch>
                  </pic:blipFill>
                  <pic:spPr>
                    <a:xfrm>
                      <a:off x="0" y="0"/>
                      <a:ext cx="2414340" cy="2508151"/>
                    </a:xfrm>
                    <a:prstGeom prst="rect">
                      <a:avLst/>
                    </a:prstGeom>
                  </pic:spPr>
                </pic:pic>
              </a:graphicData>
            </a:graphic>
          </wp:inline>
        </w:drawing>
      </w:r>
    </w:p>
    <w:p w14:paraId="041F6EC5" w14:textId="624F832A" w:rsidR="00DF3D99" w:rsidRPr="00DF3D99" w:rsidRDefault="00DF3D99" w:rsidP="00DF3D99">
      <w:pPr>
        <w:pStyle w:val="Piedeimagen"/>
        <w:rPr>
          <w:i w:val="0"/>
          <w:spacing w:val="-6"/>
        </w:rPr>
      </w:pPr>
      <w:r>
        <w:t>Fuente</w:t>
      </w:r>
      <w:r>
        <w:rPr>
          <w:i w:val="0"/>
          <w:iCs/>
        </w:rPr>
        <w:t xml:space="preserve">: I.M.F. (2023). </w:t>
      </w:r>
      <w:r>
        <w:t>Fiscal Monitor</w:t>
      </w:r>
      <w:r>
        <w:rPr>
          <w:i w:val="0"/>
          <w:iCs/>
        </w:rPr>
        <w:t>.</w:t>
      </w:r>
      <w:r w:rsidRPr="00C166AD">
        <w:rPr>
          <w:i w:val="0"/>
        </w:rPr>
        <w:t xml:space="preserve"> </w:t>
      </w:r>
      <w:hyperlink r:id="rId48" w:history="1">
        <w:r w:rsidRPr="00DF3D99">
          <w:rPr>
            <w:rStyle w:val="Hipervnculo"/>
            <w:i w:val="0"/>
            <w:spacing w:val="-6"/>
          </w:rPr>
          <w:t>https://www.imf.org/es/Publications/FM/Issues/2023/04/03/fiscal-monitor-april-2023</w:t>
        </w:r>
      </w:hyperlink>
    </w:p>
    <w:p w14:paraId="33DBDD3C" w14:textId="553AC563" w:rsidR="00886932" w:rsidRPr="00025F23" w:rsidRDefault="00886932" w:rsidP="00AD1AFB">
      <w:pPr>
        <w:pStyle w:val="Ttulo2"/>
      </w:pPr>
      <w:bookmarkStart w:id="327" w:name="_Toc173446385"/>
      <w:bookmarkStart w:id="328" w:name="_Toc189085828"/>
      <w:r w:rsidRPr="00025F23">
        <w:t>Políticas de oferta</w:t>
      </w:r>
      <w:bookmarkEnd w:id="324"/>
      <w:bookmarkEnd w:id="325"/>
      <w:bookmarkEnd w:id="327"/>
      <w:bookmarkEnd w:id="328"/>
    </w:p>
    <w:p w14:paraId="6C290076" w14:textId="3ED75FBA" w:rsidR="00886932" w:rsidRDefault="0004074D" w:rsidP="00603C27">
      <w:pPr>
        <w:pStyle w:val="Nivel1SM"/>
        <w:keepNext/>
        <w:spacing w:after="0"/>
      </w:pPr>
      <w:r>
        <w:t xml:space="preserve">Suelen implicar </w:t>
      </w:r>
      <w:r>
        <w:rPr>
          <w:b/>
          <w:bCs/>
        </w:rPr>
        <w:t>reformas estructurales</w:t>
      </w:r>
      <w:r>
        <w:t xml:space="preserve"> y buscan aumentar las posibilidades de </w:t>
      </w:r>
      <w:r>
        <w:rPr>
          <w:b/>
          <w:bCs/>
        </w:rPr>
        <w:t>crecimiento a largo plazo</w:t>
      </w:r>
      <w:r>
        <w:t>.</w:t>
      </w:r>
    </w:p>
    <w:p w14:paraId="21DF916D" w14:textId="47A8EE87" w:rsidR="0004074D" w:rsidRDefault="0004074D">
      <w:pPr>
        <w:pStyle w:val="Ttulo6"/>
        <w:numPr>
          <w:ilvl w:val="0"/>
          <w:numId w:val="36"/>
        </w:numPr>
        <w:ind w:left="284" w:hanging="57"/>
        <w:rPr>
          <w:b w:val="0"/>
          <w:bCs/>
          <w:u w:val="none"/>
        </w:rPr>
      </w:pPr>
      <w:bookmarkStart w:id="329" w:name="_Toc173446386"/>
      <w:bookmarkStart w:id="330" w:name="_Toc189085829"/>
      <w:r>
        <w:t>Políticas destinadas a fomentar el progreso tecnológico</w:t>
      </w:r>
      <w:r>
        <w:rPr>
          <w:b w:val="0"/>
          <w:bCs/>
          <w:u w:val="none"/>
        </w:rPr>
        <w:t>:</w:t>
      </w:r>
      <w:bookmarkEnd w:id="329"/>
      <w:bookmarkEnd w:id="330"/>
    </w:p>
    <w:p w14:paraId="675B3B02" w14:textId="4E29C578" w:rsidR="0004074D" w:rsidRDefault="0004074D" w:rsidP="0004074D">
      <w:pPr>
        <w:pStyle w:val="Nivel2"/>
      </w:pPr>
      <w:r>
        <w:t>Promoción de la I+D (mediante ayudas directas, desgravaciones, fomento de la colaboración universidad-empresa para focalizar los proyectos de investigación y facilitar el flujo de información).</w:t>
      </w:r>
    </w:p>
    <w:p w14:paraId="3937017B" w14:textId="6A55ADF9" w:rsidR="0004074D" w:rsidRPr="0004074D" w:rsidRDefault="0004074D" w:rsidP="0004074D">
      <w:pPr>
        <w:pStyle w:val="Nivel2"/>
      </w:pPr>
      <w:r>
        <w:t>Promoción de las plataformas de capital-riesgo (</w:t>
      </w:r>
      <w:proofErr w:type="spellStart"/>
      <w:r>
        <w:rPr>
          <w:i/>
          <w:iCs/>
        </w:rPr>
        <w:t>business</w:t>
      </w:r>
      <w:proofErr w:type="spellEnd"/>
      <w:r>
        <w:rPr>
          <w:i/>
          <w:iCs/>
        </w:rPr>
        <w:t xml:space="preserve"> </w:t>
      </w:r>
      <w:proofErr w:type="spellStart"/>
      <w:r>
        <w:rPr>
          <w:i/>
          <w:iCs/>
        </w:rPr>
        <w:t>angels</w:t>
      </w:r>
      <w:proofErr w:type="spellEnd"/>
      <w:r>
        <w:t xml:space="preserve">, </w:t>
      </w:r>
      <w:r w:rsidRPr="0004074D">
        <w:rPr>
          <w:i/>
          <w:iCs/>
        </w:rPr>
        <w:t>venture capital</w:t>
      </w:r>
      <w:r>
        <w:t>, etc.).</w:t>
      </w:r>
    </w:p>
    <w:p w14:paraId="2E671D02" w14:textId="5681ABCE" w:rsidR="0004074D" w:rsidRDefault="0004074D">
      <w:pPr>
        <w:pStyle w:val="Ttulo6"/>
        <w:numPr>
          <w:ilvl w:val="0"/>
          <w:numId w:val="36"/>
        </w:numPr>
        <w:ind w:left="284" w:hanging="57"/>
        <w:rPr>
          <w:b w:val="0"/>
          <w:bCs/>
          <w:u w:val="none"/>
        </w:rPr>
      </w:pPr>
      <w:bookmarkStart w:id="331" w:name="_Toc173446387"/>
      <w:bookmarkStart w:id="332" w:name="_Toc189085830"/>
      <w:r>
        <w:t>Políticas destinadas a aumentar la capacidad productiva</w:t>
      </w:r>
      <w:r>
        <w:rPr>
          <w:b w:val="0"/>
          <w:bCs/>
          <w:u w:val="none"/>
        </w:rPr>
        <w:t xml:space="preserve"> (el stock de capital):</w:t>
      </w:r>
      <w:bookmarkEnd w:id="331"/>
      <w:bookmarkEnd w:id="332"/>
    </w:p>
    <w:p w14:paraId="4342C179" w14:textId="7FF4C037" w:rsidR="0004074D" w:rsidRDefault="0004074D" w:rsidP="0004074D">
      <w:pPr>
        <w:pStyle w:val="Nivel2"/>
      </w:pPr>
      <w:r>
        <w:t>Incentivos fiscales a la inversión.</w:t>
      </w:r>
    </w:p>
    <w:p w14:paraId="7EDC45FE" w14:textId="6D217F76" w:rsidR="0004074D" w:rsidRDefault="0004074D" w:rsidP="0004074D">
      <w:pPr>
        <w:pStyle w:val="Nivel2"/>
      </w:pPr>
      <w:r>
        <w:t>Estabilidad macroeconómica.</w:t>
      </w:r>
    </w:p>
    <w:p w14:paraId="2DD752F1" w14:textId="4722D0BA" w:rsidR="0004074D" w:rsidRPr="0004074D" w:rsidRDefault="0004074D" w:rsidP="0004074D">
      <w:pPr>
        <w:pStyle w:val="Nivel2"/>
      </w:pPr>
      <w:r>
        <w:t>Infraestructuras que vertebren el mercado y faciliten la circulación de mercancías.</w:t>
      </w:r>
    </w:p>
    <w:p w14:paraId="3E28EA94" w14:textId="2643CEAD" w:rsidR="0004074D" w:rsidRDefault="0004074D">
      <w:pPr>
        <w:pStyle w:val="Ttulo6"/>
        <w:numPr>
          <w:ilvl w:val="0"/>
          <w:numId w:val="36"/>
        </w:numPr>
        <w:ind w:left="284" w:hanging="57"/>
        <w:rPr>
          <w:b w:val="0"/>
          <w:bCs/>
          <w:u w:val="none"/>
        </w:rPr>
      </w:pPr>
      <w:bookmarkStart w:id="333" w:name="_Toc173446388"/>
      <w:bookmarkStart w:id="334" w:name="_Toc189085831"/>
      <w:r>
        <w:t>Políticas destinadas a mejorar el mercado de trabajo</w:t>
      </w:r>
      <w:r w:rsidRPr="0004074D">
        <w:rPr>
          <w:b w:val="0"/>
          <w:bCs/>
          <w:u w:val="none"/>
        </w:rPr>
        <w:t>:</w:t>
      </w:r>
      <w:bookmarkEnd w:id="333"/>
      <w:bookmarkEnd w:id="334"/>
    </w:p>
    <w:p w14:paraId="3E2A4CA3" w14:textId="77777777" w:rsidR="00073428" w:rsidRDefault="00073428" w:rsidP="00073428">
      <w:pPr>
        <w:pStyle w:val="Nivel2"/>
        <w:keepNext/>
        <w:spacing w:after="0"/>
      </w:pPr>
      <w:r>
        <w:rPr>
          <w:i/>
          <w:iCs/>
          <w:u w:val="single"/>
        </w:rPr>
        <w:t>Paro clásico</w:t>
      </w:r>
      <w:r w:rsidRPr="00073428">
        <w:t xml:space="preserve"> (</w:t>
      </w:r>
      <w:r>
        <w:t xml:space="preserve">originado por salarios reales demasiado altos para la productividad del trabajo –lo que se detecta con </w:t>
      </w:r>
      <w:proofErr w:type="spellStart"/>
      <w:r>
        <w:t>CLUs</w:t>
      </w:r>
      <w:proofErr w:type="spellEnd"/>
      <w:r>
        <w:t xml:space="preserve"> que crecen mucho y de manera sistemática–).</w:t>
      </w:r>
    </w:p>
    <w:p w14:paraId="2666FAD9" w14:textId="1BE1BD5D" w:rsidR="00073428" w:rsidRDefault="00073428" w:rsidP="00073428">
      <w:pPr>
        <w:pStyle w:val="Nivel3"/>
        <w:keepNext/>
      </w:pPr>
      <w:r>
        <w:t>Se trata de políticas que flexibilicen el salario real y/o que aumenten la productividad de los trabajadores:</w:t>
      </w:r>
    </w:p>
    <w:p w14:paraId="2A4C89FC" w14:textId="283C369E" w:rsidR="00073428" w:rsidRDefault="00073428" w:rsidP="00073428">
      <w:pPr>
        <w:pStyle w:val="Nivel4"/>
        <w:keepNext/>
      </w:pPr>
      <w:r>
        <w:rPr>
          <w:i/>
          <w:iCs/>
        </w:rPr>
        <w:t>Flexibilización de salarios</w:t>
      </w:r>
      <w:r>
        <w:t>:</w:t>
      </w:r>
    </w:p>
    <w:p w14:paraId="7EA0C9A7" w14:textId="39058C04" w:rsidR="00073428" w:rsidRDefault="00073428" w:rsidP="00073428">
      <w:pPr>
        <w:pStyle w:val="Nivel6"/>
      </w:pPr>
      <w:r>
        <w:t>Acabar con la dualidad del mercado laboral (p.ej. reconducir el poder de los sindicatos para que en sus reivindicaciones tengan también en cuenta a los desempleados, reducción de los costes de contratación y de despido).</w:t>
      </w:r>
    </w:p>
    <w:p w14:paraId="3E2B9448" w14:textId="3158E8EC" w:rsidR="00073428" w:rsidRDefault="00073428" w:rsidP="00073428">
      <w:pPr>
        <w:pStyle w:val="Nivel6"/>
      </w:pPr>
      <w:r>
        <w:t>Indexar los salarios a la productividad en lugar de al nivel de precios.</w:t>
      </w:r>
    </w:p>
    <w:p w14:paraId="199CED7B" w14:textId="4734D9D5" w:rsidR="00073428" w:rsidRDefault="00073428" w:rsidP="00073428">
      <w:pPr>
        <w:pStyle w:val="Nivel6"/>
      </w:pPr>
      <w:r>
        <w:t>Descentralizar la negociación colectiva.</w:t>
      </w:r>
    </w:p>
    <w:p w14:paraId="35DD459D" w14:textId="616E9E74" w:rsidR="00073428" w:rsidRDefault="00073428" w:rsidP="00073428">
      <w:pPr>
        <w:pStyle w:val="Nivel4"/>
        <w:keepNext/>
      </w:pPr>
      <w:r>
        <w:rPr>
          <w:i/>
          <w:iCs/>
        </w:rPr>
        <w:t>Aumento de la productividad del trabajo</w:t>
      </w:r>
      <w:r>
        <w:t>:</w:t>
      </w:r>
    </w:p>
    <w:p w14:paraId="31078846" w14:textId="28300B42" w:rsidR="00073428" w:rsidRDefault="00073428" w:rsidP="00073428">
      <w:pPr>
        <w:pStyle w:val="Nivel6"/>
      </w:pPr>
      <w:r>
        <w:t>Subvencionar la formación en el seno de las empresas.</w:t>
      </w:r>
    </w:p>
    <w:p w14:paraId="0CF2B400" w14:textId="340259CF" w:rsidR="00073428" w:rsidRDefault="00073428" w:rsidP="00073428">
      <w:pPr>
        <w:pStyle w:val="Nivel6"/>
      </w:pPr>
      <w:r>
        <w:lastRenderedPageBreak/>
        <w:t>Adecuar los planes de estudio a las necesidades del mercado laboral (más carreras técnicas, desarrollo de la formación dual).</w:t>
      </w:r>
    </w:p>
    <w:p w14:paraId="73C24B07" w14:textId="4C1DA574" w:rsidR="00073428" w:rsidRDefault="00073428" w:rsidP="00073428">
      <w:pPr>
        <w:pStyle w:val="Nivel6"/>
      </w:pPr>
      <w:r>
        <w:t>Asociar parte del salario al resultado de la empresa (p.ej. repartir una parte de los beneficios empresariales entre los trabajadores –</w:t>
      </w:r>
      <w:proofErr w:type="spellStart"/>
      <w:r>
        <w:rPr>
          <w:i/>
          <w:iCs/>
        </w:rPr>
        <w:t>profit</w:t>
      </w:r>
      <w:proofErr w:type="spellEnd"/>
      <w:r>
        <w:rPr>
          <w:i/>
          <w:iCs/>
        </w:rPr>
        <w:t xml:space="preserve"> </w:t>
      </w:r>
      <w:proofErr w:type="spellStart"/>
      <w:r>
        <w:rPr>
          <w:i/>
          <w:iCs/>
        </w:rPr>
        <w:t>sharing</w:t>
      </w:r>
      <w:proofErr w:type="spellEnd"/>
      <w:r>
        <w:t>–).</w:t>
      </w:r>
    </w:p>
    <w:p w14:paraId="364BE539" w14:textId="7443FE47" w:rsidR="00073428" w:rsidRDefault="00073428" w:rsidP="00073428">
      <w:pPr>
        <w:pStyle w:val="Nivel6"/>
      </w:pPr>
      <w:r>
        <w:t>Progreso tecnológico.</w:t>
      </w:r>
    </w:p>
    <w:p w14:paraId="7076C951" w14:textId="51ACC2E3" w:rsidR="00073428" w:rsidRDefault="00073428" w:rsidP="00073428">
      <w:pPr>
        <w:pStyle w:val="Nivel6"/>
      </w:pPr>
      <w:r>
        <w:t>Fomento de la capacidad productiva.</w:t>
      </w:r>
    </w:p>
    <w:p w14:paraId="3651026F" w14:textId="02C63CE8" w:rsidR="00073428" w:rsidRDefault="00073428" w:rsidP="00073428">
      <w:pPr>
        <w:pStyle w:val="Nivel2"/>
        <w:keepNext/>
        <w:spacing w:after="0"/>
      </w:pPr>
      <w:r>
        <w:rPr>
          <w:i/>
          <w:iCs/>
          <w:u w:val="single"/>
        </w:rPr>
        <w:t>Paro keynesiano</w:t>
      </w:r>
      <w:r>
        <w:t xml:space="preserve"> (originado por una demanda agregada insuficiente –se detecta por un consumo privado anémico–).</w:t>
      </w:r>
    </w:p>
    <w:p w14:paraId="55649FBC" w14:textId="4CDF62B6" w:rsidR="00073428" w:rsidRDefault="00073428" w:rsidP="00073428">
      <w:pPr>
        <w:pStyle w:val="Nivel3"/>
      </w:pPr>
      <w:r>
        <w:t>Habría que desarrollar políticas de demanda expansivas: reducción del IRPF, aumento de las transferencias.</w:t>
      </w:r>
    </w:p>
    <w:p w14:paraId="44B171D5" w14:textId="45E64102" w:rsidR="00073428" w:rsidRDefault="00073428" w:rsidP="00073428">
      <w:pPr>
        <w:pStyle w:val="Nivel2"/>
        <w:keepNext/>
        <w:spacing w:after="0"/>
      </w:pPr>
      <w:r>
        <w:rPr>
          <w:i/>
          <w:iCs/>
          <w:u w:val="single"/>
        </w:rPr>
        <w:t>Paro friccional</w:t>
      </w:r>
      <w:r>
        <w:t xml:space="preserve"> (originado por una falta de casamiento automático entre la oferta y la demanda de trabajo –lo que se detecta con una curva de Beveridge alejada del origen–).</w:t>
      </w:r>
    </w:p>
    <w:p w14:paraId="43C60728" w14:textId="38B62362" w:rsidR="00073428" w:rsidRDefault="00073428" w:rsidP="00073428">
      <w:pPr>
        <w:pStyle w:val="Nivel3"/>
        <w:keepNext/>
      </w:pPr>
      <w:r>
        <w:t>Se trata de políticas que aumenten la eficiencia de la búsqueda:</w:t>
      </w:r>
    </w:p>
    <w:p w14:paraId="5DB744D0" w14:textId="3CB7843E" w:rsidR="00073428" w:rsidRDefault="00073428" w:rsidP="00073428">
      <w:pPr>
        <w:pStyle w:val="Nivel4"/>
      </w:pPr>
      <w:r>
        <w:t>Adecuación de los planes de estudios a las necesidades del mercado laboral.</w:t>
      </w:r>
    </w:p>
    <w:p w14:paraId="60BD914F" w14:textId="544ABB30" w:rsidR="00073428" w:rsidRDefault="00073428" w:rsidP="00073428">
      <w:pPr>
        <w:pStyle w:val="Nivel4"/>
      </w:pPr>
      <w:r>
        <w:t>Fomento del alquiler para aumentar la movilidad geográfica.</w:t>
      </w:r>
    </w:p>
    <w:p w14:paraId="4A026FDF" w14:textId="118E1954" w:rsidR="00073428" w:rsidRDefault="00073428" w:rsidP="00073428">
      <w:pPr>
        <w:pStyle w:val="Nivel4"/>
      </w:pPr>
      <w:r>
        <w:t>Colaboración público-privada de los servicios de empleo públicos.</w:t>
      </w:r>
    </w:p>
    <w:p w14:paraId="6FEE8B84" w14:textId="4CA3C93A" w:rsidR="00073428" w:rsidRDefault="00073428" w:rsidP="00073428">
      <w:pPr>
        <w:pStyle w:val="Nivel2"/>
        <w:keepNext/>
        <w:spacing w:after="0"/>
      </w:pPr>
      <w:r>
        <w:rPr>
          <w:i/>
          <w:iCs/>
          <w:u w:val="single"/>
        </w:rPr>
        <w:t>Paro de larga duración</w:t>
      </w:r>
    </w:p>
    <w:p w14:paraId="3C1210B8" w14:textId="51F17CC4" w:rsidR="00073428" w:rsidRDefault="00073428" w:rsidP="00964CB4">
      <w:pPr>
        <w:pStyle w:val="Nivel3"/>
        <w:keepNext/>
      </w:pPr>
      <w:r>
        <w:t>Se trata de un fenómeno que se retroalimenta con facilidad: cuanto más tiempo se esté fuera del mercado laboral, más difícil será volver a él –pérdida de cualificación, señal negativa, desmotivación–. Por eso es necesario poner en marcha planes de choque para priorizar este colectivo</w:t>
      </w:r>
      <w:r w:rsidR="00964CB4">
        <w:t>.</w:t>
      </w:r>
    </w:p>
    <w:p w14:paraId="60AB4C8C" w14:textId="1EA0CE54" w:rsidR="00964CB4" w:rsidRDefault="00964CB4" w:rsidP="00964CB4">
      <w:pPr>
        <w:pStyle w:val="Nivel4"/>
      </w:pPr>
      <w:r>
        <w:t>Incentivos fiscales para su contratación.</w:t>
      </w:r>
    </w:p>
    <w:p w14:paraId="2C2292D7" w14:textId="3F222CE8" w:rsidR="00964CB4" w:rsidRPr="00073428" w:rsidRDefault="00964CB4" w:rsidP="00964CB4">
      <w:pPr>
        <w:pStyle w:val="Nivel4"/>
      </w:pPr>
      <w:r>
        <w:t>Programas de formación para reciclar las capacidades de estos trabajadores.</w:t>
      </w:r>
    </w:p>
    <w:p w14:paraId="3CFC40EE" w14:textId="313E8BB3" w:rsidR="0004074D" w:rsidRDefault="0004074D">
      <w:pPr>
        <w:pStyle w:val="Ttulo6"/>
        <w:numPr>
          <w:ilvl w:val="0"/>
          <w:numId w:val="36"/>
        </w:numPr>
        <w:ind w:left="284" w:hanging="57"/>
      </w:pPr>
      <w:bookmarkStart w:id="335" w:name="_Toc173446389"/>
      <w:bookmarkStart w:id="336" w:name="_Toc189085832"/>
      <w:r>
        <w:t>Políticas destinadas a aumentar la competencia</w:t>
      </w:r>
      <w:r w:rsidRPr="0004074D">
        <w:rPr>
          <w:b w:val="0"/>
          <w:bCs/>
          <w:u w:val="none"/>
        </w:rPr>
        <w:t>:</w:t>
      </w:r>
      <w:bookmarkEnd w:id="335"/>
      <w:bookmarkEnd w:id="336"/>
    </w:p>
    <w:p w14:paraId="1DADF329" w14:textId="6911A4AD" w:rsidR="0004074D" w:rsidRDefault="00964CB4" w:rsidP="00964CB4">
      <w:pPr>
        <w:pStyle w:val="Nivel2"/>
      </w:pPr>
      <w:r>
        <w:t>Liberalización de sectores.</w:t>
      </w:r>
    </w:p>
    <w:p w14:paraId="1E0CDB64" w14:textId="1CCA4F86" w:rsidR="00964CB4" w:rsidRDefault="00964CB4" w:rsidP="00964CB4">
      <w:pPr>
        <w:pStyle w:val="Nivel2"/>
      </w:pPr>
      <w:r>
        <w:t>Eliminación de barreras para el comercio interior e internacional.</w:t>
      </w:r>
    </w:p>
    <w:p w14:paraId="3B4C8569" w14:textId="0BCF23CE" w:rsidR="00964CB4" w:rsidRDefault="00964CB4" w:rsidP="00964CB4">
      <w:pPr>
        <w:pStyle w:val="Nivel2"/>
      </w:pPr>
      <w:r>
        <w:t>Política de defensa de la competencia.</w:t>
      </w:r>
    </w:p>
    <w:p w14:paraId="418DEE2C" w14:textId="645DB5B6" w:rsidR="00964CB4" w:rsidRPr="0004074D" w:rsidRDefault="00964CB4" w:rsidP="00964CB4">
      <w:pPr>
        <w:pStyle w:val="Nivel2"/>
        <w:jc w:val="left"/>
      </w:pPr>
      <w:r>
        <w:t>Cambiar subsidios sectoriales por transversales</w:t>
      </w:r>
      <w:r>
        <w:br/>
        <w:t>(internacionalización, I+D, protección del medio ambiente).</w:t>
      </w:r>
    </w:p>
    <w:p w14:paraId="050C8D1E" w14:textId="79EBA9E4" w:rsidR="00DA723A" w:rsidRPr="00025F23" w:rsidRDefault="001044B3" w:rsidP="00AD1AFB">
      <w:pPr>
        <w:pStyle w:val="Ttulo1"/>
      </w:pPr>
      <w:bookmarkStart w:id="337" w:name="_Toc88566012"/>
      <w:bookmarkStart w:id="338" w:name="_Toc88566152"/>
      <w:bookmarkStart w:id="339" w:name="_Toc173446390"/>
      <w:bookmarkStart w:id="340" w:name="_Toc189085833"/>
      <w:r w:rsidRPr="00025F23">
        <w:t>RECOMENDACIONES DE POLÍTICA ECONÓMICA</w:t>
      </w:r>
      <w:bookmarkEnd w:id="337"/>
      <w:bookmarkEnd w:id="338"/>
      <w:bookmarkEnd w:id="339"/>
      <w:bookmarkEnd w:id="340"/>
    </w:p>
    <w:p w14:paraId="25B84EDF" w14:textId="0425BE0A" w:rsidR="00E95D39" w:rsidRPr="00025F23" w:rsidRDefault="00FF7FE3" w:rsidP="00FF7FE3">
      <w:pPr>
        <w:pStyle w:val="Notaalopositor"/>
      </w:pPr>
      <w:r w:rsidRPr="00025F23">
        <w:t xml:space="preserve">Es una pregunta que suele estar casi siempre. </w:t>
      </w:r>
      <w:r w:rsidR="00E95D39" w:rsidRPr="00025F23">
        <w:t>En gran parte depende del análisis previo y de las debilidades/fortalezas que presente la economía</w:t>
      </w:r>
      <w:r w:rsidR="00714C62" w:rsidRPr="00025F23">
        <w:t>. Razón por la cual esta pregunta hay que dejarla para el final</w:t>
      </w:r>
      <w:r w:rsidR="00E95D39" w:rsidRPr="00025F23">
        <w:t>. Sin embargo, hay una serie de recomendaciones aplicables a todos los países.</w:t>
      </w:r>
    </w:p>
    <w:p w14:paraId="64889425" w14:textId="77777777" w:rsidR="001C6AB8" w:rsidRPr="00025F23" w:rsidRDefault="001C6AB8" w:rsidP="001C6AB8">
      <w:pPr>
        <w:pStyle w:val="Cajadeanotaciones"/>
        <w:jc w:val="center"/>
      </w:pPr>
      <w:r w:rsidRPr="00025F23">
        <w:t>¿Cuáles son los puntos positivos de la economía?</w:t>
      </w:r>
    </w:p>
    <w:p w14:paraId="5965E24F" w14:textId="00A1D6E1" w:rsidR="001C6AB8" w:rsidRPr="00025F23" w:rsidRDefault="001C6AB8" w:rsidP="001C6AB8">
      <w:pPr>
        <w:pStyle w:val="Cajadeanotaciones"/>
        <w:jc w:val="center"/>
      </w:pPr>
      <w:r w:rsidRPr="00025F23">
        <w:t>¿Cuáles son las vulnerabilidades? ¿Cómo podemos solucionarlas?</w:t>
      </w:r>
    </w:p>
    <w:p w14:paraId="36F849F8" w14:textId="65250CB8" w:rsidR="00342F8B" w:rsidRPr="00025F23" w:rsidRDefault="00A01A88" w:rsidP="00342F8B">
      <w:pPr>
        <w:rPr>
          <w:spacing w:val="-1"/>
        </w:rPr>
      </w:pPr>
      <w:r w:rsidRPr="00025F23">
        <w:rPr>
          <w:spacing w:val="-1"/>
        </w:rPr>
        <w:t xml:space="preserve">Hay que ver </w:t>
      </w:r>
      <w:r w:rsidRPr="00025F23">
        <w:rPr>
          <w:b/>
          <w:bCs/>
          <w:spacing w:val="-1"/>
          <w:u w:val="single"/>
        </w:rPr>
        <w:t>qué va bien</w:t>
      </w:r>
      <w:r w:rsidRPr="00025F23">
        <w:rPr>
          <w:spacing w:val="-1"/>
        </w:rPr>
        <w:t xml:space="preserve">, </w:t>
      </w:r>
      <w:r w:rsidRPr="00025F23">
        <w:rPr>
          <w:b/>
          <w:bCs/>
          <w:spacing w:val="-1"/>
          <w:u w:val="single"/>
        </w:rPr>
        <w:t>qué hay que cambiar</w:t>
      </w:r>
      <w:r w:rsidRPr="00025F23">
        <w:rPr>
          <w:spacing w:val="-1"/>
        </w:rPr>
        <w:t xml:space="preserve"> y </w:t>
      </w:r>
      <w:r w:rsidRPr="00025F23">
        <w:rPr>
          <w:b/>
          <w:bCs/>
          <w:spacing w:val="-1"/>
          <w:u w:val="single"/>
        </w:rPr>
        <w:t>cómo hay que cambiarlo</w:t>
      </w:r>
      <w:r w:rsidRPr="00025F23">
        <w:rPr>
          <w:spacing w:val="-1"/>
        </w:rPr>
        <w:t>.</w:t>
      </w:r>
    </w:p>
    <w:p w14:paraId="38F1360E" w14:textId="77777777" w:rsidR="00474859" w:rsidRPr="00025F23" w:rsidRDefault="00A01A88" w:rsidP="00A01A88">
      <w:pPr>
        <w:pStyle w:val="Desarrollocoyuntura"/>
      </w:pPr>
      <w:bookmarkStart w:id="341" w:name="_Toc173446391"/>
      <w:r w:rsidRPr="00025F23">
        <w:t>“A la luz de los datos, las principales fortalezas de la economía son</w:t>
      </w:r>
      <w:r w:rsidR="00474859" w:rsidRPr="00025F23">
        <w:t>:</w:t>
      </w:r>
      <w:bookmarkEnd w:id="341"/>
    </w:p>
    <w:p w14:paraId="6E63A6A6" w14:textId="77777777" w:rsidR="00474859" w:rsidRPr="00025F23" w:rsidRDefault="00474859" w:rsidP="00A01A88">
      <w:pPr>
        <w:pStyle w:val="Desarrollocoyuntura"/>
      </w:pPr>
      <w:r w:rsidRPr="00025F23">
        <w:t xml:space="preserve">   </w:t>
      </w:r>
      <w:bookmarkStart w:id="342" w:name="_Toc173446392"/>
      <w:r w:rsidRPr="00025F23">
        <w:t>-</w:t>
      </w:r>
      <w:bookmarkEnd w:id="342"/>
      <w:r w:rsidRPr="00025F23">
        <w:t xml:space="preserve"> </w:t>
      </w:r>
    </w:p>
    <w:p w14:paraId="7B410FFE" w14:textId="3A0ED00E" w:rsidR="00474859" w:rsidRPr="00025F23" w:rsidRDefault="00474859" w:rsidP="00A01A88">
      <w:pPr>
        <w:pStyle w:val="Desarrollocoyuntura"/>
      </w:pPr>
      <w:r w:rsidRPr="00025F23">
        <w:t xml:space="preserve">   </w:t>
      </w:r>
      <w:bookmarkStart w:id="343" w:name="_Toc173446393"/>
      <w:r w:rsidRPr="00025F23">
        <w:t>-</w:t>
      </w:r>
      <w:bookmarkEnd w:id="343"/>
      <w:r w:rsidRPr="00025F23">
        <w:t xml:space="preserve">  </w:t>
      </w:r>
    </w:p>
    <w:p w14:paraId="5762ABC2" w14:textId="77777777" w:rsidR="00474859" w:rsidRPr="00025F23" w:rsidRDefault="00A01A88" w:rsidP="00A01A88">
      <w:pPr>
        <w:pStyle w:val="Desarrollocoyuntura"/>
      </w:pPr>
      <w:bookmarkStart w:id="344" w:name="_Toc173446394"/>
      <w:r w:rsidRPr="00025F23">
        <w:t>A su vez, los mayores riesgos que amenazan a la economía son</w:t>
      </w:r>
      <w:r w:rsidR="00474859" w:rsidRPr="00025F23">
        <w:t>:</w:t>
      </w:r>
      <w:bookmarkEnd w:id="344"/>
    </w:p>
    <w:p w14:paraId="4BDFECD3" w14:textId="77777777" w:rsidR="00474859" w:rsidRPr="00025F23" w:rsidRDefault="00474859" w:rsidP="00A01A88">
      <w:pPr>
        <w:pStyle w:val="Desarrollocoyuntura"/>
      </w:pPr>
      <w:r w:rsidRPr="00025F23">
        <w:t xml:space="preserve">   </w:t>
      </w:r>
      <w:bookmarkStart w:id="345" w:name="_Toc173446395"/>
      <w:r w:rsidRPr="00025F23">
        <w:t>-</w:t>
      </w:r>
      <w:bookmarkEnd w:id="345"/>
      <w:r w:rsidRPr="00025F23">
        <w:t xml:space="preserve"> </w:t>
      </w:r>
    </w:p>
    <w:p w14:paraId="7559E5F6" w14:textId="3574209D" w:rsidR="00A01A88" w:rsidRPr="00025F23" w:rsidRDefault="00474859" w:rsidP="00A01A88">
      <w:pPr>
        <w:pStyle w:val="Desarrollocoyuntura"/>
      </w:pPr>
      <w:r w:rsidRPr="00025F23">
        <w:t xml:space="preserve">   </w:t>
      </w:r>
      <w:bookmarkStart w:id="346" w:name="_Toc173446396"/>
      <w:r w:rsidRPr="00025F23">
        <w:t xml:space="preserve">- </w:t>
      </w:r>
      <w:r w:rsidR="00A01A88" w:rsidRPr="00025F23">
        <w:t>”</w:t>
      </w:r>
      <w:bookmarkEnd w:id="346"/>
    </w:p>
    <w:p w14:paraId="11A41E4F" w14:textId="2A64A4DB" w:rsidR="00A01A88" w:rsidRPr="00025F23" w:rsidRDefault="00A01A88" w:rsidP="00603C27">
      <w:pPr>
        <w:pStyle w:val="Nivel1SM"/>
      </w:pPr>
      <w:r w:rsidRPr="00025F23">
        <w:t xml:space="preserve">Nunca ser tajante/extremo o demasiado preciso (por ejemplo: </w:t>
      </w:r>
      <w:r w:rsidRPr="00603C27">
        <w:rPr>
          <w:i/>
          <w:iCs w:val="0"/>
        </w:rPr>
        <w:t>“Parece necesaria una consolidación fiscal pero sin que resulte excesiva para no lastrar el crecimiento/recuperación.”</w:t>
      </w:r>
      <w:r w:rsidRPr="00025F23">
        <w:t>)</w:t>
      </w:r>
    </w:p>
    <w:p w14:paraId="6FCD34EB" w14:textId="77777777" w:rsidR="00422F74" w:rsidRPr="00025F23" w:rsidRDefault="00422F74" w:rsidP="00422F74">
      <w:pPr>
        <w:pStyle w:val="Ttulo3"/>
      </w:pPr>
      <w:bookmarkStart w:id="347" w:name="_Toc173446397"/>
      <w:bookmarkStart w:id="348" w:name="_Toc189085834"/>
      <w:r w:rsidRPr="00025F23">
        <w:t>Recomendaciones a desequilibrios habituales</w:t>
      </w:r>
      <w:bookmarkEnd w:id="347"/>
      <w:bookmarkEnd w:id="348"/>
    </w:p>
    <w:p w14:paraId="01745B4C" w14:textId="66F9A43F" w:rsidR="00422F74" w:rsidRPr="00025F23" w:rsidRDefault="00422F74">
      <w:pPr>
        <w:pStyle w:val="Ttulo6"/>
        <w:numPr>
          <w:ilvl w:val="0"/>
          <w:numId w:val="18"/>
        </w:numPr>
        <w:spacing w:after="0"/>
        <w:ind w:left="198" w:hanging="198"/>
      </w:pPr>
      <w:bookmarkStart w:id="349" w:name="_Toc173446398"/>
      <w:bookmarkStart w:id="350" w:name="_Toc189085835"/>
      <w:r w:rsidRPr="00025F23">
        <w:t>Débil crecimiento/recesión</w:t>
      </w:r>
      <w:bookmarkEnd w:id="349"/>
      <w:bookmarkEnd w:id="350"/>
    </w:p>
    <w:p w14:paraId="07BC584D" w14:textId="0A82A9A4" w:rsidR="007F0327" w:rsidRPr="00025F23" w:rsidRDefault="00AB4D5F">
      <w:pPr>
        <w:pStyle w:val="Prrafodelista"/>
        <w:numPr>
          <w:ilvl w:val="0"/>
          <w:numId w:val="17"/>
        </w:numPr>
        <w:ind w:left="426" w:hanging="142"/>
      </w:pPr>
      <w:r w:rsidRPr="00025F23">
        <w:t xml:space="preserve">Política monetaria y política fiscal expansivas en el corto plazo, mientras se gana tiempo para que comiencen a surtir efecto las reformas estructurales (aunque quizás no es posible llevar a cabo una política fiscal expansiva si existe necesidad de consolidación fiscal y </w:t>
      </w:r>
      <w:r w:rsidR="007F0327" w:rsidRPr="00025F23">
        <w:t>no sea posible llevar a cabo una política monetaria expansiva ante una inflación elevada).</w:t>
      </w:r>
    </w:p>
    <w:p w14:paraId="3716D5CC" w14:textId="31E77098" w:rsidR="00422F74" w:rsidRPr="00025F23" w:rsidRDefault="00422F74">
      <w:pPr>
        <w:pStyle w:val="Ttulo6"/>
        <w:numPr>
          <w:ilvl w:val="0"/>
          <w:numId w:val="18"/>
        </w:numPr>
        <w:spacing w:after="0"/>
        <w:ind w:left="198" w:hanging="198"/>
      </w:pPr>
      <w:bookmarkStart w:id="351" w:name="_Toc173446399"/>
      <w:bookmarkStart w:id="352" w:name="_Toc189085836"/>
      <w:r w:rsidRPr="00025F23">
        <w:t>Consumo interno anémico</w:t>
      </w:r>
      <w:bookmarkEnd w:id="351"/>
      <w:bookmarkEnd w:id="352"/>
    </w:p>
    <w:p w14:paraId="63FC4366" w14:textId="594D7F2B" w:rsidR="00422F74" w:rsidRPr="00025F23" w:rsidRDefault="007F0327">
      <w:pPr>
        <w:pStyle w:val="Prrafodelista"/>
        <w:numPr>
          <w:ilvl w:val="0"/>
          <w:numId w:val="17"/>
        </w:numPr>
        <w:ind w:left="426" w:hanging="142"/>
      </w:pPr>
      <w:r w:rsidRPr="00025F23">
        <w:t>Reforma fiscal encaminada a redistribuir la renta (clases medias y bajas tienen una mayor propensión media al consumo), incentivar el reparto de dividendos si existe un excesivo ahorro empresarial, disminuir el déficit público su pudiera existir miedo de los hogares a un incremento de los impuestos futuros, etc.</w:t>
      </w:r>
    </w:p>
    <w:p w14:paraId="7512964D" w14:textId="47E51CB5" w:rsidR="00422F74" w:rsidRPr="00025F23" w:rsidRDefault="00422F74">
      <w:pPr>
        <w:pStyle w:val="Ttulo6"/>
        <w:numPr>
          <w:ilvl w:val="0"/>
          <w:numId w:val="18"/>
        </w:numPr>
        <w:spacing w:after="0"/>
        <w:ind w:left="198" w:hanging="198"/>
      </w:pPr>
      <w:bookmarkStart w:id="353" w:name="_Toc173446400"/>
      <w:bookmarkStart w:id="354" w:name="_Toc189085837"/>
      <w:r w:rsidRPr="00025F23">
        <w:t>Inflación y sobrecalentamiento</w:t>
      </w:r>
      <w:bookmarkEnd w:id="353"/>
      <w:bookmarkEnd w:id="354"/>
    </w:p>
    <w:p w14:paraId="2A85D8FE" w14:textId="77777777" w:rsidR="00715EE1" w:rsidRDefault="007F0327">
      <w:pPr>
        <w:pStyle w:val="Prrafodelista"/>
        <w:keepNext/>
        <w:numPr>
          <w:ilvl w:val="0"/>
          <w:numId w:val="17"/>
        </w:numPr>
        <w:spacing w:after="0"/>
        <w:ind w:left="426" w:hanging="142"/>
      </w:pPr>
      <w:r w:rsidRPr="00025F23">
        <w:t xml:space="preserve">Política monetaria contractiva (con banco central independiente y política fiscal acorde –i.e. no monetización del déficit–), política fiscal contractiva (aumento de los impuestos y disminución del gasto público), liberalización de mercados para aumentar la competencia en los mismos, diversificar fuentes energéticas si existe </w:t>
      </w:r>
      <w:r w:rsidRPr="00025F23">
        <w:t xml:space="preserve">excesiva dependencia energética, dejar apreciar el tipo de cambio nominal si hay excesivos </w:t>
      </w:r>
      <w:proofErr w:type="spellStart"/>
      <w:r w:rsidRPr="00025F23">
        <w:t>inflows</w:t>
      </w:r>
      <w:proofErr w:type="spellEnd"/>
      <w:r w:rsidRPr="00025F23">
        <w:t xml:space="preserve"> (y sopesar control de entrada de capitales con carácter excepcional y temporal), etc.</w:t>
      </w:r>
    </w:p>
    <w:p w14:paraId="78F0AF93" w14:textId="69F9AD9A" w:rsidR="005D40D8" w:rsidRPr="00025F23" w:rsidRDefault="005D40D8">
      <w:pPr>
        <w:pStyle w:val="Prrafodelista"/>
        <w:keepNext/>
        <w:numPr>
          <w:ilvl w:val="0"/>
          <w:numId w:val="17"/>
        </w:numPr>
        <w:spacing w:after="0"/>
        <w:ind w:left="426" w:hanging="142"/>
      </w:pPr>
      <w:r w:rsidRPr="005D40D8">
        <w:t>Las medidas</w:t>
      </w:r>
      <w:r>
        <w:t xml:space="preserve"> fiscales</w:t>
      </w:r>
      <w:r w:rsidRPr="005D40D8">
        <w:t xml:space="preserve"> de apoyo deberían ser temporales y focalizarse en los hogares y empresas más vulnerables, y estar diseñadas para mantener los incentivos para consumir menos energía. Es probable que las medidas fiscales que no incorporen estos principios agudicen las presiones inflacionistas, lo que haría necesaria una respuesta más decidida de la política monetaria, y que lastren las finanzas públicas.</w:t>
      </w:r>
    </w:p>
    <w:p w14:paraId="61DF1DB1" w14:textId="3935CBF3" w:rsidR="00422F74" w:rsidRPr="00025F23" w:rsidRDefault="00422F74">
      <w:pPr>
        <w:pStyle w:val="Ttulo6"/>
        <w:numPr>
          <w:ilvl w:val="0"/>
          <w:numId w:val="18"/>
        </w:numPr>
        <w:spacing w:after="0"/>
        <w:ind w:left="198" w:hanging="198"/>
      </w:pPr>
      <w:bookmarkStart w:id="355" w:name="_Toc173446401"/>
      <w:bookmarkStart w:id="356" w:name="_Toc189085838"/>
      <w:r w:rsidRPr="00025F23">
        <w:t>Mercado de trabajo deficiente</w:t>
      </w:r>
      <w:bookmarkEnd w:id="355"/>
      <w:bookmarkEnd w:id="356"/>
    </w:p>
    <w:p w14:paraId="147012EE" w14:textId="331D1AE6" w:rsidR="00422F74" w:rsidRPr="00025F23" w:rsidRDefault="007F0327">
      <w:pPr>
        <w:pStyle w:val="Prrafodelista"/>
        <w:numPr>
          <w:ilvl w:val="0"/>
          <w:numId w:val="17"/>
        </w:numPr>
        <w:ind w:left="426" w:hanging="142"/>
        <w:rPr>
          <w:highlight w:val="yellow"/>
        </w:rPr>
      </w:pPr>
      <w:r w:rsidRPr="00025F23">
        <w:rPr>
          <w:highlight w:val="yellow"/>
        </w:rPr>
        <w:t>Políticas de oferta</w:t>
      </w:r>
    </w:p>
    <w:p w14:paraId="7E9DABB6" w14:textId="26911C4A" w:rsidR="00FF0219" w:rsidRPr="00025F23" w:rsidRDefault="00FF0219">
      <w:pPr>
        <w:pStyle w:val="Prrafodelista"/>
        <w:numPr>
          <w:ilvl w:val="0"/>
          <w:numId w:val="17"/>
        </w:numPr>
        <w:ind w:left="426" w:hanging="142"/>
        <w:rPr>
          <w:highlight w:val="yellow"/>
        </w:rPr>
      </w:pPr>
      <w:r w:rsidRPr="00025F23">
        <w:rPr>
          <w:highlight w:val="yellow"/>
        </w:rPr>
        <w:t>Políticas activas de empleo</w:t>
      </w:r>
    </w:p>
    <w:p w14:paraId="27F70199" w14:textId="70E232E0" w:rsidR="00FF0219" w:rsidRPr="00025F23" w:rsidRDefault="00FF0219">
      <w:pPr>
        <w:pStyle w:val="Prrafodelista"/>
        <w:numPr>
          <w:ilvl w:val="0"/>
          <w:numId w:val="17"/>
        </w:numPr>
        <w:ind w:left="426" w:hanging="142"/>
        <w:rPr>
          <w:highlight w:val="yellow"/>
        </w:rPr>
      </w:pPr>
      <w:r w:rsidRPr="00025F23">
        <w:rPr>
          <w:highlight w:val="yellow"/>
        </w:rPr>
        <w:t>Políticas pasivas de empleo</w:t>
      </w:r>
    </w:p>
    <w:p w14:paraId="4CF60DA2" w14:textId="59C21117" w:rsidR="00422F74" w:rsidRPr="00025F23" w:rsidRDefault="00422F74">
      <w:pPr>
        <w:pStyle w:val="Ttulo6"/>
        <w:numPr>
          <w:ilvl w:val="0"/>
          <w:numId w:val="18"/>
        </w:numPr>
        <w:spacing w:after="0"/>
        <w:ind w:left="198" w:hanging="198"/>
      </w:pPr>
      <w:bookmarkStart w:id="357" w:name="_Toc173446402"/>
      <w:bookmarkStart w:id="358" w:name="_Toc189085839"/>
      <w:proofErr w:type="gramStart"/>
      <w:r w:rsidRPr="00025F23">
        <w:t>Déficit público y deuda pública</w:t>
      </w:r>
      <w:bookmarkEnd w:id="357"/>
      <w:bookmarkEnd w:id="358"/>
      <w:proofErr w:type="gramEnd"/>
    </w:p>
    <w:p w14:paraId="226DC64A" w14:textId="733948BC" w:rsidR="00422F74" w:rsidRPr="00025F23" w:rsidRDefault="007F0327">
      <w:pPr>
        <w:pStyle w:val="Prrafodelista"/>
        <w:numPr>
          <w:ilvl w:val="0"/>
          <w:numId w:val="17"/>
        </w:numPr>
        <w:ind w:left="426" w:hanging="142"/>
      </w:pPr>
      <w:r w:rsidRPr="00025F23">
        <w:t>Corresponsabilidad fiscal uniendo en un estado descentralizado las competencias de ingreso y gasto, lucha contra el fraude, eliminar gasto inefectivo (p.ej.</w:t>
      </w:r>
      <w:r w:rsidR="006A2CB2" w:rsidRPr="00025F23">
        <w:t xml:space="preserve"> subvenciones por combusti</w:t>
      </w:r>
      <w:r w:rsidR="000C5D63" w:rsidRPr="00025F23">
        <w:t>b</w:t>
      </w:r>
      <w:r w:rsidR="006A2CB2" w:rsidRPr="00025F23">
        <w:t>le</w:t>
      </w:r>
      <w:r w:rsidRPr="00025F23">
        <w:t>)</w:t>
      </w:r>
      <w:r w:rsidR="006A2CB2" w:rsidRPr="00025F23">
        <w:t>, techo de gasto, reformas estructurales (p.ej. en sanidad y pensiones), etc.)</w:t>
      </w:r>
      <w:r w:rsidRPr="00025F23">
        <w:t>.</w:t>
      </w:r>
    </w:p>
    <w:p w14:paraId="278A626F" w14:textId="77777777" w:rsidR="00715EE1" w:rsidRPr="00715EE1" w:rsidRDefault="00FF0219">
      <w:pPr>
        <w:pStyle w:val="Prrafodelista"/>
        <w:numPr>
          <w:ilvl w:val="0"/>
          <w:numId w:val="17"/>
        </w:numPr>
        <w:ind w:left="426" w:hanging="142"/>
      </w:pPr>
      <w:r w:rsidRPr="00025F23">
        <w:t xml:space="preserve">Quizás sea conveniente diseñar y anunciar pronto el futuro plan de </w:t>
      </w:r>
      <w:r w:rsidRPr="00715EE1">
        <w:t>consolidación fiscal para evitar nerviosismo en los mercados aunque su implementación se posponga.</w:t>
      </w:r>
    </w:p>
    <w:p w14:paraId="693AF885" w14:textId="66C17AA1" w:rsidR="00715EE1" w:rsidRPr="00715EE1" w:rsidRDefault="00715EE1">
      <w:pPr>
        <w:pStyle w:val="Prrafodelista"/>
        <w:numPr>
          <w:ilvl w:val="0"/>
          <w:numId w:val="17"/>
        </w:numPr>
        <w:ind w:left="426" w:hanging="142"/>
        <w:rPr>
          <w:highlight w:val="yellow"/>
        </w:rPr>
      </w:pPr>
      <w:r w:rsidRPr="00715EE1">
        <w:rPr>
          <w:highlight w:val="yellow"/>
        </w:rPr>
        <w:t xml:space="preserve">Es probable que las presiones sobre las finanzas públicas se intensifiquen como consecuencia, entre otros factores, de la necesidad de acelerar la transición energética y de aumentar la inversión en una mayor ecologización y digitalización de la economía, lo que se sumará al incremento de los costes fiscales debido al envejecimiento de la población. Por tanto, es importante abordar la mayor vulnerabilidad de las finanzas públicas de la zona del euro tanto a través de reformas que promuevan el crecimiento como de una reducción gradual de las elevadas ratios de deuda. Para ello, será necesario aplicar rápidamente los planes de inversión y de reformas estructurales en el marco del programa </w:t>
      </w:r>
      <w:r w:rsidRPr="00715EE1">
        <w:rPr>
          <w:i/>
          <w:iCs/>
          <w:highlight w:val="yellow"/>
        </w:rPr>
        <w:t xml:space="preserve">Next </w:t>
      </w:r>
      <w:proofErr w:type="spellStart"/>
      <w:r w:rsidRPr="00715EE1">
        <w:rPr>
          <w:i/>
          <w:iCs/>
          <w:highlight w:val="yellow"/>
        </w:rPr>
        <w:t>Generation</w:t>
      </w:r>
      <w:proofErr w:type="spellEnd"/>
      <w:r w:rsidRPr="00715EE1">
        <w:rPr>
          <w:i/>
          <w:iCs/>
          <w:highlight w:val="yellow"/>
        </w:rPr>
        <w:t xml:space="preserve"> EU</w:t>
      </w:r>
      <w:r w:rsidRPr="00715EE1">
        <w:rPr>
          <w:highlight w:val="yellow"/>
        </w:rPr>
        <w:t xml:space="preserve"> y adoptar políticas fiscales prudentes en los próximos años.</w:t>
      </w:r>
    </w:p>
    <w:p w14:paraId="666D891F" w14:textId="77777777" w:rsidR="00715EE1" w:rsidRPr="00025F23" w:rsidRDefault="00715EE1">
      <w:pPr>
        <w:pStyle w:val="Prrafodelista"/>
        <w:numPr>
          <w:ilvl w:val="0"/>
          <w:numId w:val="17"/>
        </w:numPr>
        <w:ind w:left="426" w:hanging="142"/>
      </w:pPr>
    </w:p>
    <w:p w14:paraId="68B50CB4" w14:textId="5CB19294" w:rsidR="00422F74" w:rsidRPr="00025F23" w:rsidRDefault="00422F74">
      <w:pPr>
        <w:pStyle w:val="Ttulo6"/>
        <w:numPr>
          <w:ilvl w:val="0"/>
          <w:numId w:val="18"/>
        </w:numPr>
        <w:spacing w:after="0"/>
        <w:ind w:left="198" w:hanging="198"/>
      </w:pPr>
      <w:bookmarkStart w:id="359" w:name="_Toc173446403"/>
      <w:bookmarkStart w:id="360" w:name="_Toc189085840"/>
      <w:r w:rsidRPr="00025F23">
        <w:t>Déficit por cuenta corriente y deuda externa</w:t>
      </w:r>
      <w:bookmarkEnd w:id="359"/>
      <w:bookmarkEnd w:id="360"/>
    </w:p>
    <w:p w14:paraId="1225D32C" w14:textId="2BFD651F" w:rsidR="00422F74" w:rsidRPr="00025F23" w:rsidRDefault="00422F74">
      <w:pPr>
        <w:pStyle w:val="Prrafodelista"/>
        <w:numPr>
          <w:ilvl w:val="0"/>
          <w:numId w:val="17"/>
        </w:numPr>
        <w:ind w:left="426" w:hanging="142"/>
      </w:pPr>
    </w:p>
    <w:p w14:paraId="79A507D9" w14:textId="77777777" w:rsidR="00FF0219" w:rsidRPr="00025F23" w:rsidRDefault="00FF0219">
      <w:pPr>
        <w:pStyle w:val="Prrafodelista"/>
        <w:numPr>
          <w:ilvl w:val="0"/>
          <w:numId w:val="17"/>
        </w:numPr>
        <w:ind w:left="426" w:hanging="142"/>
      </w:pPr>
      <w:r w:rsidRPr="00025F23">
        <w:t xml:space="preserve">Repliegue de cadenas globales de valor causadas por la pandemia. Una posible solución sería una </w:t>
      </w:r>
      <w:r w:rsidRPr="00025F23">
        <w:rPr>
          <w:i/>
          <w:iCs/>
        </w:rPr>
        <w:t>autonomía estratégica abierta</w:t>
      </w:r>
      <w:r w:rsidRPr="00025F23">
        <w:t xml:space="preserve"> consistente en seguir optando por la apertura comercial y el multilateralismo, pero, al mismo tiempo, mitigar los riesgos de abastecimiento (energía, metales, componentes, equipos sanitarios) no sólo a través de mayor producción interior, sino a través de la construcción de reservas estratégicas, la diversificación de suministros y la elección de socios con mayor proximidad geográfica y política.</w:t>
      </w:r>
    </w:p>
    <w:p w14:paraId="60860609" w14:textId="30339BE2" w:rsidR="00422F74" w:rsidRPr="00025F23" w:rsidRDefault="00422F74">
      <w:pPr>
        <w:pStyle w:val="Ttulo6"/>
        <w:numPr>
          <w:ilvl w:val="0"/>
          <w:numId w:val="18"/>
        </w:numPr>
        <w:spacing w:after="0"/>
        <w:ind w:left="198" w:hanging="198"/>
      </w:pPr>
      <w:bookmarkStart w:id="361" w:name="_Toc173446404"/>
      <w:bookmarkStart w:id="362" w:name="_Toc189085841"/>
      <w:r w:rsidRPr="00025F23">
        <w:t>Rigidez en el sistema financiero</w:t>
      </w:r>
      <w:bookmarkEnd w:id="361"/>
      <w:bookmarkEnd w:id="362"/>
    </w:p>
    <w:p w14:paraId="00176FB2" w14:textId="4ACD7835" w:rsidR="00422F74" w:rsidRPr="00025F23" w:rsidRDefault="000C5D63">
      <w:pPr>
        <w:pStyle w:val="Prrafodelista"/>
        <w:numPr>
          <w:ilvl w:val="0"/>
          <w:numId w:val="17"/>
        </w:numPr>
        <w:ind w:left="426" w:hanging="142"/>
      </w:pPr>
      <w:r w:rsidRPr="00025F23">
        <w:t>El objetivo es lograr un sistema financiero que logre efectivamente canalizar el ahorro hacia actividades de inversión. Para ello, se requiere una gran cantidad de activos disponibles (que se ajusten a las preferencias de los inversores), un gran número de operaciones que dote</w:t>
      </w:r>
      <w:r w:rsidR="00E549BE">
        <w:t>n</w:t>
      </w:r>
      <w:r w:rsidRPr="00025F23">
        <w:t xml:space="preserve"> de liquidez al sistema, y una completa supervisión del mercado financiero en su totalidad que asegure a los inversores y ahorradores ante los posibles riesgos existentes.</w:t>
      </w:r>
    </w:p>
    <w:p w14:paraId="72154038" w14:textId="0D02F0A2" w:rsidR="00422F74" w:rsidRPr="00025F23" w:rsidRDefault="00422F74">
      <w:pPr>
        <w:pStyle w:val="Ttulo6"/>
        <w:numPr>
          <w:ilvl w:val="0"/>
          <w:numId w:val="18"/>
        </w:numPr>
        <w:spacing w:after="0"/>
        <w:ind w:left="198" w:hanging="198"/>
      </w:pPr>
      <w:bookmarkStart w:id="363" w:name="_Toc173446405"/>
      <w:bookmarkStart w:id="364" w:name="_Toc189085842"/>
      <w:r w:rsidRPr="00025F23">
        <w:t>Estructura sectorial desequilibrada de la economía</w:t>
      </w:r>
      <w:bookmarkEnd w:id="363"/>
      <w:bookmarkEnd w:id="364"/>
    </w:p>
    <w:p w14:paraId="246E4E36" w14:textId="729B90CA" w:rsidR="00422F74" w:rsidRPr="00025F23" w:rsidRDefault="00422F74">
      <w:pPr>
        <w:pStyle w:val="Prrafodelista"/>
        <w:numPr>
          <w:ilvl w:val="0"/>
          <w:numId w:val="17"/>
        </w:numPr>
        <w:ind w:left="426" w:hanging="142"/>
      </w:pPr>
      <w:r w:rsidRPr="00025F23">
        <w:t>Sería necesario llevar a cabo medidas encaminadas a reducir la excesiva dependencia de un sector.</w:t>
      </w:r>
    </w:p>
    <w:tbl>
      <w:tblPr>
        <w:tblStyle w:val="Tablaconcuadrcula"/>
        <w:tblW w:w="5529" w:type="dxa"/>
        <w:tblInd w:w="-147" w:type="dxa"/>
        <w:tblLook w:val="04A0" w:firstRow="1" w:lastRow="0" w:firstColumn="1" w:lastColumn="0" w:noHBand="0" w:noVBand="1"/>
      </w:tblPr>
      <w:tblGrid>
        <w:gridCol w:w="5529"/>
      </w:tblGrid>
      <w:tr w:rsidR="003E4869" w:rsidRPr="00025F23" w14:paraId="5E548F40" w14:textId="77777777" w:rsidTr="00966C08">
        <w:tc>
          <w:tcPr>
            <w:tcW w:w="5529" w:type="dxa"/>
            <w:shd w:val="clear" w:color="auto" w:fill="E7E6E6" w:themeFill="background2"/>
          </w:tcPr>
          <w:p w14:paraId="5EF0C894" w14:textId="77777777" w:rsidR="003E4869" w:rsidRPr="00025F23" w:rsidRDefault="003E4869" w:rsidP="00966C08">
            <w:pPr>
              <w:keepNext/>
              <w:spacing w:after="20"/>
              <w:jc w:val="center"/>
              <w:rPr>
                <w:b/>
                <w:bCs/>
                <w:i/>
                <w:iCs/>
                <w:spacing w:val="-5"/>
              </w:rPr>
            </w:pPr>
            <w:r w:rsidRPr="00025F23">
              <w:rPr>
                <w:b/>
                <w:bCs/>
                <w:i/>
                <w:iCs/>
                <w:spacing w:val="-5"/>
              </w:rPr>
              <w:lastRenderedPageBreak/>
              <w:t>Consecuencias de un programa del Fondo Monetario Internacional sobre el país</w:t>
            </w:r>
          </w:p>
          <w:p w14:paraId="155CA040" w14:textId="77777777" w:rsidR="003E4869" w:rsidRPr="00025F23" w:rsidRDefault="003E4869" w:rsidP="001F4C0E">
            <w:pPr>
              <w:keepNext/>
              <w:spacing w:after="20"/>
            </w:pPr>
            <w:r w:rsidRPr="00025F23">
              <w:t>Las consecuencias de un programa del Fondo Monetario Internacional dependen del tipo de programa solicitado. El efecto típico de un programa de ajuste tradicional del FMI</w:t>
            </w:r>
            <w:r w:rsidR="00966C08" w:rsidRPr="00025F23">
              <w:t xml:space="preserve"> podría ser el siguiente:</w:t>
            </w:r>
          </w:p>
          <w:p w14:paraId="4FB35171" w14:textId="68538BE7" w:rsidR="00966C08" w:rsidRPr="00025F23" w:rsidRDefault="00966C08" w:rsidP="001F4C0E">
            <w:pPr>
              <w:pStyle w:val="Nivel1"/>
              <w:keepNext/>
              <w:spacing w:after="0"/>
            </w:pPr>
            <w:r w:rsidRPr="00025F23">
              <w:rPr>
                <w:i/>
                <w:iCs w:val="0"/>
              </w:rPr>
              <w:t>A corto plazo (fase de ajuste</w:t>
            </w:r>
            <w:r w:rsidRPr="00025F23">
              <w:t>):</w:t>
            </w:r>
          </w:p>
          <w:p w14:paraId="682AFBC6" w14:textId="492499DC" w:rsidR="00966C08" w:rsidRPr="00025F23" w:rsidRDefault="00966C08" w:rsidP="00966C08">
            <w:pPr>
              <w:pStyle w:val="Nivel2"/>
            </w:pPr>
            <w:r w:rsidRPr="00025F23">
              <w:t>Reducción del crecimiento económico por la reducción de la absorción interna derivada del ajuste fiscal y la contracción del crédito interno.</w:t>
            </w:r>
          </w:p>
          <w:p w14:paraId="1B5452FE" w14:textId="5A83D5ED" w:rsidR="00966C08" w:rsidRPr="00025F23" w:rsidRDefault="00966C08" w:rsidP="00966C08">
            <w:pPr>
              <w:pStyle w:val="Nivel2"/>
            </w:pPr>
            <w:r w:rsidRPr="00025F23">
              <w:t>Aumento de la ratio deuda/PIB por el efecto de reducción del crecimiento.</w:t>
            </w:r>
          </w:p>
          <w:p w14:paraId="0EB2CCE0" w14:textId="4D11CD9B" w:rsidR="00966C08" w:rsidRPr="00025F23" w:rsidRDefault="00966C08" w:rsidP="00966C08">
            <w:pPr>
              <w:pStyle w:val="Nivel2"/>
            </w:pPr>
            <w:r w:rsidRPr="00025F23">
              <w:t>Mejora de la cuenta corriente por la reducción de la absorción.</w:t>
            </w:r>
          </w:p>
          <w:p w14:paraId="51B9B628" w14:textId="78337C4C" w:rsidR="00966C08" w:rsidRPr="00025F23" w:rsidRDefault="00966C08" w:rsidP="00966C08">
            <w:pPr>
              <w:pStyle w:val="Nivel2"/>
            </w:pPr>
            <w:r w:rsidRPr="00025F23">
              <w:t>Depreciación/devaluación del tipo de cambio a niveles más cercanos a su valor natural. En cuanto se ha producido el ajuste inicial, el tipo de cambio suele estabilizarse rápidamente por la disponibilidad de la financiación exterior del FMI.</w:t>
            </w:r>
          </w:p>
          <w:p w14:paraId="3E42F112" w14:textId="77777777" w:rsidR="00966C08" w:rsidRPr="00025F23" w:rsidRDefault="00966C08" w:rsidP="001F4C0E">
            <w:pPr>
              <w:pStyle w:val="Nivel1"/>
              <w:keepNext/>
              <w:spacing w:after="0"/>
            </w:pPr>
            <w:r w:rsidRPr="00025F23">
              <w:rPr>
                <w:i/>
                <w:iCs w:val="0"/>
              </w:rPr>
              <w:t>A medio plazo (fase de estabilización</w:t>
            </w:r>
            <w:r w:rsidRPr="00025F23">
              <w:rPr>
                <w:i/>
                <w:iCs w:val="0"/>
                <w:sz w:val="12"/>
                <w:szCs w:val="12"/>
              </w:rPr>
              <w:t>, tras 6 meses o 2 años en función de la senda de ajuste</w:t>
            </w:r>
            <w:r w:rsidRPr="00025F23">
              <w:rPr>
                <w:i/>
                <w:iCs w:val="0"/>
              </w:rPr>
              <w:t>)</w:t>
            </w:r>
            <w:r w:rsidRPr="00025F23">
              <w:t>:</w:t>
            </w:r>
          </w:p>
          <w:p w14:paraId="25CA5738" w14:textId="77777777" w:rsidR="00966C08" w:rsidRPr="00025F23" w:rsidRDefault="00221521" w:rsidP="00966C08">
            <w:pPr>
              <w:pStyle w:val="Nivel2"/>
            </w:pPr>
            <w:r w:rsidRPr="00025F23">
              <w:t>Recuperación del crecimiento económico.</w:t>
            </w:r>
          </w:p>
          <w:p w14:paraId="258550FE" w14:textId="77777777" w:rsidR="00221521" w:rsidRPr="00025F23" w:rsidRDefault="00221521" w:rsidP="00966C08">
            <w:pPr>
              <w:pStyle w:val="Nivel2"/>
            </w:pPr>
            <w:r w:rsidRPr="00025F23">
              <w:t>Estabilización de la inflación en niveles menores.</w:t>
            </w:r>
          </w:p>
          <w:p w14:paraId="7818AB6C" w14:textId="77777777" w:rsidR="00221521" w:rsidRPr="00025F23" w:rsidRDefault="00221521" w:rsidP="00966C08">
            <w:pPr>
              <w:pStyle w:val="Nivel2"/>
            </w:pPr>
            <w:r w:rsidRPr="00025F23">
              <w:t>Aumento de reservas.</w:t>
            </w:r>
          </w:p>
          <w:p w14:paraId="33ADB662" w14:textId="77777777" w:rsidR="00221521" w:rsidRPr="00025F23" w:rsidRDefault="00221521" w:rsidP="00966C08">
            <w:pPr>
              <w:pStyle w:val="Nivel2"/>
            </w:pPr>
            <w:r w:rsidRPr="00025F23">
              <w:t>Reducción del déficit público.</w:t>
            </w:r>
          </w:p>
          <w:p w14:paraId="22BA40CC" w14:textId="2521A620" w:rsidR="00221521" w:rsidRPr="00025F23" w:rsidRDefault="00221521" w:rsidP="00966C08">
            <w:pPr>
              <w:pStyle w:val="Nivel2"/>
            </w:pPr>
            <w:r w:rsidRPr="00025F23">
              <w:t>Estabilización progresiva de la senda de deuda pública</w:t>
            </w:r>
          </w:p>
        </w:tc>
      </w:tr>
    </w:tbl>
    <w:p w14:paraId="256B2769" w14:textId="2B6DDE19" w:rsidR="00342648" w:rsidRPr="00025F23" w:rsidRDefault="00342648" w:rsidP="00A01A88">
      <w:pPr>
        <w:pStyle w:val="Introduccinyconclusin"/>
      </w:pPr>
      <w:bookmarkStart w:id="365" w:name="_Toc55381925"/>
      <w:bookmarkStart w:id="366" w:name="_Toc55382060"/>
      <w:bookmarkStart w:id="367" w:name="_Toc55382095"/>
      <w:bookmarkStart w:id="368" w:name="_Toc55382523"/>
      <w:r w:rsidRPr="00025F23">
        <w:t>CONCLUSIÓN</w:t>
      </w:r>
      <w:bookmarkEnd w:id="365"/>
      <w:bookmarkEnd w:id="366"/>
      <w:bookmarkEnd w:id="367"/>
      <w:bookmarkEnd w:id="368"/>
    </w:p>
    <w:p w14:paraId="30EE33E8" w14:textId="0C3D0A79" w:rsidR="00A01A88" w:rsidRPr="00025F23" w:rsidRDefault="00A01A88" w:rsidP="00A01A88">
      <w:r w:rsidRPr="00025F23">
        <w:t xml:space="preserve">Hacer una </w:t>
      </w:r>
      <w:r w:rsidRPr="00025F23">
        <w:rPr>
          <w:b/>
          <w:bCs/>
          <w:u w:val="single"/>
        </w:rPr>
        <w:t>valoración final con una frase adecuada y concisa</w:t>
      </w:r>
      <w:r w:rsidRPr="00025F23">
        <w:t xml:space="preserve"> que resuma la coyuntura económica del país.</w:t>
      </w:r>
    </w:p>
    <w:p w14:paraId="1CC76E5E" w14:textId="0C6CDFCB" w:rsidR="001D7426" w:rsidRPr="00025F23" w:rsidRDefault="001D7426" w:rsidP="001D7426">
      <w:pPr>
        <w:pStyle w:val="Desarrollocoyuntura"/>
      </w:pPr>
      <w:bookmarkStart w:id="369" w:name="_Toc173446406"/>
      <w:r w:rsidRPr="00B2524F">
        <w:t>“En conclusión, la economía se enfrenta en los próximos años a todos estos retos, y c</w:t>
      </w:r>
      <w:r w:rsidR="008A5749" w:rsidRPr="00B2524F">
        <w:t>ó</w:t>
      </w:r>
      <w:r w:rsidRPr="00B2524F">
        <w:t>mo se afronten puede determinar el crecimiento de la economía en los próximos años.</w:t>
      </w:r>
      <w:r w:rsidR="00D0114C" w:rsidRPr="00B2524F">
        <w:t xml:space="preserve"> […].</w:t>
      </w:r>
      <w:r w:rsidRPr="00B2524F">
        <w:t xml:space="preserve"> Asimismo, surge una ventana de oportunidades derivada de los fondos europeos</w:t>
      </w:r>
      <w:r w:rsidR="002E2DCB" w:rsidRPr="00B2524F">
        <w:t>, que proporcionan un marco sobre el que fundamentar una senda de crecimiento sostenible e inclusivo</w:t>
      </w:r>
      <w:r w:rsidRPr="00B2524F">
        <w:t>.”</w:t>
      </w:r>
      <w:bookmarkEnd w:id="369"/>
    </w:p>
    <w:p w14:paraId="34BEDD74" w14:textId="19427579" w:rsidR="00D643E3" w:rsidRPr="00025F23" w:rsidRDefault="007B3D8E" w:rsidP="00D64BA1">
      <w:pPr>
        <w:pStyle w:val="Ttulo4"/>
      </w:pPr>
      <w:r w:rsidRPr="00025F23">
        <w:br w:type="column"/>
      </w:r>
      <w:r w:rsidR="00342648" w:rsidRPr="00025F23">
        <w:t>Bibliografía</w:t>
      </w:r>
    </w:p>
    <w:p w14:paraId="25A15DA1" w14:textId="3C121CE2" w:rsidR="00D643E3" w:rsidRPr="00025F23" w:rsidRDefault="00AA1392" w:rsidP="00F65616">
      <w:pPr>
        <w:spacing w:after="80"/>
        <w:ind w:left="85" w:right="-113" w:hanging="85"/>
        <w:rPr>
          <w:spacing w:val="-5"/>
        </w:rPr>
      </w:pPr>
      <w:r w:rsidRPr="00025F23">
        <w:rPr>
          <w:spacing w:val="-5"/>
        </w:rPr>
        <w:t xml:space="preserve">Guía de dictamen económico [ICEX-CECO] (2007) Ana Lucía Vich </w:t>
      </w:r>
      <w:proofErr w:type="spellStart"/>
      <w:r w:rsidRPr="00025F23">
        <w:rPr>
          <w:spacing w:val="-5"/>
        </w:rPr>
        <w:t>Gadella</w:t>
      </w:r>
      <w:proofErr w:type="spellEnd"/>
      <w:r w:rsidR="00D62638" w:rsidRPr="00025F23">
        <w:rPr>
          <w:spacing w:val="-5"/>
        </w:rPr>
        <w:t>.</w:t>
      </w:r>
    </w:p>
    <w:p w14:paraId="70BC2489" w14:textId="77777777" w:rsidR="007C2EE6" w:rsidRDefault="007C2EE6" w:rsidP="00F65616">
      <w:pPr>
        <w:spacing w:after="80"/>
        <w:ind w:left="85" w:right="-113" w:hanging="85"/>
        <w:rPr>
          <w:spacing w:val="-5"/>
        </w:rPr>
      </w:pPr>
      <w:r>
        <w:rPr>
          <w:spacing w:val="-5"/>
        </w:rPr>
        <w:t>Guía de dictamen económico de Juan Luis Cordero Tarifa.</w:t>
      </w:r>
    </w:p>
    <w:p w14:paraId="5EE55E49" w14:textId="3F99220D" w:rsidR="0080062C" w:rsidRPr="00025F23" w:rsidRDefault="00F36017" w:rsidP="00F65616">
      <w:pPr>
        <w:spacing w:after="80"/>
        <w:ind w:left="85" w:right="-113" w:hanging="85"/>
        <w:rPr>
          <w:spacing w:val="-5"/>
        </w:rPr>
      </w:pPr>
      <w:r w:rsidRPr="00025F23">
        <w:rPr>
          <w:spacing w:val="-5"/>
        </w:rPr>
        <w:t xml:space="preserve">Esquema dictamen económico – Alfonso </w:t>
      </w:r>
      <w:proofErr w:type="spellStart"/>
      <w:r w:rsidRPr="00025F23">
        <w:rPr>
          <w:spacing w:val="-5"/>
        </w:rPr>
        <w:t>Sahuquillo</w:t>
      </w:r>
      <w:proofErr w:type="spellEnd"/>
    </w:p>
    <w:p w14:paraId="72595BA4" w14:textId="7DAE7B03" w:rsidR="00456B24" w:rsidRPr="00025F23" w:rsidRDefault="00456B24" w:rsidP="00456B24">
      <w:pPr>
        <w:spacing w:after="80"/>
        <w:ind w:left="85" w:right="-113" w:hanging="85"/>
        <w:rPr>
          <w:spacing w:val="-5"/>
        </w:rPr>
      </w:pPr>
      <w:r w:rsidRPr="00025F23">
        <w:rPr>
          <w:spacing w:val="-5"/>
        </w:rPr>
        <w:t xml:space="preserve">Diapositivas Alfonso </w:t>
      </w:r>
      <w:proofErr w:type="spellStart"/>
      <w:r w:rsidRPr="00025F23">
        <w:rPr>
          <w:spacing w:val="-5"/>
        </w:rPr>
        <w:t>Sahuquillo</w:t>
      </w:r>
      <w:proofErr w:type="spellEnd"/>
      <w:r w:rsidRPr="00025F23">
        <w:rPr>
          <w:spacing w:val="-5"/>
        </w:rPr>
        <w:t xml:space="preserve"> [Edición </w:t>
      </w:r>
      <w:r w:rsidR="007B091A">
        <w:rPr>
          <w:spacing w:val="-5"/>
        </w:rPr>
        <w:t>mayo</w:t>
      </w:r>
      <w:r w:rsidRPr="00025F23">
        <w:rPr>
          <w:spacing w:val="-5"/>
        </w:rPr>
        <w:t xml:space="preserve"> 202</w:t>
      </w:r>
      <w:r w:rsidR="007B091A">
        <w:rPr>
          <w:spacing w:val="-5"/>
        </w:rPr>
        <w:t>3</w:t>
      </w:r>
      <w:r w:rsidRPr="00025F23">
        <w:rPr>
          <w:spacing w:val="-5"/>
        </w:rPr>
        <w:t>: COVID-19, Guerra de Ucrania e Inflación]</w:t>
      </w:r>
      <w:r w:rsidR="007B091A">
        <w:rPr>
          <w:spacing w:val="-5"/>
        </w:rPr>
        <w:t>.</w:t>
      </w:r>
    </w:p>
    <w:p w14:paraId="13750154" w14:textId="01DC3AE1" w:rsidR="0080062C" w:rsidRPr="00025F23" w:rsidRDefault="0080062C" w:rsidP="00F65616">
      <w:pPr>
        <w:spacing w:after="80"/>
        <w:ind w:left="85" w:right="-113" w:hanging="85"/>
        <w:rPr>
          <w:rStyle w:val="Hipervnculo"/>
          <w:spacing w:val="-5"/>
        </w:rPr>
      </w:pPr>
      <w:r w:rsidRPr="00025F23">
        <w:rPr>
          <w:spacing w:val="-5"/>
        </w:rPr>
        <w:t>Banco de España (</w:t>
      </w:r>
      <w:r w:rsidR="00FB5C19">
        <w:rPr>
          <w:spacing w:val="-5"/>
        </w:rPr>
        <w:t>abril</w:t>
      </w:r>
      <w:r w:rsidRPr="00025F23">
        <w:rPr>
          <w:spacing w:val="-5"/>
        </w:rPr>
        <w:t xml:space="preserve"> de </w:t>
      </w:r>
      <w:r w:rsidR="00FB5C19">
        <w:rPr>
          <w:spacing w:val="-5"/>
        </w:rPr>
        <w:t>2024</w:t>
      </w:r>
      <w:r w:rsidRPr="00025F23">
        <w:rPr>
          <w:spacing w:val="-5"/>
        </w:rPr>
        <w:t xml:space="preserve">). Informe anual </w:t>
      </w:r>
      <w:r w:rsidR="002A2CFB" w:rsidRPr="00025F23">
        <w:rPr>
          <w:spacing w:val="-5"/>
        </w:rPr>
        <w:t>de 2020</w:t>
      </w:r>
      <w:r w:rsidRPr="00025F23">
        <w:rPr>
          <w:spacing w:val="-5"/>
        </w:rPr>
        <w:t xml:space="preserve">. </w:t>
      </w:r>
      <w:hyperlink r:id="rId49" w:history="1">
        <w:r w:rsidR="00FB5C19" w:rsidRPr="0069200B">
          <w:rPr>
            <w:rStyle w:val="Hipervnculo"/>
          </w:rPr>
          <w:t>https://www.bde.es/wbe/es/publicaciones/informes-memorias-anuales/informe-anual/informe-anual-2023.html</w:t>
        </w:r>
      </w:hyperlink>
    </w:p>
    <w:p w14:paraId="6A6CEC49" w14:textId="039E38AB" w:rsidR="00DE04D1" w:rsidRPr="00025F23" w:rsidRDefault="00DE04D1" w:rsidP="00F65616">
      <w:pPr>
        <w:spacing w:after="80"/>
        <w:ind w:left="85" w:right="-113" w:hanging="85"/>
        <w:rPr>
          <w:spacing w:val="-5"/>
        </w:rPr>
      </w:pPr>
      <w:r w:rsidRPr="00025F23">
        <w:rPr>
          <w:spacing w:val="-5"/>
        </w:rPr>
        <w:t>A</w:t>
      </w:r>
      <w:r w:rsidR="00ED3D82" w:rsidRPr="00025F23">
        <w:rPr>
          <w:spacing w:val="-5"/>
        </w:rPr>
        <w:t>nalistas Financieros Internacionales (</w:t>
      </w:r>
      <w:proofErr w:type="spellStart"/>
      <w:r w:rsidR="00ED3D82" w:rsidRPr="00025F23">
        <w:rPr>
          <w:spacing w:val="-5"/>
        </w:rPr>
        <w:t>A</w:t>
      </w:r>
      <w:r w:rsidRPr="00025F23">
        <w:rPr>
          <w:spacing w:val="-5"/>
        </w:rPr>
        <w:t>fi</w:t>
      </w:r>
      <w:proofErr w:type="spellEnd"/>
      <w:r w:rsidR="00ED3D82" w:rsidRPr="00025F23">
        <w:rPr>
          <w:spacing w:val="-5"/>
        </w:rPr>
        <w:t>)</w:t>
      </w:r>
      <w:r w:rsidRPr="00025F23">
        <w:rPr>
          <w:spacing w:val="-5"/>
        </w:rPr>
        <w:t xml:space="preserve"> (2</w:t>
      </w:r>
      <w:r w:rsidR="005B7486" w:rsidRPr="00025F23">
        <w:rPr>
          <w:spacing w:val="-5"/>
        </w:rPr>
        <w:t>3</w:t>
      </w:r>
      <w:r w:rsidRPr="00025F23">
        <w:rPr>
          <w:spacing w:val="-5"/>
        </w:rPr>
        <w:t xml:space="preserve"> de junio de 2022). Jornada Análisis Económico y de Mercados. </w:t>
      </w:r>
      <w:hyperlink r:id="rId50" w:history="1">
        <w:r w:rsidRPr="00025F23">
          <w:rPr>
            <w:rStyle w:val="Hipervnculo"/>
            <w:spacing w:val="-5"/>
          </w:rPr>
          <w:t>https://youtu.be/gJoQz2CiHBI</w:t>
        </w:r>
      </w:hyperlink>
    </w:p>
    <w:p w14:paraId="5DB1248C" w14:textId="1778184F" w:rsidR="001A56F7" w:rsidRDefault="002A2CFB" w:rsidP="00F65616">
      <w:pPr>
        <w:spacing w:after="80"/>
        <w:ind w:left="85" w:right="-113" w:hanging="85"/>
      </w:pPr>
      <w:r w:rsidRPr="00EE58E7">
        <w:rPr>
          <w:spacing w:val="-5"/>
        </w:rPr>
        <w:t xml:space="preserve">International </w:t>
      </w:r>
      <w:proofErr w:type="spellStart"/>
      <w:r w:rsidRPr="00EE58E7">
        <w:rPr>
          <w:spacing w:val="-5"/>
        </w:rPr>
        <w:t>Monetary</w:t>
      </w:r>
      <w:proofErr w:type="spellEnd"/>
      <w:r w:rsidRPr="00EE58E7">
        <w:rPr>
          <w:spacing w:val="-5"/>
        </w:rPr>
        <w:t xml:space="preserve"> </w:t>
      </w:r>
      <w:proofErr w:type="spellStart"/>
      <w:r w:rsidRPr="00EE58E7">
        <w:rPr>
          <w:spacing w:val="-5"/>
        </w:rPr>
        <w:t>Fund</w:t>
      </w:r>
      <w:proofErr w:type="spellEnd"/>
      <w:r w:rsidRPr="00EE58E7">
        <w:rPr>
          <w:spacing w:val="-5"/>
        </w:rPr>
        <w:t xml:space="preserve"> (April 202</w:t>
      </w:r>
      <w:r w:rsidR="00587380" w:rsidRPr="00EE58E7">
        <w:rPr>
          <w:spacing w:val="-5"/>
        </w:rPr>
        <w:t>3</w:t>
      </w:r>
      <w:r w:rsidRPr="00EE58E7">
        <w:rPr>
          <w:spacing w:val="-5"/>
        </w:rPr>
        <w:t xml:space="preserve">). </w:t>
      </w:r>
      <w:r w:rsidRPr="00025F23">
        <w:rPr>
          <w:i/>
          <w:iCs/>
          <w:spacing w:val="-5"/>
          <w:lang w:val="en-US"/>
        </w:rPr>
        <w:t>World Economic Outlook</w:t>
      </w:r>
      <w:r w:rsidRPr="00025F23">
        <w:rPr>
          <w:spacing w:val="-5"/>
          <w:lang w:val="en-US"/>
        </w:rPr>
        <w:t xml:space="preserve">. </w:t>
      </w:r>
      <w:hyperlink r:id="rId51" w:history="1">
        <w:r w:rsidR="001A56F7" w:rsidRPr="00025F23">
          <w:rPr>
            <w:rStyle w:val="Hipervnculo"/>
            <w:spacing w:val="-5"/>
            <w:lang w:val="en-US"/>
          </w:rPr>
          <w:t>https://www.imf.org/en/Publications/WEO</w:t>
        </w:r>
      </w:hyperlink>
    </w:p>
    <w:p w14:paraId="78673352" w14:textId="2F212D31" w:rsidR="00046198" w:rsidRPr="00FB5C19" w:rsidRDefault="00046198" w:rsidP="00F65616">
      <w:pPr>
        <w:spacing w:after="80"/>
        <w:ind w:left="85" w:right="-113" w:hanging="85"/>
        <w:rPr>
          <w:rStyle w:val="Hipervnculo"/>
          <w:lang w:val="en-US"/>
        </w:rPr>
      </w:pPr>
      <w:r w:rsidRPr="00FB5C19">
        <w:rPr>
          <w:lang w:val="en-US"/>
        </w:rPr>
        <w:t>International Monetary Fund (</w:t>
      </w:r>
      <w:r w:rsidR="00FB5C19" w:rsidRPr="00FB5C19">
        <w:rPr>
          <w:lang w:val="en-US"/>
        </w:rPr>
        <w:t xml:space="preserve">June </w:t>
      </w:r>
      <w:r w:rsidRPr="00FB5C19">
        <w:rPr>
          <w:lang w:val="en-US"/>
        </w:rPr>
        <w:t>2024</w:t>
      </w:r>
      <w:r w:rsidRPr="00FB5C19">
        <w:rPr>
          <w:lang w:val="en-US"/>
        </w:rPr>
        <w:t>).</w:t>
      </w:r>
      <w:r w:rsidR="00FB5C19" w:rsidRPr="00FB5C19">
        <w:rPr>
          <w:lang w:val="en-US"/>
        </w:rPr>
        <w:t xml:space="preserve"> </w:t>
      </w:r>
      <w:r w:rsidR="00FB5C19" w:rsidRPr="00FB5C19">
        <w:rPr>
          <w:i/>
          <w:iCs/>
          <w:lang w:val="en-US"/>
        </w:rPr>
        <w:t>Spain: 2024 Article IV Consultation-Press Release; and Staff Report</w:t>
      </w:r>
      <w:r w:rsidRPr="00FB5C19">
        <w:rPr>
          <w:lang w:val="en-US"/>
        </w:rPr>
        <w:t>.</w:t>
      </w:r>
      <w:r w:rsidRPr="00FB5C19">
        <w:rPr>
          <w:lang w:val="en-US"/>
        </w:rPr>
        <w:t xml:space="preserve"> </w:t>
      </w:r>
      <w:r w:rsidRPr="00FB5C19">
        <w:rPr>
          <w:rStyle w:val="Hipervnculo"/>
          <w:lang w:val="en-US"/>
        </w:rPr>
        <w:t>https://www.imf.org/en/Publications/CR/Issues/2024/06/06/Spain-2024-Article-IV-Consultation-Press-Release-and-Staff-Report-549921</w:t>
      </w:r>
    </w:p>
    <w:p w14:paraId="3DF604D4" w14:textId="4076EFC4" w:rsidR="00DF3A91" w:rsidRPr="00C166AD" w:rsidRDefault="00DF3A91" w:rsidP="00F65616">
      <w:pPr>
        <w:spacing w:after="80"/>
        <w:ind w:left="85" w:right="-113" w:hanging="85"/>
        <w:rPr>
          <w:spacing w:val="-5"/>
        </w:rPr>
      </w:pPr>
      <w:r w:rsidRPr="00DF3A91">
        <w:rPr>
          <w:spacing w:val="-5"/>
          <w:lang w:val="en-US"/>
        </w:rPr>
        <w:t>European Central Bank (202</w:t>
      </w:r>
      <w:r w:rsidR="00046198">
        <w:rPr>
          <w:spacing w:val="-5"/>
          <w:lang w:val="en-US"/>
        </w:rPr>
        <w:t>4</w:t>
      </w:r>
      <w:r w:rsidRPr="00DF3A91">
        <w:rPr>
          <w:spacing w:val="-5"/>
          <w:lang w:val="en-US"/>
        </w:rPr>
        <w:t xml:space="preserve">). </w:t>
      </w:r>
      <w:r w:rsidRPr="00EE58E7">
        <w:rPr>
          <w:i/>
          <w:iCs/>
          <w:spacing w:val="-5"/>
          <w:lang w:val="en-US"/>
        </w:rPr>
        <w:t xml:space="preserve">Informe </w:t>
      </w:r>
      <w:proofErr w:type="spellStart"/>
      <w:r w:rsidRPr="00EE58E7">
        <w:rPr>
          <w:i/>
          <w:iCs/>
          <w:spacing w:val="-5"/>
          <w:lang w:val="en-US"/>
        </w:rPr>
        <w:t>Anual</w:t>
      </w:r>
      <w:proofErr w:type="spellEnd"/>
      <w:r w:rsidRPr="00EE58E7">
        <w:rPr>
          <w:i/>
          <w:iCs/>
          <w:spacing w:val="-5"/>
          <w:lang w:val="en-US"/>
        </w:rPr>
        <w:t xml:space="preserve"> 202</w:t>
      </w:r>
      <w:r w:rsidR="00046198">
        <w:rPr>
          <w:i/>
          <w:iCs/>
          <w:spacing w:val="-5"/>
          <w:lang w:val="en-US"/>
        </w:rPr>
        <w:t>3</w:t>
      </w:r>
      <w:r w:rsidRPr="00EE58E7">
        <w:rPr>
          <w:spacing w:val="-5"/>
          <w:lang w:val="en-US"/>
        </w:rPr>
        <w:t xml:space="preserve">. </w:t>
      </w:r>
      <w:hyperlink r:id="rId52" w:history="1">
        <w:r w:rsidR="00FB5C19" w:rsidRPr="00FB5C19">
          <w:rPr>
            <w:rStyle w:val="Hipervnculo"/>
          </w:rPr>
          <w:t>https://www.ecb.europa.eu/press/annual-reports-financial-statements/annual/html/ecb.ar2023~d033c21ac2.es.html</w:t>
        </w:r>
      </w:hyperlink>
    </w:p>
    <w:p w14:paraId="06684404" w14:textId="6906008D" w:rsidR="00DE04D1" w:rsidRPr="00025F23" w:rsidRDefault="00CC7B80" w:rsidP="00DE04D1">
      <w:pPr>
        <w:spacing w:after="80"/>
        <w:ind w:left="85" w:right="-113" w:hanging="85"/>
        <w:rPr>
          <w:rStyle w:val="Hipervnculo"/>
          <w:color w:val="auto"/>
          <w:spacing w:val="-5"/>
          <w:u w:val="none"/>
        </w:rPr>
      </w:pPr>
      <w:r w:rsidRPr="00025F23">
        <w:rPr>
          <w:spacing w:val="-6"/>
          <w:lang w:val="en-US"/>
        </w:rPr>
        <w:t>Interna</w:t>
      </w:r>
      <w:r w:rsidR="00AE3F83" w:rsidRPr="00025F23">
        <w:rPr>
          <w:spacing w:val="-6"/>
          <w:lang w:val="en-US"/>
        </w:rPr>
        <w:t>t</w:t>
      </w:r>
      <w:r w:rsidRPr="00025F23">
        <w:rPr>
          <w:spacing w:val="-6"/>
          <w:lang w:val="en-US"/>
        </w:rPr>
        <w:t>ional</w:t>
      </w:r>
      <w:r w:rsidR="00AE3F83" w:rsidRPr="00025F23">
        <w:rPr>
          <w:spacing w:val="-6"/>
          <w:lang w:val="en-US"/>
        </w:rPr>
        <w:t xml:space="preserve"> Monetary Fund</w:t>
      </w:r>
      <w:r w:rsidR="00AE3F83" w:rsidRPr="00025F23">
        <w:rPr>
          <w:spacing w:val="-5"/>
          <w:lang w:val="en-US"/>
        </w:rPr>
        <w:t xml:space="preserve"> (20</w:t>
      </w:r>
      <w:r w:rsidR="00D62638" w:rsidRPr="00025F23">
        <w:rPr>
          <w:spacing w:val="-5"/>
          <w:lang w:val="en-US"/>
        </w:rPr>
        <w:t>13).</w:t>
      </w:r>
      <w:r w:rsidRPr="00025F23">
        <w:rPr>
          <w:spacing w:val="-5"/>
          <w:lang w:val="en-US"/>
        </w:rPr>
        <w:t xml:space="preserve"> Analytical and methodological background for a country case study</w:t>
      </w:r>
      <w:r w:rsidR="0036468C" w:rsidRPr="00025F23">
        <w:rPr>
          <w:rStyle w:val="Hipervnculo"/>
          <w:color w:val="auto"/>
          <w:spacing w:val="-5"/>
          <w:u w:val="none"/>
          <w:lang w:val="en-US"/>
        </w:rPr>
        <w:t xml:space="preserve">. </w:t>
      </w:r>
      <w:r w:rsidR="00D62638" w:rsidRPr="00025F23">
        <w:rPr>
          <w:rStyle w:val="Hipervnculo"/>
          <w:i/>
          <w:iCs/>
          <w:color w:val="auto"/>
          <w:spacing w:val="-5"/>
          <w:u w:val="none"/>
        </w:rPr>
        <w:t xml:space="preserve">IMF </w:t>
      </w:r>
      <w:proofErr w:type="spellStart"/>
      <w:r w:rsidR="00D62638" w:rsidRPr="00025F23">
        <w:rPr>
          <w:rStyle w:val="Hipervnculo"/>
          <w:i/>
          <w:iCs/>
          <w:color w:val="auto"/>
          <w:spacing w:val="-5"/>
          <w:u w:val="none"/>
        </w:rPr>
        <w:t>Institute</w:t>
      </w:r>
      <w:proofErr w:type="spellEnd"/>
      <w:r w:rsidR="00D62638" w:rsidRPr="00025F23">
        <w:rPr>
          <w:rStyle w:val="Hipervnculo"/>
          <w:i/>
          <w:iCs/>
          <w:color w:val="auto"/>
          <w:spacing w:val="-5"/>
          <w:u w:val="none"/>
        </w:rPr>
        <w:t xml:space="preserve"> </w:t>
      </w:r>
      <w:proofErr w:type="spellStart"/>
      <w:r w:rsidR="00D62638" w:rsidRPr="00025F23">
        <w:rPr>
          <w:rStyle w:val="Hipervnculo"/>
          <w:i/>
          <w:iCs/>
          <w:color w:val="auto"/>
          <w:spacing w:val="-5"/>
          <w:u w:val="none"/>
        </w:rPr>
        <w:t>for</w:t>
      </w:r>
      <w:proofErr w:type="spellEnd"/>
      <w:r w:rsidR="00D62638" w:rsidRPr="00025F23">
        <w:rPr>
          <w:rStyle w:val="Hipervnculo"/>
          <w:i/>
          <w:iCs/>
          <w:color w:val="auto"/>
          <w:spacing w:val="-5"/>
          <w:u w:val="none"/>
        </w:rPr>
        <w:t xml:space="preserve"> </w:t>
      </w:r>
      <w:proofErr w:type="spellStart"/>
      <w:r w:rsidR="00D62638" w:rsidRPr="00025F23">
        <w:rPr>
          <w:rStyle w:val="Hipervnculo"/>
          <w:i/>
          <w:iCs/>
          <w:color w:val="auto"/>
          <w:spacing w:val="-5"/>
          <w:u w:val="none"/>
        </w:rPr>
        <w:t>Capacity</w:t>
      </w:r>
      <w:proofErr w:type="spellEnd"/>
      <w:r w:rsidR="00D62638" w:rsidRPr="00025F23">
        <w:rPr>
          <w:rStyle w:val="Hipervnculo"/>
          <w:i/>
          <w:iCs/>
          <w:color w:val="auto"/>
          <w:spacing w:val="-5"/>
          <w:u w:val="none"/>
        </w:rPr>
        <w:t xml:space="preserve"> </w:t>
      </w:r>
      <w:proofErr w:type="spellStart"/>
      <w:r w:rsidR="00D62638" w:rsidRPr="00025F23">
        <w:rPr>
          <w:rStyle w:val="Hipervnculo"/>
          <w:i/>
          <w:iCs/>
          <w:color w:val="auto"/>
          <w:spacing w:val="-5"/>
          <w:u w:val="none"/>
        </w:rPr>
        <w:t>Development</w:t>
      </w:r>
      <w:proofErr w:type="spellEnd"/>
      <w:r w:rsidR="00D62638" w:rsidRPr="00025F23">
        <w:rPr>
          <w:rStyle w:val="Hipervnculo"/>
          <w:color w:val="auto"/>
          <w:spacing w:val="-5"/>
          <w:u w:val="none"/>
        </w:rPr>
        <w:t>.</w:t>
      </w:r>
    </w:p>
    <w:p w14:paraId="520B9758" w14:textId="391AF01E" w:rsidR="00A30187" w:rsidRPr="00025F23" w:rsidRDefault="00A30187" w:rsidP="00F65616">
      <w:pPr>
        <w:spacing w:after="80"/>
        <w:ind w:left="113" w:right="-85" w:hanging="113"/>
        <w:rPr>
          <w:spacing w:val="-5"/>
          <w:lang w:val="en-US"/>
        </w:rPr>
      </w:pPr>
      <w:r w:rsidRPr="00025F23">
        <w:rPr>
          <w:spacing w:val="-5"/>
        </w:rPr>
        <w:t xml:space="preserve">Cuadrado Roura, J. R., Mancha Navarro, T., Villena Peña, J. E., Casares </w:t>
      </w:r>
      <w:proofErr w:type="spellStart"/>
      <w:r w:rsidRPr="00025F23">
        <w:rPr>
          <w:spacing w:val="-5"/>
        </w:rPr>
        <w:t>Ripol</w:t>
      </w:r>
      <w:proofErr w:type="spellEnd"/>
      <w:r w:rsidRPr="00025F23">
        <w:rPr>
          <w:spacing w:val="-5"/>
        </w:rPr>
        <w:t xml:space="preserve">, J., González Moreno, M., Marín Quemada, J. M. &amp; Peinado Gracia, M. L. (2015). </w:t>
      </w:r>
      <w:r w:rsidRPr="00025F23">
        <w:rPr>
          <w:i/>
          <w:iCs/>
          <w:spacing w:val="-5"/>
          <w:lang w:val="en-US"/>
        </w:rPr>
        <w:t xml:space="preserve">Política </w:t>
      </w:r>
      <w:proofErr w:type="spellStart"/>
      <w:r w:rsidRPr="00025F23">
        <w:rPr>
          <w:i/>
          <w:iCs/>
          <w:spacing w:val="-5"/>
          <w:lang w:val="en-US"/>
        </w:rPr>
        <w:t>económica</w:t>
      </w:r>
      <w:proofErr w:type="spellEnd"/>
      <w:r w:rsidRPr="00025F23">
        <w:rPr>
          <w:i/>
          <w:iCs/>
          <w:spacing w:val="-5"/>
          <w:lang w:val="en-US"/>
        </w:rPr>
        <w:t xml:space="preserve">: </w:t>
      </w:r>
      <w:proofErr w:type="spellStart"/>
      <w:r w:rsidRPr="00025F23">
        <w:rPr>
          <w:i/>
          <w:iCs/>
          <w:spacing w:val="-5"/>
          <w:lang w:val="en-US"/>
        </w:rPr>
        <w:t>Elaboración</w:t>
      </w:r>
      <w:proofErr w:type="spellEnd"/>
      <w:r w:rsidRPr="00025F23">
        <w:rPr>
          <w:i/>
          <w:iCs/>
          <w:spacing w:val="-5"/>
          <w:lang w:val="en-US"/>
        </w:rPr>
        <w:t xml:space="preserve">, </w:t>
      </w:r>
      <w:proofErr w:type="spellStart"/>
      <w:r w:rsidRPr="00025F23">
        <w:rPr>
          <w:i/>
          <w:iCs/>
          <w:spacing w:val="-5"/>
          <w:lang w:val="en-US"/>
        </w:rPr>
        <w:t>objetivos</w:t>
      </w:r>
      <w:proofErr w:type="spellEnd"/>
      <w:r w:rsidRPr="00025F23">
        <w:rPr>
          <w:i/>
          <w:iCs/>
          <w:spacing w:val="-5"/>
          <w:lang w:val="en-US"/>
        </w:rPr>
        <w:t xml:space="preserve"> e </w:t>
      </w:r>
      <w:proofErr w:type="spellStart"/>
      <w:r w:rsidRPr="00025F23">
        <w:rPr>
          <w:i/>
          <w:iCs/>
          <w:spacing w:val="-5"/>
          <w:lang w:val="en-US"/>
        </w:rPr>
        <w:t>instrumentos</w:t>
      </w:r>
      <w:proofErr w:type="spellEnd"/>
      <w:r w:rsidRPr="00025F23">
        <w:rPr>
          <w:spacing w:val="-5"/>
          <w:lang w:val="en-US"/>
        </w:rPr>
        <w:t>.</w:t>
      </w:r>
    </w:p>
    <w:p w14:paraId="2910C81C" w14:textId="5292F316" w:rsidR="005B36F1" w:rsidRPr="00025F23" w:rsidRDefault="00951CBC" w:rsidP="001A56F7">
      <w:pPr>
        <w:spacing w:after="0"/>
        <w:ind w:left="113" w:right="-85" w:hanging="113"/>
        <w:rPr>
          <w:spacing w:val="-5"/>
        </w:rPr>
      </w:pPr>
      <w:r w:rsidRPr="00025F23">
        <w:rPr>
          <w:spacing w:val="-6"/>
          <w:lang w:val="en-US"/>
        </w:rPr>
        <w:t>International Monetary Fund</w:t>
      </w:r>
      <w:r w:rsidRPr="00025F23">
        <w:rPr>
          <w:spacing w:val="-5"/>
          <w:lang w:val="en-US"/>
        </w:rPr>
        <w:t xml:space="preserve"> (</w:t>
      </w:r>
      <w:r w:rsidR="0080062C" w:rsidRPr="00025F23">
        <w:rPr>
          <w:spacing w:val="-5"/>
          <w:lang w:val="en-US"/>
        </w:rPr>
        <w:t>2022</w:t>
      </w:r>
      <w:r w:rsidRPr="00025F23">
        <w:rPr>
          <w:spacing w:val="-5"/>
          <w:lang w:val="en-US"/>
        </w:rPr>
        <w:t xml:space="preserve">). </w:t>
      </w:r>
      <w:r w:rsidRPr="00025F23">
        <w:rPr>
          <w:i/>
          <w:iCs/>
          <w:spacing w:val="-5"/>
          <w:lang w:val="en-US"/>
        </w:rPr>
        <w:t>Financial Programming and Policies, Part 1: Macroeconomic Accounts &amp; Analysis</w:t>
      </w:r>
      <w:r w:rsidRPr="00025F23">
        <w:rPr>
          <w:spacing w:val="-5"/>
          <w:lang w:val="en-US"/>
        </w:rPr>
        <w:t xml:space="preserve">. A course on the macroeconomic accounts, their interrelationships, and the analysis of economic developments. edX. </w:t>
      </w:r>
      <w:hyperlink r:id="rId53" w:history="1">
        <w:r w:rsidRPr="00025F23">
          <w:rPr>
            <w:rStyle w:val="Hipervnculo"/>
            <w:spacing w:val="-5"/>
          </w:rPr>
          <w:t>https://www.edx.org/es/course/financial-programming-and-policies-part-1-macroeco</w:t>
        </w:r>
      </w:hyperlink>
    </w:p>
    <w:p w14:paraId="0AD0D0F6" w14:textId="768C2AD2" w:rsidR="005B36F1" w:rsidRPr="00025F23" w:rsidRDefault="005B36F1" w:rsidP="00F65616">
      <w:pPr>
        <w:spacing w:after="80"/>
        <w:ind w:left="113" w:right="-85"/>
        <w:rPr>
          <w:spacing w:val="-5"/>
        </w:rPr>
      </w:pPr>
      <w:r w:rsidRPr="00025F23">
        <w:rPr>
          <w:spacing w:val="-5"/>
        </w:rPr>
        <w:t xml:space="preserve">El mismo curso en español: </w:t>
      </w:r>
      <w:hyperlink r:id="rId54" w:history="1">
        <w:r w:rsidR="0080062C" w:rsidRPr="00025F23">
          <w:rPr>
            <w:rStyle w:val="Hipervnculo"/>
            <w:spacing w:val="-5"/>
          </w:rPr>
          <w:t>https://www.edx.org/es/course/programacion-y-politicas-financieras-parte-1-cue-2?index=spanish_product&amp;queryID=f2030 3e0020840b3a6e98cc7fbb05deb&amp;position=1</w:t>
        </w:r>
      </w:hyperlink>
    </w:p>
    <w:p w14:paraId="37F8291F" w14:textId="7F983646" w:rsidR="007E0D8B" w:rsidRPr="00025F23" w:rsidRDefault="007E0D8B" w:rsidP="007E0D8B">
      <w:pPr>
        <w:pStyle w:val="Ttulo4"/>
      </w:pPr>
      <w:r w:rsidRPr="00025F23">
        <w:t>Temas relevantes</w:t>
      </w:r>
    </w:p>
    <w:p w14:paraId="0D672A2C" w14:textId="6212FA13" w:rsidR="00F118DF" w:rsidRPr="00025F23" w:rsidRDefault="00F118DF" w:rsidP="00F118DF">
      <w:r w:rsidRPr="00025F23">
        <w:t xml:space="preserve">Son relevantes todos los temas que tratan </w:t>
      </w:r>
      <w:r w:rsidRPr="00025F23">
        <w:rPr>
          <w:i/>
          <w:iCs/>
        </w:rPr>
        <w:t>macroeconomía</w:t>
      </w:r>
      <w:r w:rsidR="001A56F7" w:rsidRPr="00025F23">
        <w:t xml:space="preserve">  [y para entender bien la macroeconomía es relevante entender su </w:t>
      </w:r>
      <w:proofErr w:type="spellStart"/>
      <w:r w:rsidR="001A56F7" w:rsidRPr="00025F23">
        <w:t>microfundamentación</w:t>
      </w:r>
      <w:proofErr w:type="spellEnd"/>
      <w:r w:rsidR="001A56F7" w:rsidRPr="00025F23">
        <w:t>]</w:t>
      </w:r>
      <w:r w:rsidRPr="00025F23">
        <w:t>. Por orden de relevancia, estos serían algunos de los más importantes</w:t>
      </w:r>
      <w:r w:rsidR="00AF41EA" w:rsidRPr="00025F23">
        <w:t xml:space="preserve">– </w:t>
      </w:r>
      <w:r w:rsidR="007B4958" w:rsidRPr="00025F23">
        <w:t xml:space="preserve">todavía no están ordenados </w:t>
      </w:r>
      <w:r w:rsidR="00CA6553" w:rsidRPr="00025F23">
        <w:t>(añadir enlaces)</w:t>
      </w:r>
      <w:r w:rsidRPr="00025F23">
        <w:t>:</w:t>
      </w:r>
    </w:p>
    <w:p w14:paraId="7B346F2A" w14:textId="5DEED940" w:rsidR="007E0D8B" w:rsidRPr="00025F23" w:rsidRDefault="007E0D8B" w:rsidP="00D643E3">
      <w:pPr>
        <w:rPr>
          <w:spacing w:val="-4"/>
        </w:rPr>
      </w:pPr>
      <w:r w:rsidRPr="00025F23">
        <w:rPr>
          <w:i/>
          <w:iCs/>
          <w:spacing w:val="-4"/>
        </w:rPr>
        <w:t>Tema 3.A.</w:t>
      </w:r>
      <w:r w:rsidR="007C2EE6">
        <w:rPr>
          <w:i/>
          <w:iCs/>
          <w:spacing w:val="-4"/>
        </w:rPr>
        <w:t>30</w:t>
      </w:r>
      <w:r w:rsidRPr="00025F23">
        <w:rPr>
          <w:spacing w:val="-4"/>
        </w:rPr>
        <w:t xml:space="preserve"> – </w:t>
      </w:r>
      <w:r w:rsidR="00F118DF" w:rsidRPr="00025F23">
        <w:rPr>
          <w:spacing w:val="-4"/>
        </w:rPr>
        <w:t>Contabilidad nacional</w:t>
      </w:r>
    </w:p>
    <w:p w14:paraId="4FEB2FED" w14:textId="44C071C5" w:rsidR="007E0D8B" w:rsidRPr="00025F23" w:rsidRDefault="007E0D8B" w:rsidP="00D643E3">
      <w:pPr>
        <w:rPr>
          <w:spacing w:val="-4"/>
        </w:rPr>
      </w:pPr>
      <w:r w:rsidRPr="00025F23">
        <w:rPr>
          <w:i/>
          <w:iCs/>
          <w:spacing w:val="-4"/>
        </w:rPr>
        <w:t>Tema 3.B.1</w:t>
      </w:r>
      <w:r w:rsidR="007C2EE6">
        <w:rPr>
          <w:i/>
          <w:iCs/>
          <w:spacing w:val="-4"/>
        </w:rPr>
        <w:t>1</w:t>
      </w:r>
      <w:r w:rsidRPr="00025F23">
        <w:rPr>
          <w:spacing w:val="-4"/>
        </w:rPr>
        <w:t xml:space="preserve"> – </w:t>
      </w:r>
      <w:r w:rsidR="00F118DF" w:rsidRPr="00025F23">
        <w:rPr>
          <w:spacing w:val="-4"/>
        </w:rPr>
        <w:t>Balanza de pagos</w:t>
      </w:r>
    </w:p>
    <w:p w14:paraId="0FC8BA07" w14:textId="48B5D804" w:rsidR="007B4958" w:rsidRDefault="007B4958" w:rsidP="007B4958">
      <w:pPr>
        <w:rPr>
          <w:spacing w:val="-4"/>
        </w:rPr>
      </w:pPr>
      <w:r w:rsidRPr="00025F23">
        <w:rPr>
          <w:i/>
          <w:iCs/>
          <w:spacing w:val="-4"/>
        </w:rPr>
        <w:t>Tema 3.B.1</w:t>
      </w:r>
      <w:r w:rsidR="007C2EE6">
        <w:rPr>
          <w:i/>
          <w:iCs/>
          <w:spacing w:val="-4"/>
        </w:rPr>
        <w:t>2</w:t>
      </w:r>
      <w:r w:rsidRPr="00025F23">
        <w:rPr>
          <w:spacing w:val="-4"/>
        </w:rPr>
        <w:t xml:space="preserve"> – </w:t>
      </w:r>
      <w:r w:rsidR="00EE58E7">
        <w:rPr>
          <w:spacing w:val="-4"/>
        </w:rPr>
        <w:t>Mecanismos de ajuste de b</w:t>
      </w:r>
      <w:r w:rsidRPr="00025F23">
        <w:rPr>
          <w:spacing w:val="-4"/>
        </w:rPr>
        <w:t>alanza de pagos</w:t>
      </w:r>
    </w:p>
    <w:p w14:paraId="6C76B77C" w14:textId="02B506B9" w:rsidR="00EE58E7" w:rsidRPr="00025F23" w:rsidRDefault="00EE58E7" w:rsidP="007B4958">
      <w:pPr>
        <w:rPr>
          <w:spacing w:val="-4"/>
        </w:rPr>
      </w:pPr>
      <w:r w:rsidRPr="00025F23">
        <w:rPr>
          <w:i/>
          <w:iCs/>
          <w:spacing w:val="-4"/>
        </w:rPr>
        <w:t>Tema 3.B.1</w:t>
      </w:r>
      <w:r>
        <w:rPr>
          <w:i/>
          <w:iCs/>
          <w:spacing w:val="-4"/>
        </w:rPr>
        <w:t>4</w:t>
      </w:r>
      <w:r w:rsidRPr="00025F23">
        <w:rPr>
          <w:spacing w:val="-4"/>
        </w:rPr>
        <w:t xml:space="preserve"> – </w:t>
      </w:r>
      <w:r>
        <w:rPr>
          <w:spacing w:val="-4"/>
        </w:rPr>
        <w:t>Determinación del tipo de cambio</w:t>
      </w:r>
    </w:p>
    <w:p w14:paraId="4D90D8F8" w14:textId="2B41421D" w:rsidR="00564B0D" w:rsidRPr="00025F23" w:rsidRDefault="00564B0D" w:rsidP="00564B0D">
      <w:pPr>
        <w:rPr>
          <w:spacing w:val="-4"/>
        </w:rPr>
      </w:pPr>
      <w:r w:rsidRPr="00025F23">
        <w:rPr>
          <w:i/>
          <w:iCs/>
          <w:spacing w:val="-4"/>
        </w:rPr>
        <w:t>Tema 3.B.1</w:t>
      </w:r>
      <w:r w:rsidR="007C2EE6">
        <w:rPr>
          <w:i/>
          <w:iCs/>
          <w:spacing w:val="-4"/>
        </w:rPr>
        <w:t>5</w:t>
      </w:r>
      <w:r w:rsidRPr="00025F23">
        <w:rPr>
          <w:spacing w:val="-4"/>
        </w:rPr>
        <w:t xml:space="preserve"> – Regímenes cambiarios e intervención y regulación </w:t>
      </w:r>
    </w:p>
    <w:p w14:paraId="37979737" w14:textId="5B9B6023" w:rsidR="00564B0D" w:rsidRDefault="00564B0D" w:rsidP="00D643E3">
      <w:pPr>
        <w:rPr>
          <w:spacing w:val="-4"/>
        </w:rPr>
      </w:pPr>
      <w:r w:rsidRPr="00025F23">
        <w:rPr>
          <w:i/>
          <w:iCs/>
          <w:spacing w:val="-4"/>
        </w:rPr>
        <w:t>Tema 3.B.1</w:t>
      </w:r>
      <w:r w:rsidR="007C2EE6">
        <w:rPr>
          <w:i/>
          <w:iCs/>
          <w:spacing w:val="-4"/>
        </w:rPr>
        <w:t>7</w:t>
      </w:r>
      <w:r w:rsidRPr="00025F23">
        <w:rPr>
          <w:spacing w:val="-4"/>
        </w:rPr>
        <w:t xml:space="preserve"> – Crisis monetarias y financieras internacionales</w:t>
      </w:r>
    </w:p>
    <w:p w14:paraId="5FA802F7" w14:textId="4B86B7B7" w:rsidR="005275D8" w:rsidRPr="00025F23" w:rsidRDefault="005275D8" w:rsidP="00D643E3">
      <w:pPr>
        <w:rPr>
          <w:spacing w:val="-4"/>
        </w:rPr>
      </w:pPr>
      <w:r w:rsidRPr="00025F23">
        <w:rPr>
          <w:i/>
          <w:iCs/>
          <w:spacing w:val="-4"/>
        </w:rPr>
        <w:t>Tema 3.B.</w:t>
      </w:r>
      <w:r>
        <w:rPr>
          <w:i/>
          <w:iCs/>
          <w:spacing w:val="-4"/>
        </w:rPr>
        <w:t>29</w:t>
      </w:r>
      <w:r w:rsidRPr="00025F23">
        <w:rPr>
          <w:spacing w:val="-4"/>
        </w:rPr>
        <w:t xml:space="preserve"> – Financiación del desarrollo y problema de deuda externa</w:t>
      </w:r>
    </w:p>
    <w:p w14:paraId="0A369D88" w14:textId="1E157DB2" w:rsidR="007E0D8B" w:rsidRPr="00025F23" w:rsidRDefault="007E0D8B" w:rsidP="00D643E3">
      <w:pPr>
        <w:rPr>
          <w:spacing w:val="-4"/>
        </w:rPr>
      </w:pPr>
      <w:r w:rsidRPr="00025F23">
        <w:rPr>
          <w:i/>
          <w:iCs/>
          <w:spacing w:val="-4"/>
        </w:rPr>
        <w:t>Tema 3.A.</w:t>
      </w:r>
      <w:r w:rsidR="007C2EE6">
        <w:rPr>
          <w:i/>
          <w:iCs/>
          <w:spacing w:val="-4"/>
        </w:rPr>
        <w:t>31</w:t>
      </w:r>
      <w:r w:rsidRPr="00025F23">
        <w:rPr>
          <w:spacing w:val="-4"/>
        </w:rPr>
        <w:t xml:space="preserve"> – </w:t>
      </w:r>
      <w:r w:rsidR="00F118DF" w:rsidRPr="00025F23">
        <w:rPr>
          <w:spacing w:val="-4"/>
        </w:rPr>
        <w:t>Tablas input-output</w:t>
      </w:r>
    </w:p>
    <w:p w14:paraId="063D78E1" w14:textId="13FE2B41" w:rsidR="00CA6553" w:rsidRPr="00025F23" w:rsidRDefault="00CA6553" w:rsidP="00D643E3">
      <w:pPr>
        <w:rPr>
          <w:spacing w:val="-4"/>
        </w:rPr>
      </w:pPr>
      <w:r w:rsidRPr="00025F23">
        <w:rPr>
          <w:i/>
          <w:iCs/>
          <w:spacing w:val="-4"/>
        </w:rPr>
        <w:t>Tema 3.A.4</w:t>
      </w:r>
      <w:r w:rsidR="007C2EE6">
        <w:rPr>
          <w:i/>
          <w:iCs/>
          <w:spacing w:val="-4"/>
        </w:rPr>
        <w:t>3</w:t>
      </w:r>
      <w:r w:rsidRPr="00025F23">
        <w:rPr>
          <w:spacing w:val="-4"/>
        </w:rPr>
        <w:t xml:space="preserve"> – Crecimiento económico exógeno</w:t>
      </w:r>
    </w:p>
    <w:p w14:paraId="6A850F91" w14:textId="3859C557" w:rsidR="00CA6553" w:rsidRPr="00025F23" w:rsidRDefault="00CA6553" w:rsidP="00D643E3">
      <w:pPr>
        <w:rPr>
          <w:spacing w:val="-4"/>
        </w:rPr>
      </w:pPr>
      <w:r w:rsidRPr="00025F23">
        <w:rPr>
          <w:i/>
          <w:iCs/>
          <w:spacing w:val="-4"/>
        </w:rPr>
        <w:t>Tema 3.A.4</w:t>
      </w:r>
      <w:r w:rsidR="007C2EE6">
        <w:rPr>
          <w:i/>
          <w:iCs/>
          <w:spacing w:val="-4"/>
        </w:rPr>
        <w:t>4</w:t>
      </w:r>
      <w:r w:rsidRPr="00025F23">
        <w:rPr>
          <w:spacing w:val="-4"/>
        </w:rPr>
        <w:t xml:space="preserve"> – Crecimiento económico endógeno</w:t>
      </w:r>
    </w:p>
    <w:p w14:paraId="5EF4BA67" w14:textId="4C579D3F" w:rsidR="00CA6553" w:rsidRPr="00025F23" w:rsidRDefault="00CA6553" w:rsidP="00D643E3">
      <w:pPr>
        <w:rPr>
          <w:spacing w:val="-4"/>
        </w:rPr>
      </w:pPr>
      <w:r w:rsidRPr="00025F23">
        <w:rPr>
          <w:i/>
          <w:iCs/>
          <w:spacing w:val="-4"/>
        </w:rPr>
        <w:t>Tema 3.A.4</w:t>
      </w:r>
      <w:r w:rsidR="007C2EE6">
        <w:rPr>
          <w:i/>
          <w:iCs/>
          <w:spacing w:val="-4"/>
        </w:rPr>
        <w:t>5</w:t>
      </w:r>
      <w:r w:rsidRPr="00025F23">
        <w:rPr>
          <w:spacing w:val="-4"/>
        </w:rPr>
        <w:t xml:space="preserve"> – Hechos estilizados del crecimiento económico</w:t>
      </w:r>
    </w:p>
    <w:p w14:paraId="62E85C75" w14:textId="06C81787" w:rsidR="007E0D8B" w:rsidRPr="00025F23" w:rsidRDefault="007E0D8B" w:rsidP="00D643E3">
      <w:pPr>
        <w:rPr>
          <w:spacing w:val="-4"/>
        </w:rPr>
      </w:pPr>
      <w:r w:rsidRPr="00025F23">
        <w:rPr>
          <w:i/>
          <w:iCs/>
          <w:spacing w:val="-4"/>
        </w:rPr>
        <w:t>Tema 3.A.4</w:t>
      </w:r>
      <w:r w:rsidR="007C2EE6">
        <w:rPr>
          <w:i/>
          <w:iCs/>
          <w:spacing w:val="-4"/>
        </w:rPr>
        <w:t>2</w:t>
      </w:r>
      <w:r w:rsidRPr="00025F23">
        <w:rPr>
          <w:spacing w:val="-4"/>
        </w:rPr>
        <w:t xml:space="preserve"> – </w:t>
      </w:r>
      <w:r w:rsidR="00F118DF" w:rsidRPr="00025F23">
        <w:rPr>
          <w:spacing w:val="-4"/>
        </w:rPr>
        <w:t>Ciclo económico</w:t>
      </w:r>
      <w:r w:rsidR="00A16F43" w:rsidRPr="00025F23">
        <w:rPr>
          <w:spacing w:val="-4"/>
        </w:rPr>
        <w:t xml:space="preserve"> – Hechos estilizados</w:t>
      </w:r>
    </w:p>
    <w:p w14:paraId="4469BA16" w14:textId="0D697189" w:rsidR="007E0D8B" w:rsidRPr="00025F23" w:rsidRDefault="007E0D8B" w:rsidP="00D643E3">
      <w:pPr>
        <w:rPr>
          <w:spacing w:val="-4"/>
        </w:rPr>
      </w:pPr>
      <w:r w:rsidRPr="00025F23">
        <w:rPr>
          <w:i/>
          <w:iCs/>
          <w:spacing w:val="-4"/>
        </w:rPr>
        <w:t>Tema 3.A.3</w:t>
      </w:r>
      <w:r w:rsidR="007C2EE6">
        <w:rPr>
          <w:i/>
          <w:iCs/>
          <w:spacing w:val="-4"/>
        </w:rPr>
        <w:t>3</w:t>
      </w:r>
      <w:r w:rsidRPr="00025F23">
        <w:rPr>
          <w:spacing w:val="-4"/>
        </w:rPr>
        <w:t xml:space="preserve"> – </w:t>
      </w:r>
      <w:r w:rsidR="00F118DF" w:rsidRPr="00025F23">
        <w:rPr>
          <w:spacing w:val="-4"/>
        </w:rPr>
        <w:t>Demanda de consumo</w:t>
      </w:r>
    </w:p>
    <w:p w14:paraId="00734858" w14:textId="167A2F88" w:rsidR="007E0D8B" w:rsidRPr="00025F23" w:rsidRDefault="007E0D8B" w:rsidP="00D643E3">
      <w:pPr>
        <w:rPr>
          <w:spacing w:val="-4"/>
        </w:rPr>
      </w:pPr>
      <w:r w:rsidRPr="00025F23">
        <w:rPr>
          <w:i/>
          <w:iCs/>
          <w:spacing w:val="-4"/>
        </w:rPr>
        <w:t>Tema 3.A.3</w:t>
      </w:r>
      <w:r w:rsidR="007C2EE6">
        <w:rPr>
          <w:i/>
          <w:iCs/>
          <w:spacing w:val="-4"/>
        </w:rPr>
        <w:t>4</w:t>
      </w:r>
      <w:r w:rsidRPr="00025F23">
        <w:rPr>
          <w:spacing w:val="-4"/>
        </w:rPr>
        <w:t xml:space="preserve"> –</w:t>
      </w:r>
      <w:r w:rsidR="00F118DF" w:rsidRPr="00025F23">
        <w:rPr>
          <w:spacing w:val="-4"/>
        </w:rPr>
        <w:t xml:space="preserve"> Demanda de inversión</w:t>
      </w:r>
    </w:p>
    <w:p w14:paraId="16D44BA3" w14:textId="4DE35735" w:rsidR="007E0D8B" w:rsidRPr="00025F23" w:rsidRDefault="007E0D8B" w:rsidP="00D643E3">
      <w:pPr>
        <w:rPr>
          <w:spacing w:val="-4"/>
        </w:rPr>
      </w:pPr>
      <w:r w:rsidRPr="00025F23">
        <w:rPr>
          <w:i/>
          <w:iCs/>
          <w:spacing w:val="-4"/>
        </w:rPr>
        <w:t>Tema 3.A.3</w:t>
      </w:r>
      <w:r w:rsidR="007C2EE6">
        <w:rPr>
          <w:i/>
          <w:iCs/>
          <w:spacing w:val="-4"/>
        </w:rPr>
        <w:t>5</w:t>
      </w:r>
      <w:r w:rsidRPr="00025F23">
        <w:rPr>
          <w:spacing w:val="-4"/>
        </w:rPr>
        <w:t xml:space="preserve"> – </w:t>
      </w:r>
      <w:r w:rsidR="00F118DF" w:rsidRPr="00025F23">
        <w:rPr>
          <w:spacing w:val="-4"/>
        </w:rPr>
        <w:t>Demanda de dinero</w:t>
      </w:r>
    </w:p>
    <w:p w14:paraId="275295A7" w14:textId="6D6626AD" w:rsidR="007E0D8B" w:rsidRPr="00025F23" w:rsidRDefault="007E0D8B" w:rsidP="00D643E3">
      <w:pPr>
        <w:rPr>
          <w:spacing w:val="-4"/>
        </w:rPr>
      </w:pPr>
      <w:r w:rsidRPr="00025F23">
        <w:rPr>
          <w:i/>
          <w:iCs/>
          <w:spacing w:val="-4"/>
        </w:rPr>
        <w:t>Tema 3.A.</w:t>
      </w:r>
      <w:r w:rsidR="007C2EE6">
        <w:rPr>
          <w:i/>
          <w:iCs/>
          <w:spacing w:val="-4"/>
        </w:rPr>
        <w:t>27</w:t>
      </w:r>
      <w:r w:rsidR="00F118DF" w:rsidRPr="00025F23">
        <w:rPr>
          <w:spacing w:val="-4"/>
        </w:rPr>
        <w:t xml:space="preserve"> – Análisis macroeconómico del mercado de trabajo</w:t>
      </w:r>
    </w:p>
    <w:p w14:paraId="24A99A2C" w14:textId="6846B79B" w:rsidR="00587380" w:rsidRDefault="00587380" w:rsidP="00D643E3">
      <w:pPr>
        <w:rPr>
          <w:i/>
          <w:iCs/>
          <w:spacing w:val="-4"/>
        </w:rPr>
      </w:pPr>
      <w:r w:rsidRPr="00025F23">
        <w:rPr>
          <w:i/>
          <w:iCs/>
          <w:spacing w:val="-4"/>
        </w:rPr>
        <w:t>Tema 3.A.3</w:t>
      </w:r>
      <w:r w:rsidR="007C2EE6">
        <w:rPr>
          <w:i/>
          <w:iCs/>
          <w:spacing w:val="-4"/>
        </w:rPr>
        <w:t>6</w:t>
      </w:r>
      <w:r w:rsidRPr="00025F23">
        <w:rPr>
          <w:spacing w:val="-4"/>
        </w:rPr>
        <w:t xml:space="preserve"> – Política monetaria I</w:t>
      </w:r>
    </w:p>
    <w:p w14:paraId="4438CDCF" w14:textId="73448542" w:rsidR="00F118DF" w:rsidRPr="00025F23" w:rsidRDefault="00F118DF" w:rsidP="00D643E3">
      <w:pPr>
        <w:rPr>
          <w:spacing w:val="-4"/>
        </w:rPr>
      </w:pPr>
      <w:r w:rsidRPr="00025F23">
        <w:rPr>
          <w:i/>
          <w:iCs/>
          <w:spacing w:val="-4"/>
        </w:rPr>
        <w:t>Tema 3.A.3</w:t>
      </w:r>
      <w:r w:rsidR="007C2EE6">
        <w:rPr>
          <w:i/>
          <w:iCs/>
          <w:spacing w:val="-4"/>
        </w:rPr>
        <w:t>7</w:t>
      </w:r>
      <w:r w:rsidRPr="00025F23">
        <w:rPr>
          <w:spacing w:val="-4"/>
        </w:rPr>
        <w:t xml:space="preserve"> – Política monetaria II</w:t>
      </w:r>
    </w:p>
    <w:p w14:paraId="2401C51E" w14:textId="506C2899" w:rsidR="00F118DF" w:rsidRPr="00025F23" w:rsidRDefault="00F118DF" w:rsidP="00D643E3">
      <w:pPr>
        <w:rPr>
          <w:spacing w:val="-4"/>
        </w:rPr>
      </w:pPr>
      <w:r w:rsidRPr="00025F23">
        <w:rPr>
          <w:i/>
          <w:iCs/>
          <w:spacing w:val="-4"/>
        </w:rPr>
        <w:t>Tema 3.A.</w:t>
      </w:r>
      <w:r w:rsidR="007C2EE6">
        <w:rPr>
          <w:i/>
          <w:iCs/>
          <w:spacing w:val="-4"/>
        </w:rPr>
        <w:t>41</w:t>
      </w:r>
      <w:r w:rsidRPr="00025F23">
        <w:rPr>
          <w:spacing w:val="-4"/>
        </w:rPr>
        <w:t xml:space="preserve"> – La inflación: causas y efectos</w:t>
      </w:r>
    </w:p>
    <w:p w14:paraId="4C429350" w14:textId="1EDFDF7A" w:rsidR="00F118DF" w:rsidRPr="00025F23" w:rsidRDefault="00F118DF" w:rsidP="00D643E3">
      <w:pPr>
        <w:rPr>
          <w:spacing w:val="-4"/>
        </w:rPr>
      </w:pPr>
      <w:r w:rsidRPr="00025F23">
        <w:rPr>
          <w:i/>
          <w:iCs/>
          <w:spacing w:val="-4"/>
        </w:rPr>
        <w:t>Tema 3.A.3</w:t>
      </w:r>
      <w:r w:rsidR="007C2EE6">
        <w:rPr>
          <w:i/>
          <w:iCs/>
          <w:spacing w:val="-4"/>
        </w:rPr>
        <w:t>9</w:t>
      </w:r>
      <w:r w:rsidRPr="00025F23">
        <w:rPr>
          <w:spacing w:val="-4"/>
        </w:rPr>
        <w:t xml:space="preserve"> – La financiación del déficit público</w:t>
      </w:r>
    </w:p>
    <w:p w14:paraId="507849FE" w14:textId="752EA8BE" w:rsidR="00F118DF" w:rsidRPr="00025F23" w:rsidRDefault="00F118DF" w:rsidP="00D643E3">
      <w:r w:rsidRPr="00025F23">
        <w:rPr>
          <w:i/>
          <w:iCs/>
          <w:spacing w:val="-4"/>
        </w:rPr>
        <w:t>Tema 3.A.3</w:t>
      </w:r>
      <w:r w:rsidR="007C2EE6">
        <w:rPr>
          <w:i/>
          <w:iCs/>
          <w:spacing w:val="-4"/>
        </w:rPr>
        <w:t>8</w:t>
      </w:r>
      <w:r w:rsidRPr="00025F23">
        <w:rPr>
          <w:spacing w:val="-4"/>
        </w:rPr>
        <w:t xml:space="preserve"> – Política fiscal</w:t>
      </w:r>
    </w:p>
    <w:p w14:paraId="2A52CB3A" w14:textId="7AFD4777" w:rsidR="00342648" w:rsidRPr="00025F23" w:rsidRDefault="00D643E3" w:rsidP="00342648">
      <w:pPr>
        <w:pStyle w:val="Ttulo4"/>
      </w:pPr>
      <w:r w:rsidRPr="00025F23">
        <w:t>Ejemplos</w:t>
      </w:r>
    </w:p>
    <w:p w14:paraId="0E81811B" w14:textId="6D6201ED" w:rsidR="000B787F" w:rsidRPr="00025F23" w:rsidRDefault="000B787F" w:rsidP="000B787F">
      <w:pPr>
        <w:spacing w:after="0"/>
        <w:rPr>
          <w:spacing w:val="-6"/>
        </w:rPr>
      </w:pPr>
      <w:r w:rsidRPr="00025F23">
        <w:rPr>
          <w:spacing w:val="-6"/>
        </w:rPr>
        <w:t xml:space="preserve">Exámenes anteriores. </w:t>
      </w:r>
      <w:r w:rsidRPr="00025F23">
        <w:rPr>
          <w:i/>
          <w:iCs/>
          <w:spacing w:val="-6"/>
        </w:rPr>
        <w:t>Asociación de Técnicos Comerciales y Economistas del Estado</w:t>
      </w:r>
      <w:r w:rsidRPr="00025F23">
        <w:rPr>
          <w:spacing w:val="-6"/>
        </w:rPr>
        <w:t>.</w:t>
      </w:r>
    </w:p>
    <w:p w14:paraId="4AFD86B4" w14:textId="7A233A23" w:rsidR="000B787F" w:rsidRPr="00025F23" w:rsidRDefault="000B787F" w:rsidP="009C630E">
      <w:pPr>
        <w:spacing w:after="80"/>
        <w:ind w:left="284"/>
      </w:pPr>
      <w:hyperlink r:id="rId55" w:history="1">
        <w:r w:rsidRPr="00025F23">
          <w:rPr>
            <w:rStyle w:val="Hipervnculo"/>
          </w:rPr>
          <w:t>https://atcee.es/la-oposicion-tcee/examenes-anteriores/</w:t>
        </w:r>
      </w:hyperlink>
    </w:p>
    <w:p w14:paraId="221D01C6" w14:textId="54EE09DF" w:rsidR="0006694E" w:rsidRPr="00025F23" w:rsidRDefault="00F5285C" w:rsidP="0006694E">
      <w:pPr>
        <w:spacing w:after="0"/>
      </w:pPr>
      <w:r w:rsidRPr="00025F23">
        <w:t>Consultas del Artículo IV del FMI:</w:t>
      </w:r>
    </w:p>
    <w:p w14:paraId="61AB951E" w14:textId="51E12BBD" w:rsidR="00F5285C" w:rsidRPr="00025F23" w:rsidRDefault="0006694E" w:rsidP="009C630E">
      <w:pPr>
        <w:spacing w:after="80"/>
        <w:ind w:left="284"/>
      </w:pPr>
      <w:hyperlink r:id="rId56" w:history="1">
        <w:r w:rsidRPr="00025F23">
          <w:rPr>
            <w:rStyle w:val="Hipervnculo"/>
          </w:rPr>
          <w:t>https://www.imf.org/en/About/executive-board/Article-IV</w:t>
        </w:r>
      </w:hyperlink>
    </w:p>
    <w:p w14:paraId="0158120E" w14:textId="34D2B4E2" w:rsidR="00F04C81" w:rsidRDefault="00921496" w:rsidP="006F086C">
      <w:pPr>
        <w:spacing w:after="0"/>
        <w:ind w:left="284" w:hanging="284"/>
        <w:jc w:val="left"/>
        <w:rPr>
          <w:rStyle w:val="Hipervnculo"/>
          <w:lang w:val="en-US"/>
        </w:rPr>
      </w:pPr>
      <w:r w:rsidRPr="00025F23">
        <w:rPr>
          <w:lang w:val="en-US"/>
        </w:rPr>
        <w:t xml:space="preserve">OECD Economic Outlook. (2021). </w:t>
      </w:r>
      <w:r w:rsidRPr="00025F23">
        <w:rPr>
          <w:i/>
          <w:iCs/>
          <w:lang w:val="en-US"/>
        </w:rPr>
        <w:t>OECD</w:t>
      </w:r>
      <w:r w:rsidRPr="00025F23">
        <w:rPr>
          <w:lang w:val="en-US"/>
        </w:rPr>
        <w:t xml:space="preserve">. </w:t>
      </w:r>
      <w:hyperlink r:id="rId57" w:history="1">
        <w:r w:rsidRPr="00025F23">
          <w:rPr>
            <w:rStyle w:val="Hipervnculo"/>
            <w:lang w:val="en-US"/>
          </w:rPr>
          <w:t>https://www.oecd.org/economic-outlook/</w:t>
        </w:r>
      </w:hyperlink>
    </w:p>
    <w:p w14:paraId="77A99CD8" w14:textId="77777777" w:rsidR="00F04C81" w:rsidRDefault="00F04C81">
      <w:pPr>
        <w:spacing w:after="160" w:line="259" w:lineRule="auto"/>
        <w:jc w:val="left"/>
        <w:rPr>
          <w:rStyle w:val="Hipervnculo"/>
          <w:lang w:val="en-US"/>
        </w:rPr>
      </w:pPr>
      <w:r>
        <w:rPr>
          <w:rStyle w:val="Hipervnculo"/>
          <w:lang w:val="en-US"/>
        </w:rPr>
        <w:br w:type="page"/>
      </w:r>
    </w:p>
    <w:p w14:paraId="38183DC2" w14:textId="24F28E19" w:rsidR="00342648" w:rsidRPr="00025F23" w:rsidRDefault="00342648" w:rsidP="00342648">
      <w:pPr>
        <w:pStyle w:val="Ttulo4"/>
      </w:pPr>
      <w:r w:rsidRPr="00025F23">
        <w:lastRenderedPageBreak/>
        <w:t>Anexos</w:t>
      </w:r>
    </w:p>
    <w:p w14:paraId="39C60E4C" w14:textId="22BBD019" w:rsidR="00C83C97" w:rsidRPr="00025F23" w:rsidRDefault="00342648" w:rsidP="00F84330">
      <w:pPr>
        <w:pStyle w:val="Ttulo5"/>
      </w:pPr>
      <w:bookmarkStart w:id="370" w:name="_Anexo_1:_Formulas"/>
      <w:bookmarkEnd w:id="370"/>
      <w:r w:rsidRPr="00025F23">
        <w:t>Anexo</w:t>
      </w:r>
      <w:r w:rsidR="00B77C3E" w:rsidRPr="00025F23">
        <w:t> </w:t>
      </w:r>
      <w:r w:rsidRPr="00025F23">
        <w:t>1</w:t>
      </w:r>
      <w:r w:rsidR="00D564BC" w:rsidRPr="00025F23">
        <w:rPr>
          <w:i w:val="0"/>
          <w:iCs w:val="0"/>
          <w:u w:val="none"/>
        </w:rPr>
        <w:t>:</w:t>
      </w:r>
      <w:r w:rsidR="00C83C97" w:rsidRPr="00025F23">
        <w:rPr>
          <w:i w:val="0"/>
          <w:iCs w:val="0"/>
          <w:u w:val="none"/>
        </w:rPr>
        <w:t xml:space="preserve"> Métodos empíricos básicos. Descripción de los datos</w:t>
      </w:r>
    </w:p>
    <w:p w14:paraId="0CD7BF2B" w14:textId="4A080EE2" w:rsidR="00C83C97" w:rsidRPr="00025F23" w:rsidRDefault="00C83C97" w:rsidP="00C83C97">
      <w:r w:rsidRPr="00025F23">
        <w:t>Antes de construir el escenario, es importante entender las características básicas de los datos macroeconómicos del país.</w:t>
      </w:r>
    </w:p>
    <w:p w14:paraId="7C203E53" w14:textId="485AAC72" w:rsidR="00AB76B4" w:rsidRPr="00025F23" w:rsidRDefault="00AB76B4" w:rsidP="00717A38">
      <w:pPr>
        <w:keepNext/>
      </w:pPr>
      <w:r w:rsidRPr="00025F23">
        <w:t>Para el estudio de los fenómenos socioeconómicos susceptibles de medición contamos con series de datos. Estas series pueden clasificarse según el carácter temporal en series de sección cruzada y series temporales:</w:t>
      </w:r>
    </w:p>
    <w:p w14:paraId="5996784A" w14:textId="3BF1A6B9" w:rsidR="00AB76B4" w:rsidRPr="00025F23" w:rsidRDefault="00AB76B4" w:rsidP="00AB76B4">
      <w:pPr>
        <w:pStyle w:val="Nivel1"/>
      </w:pPr>
      <w:r w:rsidRPr="00025F23">
        <w:t xml:space="preserve">Las </w:t>
      </w:r>
      <w:r w:rsidRPr="00025F23">
        <w:rPr>
          <w:i/>
          <w:iCs w:val="0"/>
          <w:u w:val="single"/>
        </w:rPr>
        <w:t>series de sección cruzada</w:t>
      </w:r>
      <w:r w:rsidRPr="00025F23">
        <w:t xml:space="preserve"> nos suministran información respecto al comportamiento de distintos agentes referida a un mismo instante de tiempo.</w:t>
      </w:r>
      <w:r w:rsidR="00C43A4F" w:rsidRPr="00025F23">
        <w:t xml:space="preserve"> El análisis de los datos transversales suele consistir en comparar las diferencias entre los sujetos.</w:t>
      </w:r>
    </w:p>
    <w:p w14:paraId="6E4CD68E" w14:textId="167FBA53" w:rsidR="00AB76B4" w:rsidRPr="00025F23" w:rsidRDefault="00AB76B4" w:rsidP="00AB76B4">
      <w:pPr>
        <w:pStyle w:val="Nivel1"/>
      </w:pPr>
      <w:r w:rsidRPr="00025F23">
        <w:t xml:space="preserve">Las </w:t>
      </w:r>
      <w:r w:rsidRPr="00025F23">
        <w:rPr>
          <w:i/>
          <w:iCs w:val="0"/>
          <w:u w:val="single"/>
        </w:rPr>
        <w:t>series temporales</w:t>
      </w:r>
      <w:r w:rsidRPr="00025F23">
        <w:t xml:space="preserve"> son funciones observadas en el tiempo. Proporcionan información de una única unidad económica observada en distintos instantes de tiempo.</w:t>
      </w:r>
    </w:p>
    <w:p w14:paraId="3D1BAE23" w14:textId="38CE98DC" w:rsidR="00C43A4F" w:rsidRPr="00025F23" w:rsidRDefault="00C43A4F" w:rsidP="00AB76B4">
      <w:pPr>
        <w:pStyle w:val="Nivel1"/>
      </w:pPr>
      <w:r w:rsidRPr="00025F23">
        <w:t xml:space="preserve">Finalmente, los </w:t>
      </w:r>
      <w:r w:rsidRPr="00025F23">
        <w:rPr>
          <w:i/>
          <w:iCs w:val="0"/>
          <w:u w:val="single"/>
        </w:rPr>
        <w:t>datos de panel</w:t>
      </w:r>
      <w:r w:rsidRPr="00025F23">
        <w:t xml:space="preserve"> se refieren a datos que combinan una dimensión temporal con otra transversal. Un conjunto de datos de panel recoge observaciones sobre múltiples fenómenos a lo largo de determinados períodos. La dimensión temporal enriquece la estructura de los datos y es capaz de aportar información que no aparece en un único corte.</w:t>
      </w:r>
    </w:p>
    <w:p w14:paraId="36A7CB61" w14:textId="4B56949E" w:rsidR="00C43A4F" w:rsidRPr="00025F23" w:rsidRDefault="00C43A4F" w:rsidP="00C43A4F">
      <w:pPr>
        <w:pStyle w:val="Nivel1"/>
        <w:numPr>
          <w:ilvl w:val="0"/>
          <w:numId w:val="0"/>
        </w:numPr>
      </w:pPr>
      <w:r w:rsidRPr="00025F23">
        <w:t xml:space="preserve">En nuestro análisis nos centraremos en las </w:t>
      </w:r>
      <w:r w:rsidRPr="00025F23">
        <w:rPr>
          <w:b/>
          <w:bCs/>
        </w:rPr>
        <w:t>series temporales</w:t>
      </w:r>
      <w:r w:rsidRPr="00025F23">
        <w:t>, ya que es el tipo de datos de los que dispondremos en el ejercicio.</w:t>
      </w:r>
    </w:p>
    <w:p w14:paraId="1DB113F5" w14:textId="36948E34" w:rsidR="00C83C97" w:rsidRPr="00025F23" w:rsidRDefault="00C83C97" w:rsidP="00717A38">
      <w:pPr>
        <w:keepNext/>
      </w:pPr>
      <w:r w:rsidRPr="00025F23">
        <w:t>Algunos conceptos fundamentales para entender las series temporales son los siguientes:</w:t>
      </w:r>
    </w:p>
    <w:p w14:paraId="1647E57A" w14:textId="77777777" w:rsidR="00C83C97" w:rsidRPr="00025F23" w:rsidRDefault="00C83C97" w:rsidP="00C83C97">
      <w:pPr>
        <w:pStyle w:val="Nivel1"/>
        <w:rPr>
          <w:b/>
          <w:bCs/>
          <w:u w:val="single"/>
        </w:rPr>
      </w:pPr>
      <w:r w:rsidRPr="00025F23">
        <w:rPr>
          <w:b/>
          <w:bCs/>
          <w:i/>
        </w:rPr>
        <w:t>Tendencia</w:t>
      </w:r>
      <w:r w:rsidRPr="00025F23">
        <w:t>: Una tendencia es un movimiento persistente en el largo plazo de una variable.</w:t>
      </w:r>
    </w:p>
    <w:p w14:paraId="1E9B6EED" w14:textId="1C3A9E8A" w:rsidR="00575D38" w:rsidRPr="00025F23" w:rsidRDefault="00575D38" w:rsidP="00717A38">
      <w:pPr>
        <w:pStyle w:val="Nivel2"/>
        <w:keepNext/>
        <w:spacing w:after="0"/>
      </w:pPr>
      <w:r w:rsidRPr="00025F23">
        <w:t>Por un lado</w:t>
      </w:r>
      <w:r w:rsidR="0086381F" w:rsidRPr="00025F23">
        <w:t>,</w:t>
      </w:r>
      <w:r w:rsidRPr="00025F23">
        <w:t xml:space="preserve"> distinguimos entre:</w:t>
      </w:r>
    </w:p>
    <w:p w14:paraId="13D91CC3" w14:textId="0816688B" w:rsidR="00575D38" w:rsidRPr="00025F23" w:rsidRDefault="00575D38" w:rsidP="00575D38">
      <w:pPr>
        <w:pStyle w:val="Nivel3"/>
        <w:rPr>
          <w:u w:val="single"/>
        </w:rPr>
      </w:pPr>
      <w:r w:rsidRPr="00025F23">
        <w:rPr>
          <w:u w:val="single"/>
        </w:rPr>
        <w:t xml:space="preserve">Variables </w:t>
      </w:r>
      <w:r w:rsidRPr="00025F23">
        <w:rPr>
          <w:i/>
          <w:iCs/>
          <w:u w:val="single"/>
        </w:rPr>
        <w:t>sin tendencia</w:t>
      </w:r>
    </w:p>
    <w:p w14:paraId="572F5F80" w14:textId="77777777" w:rsidR="00A96F29" w:rsidRPr="00025F23" w:rsidRDefault="00575D38" w:rsidP="00575D38">
      <w:pPr>
        <w:pStyle w:val="Nivel3"/>
        <w:rPr>
          <w:b/>
          <w:bCs/>
          <w:u w:val="single"/>
        </w:rPr>
      </w:pPr>
      <w:r w:rsidRPr="00025F23">
        <w:rPr>
          <w:u w:val="single"/>
        </w:rPr>
        <w:t xml:space="preserve">Variables </w:t>
      </w:r>
      <w:r w:rsidRPr="00025F23">
        <w:rPr>
          <w:i/>
          <w:iCs/>
          <w:u w:val="single"/>
        </w:rPr>
        <w:t>con tendencia</w:t>
      </w:r>
    </w:p>
    <w:p w14:paraId="4A614190" w14:textId="2052DB75" w:rsidR="00575D38" w:rsidRPr="00025F23" w:rsidRDefault="00A96F29" w:rsidP="00A96F29">
      <w:pPr>
        <w:pStyle w:val="Nivel4"/>
        <w:rPr>
          <w:b/>
          <w:bCs/>
          <w:u w:val="single"/>
        </w:rPr>
      </w:pPr>
      <w:r w:rsidRPr="00025F23">
        <w:rPr>
          <w:i/>
          <w:iCs/>
        </w:rPr>
        <w:t xml:space="preserve">Tendencia </w:t>
      </w:r>
      <w:r w:rsidR="00575D38" w:rsidRPr="00025F23">
        <w:rPr>
          <w:i/>
          <w:iCs/>
        </w:rPr>
        <w:t>linear</w:t>
      </w:r>
      <w:r w:rsidR="00575D38" w:rsidRPr="00025F23">
        <w:t xml:space="preserve">: </w:t>
      </w:r>
      <w:r w:rsidR="00C83C97" w:rsidRPr="00025F23">
        <w:t>crecen a una tasa constante</w:t>
      </w:r>
      <w:r w:rsidRPr="00025F23">
        <w:t>.</w:t>
      </w:r>
    </w:p>
    <w:p w14:paraId="27B1250F" w14:textId="64E342E3" w:rsidR="00C83C97" w:rsidRPr="00025F23" w:rsidRDefault="00A96F29" w:rsidP="00A96F29">
      <w:pPr>
        <w:pStyle w:val="Nivel4"/>
        <w:rPr>
          <w:b/>
          <w:bCs/>
          <w:u w:val="single"/>
        </w:rPr>
      </w:pPr>
      <w:r w:rsidRPr="00025F23">
        <w:rPr>
          <w:i/>
          <w:iCs/>
        </w:rPr>
        <w:t>T</w:t>
      </w:r>
      <w:r w:rsidR="00C83C97" w:rsidRPr="00025F23">
        <w:rPr>
          <w:i/>
          <w:iCs/>
        </w:rPr>
        <w:t>endencia no linear</w:t>
      </w:r>
      <w:r w:rsidR="00575D38" w:rsidRPr="00025F23">
        <w:t xml:space="preserve">: muestran alguna tendencia en el largo plazo, pero no linear. </w:t>
      </w:r>
      <w:r w:rsidR="00C83C97" w:rsidRPr="00025F23">
        <w:t xml:space="preserve">Algunas veces, el logaritmo neperiano de una variable que sigue una tendencia no linear sigue una tendencia linear. En este caso, se dice que la variable sigue una </w:t>
      </w:r>
      <w:r w:rsidR="00C83C97" w:rsidRPr="00025F23">
        <w:rPr>
          <w:i/>
          <w:iCs/>
        </w:rPr>
        <w:t xml:space="preserve">tendencia </w:t>
      </w:r>
      <w:proofErr w:type="spellStart"/>
      <w:r w:rsidR="00C83C97" w:rsidRPr="00025F23">
        <w:rPr>
          <w:i/>
          <w:iCs/>
        </w:rPr>
        <w:t>loglinear</w:t>
      </w:r>
      <w:proofErr w:type="spellEnd"/>
      <w:r w:rsidR="00C83C97" w:rsidRPr="00025F23">
        <w:t>.</w:t>
      </w:r>
    </w:p>
    <w:p w14:paraId="788D9023" w14:textId="5AD08A22" w:rsidR="00C83C97" w:rsidRPr="00025F23" w:rsidRDefault="00A96F29" w:rsidP="00A96F29">
      <w:pPr>
        <w:pStyle w:val="Nivel3"/>
        <w:numPr>
          <w:ilvl w:val="0"/>
          <w:numId w:val="0"/>
        </w:numPr>
        <w:ind w:left="567"/>
        <w:rPr>
          <w:b/>
          <w:bCs/>
          <w:u w:val="single"/>
        </w:rPr>
      </w:pPr>
      <w:r w:rsidRPr="00025F23">
        <w:t>Aparte de tendencias lineares y no lineares, distinguimos entre</w:t>
      </w:r>
      <w:r w:rsidR="00C83C97" w:rsidRPr="00025F23">
        <w:t xml:space="preserve"> tendencias estocásticas y determinísticas.</w:t>
      </w:r>
    </w:p>
    <w:p w14:paraId="0235916A" w14:textId="402E48A5" w:rsidR="00575D38" w:rsidRPr="00025F23" w:rsidRDefault="00575D38" w:rsidP="00A96F29">
      <w:pPr>
        <w:pStyle w:val="Nivel4"/>
      </w:pPr>
      <w:r w:rsidRPr="00025F23">
        <w:rPr>
          <w:i/>
          <w:iCs/>
        </w:rPr>
        <w:t>Tendencias determinísticas</w:t>
      </w:r>
      <w:r w:rsidRPr="00025F23">
        <w:t xml:space="preserve">: </w:t>
      </w:r>
      <w:r w:rsidR="00A96F29" w:rsidRPr="00025F23">
        <w:t>Las variables con tendencia determinística siguen una tendencia definida que no cambia</w:t>
      </w:r>
      <w:r w:rsidRPr="00025F23">
        <w:t xml:space="preserve"> a lo largo del tiempo.</w:t>
      </w:r>
    </w:p>
    <w:p w14:paraId="38F4143A" w14:textId="64744A7C" w:rsidR="00575D38" w:rsidRPr="00025F23" w:rsidRDefault="00575D38" w:rsidP="00A96F29">
      <w:pPr>
        <w:pStyle w:val="Nivel4"/>
      </w:pPr>
      <w:r w:rsidRPr="00025F23">
        <w:rPr>
          <w:i/>
          <w:iCs/>
        </w:rPr>
        <w:t>Tendencias estocásticas</w:t>
      </w:r>
      <w:r w:rsidRPr="00025F23">
        <w:t xml:space="preserve">: </w:t>
      </w:r>
      <w:r w:rsidR="00A96F29" w:rsidRPr="00025F23">
        <w:t>Las variables con tendencias estocásticas f</w:t>
      </w:r>
      <w:r w:rsidRPr="00025F23">
        <w:t>luctúan a lo largo del tiempo por factores aleatorios como los shocks económicos.</w:t>
      </w:r>
    </w:p>
    <w:p w14:paraId="7655B56F" w14:textId="77777777" w:rsidR="00A96F29" w:rsidRPr="00025F23" w:rsidRDefault="00575D38" w:rsidP="00575D38">
      <w:pPr>
        <w:pStyle w:val="Nivel1"/>
      </w:pPr>
      <w:r w:rsidRPr="00025F23">
        <w:rPr>
          <w:b/>
          <w:bCs/>
          <w:i/>
          <w:iCs w:val="0"/>
        </w:rPr>
        <w:t>Ciclo</w:t>
      </w:r>
      <w:r w:rsidRPr="00025F23">
        <w:t xml:space="preserve">: Las variables estocásticas fluctúan alrededor de su tendencia de largo plazo. El patrón cíclico de la fluctuación se conoce como </w:t>
      </w:r>
      <w:r w:rsidRPr="00025F23">
        <w:rPr>
          <w:i/>
          <w:iCs w:val="0"/>
        </w:rPr>
        <w:t>ciclo económico</w:t>
      </w:r>
      <w:r w:rsidRPr="00025F23">
        <w:t>.</w:t>
      </w:r>
    </w:p>
    <w:p w14:paraId="15A0A695" w14:textId="186BC3F5" w:rsidR="00A96F29" w:rsidRPr="00025F23" w:rsidRDefault="00A96F29" w:rsidP="00A96F29">
      <w:pPr>
        <w:pStyle w:val="Nivel1"/>
        <w:numPr>
          <w:ilvl w:val="0"/>
          <w:numId w:val="0"/>
        </w:numPr>
        <w:ind w:left="142"/>
      </w:pPr>
      <w:r w:rsidRPr="00025F23">
        <w:t>Las principales magnitudes macroeconómicas de las economías que organizan sus actividades en torno a las relaciones comerciales presentan de manera recurrente fuertes fluctuaciones, ciclos, en períodos relativamente cortos de tiempo. Las fluctuaciones se definen como las desviaciones del PIB respecto de su tendencia.</w:t>
      </w:r>
    </w:p>
    <w:p w14:paraId="79493B42" w14:textId="1CB87E11" w:rsidR="00A96F29" w:rsidRPr="00025F23" w:rsidRDefault="00A96F29" w:rsidP="00717A38">
      <w:pPr>
        <w:pStyle w:val="Nivel1"/>
        <w:keepNext/>
        <w:numPr>
          <w:ilvl w:val="0"/>
          <w:numId w:val="0"/>
        </w:numPr>
        <w:ind w:left="142"/>
      </w:pPr>
      <w:r w:rsidRPr="00025F23">
        <w:t>En el ciclo se distinguen:</w:t>
      </w:r>
    </w:p>
    <w:p w14:paraId="6CC91DC7" w14:textId="39A98BB2" w:rsidR="00A96F29" w:rsidRPr="00025F23" w:rsidRDefault="00A96F29" w:rsidP="00A96F29">
      <w:pPr>
        <w:pStyle w:val="Nivel2"/>
      </w:pPr>
      <w:r w:rsidRPr="00025F23">
        <w:rPr>
          <w:i/>
          <w:iCs/>
          <w:u w:val="single"/>
        </w:rPr>
        <w:t>Fases del ciclo</w:t>
      </w:r>
      <w:r w:rsidRPr="00025F23">
        <w:t xml:space="preserve">: El ciclo incluye dos puntos de inflexión, </w:t>
      </w:r>
      <w:r w:rsidR="00F84F2B" w:rsidRPr="00025F23">
        <w:t>pico</w:t>
      </w:r>
      <w:r w:rsidRPr="00025F23">
        <w:t xml:space="preserve"> y </w:t>
      </w:r>
      <w:r w:rsidR="00F84F2B" w:rsidRPr="00025F23">
        <w:t>valle</w:t>
      </w:r>
      <w:r w:rsidRPr="00025F23">
        <w:t>, y dos fases, contracción y expansión. El movimiento d</w:t>
      </w:r>
      <w:r w:rsidR="00F84F2B" w:rsidRPr="00025F23">
        <w:t xml:space="preserve">el pico </w:t>
      </w:r>
      <w:r w:rsidRPr="00025F23">
        <w:t xml:space="preserve">al </w:t>
      </w:r>
      <w:r w:rsidR="00F84F2B" w:rsidRPr="00025F23">
        <w:t>valle</w:t>
      </w:r>
      <w:r w:rsidRPr="00025F23">
        <w:t xml:space="preserve"> es la contracción, y del </w:t>
      </w:r>
      <w:r w:rsidR="00F84F2B" w:rsidRPr="00025F23">
        <w:t>valle</w:t>
      </w:r>
      <w:r w:rsidRPr="00025F23">
        <w:t xml:space="preserve"> al</w:t>
      </w:r>
      <w:r w:rsidR="00F84F2B" w:rsidRPr="00025F23">
        <w:t xml:space="preserve"> pico</w:t>
      </w:r>
      <w:r w:rsidRPr="00025F23">
        <w:t xml:space="preserve"> es la expansión, siendo la cima el máximo del ciclo y el fondo el mínimo.</w:t>
      </w:r>
    </w:p>
    <w:p w14:paraId="46142FB0" w14:textId="7847F94D" w:rsidR="00E61637" w:rsidRPr="00025F23" w:rsidRDefault="00A96F29" w:rsidP="00F84F2B">
      <w:pPr>
        <w:pStyle w:val="Nivel2"/>
        <w:numPr>
          <w:ilvl w:val="0"/>
          <w:numId w:val="0"/>
        </w:numPr>
        <w:ind w:left="482"/>
      </w:pPr>
      <w:r w:rsidRPr="00025F23">
        <w:t>Si la contracción es grave se denomina recesión. Técnicamente una recesión ocurre cuando el PIB se reduce durante dos trimestres consecutivos. Cuando la contracción se hace mayor y más persistente se denomina depresión o crisis.</w:t>
      </w:r>
    </w:p>
    <w:p w14:paraId="1EFB393F" w14:textId="7C33FA9A" w:rsidR="00A96F29" w:rsidRPr="00025F23" w:rsidRDefault="00A96F29" w:rsidP="00A96F29">
      <w:pPr>
        <w:pStyle w:val="Nivel2"/>
      </w:pPr>
      <w:r w:rsidRPr="00025F23">
        <w:rPr>
          <w:i/>
          <w:iCs/>
          <w:u w:val="single"/>
        </w:rPr>
        <w:t>Frecuencia del ciclo</w:t>
      </w:r>
      <w:r w:rsidRPr="00025F23">
        <w:t>: Los ciclos no son regularmente periódicos, sino irregulares y recurrentes. La irregularidad se asocia a la idea de aleatoriedad y la recurrencia a la existencia de autocorrelación.</w:t>
      </w:r>
    </w:p>
    <w:p w14:paraId="2356C018" w14:textId="77777777" w:rsidR="007D2A3D" w:rsidRPr="00025F23" w:rsidRDefault="007D2A3D" w:rsidP="007D2A3D">
      <w:pPr>
        <w:pStyle w:val="Nivel1"/>
        <w:numPr>
          <w:ilvl w:val="0"/>
          <w:numId w:val="0"/>
        </w:numPr>
        <w:ind w:left="142"/>
        <w:rPr>
          <w:highlight w:val="yellow"/>
        </w:rPr>
      </w:pPr>
    </w:p>
    <w:p w14:paraId="7121DB0E" w14:textId="71F4CA4F" w:rsidR="007D2A3D" w:rsidRPr="00025F23" w:rsidRDefault="00F84F2B" w:rsidP="007D2A3D">
      <w:pPr>
        <w:pStyle w:val="Nivel1"/>
        <w:numPr>
          <w:ilvl w:val="0"/>
          <w:numId w:val="0"/>
        </w:numPr>
        <w:ind w:left="142"/>
      </w:pPr>
      <w:r w:rsidRPr="00025F23">
        <w:rPr>
          <w:noProof/>
          <w:highlight w:val="yellow"/>
        </w:rPr>
        <w:drawing>
          <wp:inline distT="0" distB="0" distL="0" distR="0" wp14:anchorId="57023946" wp14:editId="2D6BCE7C">
            <wp:extent cx="1837205" cy="1281450"/>
            <wp:effectExtent l="0" t="0" r="0" b="0"/>
            <wp:docPr id="5126" name="Picture 13">
              <a:extLst xmlns:a="http://schemas.openxmlformats.org/drawingml/2006/main">
                <a:ext uri="{FF2B5EF4-FFF2-40B4-BE49-F238E27FC236}">
                  <a16:creationId xmlns:a16="http://schemas.microsoft.com/office/drawing/2014/main" id="{006A95BC-1B68-9182-3D50-07826548865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6" name="Picture 13">
                      <a:extLst>
                        <a:ext uri="{FF2B5EF4-FFF2-40B4-BE49-F238E27FC236}">
                          <a16:creationId xmlns:a16="http://schemas.microsoft.com/office/drawing/2014/main" id="{006A95BC-1B68-9182-3D50-078265488654}"/>
                        </a:ext>
                      </a:extLst>
                    </pic:cNvPr>
                    <pic:cNvPicPr>
                      <a:picLocks noChangeAspect="1" noChangeArrowheads="1"/>
                    </pic:cNvPicPr>
                  </pic:nvPicPr>
                  <pic:blipFill>
                    <a:blip r:embed="rId58"/>
                    <a:stretch>
                      <a:fillRect/>
                    </a:stretch>
                  </pic:blipFill>
                  <pic:spPr bwMode="auto">
                    <a:xfrm>
                      <a:off x="0" y="0"/>
                      <a:ext cx="1837205" cy="1281450"/>
                    </a:xfrm>
                    <a:prstGeom prst="rect">
                      <a:avLst/>
                    </a:prstGeom>
                    <a:noFill/>
                    <a:ln>
                      <a:noFill/>
                    </a:ln>
                  </pic:spPr>
                </pic:pic>
              </a:graphicData>
            </a:graphic>
          </wp:inline>
        </w:drawing>
      </w:r>
      <w:r w:rsidR="007D2A3D" w:rsidRPr="00025F23">
        <w:rPr>
          <w:highlight w:val="yellow"/>
        </w:rPr>
        <w:t>Buscar imagen buena del ciclo</w:t>
      </w:r>
    </w:p>
    <w:p w14:paraId="010F59BE" w14:textId="77777777" w:rsidR="007D2A3D" w:rsidRPr="00025F23" w:rsidRDefault="007D2A3D" w:rsidP="007D2A3D">
      <w:pPr>
        <w:pStyle w:val="Nivel1"/>
        <w:numPr>
          <w:ilvl w:val="0"/>
          <w:numId w:val="0"/>
        </w:numPr>
        <w:ind w:left="142"/>
      </w:pPr>
    </w:p>
    <w:p w14:paraId="1F92856D" w14:textId="511E61F4" w:rsidR="00575D38" w:rsidRPr="00025F23" w:rsidRDefault="00575D38" w:rsidP="00A96F29">
      <w:pPr>
        <w:pStyle w:val="Nivel1"/>
        <w:numPr>
          <w:ilvl w:val="0"/>
          <w:numId w:val="0"/>
        </w:numPr>
        <w:ind w:left="142"/>
      </w:pPr>
      <w:r w:rsidRPr="00025F23">
        <w:t>Entender el patrón del ciclo económico del país es muy útil para predecir los desarrollos económicos que acontecerán en el corto plazo, mientras que entender las tendencias es relevante para predecir el futuro en el largo plazo.</w:t>
      </w:r>
    </w:p>
    <w:p w14:paraId="74A7827E" w14:textId="4F633674" w:rsidR="00575D38" w:rsidRPr="00025F23" w:rsidRDefault="00575D38" w:rsidP="00575D38">
      <w:pPr>
        <w:pStyle w:val="Nivel2"/>
      </w:pPr>
      <w:r w:rsidRPr="00025F23">
        <w:t>En ocasiones, las series temporales se alejan de su tendencia por motivos no rel</w:t>
      </w:r>
      <w:r w:rsidR="001D751E" w:rsidRPr="00025F23">
        <w:t xml:space="preserve">acionados con el ciclo </w:t>
      </w:r>
      <w:r w:rsidRPr="00025F23">
        <w:t>reflejando</w:t>
      </w:r>
      <w:r w:rsidR="001D751E" w:rsidRPr="00025F23">
        <w:t xml:space="preserve"> un </w:t>
      </w:r>
      <w:r w:rsidR="001D751E" w:rsidRPr="00025F23">
        <w:rPr>
          <w:i/>
          <w:iCs/>
        </w:rPr>
        <w:t>cambio estructural</w:t>
      </w:r>
      <w:r w:rsidR="001D751E" w:rsidRPr="00025F23">
        <w:t>, esto es, cambios en las características básicas de la economía.</w:t>
      </w:r>
    </w:p>
    <w:p w14:paraId="2C2CD423" w14:textId="7B4BD17E" w:rsidR="001D751E" w:rsidRPr="00025F23" w:rsidRDefault="001D751E" w:rsidP="00717A38">
      <w:pPr>
        <w:pStyle w:val="Nivel1"/>
        <w:keepNext/>
        <w:spacing w:after="0"/>
      </w:pPr>
      <w:r w:rsidRPr="00025F23">
        <w:rPr>
          <w:b/>
          <w:bCs/>
          <w:i/>
          <w:iCs w:val="0"/>
        </w:rPr>
        <w:t>Series estacionarias vs series no estacionarias</w:t>
      </w:r>
      <w:r w:rsidRPr="00025F23">
        <w:t>:</w:t>
      </w:r>
    </w:p>
    <w:p w14:paraId="05434014" w14:textId="4BADA14B" w:rsidR="001D751E" w:rsidRPr="00025F23" w:rsidRDefault="001D751E" w:rsidP="001D751E">
      <w:pPr>
        <w:pStyle w:val="Nivel2"/>
      </w:pPr>
      <w:r w:rsidRPr="00025F23">
        <w:rPr>
          <w:i/>
          <w:iCs/>
          <w:u w:val="single"/>
        </w:rPr>
        <w:t>Series estacionarias</w:t>
      </w:r>
      <w:r w:rsidRPr="00025F23">
        <w:t>: tienden a revertir a su valor medio de largo plazo tras un shock.</w:t>
      </w:r>
    </w:p>
    <w:p w14:paraId="03158D06" w14:textId="6075282A" w:rsidR="001D751E" w:rsidRPr="00025F23" w:rsidRDefault="001D751E" w:rsidP="001D751E">
      <w:pPr>
        <w:pStyle w:val="Nivel2"/>
      </w:pPr>
      <w:r w:rsidRPr="00025F23">
        <w:rPr>
          <w:i/>
          <w:iCs/>
          <w:u w:val="single"/>
        </w:rPr>
        <w:t>Series no estacionarias</w:t>
      </w:r>
      <w:r w:rsidRPr="00025F23">
        <w:t>: cuando sufren un shock no tienden a retomar su valor promedio.</w:t>
      </w:r>
    </w:p>
    <w:p w14:paraId="0992C44A" w14:textId="0F7651E0" w:rsidR="001D751E" w:rsidRPr="00025F23" w:rsidRDefault="001D751E" w:rsidP="001D751E">
      <w:pPr>
        <w:pStyle w:val="Nivel1"/>
      </w:pPr>
      <w:proofErr w:type="spellStart"/>
      <w:r w:rsidRPr="00025F23">
        <w:rPr>
          <w:b/>
          <w:bCs/>
          <w:i/>
          <w:iCs w:val="0"/>
        </w:rPr>
        <w:t>Comovimientos</w:t>
      </w:r>
      <w:proofErr w:type="spellEnd"/>
      <w:r w:rsidRPr="00025F23">
        <w:t xml:space="preserve">: Algunas variables económicas comparten tendencias comunes. A menudo estos </w:t>
      </w:r>
      <w:proofErr w:type="spellStart"/>
      <w:r w:rsidRPr="00025F23">
        <w:t>comovimientos</w:t>
      </w:r>
      <w:proofErr w:type="spellEnd"/>
      <w:r w:rsidRPr="00025F23">
        <w:t xml:space="preserve"> dependen de la existencia de relaciones de equilibrio a largo plazo entre las variables. En la práctica, en cualquier caso, es difícil detectar si dos o más variables comparten una tendencia simplemente observando los datos o incluso su representación gráfica. Se han desarrollado </w:t>
      </w:r>
      <w:proofErr w:type="spellStart"/>
      <w:r w:rsidRPr="00025F23">
        <w:t>tests</w:t>
      </w:r>
      <w:proofErr w:type="spellEnd"/>
      <w:r w:rsidRPr="00025F23">
        <w:t xml:space="preserve"> econométricos para detectar la existencia de </w:t>
      </w:r>
      <w:r w:rsidRPr="00025F23">
        <w:rPr>
          <w:i/>
          <w:iCs w:val="0"/>
        </w:rPr>
        <w:t>tendencias comunes</w:t>
      </w:r>
      <w:r w:rsidRPr="00025F23">
        <w:t xml:space="preserve"> (o </w:t>
      </w:r>
      <w:r w:rsidRPr="00025F23">
        <w:rPr>
          <w:i/>
          <w:iCs w:val="0"/>
        </w:rPr>
        <w:t>relaciones de cointegración</w:t>
      </w:r>
      <w:r w:rsidRPr="00025F23">
        <w:t>)</w:t>
      </w:r>
      <w:r w:rsidR="009F1B89" w:rsidRPr="00025F23">
        <w:t>.</w:t>
      </w:r>
    </w:p>
    <w:p w14:paraId="492FB72C" w14:textId="1C3B1DB4" w:rsidR="00E61637" w:rsidRPr="00025F23" w:rsidRDefault="00E61637" w:rsidP="00E61637">
      <w:pPr>
        <w:pStyle w:val="Nivel1"/>
        <w:numPr>
          <w:ilvl w:val="0"/>
          <w:numId w:val="0"/>
        </w:numPr>
        <w:ind w:left="142"/>
      </w:pPr>
      <w:r w:rsidRPr="00025F23">
        <w:t xml:space="preserve">En la teoría de los ciclos económicos se estudia el </w:t>
      </w:r>
      <w:proofErr w:type="spellStart"/>
      <w:r w:rsidRPr="00025F23">
        <w:t>comovimiento</w:t>
      </w:r>
      <w:proofErr w:type="spellEnd"/>
      <w:r w:rsidRPr="00025F23">
        <w:t xml:space="preserve"> entre las principales series macroeconómicas y el PIB.</w:t>
      </w:r>
    </w:p>
    <w:p w14:paraId="5892A5E4" w14:textId="65F1D4F9" w:rsidR="00E61637" w:rsidRPr="00025F23" w:rsidRDefault="00E61637" w:rsidP="00717A38">
      <w:pPr>
        <w:pStyle w:val="Nivel1"/>
        <w:keepNext/>
        <w:numPr>
          <w:ilvl w:val="0"/>
          <w:numId w:val="0"/>
        </w:numPr>
        <w:ind w:left="142"/>
      </w:pPr>
      <w:r w:rsidRPr="00025F23">
        <w:t xml:space="preserve">Existen cuatro rasgos del </w:t>
      </w:r>
      <w:proofErr w:type="spellStart"/>
      <w:r w:rsidRPr="00025F23">
        <w:t>comovimiento</w:t>
      </w:r>
      <w:proofErr w:type="spellEnd"/>
      <w:r w:rsidRPr="00025F23">
        <w:t xml:space="preserve"> entre dos series que deben ser identificados:</w:t>
      </w:r>
    </w:p>
    <w:p w14:paraId="098443A7" w14:textId="71D14FD5" w:rsidR="00E61637" w:rsidRPr="00025F23" w:rsidRDefault="000C190B" w:rsidP="00E61637">
      <w:pPr>
        <w:pStyle w:val="Nivel2"/>
      </w:pPr>
      <w:r w:rsidRPr="00025F23">
        <w:rPr>
          <w:i/>
          <w:iCs/>
          <w:u w:val="single"/>
        </w:rPr>
        <w:t>Dirección</w:t>
      </w:r>
      <w:r w:rsidR="00E61637" w:rsidRPr="00025F23">
        <w:t xml:space="preserve">: Una variable se mueve de manera </w:t>
      </w:r>
      <w:r w:rsidR="00E61637" w:rsidRPr="00025F23">
        <w:rPr>
          <w:i/>
          <w:iCs/>
        </w:rPr>
        <w:t>procíclica</w:t>
      </w:r>
      <w:r w:rsidR="00E61637" w:rsidRPr="00025F23">
        <w:t xml:space="preserve"> respecto a las variables de referencia (el PIB) si evolucionan del mismo modo, es decir, si crece cuando lo hace la de referencia y decrece cuando lo hace la de referencia. En ca</w:t>
      </w:r>
      <w:r w:rsidRPr="00025F23">
        <w:t>s</w:t>
      </w:r>
      <w:r w:rsidR="00E61637" w:rsidRPr="00025F23">
        <w:t xml:space="preserve">o contrario se dice que la variable es </w:t>
      </w:r>
      <w:proofErr w:type="spellStart"/>
      <w:r w:rsidR="00E61637" w:rsidRPr="00025F23">
        <w:rPr>
          <w:i/>
          <w:iCs/>
        </w:rPr>
        <w:t>contracíclica</w:t>
      </w:r>
      <w:proofErr w:type="spellEnd"/>
      <w:r w:rsidR="00E61637" w:rsidRPr="00025F23">
        <w:t>.</w:t>
      </w:r>
      <w:r w:rsidR="000C6453" w:rsidRPr="00025F23">
        <w:t xml:space="preserve"> Su estudio se realiza midiendo la correlación entre </w:t>
      </w:r>
    </w:p>
    <w:p w14:paraId="3D22B094" w14:textId="77777777" w:rsidR="000C6453" w:rsidRPr="00025F23" w:rsidRDefault="000C6453" w:rsidP="000C6453">
      <w:pPr>
        <w:pStyle w:val="Nivel2"/>
      </w:pPr>
      <w:r w:rsidRPr="00025F23">
        <w:rPr>
          <w:i/>
          <w:iCs/>
          <w:u w:val="single"/>
        </w:rPr>
        <w:t>Volatilidad</w:t>
      </w:r>
      <w:r w:rsidRPr="00025F23">
        <w:t>: La amplitud o volatilidad de un ciclo es la distancia entre su valor medio y su cima o su fondo. La amplitud es una medida del tamaño de las fluctuaciones, es decir, de lo que la serie se desvía de su tendencia. Dado que en la realidad los ciclos no coinciden de manera exacta, utilizaremos las varianzas de las distintas series como medida de la volatilidad. Una variable se dice más volátil que la de referencia si su varianza supera la de la variable de referencia.</w:t>
      </w:r>
    </w:p>
    <w:p w14:paraId="1EEBCBD3" w14:textId="64E73913" w:rsidR="00E61637" w:rsidRPr="00025F23" w:rsidRDefault="00E61637" w:rsidP="00E61637">
      <w:pPr>
        <w:pStyle w:val="Nivel2"/>
      </w:pPr>
      <w:r w:rsidRPr="00025F23">
        <w:rPr>
          <w:i/>
          <w:iCs/>
          <w:u w:val="single"/>
        </w:rPr>
        <w:t xml:space="preserve">Adelanto </w:t>
      </w:r>
      <w:r w:rsidRPr="00025F23">
        <w:rPr>
          <w:u w:val="single"/>
        </w:rPr>
        <w:t xml:space="preserve">o </w:t>
      </w:r>
      <w:r w:rsidRPr="00025F23">
        <w:rPr>
          <w:i/>
          <w:iCs/>
          <w:u w:val="single"/>
        </w:rPr>
        <w:t>retardo</w:t>
      </w:r>
      <w:r w:rsidRPr="00025F23">
        <w:t xml:space="preserve">: En la medida en que la mayoría de las variables no son exactamente procíclicas ni </w:t>
      </w:r>
      <w:proofErr w:type="spellStart"/>
      <w:r w:rsidRPr="00025F23">
        <w:t>contracíclicas</w:t>
      </w:r>
      <w:proofErr w:type="spellEnd"/>
      <w:r w:rsidRPr="00025F23">
        <w:t xml:space="preserve"> se introduce otro punto de identificación, </w:t>
      </w:r>
      <w:r w:rsidRPr="00025F23">
        <w:rPr>
          <w:i/>
          <w:iCs/>
        </w:rPr>
        <w:t>adelanto o retardo</w:t>
      </w:r>
      <w:r w:rsidRPr="00025F23">
        <w:t xml:space="preserve">. Una variable </w:t>
      </w:r>
      <w:r w:rsidRPr="00025F23">
        <w:rPr>
          <w:i/>
          <w:iCs/>
        </w:rPr>
        <w:t>adelanta</w:t>
      </w:r>
      <w:r w:rsidRPr="00025F23">
        <w:t xml:space="preserve"> a la de referencia si describe ciclos como los de la de </w:t>
      </w:r>
      <w:r w:rsidR="0086381F" w:rsidRPr="00025F23">
        <w:t>referencia,</w:t>
      </w:r>
      <w:r w:rsidRPr="00025F23">
        <w:t xml:space="preserve"> pero se anticipa a su movimiento. Una variable se mueve con </w:t>
      </w:r>
      <w:r w:rsidRPr="00025F23">
        <w:rPr>
          <w:i/>
          <w:iCs/>
        </w:rPr>
        <w:t>retardo</w:t>
      </w:r>
      <w:r w:rsidRPr="00025F23">
        <w:t xml:space="preserve"> respecto a la de referencia si describe ciclos como los de la de referencia con retraso. Para evitar la ambigüedad, sólo se habla de adelanto o retardo cuando éste es inferior a medio ciclo.</w:t>
      </w:r>
    </w:p>
    <w:p w14:paraId="522EA328" w14:textId="5214175C" w:rsidR="00E61637" w:rsidRPr="00025F23" w:rsidRDefault="00E61637" w:rsidP="00E61637">
      <w:pPr>
        <w:pStyle w:val="Nivel2"/>
      </w:pPr>
      <w:r w:rsidRPr="00025F23">
        <w:rPr>
          <w:i/>
          <w:iCs/>
          <w:u w:val="single"/>
        </w:rPr>
        <w:t>Conformidad</w:t>
      </w:r>
      <w:r w:rsidRPr="00025F23">
        <w:t xml:space="preserve">: Decimos que dos series presentan un alto grado de conformidad si las relaciones de </w:t>
      </w:r>
      <w:proofErr w:type="spellStart"/>
      <w:r w:rsidRPr="00025F23">
        <w:t>comovimiento</w:t>
      </w:r>
      <w:proofErr w:type="spellEnd"/>
      <w:r w:rsidRPr="00025F23">
        <w:t xml:space="preserve"> hasta ahora enunciadas se mantienen constantes para toda la muestra. Decimos que presenta un grado bajo de conformidad si las relaciones de </w:t>
      </w:r>
      <w:proofErr w:type="spellStart"/>
      <w:r w:rsidRPr="00025F23">
        <w:t>comovimiento</w:t>
      </w:r>
      <w:proofErr w:type="spellEnd"/>
      <w:r w:rsidRPr="00025F23">
        <w:t xml:space="preserve"> son inestables, es decir, sin empiezan siendo procíclicas y al cabo de algunos ciclos se muestran </w:t>
      </w:r>
      <w:proofErr w:type="spellStart"/>
      <w:r w:rsidRPr="00025F23">
        <w:t>contracíclicas</w:t>
      </w:r>
      <w:proofErr w:type="spellEnd"/>
      <w:r w:rsidRPr="00025F23">
        <w:t>.</w:t>
      </w:r>
    </w:p>
    <w:p w14:paraId="67D0F890" w14:textId="56DCABD7" w:rsidR="007D2A3D" w:rsidRPr="00025F23" w:rsidRDefault="007D2A3D" w:rsidP="007D2A3D">
      <w:pPr>
        <w:pStyle w:val="Nivel2"/>
        <w:numPr>
          <w:ilvl w:val="0"/>
          <w:numId w:val="0"/>
        </w:numPr>
        <w:ind w:left="426"/>
        <w:rPr>
          <w:i/>
          <w:iCs/>
          <w:u w:val="single"/>
        </w:rPr>
      </w:pPr>
    </w:p>
    <w:p w14:paraId="6AB936C9" w14:textId="2060C368" w:rsidR="007D2A3D" w:rsidRPr="00025F23" w:rsidRDefault="007D2A3D" w:rsidP="007D2A3D">
      <w:pPr>
        <w:pStyle w:val="Nivel2"/>
        <w:numPr>
          <w:ilvl w:val="0"/>
          <w:numId w:val="0"/>
        </w:numPr>
        <w:ind w:left="426"/>
      </w:pPr>
      <w:r w:rsidRPr="00025F23">
        <w:rPr>
          <w:highlight w:val="yellow"/>
        </w:rPr>
        <w:t xml:space="preserve">Buscar imagen buena de </w:t>
      </w:r>
      <w:proofErr w:type="spellStart"/>
      <w:r w:rsidRPr="00025F23">
        <w:rPr>
          <w:highlight w:val="yellow"/>
        </w:rPr>
        <w:t>comovimientos</w:t>
      </w:r>
      <w:proofErr w:type="spellEnd"/>
    </w:p>
    <w:p w14:paraId="3B353730" w14:textId="7CDF9948" w:rsidR="006B5358" w:rsidRPr="00025F23" w:rsidRDefault="006B5358" w:rsidP="006B5358">
      <w:pPr>
        <w:pStyle w:val="Ttuloimagen"/>
        <w:rPr>
          <w:rFonts w:ascii="Book Antiqua" w:hAnsi="Book Antiqua"/>
          <w:i/>
          <w:iCs/>
          <w:smallCaps w:val="0"/>
        </w:rPr>
      </w:pPr>
      <w:r w:rsidRPr="00025F23">
        <w:rPr>
          <w:rFonts w:ascii="Book Antiqua" w:hAnsi="Book Antiqua"/>
        </w:rPr>
        <w:t>Imagen</w:t>
      </w:r>
      <w:r w:rsidR="00B77C3E" w:rsidRPr="00025F23">
        <w:rPr>
          <w:rFonts w:ascii="Book Antiqua" w:hAnsi="Book Antiqua"/>
        </w:rPr>
        <w:t> </w:t>
      </w:r>
      <w:r w:rsidRPr="00025F23">
        <w:rPr>
          <w:rFonts w:ascii="Book Antiqua" w:hAnsi="Book Antiqua"/>
        </w:rPr>
        <w:fldChar w:fldCharType="begin"/>
      </w:r>
      <w:r w:rsidRPr="00025F23">
        <w:rPr>
          <w:rFonts w:ascii="Book Antiqua" w:hAnsi="Book Antiqua"/>
        </w:rPr>
        <w:instrText xml:space="preserve"> SEQ Ilustración \* ARABIC </w:instrText>
      </w:r>
      <w:r w:rsidRPr="00025F23">
        <w:rPr>
          <w:rFonts w:ascii="Book Antiqua" w:hAnsi="Book Antiqua"/>
        </w:rPr>
        <w:fldChar w:fldCharType="separate"/>
      </w:r>
      <w:r w:rsidR="00903E0C">
        <w:rPr>
          <w:rFonts w:ascii="Book Antiqua" w:hAnsi="Book Antiqua"/>
        </w:rPr>
        <w:t>13</w:t>
      </w:r>
      <w:r w:rsidRPr="00025F23">
        <w:rPr>
          <w:rFonts w:ascii="Book Antiqua" w:hAnsi="Book Antiqua"/>
        </w:rPr>
        <w:fldChar w:fldCharType="end"/>
      </w:r>
      <w:r w:rsidRPr="00025F23">
        <w:rPr>
          <w:rFonts w:ascii="Book Antiqua" w:hAnsi="Book Antiqua"/>
        </w:rPr>
        <w:t>.–</w:t>
      </w:r>
      <w:r w:rsidRPr="00025F23">
        <w:rPr>
          <w:rFonts w:ascii="Book Antiqua" w:hAnsi="Book Antiqua"/>
          <w:smallCaps w:val="0"/>
        </w:rPr>
        <w:t xml:space="preserve"> </w:t>
      </w:r>
      <w:r w:rsidRPr="00025F23">
        <w:rPr>
          <w:rFonts w:ascii="Book Antiqua" w:hAnsi="Book Antiqua"/>
          <w:i/>
          <w:iCs/>
          <w:smallCaps w:val="0"/>
        </w:rPr>
        <w:t>Indicadores adelantados, coincidentes y retardados</w:t>
      </w:r>
    </w:p>
    <w:p w14:paraId="6354B740" w14:textId="25DC79C3" w:rsidR="00D51DB8" w:rsidRPr="00025F23" w:rsidRDefault="006B5358" w:rsidP="006B5358">
      <w:pPr>
        <w:pStyle w:val="Imagen"/>
      </w:pPr>
      <w:r w:rsidRPr="00025F23">
        <w:drawing>
          <wp:inline distT="0" distB="0" distL="0" distR="0" wp14:anchorId="1ABED23C" wp14:editId="011C88E3">
            <wp:extent cx="2661920" cy="1706860"/>
            <wp:effectExtent l="0" t="0" r="5080" b="8255"/>
            <wp:docPr id="2" name="Imagen 2"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pic:cNvPicPr>
                      <a:picLocks noChangeAspect="1" noChangeArrowheads="1"/>
                    </pic:cNvPicPr>
                  </pic:nvPicPr>
                  <pic:blipFill>
                    <a:blip r:embed="rId59">
                      <a:extLst>
                        <a:ext uri="{28A0092B-C50C-407E-A947-70E740481C1C}">
                          <a14:useLocalDpi xmlns:a14="http://schemas.microsoft.com/office/drawing/2010/main"/>
                        </a:ext>
                      </a:extLst>
                    </a:blip>
                    <a:srcRect/>
                    <a:stretch>
                      <a:fillRect/>
                    </a:stretch>
                  </pic:blipFill>
                  <pic:spPr bwMode="auto">
                    <a:xfrm>
                      <a:off x="0" y="0"/>
                      <a:ext cx="2673883" cy="1714531"/>
                    </a:xfrm>
                    <a:prstGeom prst="rect">
                      <a:avLst/>
                    </a:prstGeom>
                    <a:noFill/>
                    <a:ln>
                      <a:noFill/>
                    </a:ln>
                  </pic:spPr>
                </pic:pic>
              </a:graphicData>
            </a:graphic>
          </wp:inline>
        </w:drawing>
      </w:r>
      <w:bookmarkStart w:id="371" w:name="_Anexo_2:_Fórmulas"/>
      <w:bookmarkEnd w:id="371"/>
    </w:p>
    <w:p w14:paraId="1637EA2A" w14:textId="57F640C2" w:rsidR="006B5358" w:rsidRPr="00025F23" w:rsidRDefault="006B5358" w:rsidP="006B5358">
      <w:pPr>
        <w:pStyle w:val="Piedeimagen"/>
        <w:rPr>
          <w:i w:val="0"/>
          <w:iCs/>
        </w:rPr>
      </w:pPr>
      <w:r w:rsidRPr="00025F23">
        <w:t>Fuente</w:t>
      </w:r>
      <w:r w:rsidRPr="00025F23">
        <w:rPr>
          <w:i w:val="0"/>
          <w:iCs/>
        </w:rPr>
        <w:t xml:space="preserve">: </w:t>
      </w:r>
      <w:hyperlink r:id="rId60" w:history="1">
        <w:r w:rsidRPr="00025F23">
          <w:rPr>
            <w:rStyle w:val="Hipervnculo"/>
            <w:i w:val="0"/>
            <w:iCs/>
            <w:sz w:val="10"/>
            <w:szCs w:val="10"/>
          </w:rPr>
          <w:t>https://twitter.com/MichaelKantro/status/1540673222043226112?s=20&amp;t=FxLrkmN87Z2OcPDbL2xG3Q</w:t>
        </w:r>
      </w:hyperlink>
    </w:p>
    <w:p w14:paraId="71BAE4DE" w14:textId="75FFFBCE" w:rsidR="00A459DD" w:rsidRPr="00025F23" w:rsidRDefault="00821D36" w:rsidP="00F43619">
      <w:pPr>
        <w:pStyle w:val="Ttulo5"/>
        <w:spacing w:after="40"/>
        <w:rPr>
          <w:i w:val="0"/>
          <w:iCs w:val="0"/>
          <w:u w:val="none"/>
        </w:rPr>
      </w:pPr>
      <w:r w:rsidRPr="00025F23">
        <w:lastRenderedPageBreak/>
        <w:t>Anexo</w:t>
      </w:r>
      <w:r w:rsidR="00B77C3E" w:rsidRPr="00025F23">
        <w:t> </w:t>
      </w:r>
      <w:r w:rsidR="00F84330" w:rsidRPr="00025F23">
        <w:t>2</w:t>
      </w:r>
      <w:r w:rsidRPr="00025F23">
        <w:rPr>
          <w:i w:val="0"/>
          <w:iCs w:val="0"/>
          <w:u w:val="none"/>
        </w:rPr>
        <w:t>:</w:t>
      </w:r>
      <w:r w:rsidR="00A459DD" w:rsidRPr="00025F23">
        <w:rPr>
          <w:i w:val="0"/>
          <w:iCs w:val="0"/>
          <w:u w:val="none"/>
        </w:rPr>
        <w:t xml:space="preserve"> Tabla resumen de los hechos estilizados del ciclo</w:t>
      </w:r>
      <w:r w:rsidR="000A617E" w:rsidRPr="00025F23">
        <w:rPr>
          <w:i w:val="0"/>
          <w:iCs w:val="0"/>
          <w:spacing w:val="-6"/>
          <w:sz w:val="12"/>
          <w:szCs w:val="12"/>
          <w:u w:val="none"/>
        </w:rPr>
        <w:t xml:space="preserve"> </w:t>
      </w:r>
      <w:r w:rsidR="00EE58E7">
        <w:rPr>
          <w:i w:val="0"/>
          <w:iCs w:val="0"/>
          <w:spacing w:val="-6"/>
          <w:sz w:val="12"/>
          <w:szCs w:val="12"/>
          <w:u w:val="none"/>
        </w:rPr>
        <w:t>[</w:t>
      </w:r>
      <w:r w:rsidR="000A617E" w:rsidRPr="00025F23">
        <w:rPr>
          <w:i w:val="0"/>
          <w:iCs w:val="0"/>
          <w:spacing w:val="-6"/>
          <w:sz w:val="12"/>
          <w:szCs w:val="12"/>
          <w:u w:val="none"/>
        </w:rPr>
        <w:t>tema 3.A.4</w:t>
      </w:r>
      <w:r w:rsidR="00EE58E7">
        <w:rPr>
          <w:i w:val="0"/>
          <w:iCs w:val="0"/>
          <w:spacing w:val="-6"/>
          <w:sz w:val="12"/>
          <w:szCs w:val="12"/>
          <w:u w:val="none"/>
        </w:rPr>
        <w:t>2]</w:t>
      </w:r>
    </w:p>
    <w:tbl>
      <w:tblPr>
        <w:tblStyle w:val="Tablaconcuadrcula"/>
        <w:tblW w:w="5818" w:type="dxa"/>
        <w:tblInd w:w="-289" w:type="dxa"/>
        <w:tblBorders>
          <w:top w:val="single" w:sz="4" w:space="0" w:color="800000"/>
          <w:left w:val="single" w:sz="4" w:space="0" w:color="800000"/>
          <w:bottom w:val="single" w:sz="4" w:space="0" w:color="800000"/>
          <w:right w:val="single" w:sz="4" w:space="0" w:color="800000"/>
          <w:insideH w:val="single" w:sz="4" w:space="0" w:color="800000"/>
          <w:insideV w:val="single" w:sz="4" w:space="0" w:color="800000"/>
        </w:tblBorders>
        <w:tblLayout w:type="fixed"/>
        <w:tblLook w:val="04A0" w:firstRow="1" w:lastRow="0" w:firstColumn="1" w:lastColumn="0" w:noHBand="0" w:noVBand="1"/>
      </w:tblPr>
      <w:tblGrid>
        <w:gridCol w:w="1282"/>
        <w:gridCol w:w="1134"/>
        <w:gridCol w:w="1134"/>
        <w:gridCol w:w="1134"/>
        <w:gridCol w:w="1134"/>
      </w:tblGrid>
      <w:tr w:rsidR="000C6453" w:rsidRPr="00025F23" w14:paraId="731D7AD8" w14:textId="77777777" w:rsidTr="000C6453">
        <w:trPr>
          <w:trHeight w:val="390"/>
          <w:tblHeader/>
        </w:trPr>
        <w:tc>
          <w:tcPr>
            <w:tcW w:w="1282" w:type="dxa"/>
            <w:tcBorders>
              <w:top w:val="nil"/>
              <w:left w:val="nil"/>
              <w:bottom w:val="single" w:sz="12" w:space="0" w:color="800000"/>
              <w:right w:val="nil"/>
            </w:tcBorders>
            <w:vAlign w:val="center"/>
          </w:tcPr>
          <w:p w14:paraId="7EF988E9" w14:textId="77777777" w:rsidR="000C6453" w:rsidRPr="00025F23" w:rsidRDefault="000C6453" w:rsidP="000C6453">
            <w:pPr>
              <w:keepNext/>
              <w:spacing w:after="0"/>
              <w:jc w:val="center"/>
            </w:pPr>
          </w:p>
        </w:tc>
        <w:tc>
          <w:tcPr>
            <w:tcW w:w="1134" w:type="dxa"/>
            <w:tcBorders>
              <w:top w:val="single" w:sz="12" w:space="0" w:color="800000"/>
              <w:left w:val="nil"/>
              <w:bottom w:val="single" w:sz="12" w:space="0" w:color="800000"/>
            </w:tcBorders>
            <w:vAlign w:val="center"/>
          </w:tcPr>
          <w:p w14:paraId="7B19C710" w14:textId="77777777" w:rsidR="000C6453" w:rsidRPr="00025F23" w:rsidRDefault="000C6453" w:rsidP="000C6453">
            <w:pPr>
              <w:keepNext/>
              <w:spacing w:after="0"/>
              <w:jc w:val="center"/>
              <w:rPr>
                <w:i/>
                <w:iCs/>
                <w:color w:val="800000"/>
                <w:spacing w:val="-3"/>
              </w:rPr>
            </w:pPr>
            <w:r w:rsidRPr="00025F23">
              <w:rPr>
                <w:i/>
                <w:iCs/>
                <w:color w:val="800000"/>
                <w:spacing w:val="-3"/>
              </w:rPr>
              <w:t>Dirección</w:t>
            </w:r>
          </w:p>
        </w:tc>
        <w:tc>
          <w:tcPr>
            <w:tcW w:w="1134" w:type="dxa"/>
            <w:tcBorders>
              <w:top w:val="single" w:sz="12" w:space="0" w:color="800000"/>
              <w:bottom w:val="single" w:sz="12" w:space="0" w:color="800000"/>
            </w:tcBorders>
            <w:vAlign w:val="center"/>
          </w:tcPr>
          <w:p w14:paraId="291283E8" w14:textId="39862AAC" w:rsidR="000C6453" w:rsidRPr="00025F23" w:rsidRDefault="000C6453" w:rsidP="000C6453">
            <w:pPr>
              <w:keepNext/>
              <w:spacing w:after="0"/>
              <w:jc w:val="center"/>
              <w:rPr>
                <w:i/>
                <w:iCs/>
                <w:color w:val="800000"/>
                <w:spacing w:val="-3"/>
              </w:rPr>
            </w:pPr>
            <w:r w:rsidRPr="00025F23">
              <w:rPr>
                <w:i/>
                <w:iCs/>
                <w:color w:val="800000"/>
                <w:spacing w:val="-3"/>
              </w:rPr>
              <w:t>Volatilidad relativa al PIB</w:t>
            </w:r>
          </w:p>
        </w:tc>
        <w:tc>
          <w:tcPr>
            <w:tcW w:w="1134" w:type="dxa"/>
            <w:tcBorders>
              <w:top w:val="single" w:sz="12" w:space="0" w:color="800000"/>
              <w:bottom w:val="single" w:sz="12" w:space="0" w:color="800000"/>
            </w:tcBorders>
            <w:vAlign w:val="center"/>
          </w:tcPr>
          <w:p w14:paraId="46064C8E" w14:textId="3D596207" w:rsidR="000C6453" w:rsidRPr="00025F23" w:rsidRDefault="000C6453" w:rsidP="000C6453">
            <w:pPr>
              <w:keepNext/>
              <w:spacing w:after="0"/>
              <w:jc w:val="center"/>
              <w:rPr>
                <w:i/>
                <w:iCs/>
                <w:color w:val="800000"/>
                <w:spacing w:val="-3"/>
              </w:rPr>
            </w:pPr>
            <w:r w:rsidRPr="00025F23">
              <w:rPr>
                <w:i/>
                <w:iCs/>
                <w:color w:val="800000"/>
                <w:spacing w:val="-3"/>
              </w:rPr>
              <w:t>Retrasos</w:t>
            </w:r>
          </w:p>
        </w:tc>
        <w:tc>
          <w:tcPr>
            <w:tcW w:w="1134" w:type="dxa"/>
            <w:tcBorders>
              <w:top w:val="single" w:sz="12" w:space="0" w:color="800000"/>
              <w:bottom w:val="single" w:sz="12" w:space="0" w:color="800000"/>
              <w:right w:val="nil"/>
            </w:tcBorders>
            <w:vAlign w:val="center"/>
          </w:tcPr>
          <w:p w14:paraId="59C4EF4E" w14:textId="60053F56" w:rsidR="000C6453" w:rsidRPr="00025F23" w:rsidRDefault="000C6453" w:rsidP="000C6453">
            <w:pPr>
              <w:keepNext/>
              <w:spacing w:after="0"/>
              <w:jc w:val="center"/>
              <w:rPr>
                <w:i/>
                <w:iCs/>
                <w:color w:val="800000"/>
                <w:spacing w:val="-3"/>
              </w:rPr>
            </w:pPr>
            <w:r w:rsidRPr="00025F23">
              <w:rPr>
                <w:i/>
                <w:iCs/>
                <w:color w:val="800000"/>
                <w:spacing w:val="-3"/>
              </w:rPr>
              <w:t>Conformidad</w:t>
            </w:r>
          </w:p>
        </w:tc>
      </w:tr>
      <w:tr w:rsidR="000C6453" w:rsidRPr="00025F23" w14:paraId="46566305" w14:textId="77777777" w:rsidTr="000C6453">
        <w:trPr>
          <w:trHeight w:val="283"/>
        </w:trPr>
        <w:tc>
          <w:tcPr>
            <w:tcW w:w="1282" w:type="dxa"/>
            <w:tcBorders>
              <w:top w:val="single" w:sz="12" w:space="0" w:color="800000"/>
              <w:left w:val="nil"/>
            </w:tcBorders>
            <w:vAlign w:val="center"/>
          </w:tcPr>
          <w:p w14:paraId="4CFEA5CE" w14:textId="5412E1A2" w:rsidR="000C6453" w:rsidRPr="00025F23" w:rsidRDefault="000C6453" w:rsidP="000C6453">
            <w:pPr>
              <w:keepNext/>
              <w:spacing w:after="0"/>
              <w:jc w:val="right"/>
              <w:rPr>
                <w:i/>
                <w:iCs/>
                <w:color w:val="800000"/>
              </w:rPr>
            </w:pPr>
            <w:hyperlink w:anchor="_Consumo_privado_[Tema" w:history="1">
              <w:r w:rsidRPr="00025F23">
                <w:rPr>
                  <w:rStyle w:val="Hipervnculo"/>
                  <w:i/>
                  <w:iCs/>
                  <w:color w:val="800000"/>
                  <w:u w:val="none"/>
                </w:rPr>
                <w:t>Consumo</w:t>
              </w:r>
            </w:hyperlink>
          </w:p>
        </w:tc>
        <w:tc>
          <w:tcPr>
            <w:tcW w:w="1134" w:type="dxa"/>
            <w:tcBorders>
              <w:top w:val="single" w:sz="12" w:space="0" w:color="800000"/>
            </w:tcBorders>
            <w:vAlign w:val="center"/>
          </w:tcPr>
          <w:p w14:paraId="3D50B8C7" w14:textId="4E371217" w:rsidR="000C6453" w:rsidRPr="00025F23" w:rsidRDefault="000C6453" w:rsidP="000C6453">
            <w:pPr>
              <w:keepNext/>
              <w:spacing w:after="0"/>
              <w:jc w:val="center"/>
              <w:rPr>
                <w:color w:val="595959" w:themeColor="text1" w:themeTint="A6"/>
                <w:sz w:val="14"/>
                <w:szCs w:val="14"/>
              </w:rPr>
            </w:pPr>
            <w:r w:rsidRPr="00025F23">
              <w:rPr>
                <w:color w:val="595959" w:themeColor="text1" w:themeTint="A6"/>
                <w:sz w:val="14"/>
                <w:szCs w:val="14"/>
              </w:rPr>
              <w:t>Procíclico</w:t>
            </w:r>
          </w:p>
        </w:tc>
        <w:tc>
          <w:tcPr>
            <w:tcW w:w="1134" w:type="dxa"/>
            <w:tcBorders>
              <w:top w:val="single" w:sz="12" w:space="0" w:color="800000"/>
            </w:tcBorders>
            <w:vAlign w:val="center"/>
          </w:tcPr>
          <w:p w14:paraId="302F24AE" w14:textId="6B1FE5EB" w:rsidR="000C6453" w:rsidRPr="00025F23" w:rsidRDefault="000C6453" w:rsidP="000C6453">
            <w:pPr>
              <w:keepNext/>
              <w:spacing w:after="0"/>
              <w:jc w:val="center"/>
              <w:rPr>
                <w:color w:val="595959" w:themeColor="text1" w:themeTint="A6"/>
                <w:sz w:val="14"/>
                <w:szCs w:val="14"/>
              </w:rPr>
            </w:pPr>
            <w:r w:rsidRPr="00025F23">
              <w:rPr>
                <w:color w:val="595959" w:themeColor="text1" w:themeTint="A6"/>
                <w:sz w:val="14"/>
                <w:szCs w:val="14"/>
              </w:rPr>
              <w:t>Menos volátil</w:t>
            </w:r>
          </w:p>
        </w:tc>
        <w:tc>
          <w:tcPr>
            <w:tcW w:w="1134" w:type="dxa"/>
            <w:tcBorders>
              <w:top w:val="single" w:sz="12" w:space="0" w:color="800000"/>
            </w:tcBorders>
            <w:vAlign w:val="center"/>
          </w:tcPr>
          <w:p w14:paraId="602BBB0F" w14:textId="465B1B32" w:rsidR="000C6453" w:rsidRPr="00025F23" w:rsidRDefault="000C6453" w:rsidP="000C6453">
            <w:pPr>
              <w:keepNext/>
              <w:spacing w:after="0"/>
              <w:jc w:val="center"/>
              <w:rPr>
                <w:color w:val="595959" w:themeColor="text1" w:themeTint="A6"/>
                <w:sz w:val="14"/>
                <w:szCs w:val="14"/>
              </w:rPr>
            </w:pPr>
            <w:r w:rsidRPr="00025F23">
              <w:rPr>
                <w:color w:val="595959" w:themeColor="text1" w:themeTint="A6"/>
                <w:sz w:val="14"/>
                <w:szCs w:val="14"/>
              </w:rPr>
              <w:t>Simultáneo</w:t>
            </w:r>
          </w:p>
        </w:tc>
        <w:tc>
          <w:tcPr>
            <w:tcW w:w="1134" w:type="dxa"/>
            <w:vMerge w:val="restart"/>
            <w:tcBorders>
              <w:top w:val="single" w:sz="12" w:space="0" w:color="800000"/>
              <w:right w:val="nil"/>
            </w:tcBorders>
            <w:textDirection w:val="tbRl"/>
            <w:vAlign w:val="center"/>
          </w:tcPr>
          <w:p w14:paraId="7D447556" w14:textId="19A22932" w:rsidR="000C6453" w:rsidRPr="00025F23" w:rsidRDefault="000C6453" w:rsidP="000C6453">
            <w:pPr>
              <w:keepNext/>
              <w:spacing w:after="0"/>
              <w:ind w:left="113" w:right="113"/>
              <w:jc w:val="center"/>
              <w:rPr>
                <w:color w:val="595959" w:themeColor="text1" w:themeTint="A6"/>
                <w:sz w:val="14"/>
                <w:szCs w:val="14"/>
              </w:rPr>
            </w:pPr>
            <w:r w:rsidRPr="00025F23">
              <w:rPr>
                <w:color w:val="595959" w:themeColor="text1" w:themeTint="A6"/>
                <w:sz w:val="14"/>
                <w:szCs w:val="14"/>
              </w:rPr>
              <w:t>Depende de cada caso</w:t>
            </w:r>
          </w:p>
        </w:tc>
      </w:tr>
      <w:tr w:rsidR="000C6453" w:rsidRPr="00025F23" w14:paraId="218C871B" w14:textId="77777777" w:rsidTr="000C6453">
        <w:trPr>
          <w:trHeight w:val="283"/>
        </w:trPr>
        <w:tc>
          <w:tcPr>
            <w:tcW w:w="1282" w:type="dxa"/>
            <w:tcBorders>
              <w:left w:val="nil"/>
            </w:tcBorders>
            <w:vAlign w:val="center"/>
          </w:tcPr>
          <w:p w14:paraId="7B219D8A" w14:textId="4F925B99" w:rsidR="000C6453" w:rsidRPr="00025F23" w:rsidRDefault="000C6453" w:rsidP="000C6453">
            <w:pPr>
              <w:keepNext/>
              <w:spacing w:after="0"/>
              <w:jc w:val="right"/>
              <w:rPr>
                <w:i/>
                <w:iCs/>
                <w:color w:val="800000"/>
              </w:rPr>
            </w:pPr>
            <w:hyperlink w:anchor="_Inversión_privada_[Tema" w:history="1">
              <w:r w:rsidRPr="00025F23">
                <w:rPr>
                  <w:rStyle w:val="Hipervnculo"/>
                  <w:i/>
                  <w:iCs/>
                  <w:color w:val="800000"/>
                  <w:u w:val="none"/>
                </w:rPr>
                <w:t>Inversión</w:t>
              </w:r>
            </w:hyperlink>
          </w:p>
        </w:tc>
        <w:tc>
          <w:tcPr>
            <w:tcW w:w="1134" w:type="dxa"/>
            <w:vAlign w:val="center"/>
          </w:tcPr>
          <w:p w14:paraId="53869BB2" w14:textId="09753FBC" w:rsidR="000C6453" w:rsidRPr="00025F23" w:rsidRDefault="000C6453" w:rsidP="000C6453">
            <w:pPr>
              <w:keepNext/>
              <w:spacing w:after="0"/>
              <w:jc w:val="center"/>
              <w:rPr>
                <w:color w:val="595959" w:themeColor="text1" w:themeTint="A6"/>
                <w:sz w:val="14"/>
                <w:szCs w:val="14"/>
              </w:rPr>
            </w:pPr>
            <w:r w:rsidRPr="00025F23">
              <w:rPr>
                <w:color w:val="595959" w:themeColor="text1" w:themeTint="A6"/>
                <w:sz w:val="14"/>
                <w:szCs w:val="14"/>
              </w:rPr>
              <w:t>Procíclico</w:t>
            </w:r>
          </w:p>
        </w:tc>
        <w:tc>
          <w:tcPr>
            <w:tcW w:w="1134" w:type="dxa"/>
            <w:vAlign w:val="center"/>
          </w:tcPr>
          <w:p w14:paraId="3EDE170C" w14:textId="41C4559E" w:rsidR="000C6453" w:rsidRPr="00025F23" w:rsidRDefault="000C6453" w:rsidP="000C6453">
            <w:pPr>
              <w:keepNext/>
              <w:spacing w:after="0"/>
              <w:jc w:val="center"/>
              <w:rPr>
                <w:color w:val="595959" w:themeColor="text1" w:themeTint="A6"/>
                <w:sz w:val="14"/>
                <w:szCs w:val="14"/>
              </w:rPr>
            </w:pPr>
            <w:r w:rsidRPr="00025F23">
              <w:rPr>
                <w:color w:val="595959" w:themeColor="text1" w:themeTint="A6"/>
                <w:sz w:val="14"/>
                <w:szCs w:val="14"/>
              </w:rPr>
              <w:t>Más volátil</w:t>
            </w:r>
          </w:p>
        </w:tc>
        <w:tc>
          <w:tcPr>
            <w:tcW w:w="1134" w:type="dxa"/>
            <w:vAlign w:val="center"/>
          </w:tcPr>
          <w:p w14:paraId="53A5B875" w14:textId="1B9F070C" w:rsidR="000C6453" w:rsidRPr="00025F23" w:rsidRDefault="000C6453" w:rsidP="000C6453">
            <w:pPr>
              <w:keepNext/>
              <w:spacing w:after="0"/>
              <w:jc w:val="center"/>
              <w:rPr>
                <w:color w:val="595959" w:themeColor="text1" w:themeTint="A6"/>
                <w:sz w:val="14"/>
                <w:szCs w:val="14"/>
              </w:rPr>
            </w:pPr>
            <w:r w:rsidRPr="00025F23">
              <w:rPr>
                <w:color w:val="595959" w:themeColor="text1" w:themeTint="A6"/>
                <w:sz w:val="14"/>
                <w:szCs w:val="14"/>
              </w:rPr>
              <w:t>Adelantado</w:t>
            </w:r>
          </w:p>
        </w:tc>
        <w:tc>
          <w:tcPr>
            <w:tcW w:w="1134" w:type="dxa"/>
            <w:vMerge/>
            <w:tcBorders>
              <w:right w:val="nil"/>
            </w:tcBorders>
            <w:vAlign w:val="center"/>
          </w:tcPr>
          <w:p w14:paraId="489BF180" w14:textId="77777777" w:rsidR="000C6453" w:rsidRPr="00025F23" w:rsidRDefault="000C6453" w:rsidP="000C6453">
            <w:pPr>
              <w:keepNext/>
              <w:spacing w:after="0"/>
              <w:jc w:val="center"/>
              <w:rPr>
                <w:color w:val="595959" w:themeColor="text1" w:themeTint="A6"/>
                <w:sz w:val="14"/>
                <w:szCs w:val="14"/>
              </w:rPr>
            </w:pPr>
          </w:p>
        </w:tc>
      </w:tr>
      <w:tr w:rsidR="000C6453" w:rsidRPr="00025F23" w14:paraId="066A7254" w14:textId="77777777" w:rsidTr="000C6453">
        <w:trPr>
          <w:trHeight w:val="283"/>
        </w:trPr>
        <w:tc>
          <w:tcPr>
            <w:tcW w:w="1282" w:type="dxa"/>
            <w:tcBorders>
              <w:left w:val="nil"/>
            </w:tcBorders>
            <w:vAlign w:val="center"/>
          </w:tcPr>
          <w:p w14:paraId="2727D4DA" w14:textId="326E4287" w:rsidR="000C6453" w:rsidRPr="00025F23" w:rsidRDefault="000C6453" w:rsidP="000C6453">
            <w:pPr>
              <w:keepNext/>
              <w:spacing w:after="0"/>
              <w:jc w:val="right"/>
              <w:rPr>
                <w:i/>
                <w:iCs/>
                <w:color w:val="800000"/>
              </w:rPr>
            </w:pPr>
            <w:hyperlink w:anchor="_(Consumo_e_inversión" w:history="1">
              <w:r w:rsidRPr="00025F23">
                <w:rPr>
                  <w:rStyle w:val="Hipervnculo"/>
                  <w:i/>
                  <w:iCs/>
                  <w:color w:val="800000"/>
                  <w:u w:val="none"/>
                </w:rPr>
                <w:t>Gasto público</w:t>
              </w:r>
            </w:hyperlink>
          </w:p>
        </w:tc>
        <w:tc>
          <w:tcPr>
            <w:tcW w:w="1134" w:type="dxa"/>
            <w:vAlign w:val="center"/>
          </w:tcPr>
          <w:p w14:paraId="70CF03E9" w14:textId="1BDCB888" w:rsidR="000C6453" w:rsidRPr="00025F23" w:rsidRDefault="000C6453" w:rsidP="000C6453">
            <w:pPr>
              <w:keepNext/>
              <w:spacing w:after="0"/>
              <w:jc w:val="center"/>
              <w:rPr>
                <w:color w:val="595959" w:themeColor="text1" w:themeTint="A6"/>
                <w:sz w:val="14"/>
                <w:szCs w:val="14"/>
              </w:rPr>
            </w:pPr>
            <w:r w:rsidRPr="00025F23">
              <w:rPr>
                <w:color w:val="595959" w:themeColor="text1" w:themeTint="A6"/>
                <w:sz w:val="14"/>
                <w:szCs w:val="14"/>
                <w:highlight w:val="yellow"/>
              </w:rPr>
              <w:t>Anticíclico</w:t>
            </w:r>
          </w:p>
        </w:tc>
        <w:tc>
          <w:tcPr>
            <w:tcW w:w="1134" w:type="dxa"/>
            <w:vAlign w:val="center"/>
          </w:tcPr>
          <w:p w14:paraId="1AAA7914" w14:textId="77777777" w:rsidR="000C6453" w:rsidRPr="00025F23" w:rsidRDefault="000C6453" w:rsidP="000C6453">
            <w:pPr>
              <w:keepNext/>
              <w:spacing w:after="0"/>
              <w:jc w:val="center"/>
              <w:rPr>
                <w:color w:val="595959" w:themeColor="text1" w:themeTint="A6"/>
                <w:sz w:val="14"/>
                <w:szCs w:val="14"/>
                <w:highlight w:val="yellow"/>
              </w:rPr>
            </w:pPr>
          </w:p>
        </w:tc>
        <w:tc>
          <w:tcPr>
            <w:tcW w:w="1134" w:type="dxa"/>
            <w:vAlign w:val="center"/>
          </w:tcPr>
          <w:p w14:paraId="3E1D71F5" w14:textId="69271055" w:rsidR="000C6453" w:rsidRPr="00025F23" w:rsidRDefault="000C6453" w:rsidP="000C6453">
            <w:pPr>
              <w:keepNext/>
              <w:spacing w:after="0"/>
              <w:jc w:val="center"/>
              <w:rPr>
                <w:color w:val="595959" w:themeColor="text1" w:themeTint="A6"/>
                <w:sz w:val="14"/>
                <w:szCs w:val="14"/>
              </w:rPr>
            </w:pPr>
            <w:r w:rsidRPr="00025F23">
              <w:rPr>
                <w:color w:val="595959" w:themeColor="text1" w:themeTint="A6"/>
                <w:sz w:val="14"/>
                <w:szCs w:val="14"/>
                <w:highlight w:val="yellow"/>
              </w:rPr>
              <w:t>Retardado</w:t>
            </w:r>
          </w:p>
        </w:tc>
        <w:tc>
          <w:tcPr>
            <w:tcW w:w="1134" w:type="dxa"/>
            <w:vMerge/>
            <w:tcBorders>
              <w:right w:val="nil"/>
            </w:tcBorders>
            <w:vAlign w:val="center"/>
          </w:tcPr>
          <w:p w14:paraId="2730639E" w14:textId="77777777" w:rsidR="000C6453" w:rsidRPr="00025F23" w:rsidRDefault="000C6453" w:rsidP="000C6453">
            <w:pPr>
              <w:keepNext/>
              <w:spacing w:after="0"/>
              <w:jc w:val="center"/>
              <w:rPr>
                <w:color w:val="595959" w:themeColor="text1" w:themeTint="A6"/>
                <w:sz w:val="14"/>
                <w:szCs w:val="14"/>
              </w:rPr>
            </w:pPr>
          </w:p>
        </w:tc>
      </w:tr>
      <w:tr w:rsidR="000C6453" w:rsidRPr="00025F23" w14:paraId="559A115A" w14:textId="77777777" w:rsidTr="000C6453">
        <w:trPr>
          <w:trHeight w:val="283"/>
        </w:trPr>
        <w:tc>
          <w:tcPr>
            <w:tcW w:w="1282" w:type="dxa"/>
            <w:tcBorders>
              <w:left w:val="nil"/>
            </w:tcBorders>
            <w:vAlign w:val="center"/>
          </w:tcPr>
          <w:p w14:paraId="3CB0B065" w14:textId="1C710609" w:rsidR="000C6453" w:rsidRPr="00025F23" w:rsidRDefault="000C6453" w:rsidP="000C6453">
            <w:pPr>
              <w:keepNext/>
              <w:spacing w:after="0"/>
              <w:jc w:val="right"/>
              <w:rPr>
                <w:i/>
                <w:iCs/>
                <w:color w:val="800000"/>
              </w:rPr>
            </w:pPr>
            <w:hyperlink w:anchor="_Demanda_externa" w:history="1">
              <w:r w:rsidRPr="00025F23">
                <w:rPr>
                  <w:rStyle w:val="Hipervnculo"/>
                  <w:i/>
                  <w:iCs/>
                  <w:color w:val="800000"/>
                  <w:u w:val="none"/>
                </w:rPr>
                <w:t>Comercio</w:t>
              </w:r>
            </w:hyperlink>
          </w:p>
        </w:tc>
        <w:tc>
          <w:tcPr>
            <w:tcW w:w="1134" w:type="dxa"/>
            <w:vAlign w:val="center"/>
          </w:tcPr>
          <w:p w14:paraId="3CFAB49D" w14:textId="345968FB" w:rsidR="000C6453" w:rsidRPr="00025F23" w:rsidRDefault="000C6453" w:rsidP="000C6453">
            <w:pPr>
              <w:keepNext/>
              <w:spacing w:after="0"/>
              <w:jc w:val="center"/>
              <w:rPr>
                <w:color w:val="595959" w:themeColor="text1" w:themeTint="A6"/>
                <w:sz w:val="14"/>
                <w:szCs w:val="14"/>
              </w:rPr>
            </w:pPr>
            <w:r w:rsidRPr="00025F23">
              <w:rPr>
                <w:color w:val="595959" w:themeColor="text1" w:themeTint="A6"/>
                <w:sz w:val="14"/>
                <w:szCs w:val="14"/>
              </w:rPr>
              <w:t>Anticíclico</w:t>
            </w:r>
          </w:p>
        </w:tc>
        <w:tc>
          <w:tcPr>
            <w:tcW w:w="1134" w:type="dxa"/>
            <w:vAlign w:val="center"/>
          </w:tcPr>
          <w:p w14:paraId="5820628E" w14:textId="77777777" w:rsidR="000C6453" w:rsidRPr="00025F23" w:rsidRDefault="000C6453" w:rsidP="000C6453">
            <w:pPr>
              <w:keepNext/>
              <w:spacing w:after="0"/>
              <w:jc w:val="center"/>
              <w:rPr>
                <w:color w:val="595959" w:themeColor="text1" w:themeTint="A6"/>
                <w:sz w:val="14"/>
                <w:szCs w:val="14"/>
              </w:rPr>
            </w:pPr>
          </w:p>
        </w:tc>
        <w:tc>
          <w:tcPr>
            <w:tcW w:w="1134" w:type="dxa"/>
            <w:vAlign w:val="center"/>
          </w:tcPr>
          <w:p w14:paraId="616BEF27" w14:textId="18F3B2D5" w:rsidR="000C6453" w:rsidRPr="00025F23" w:rsidRDefault="000C6453" w:rsidP="000C6453">
            <w:pPr>
              <w:keepNext/>
              <w:spacing w:after="0"/>
              <w:jc w:val="center"/>
              <w:rPr>
                <w:color w:val="595959" w:themeColor="text1" w:themeTint="A6"/>
                <w:sz w:val="14"/>
                <w:szCs w:val="14"/>
              </w:rPr>
            </w:pPr>
          </w:p>
        </w:tc>
        <w:tc>
          <w:tcPr>
            <w:tcW w:w="1134" w:type="dxa"/>
            <w:vMerge/>
            <w:tcBorders>
              <w:right w:val="nil"/>
            </w:tcBorders>
            <w:vAlign w:val="center"/>
          </w:tcPr>
          <w:p w14:paraId="364A25D4" w14:textId="77777777" w:rsidR="000C6453" w:rsidRPr="00025F23" w:rsidRDefault="000C6453" w:rsidP="000C6453">
            <w:pPr>
              <w:keepNext/>
              <w:spacing w:after="0"/>
              <w:jc w:val="center"/>
              <w:rPr>
                <w:color w:val="595959" w:themeColor="text1" w:themeTint="A6"/>
                <w:sz w:val="14"/>
                <w:szCs w:val="14"/>
              </w:rPr>
            </w:pPr>
          </w:p>
        </w:tc>
      </w:tr>
      <w:tr w:rsidR="000C6453" w:rsidRPr="00025F23" w14:paraId="0B9E7EEE" w14:textId="77777777" w:rsidTr="000C6453">
        <w:trPr>
          <w:trHeight w:val="283"/>
        </w:trPr>
        <w:tc>
          <w:tcPr>
            <w:tcW w:w="1282" w:type="dxa"/>
            <w:tcBorders>
              <w:left w:val="nil"/>
            </w:tcBorders>
            <w:vAlign w:val="center"/>
          </w:tcPr>
          <w:p w14:paraId="7B366A58" w14:textId="4662759C" w:rsidR="000C6453" w:rsidRPr="00025F23" w:rsidRDefault="000C6453" w:rsidP="000C6453">
            <w:pPr>
              <w:keepNext/>
              <w:spacing w:after="0"/>
              <w:jc w:val="right"/>
              <w:rPr>
                <w:i/>
                <w:iCs/>
                <w:color w:val="800000"/>
              </w:rPr>
            </w:pPr>
            <w:hyperlink w:anchor="_Mercado_de_trabajo" w:history="1">
              <w:r w:rsidRPr="00025F23">
                <w:rPr>
                  <w:rStyle w:val="Hipervnculo"/>
                  <w:i/>
                  <w:iCs/>
                  <w:color w:val="800000"/>
                  <w:u w:val="none"/>
                </w:rPr>
                <w:t>Empleo</w:t>
              </w:r>
            </w:hyperlink>
          </w:p>
        </w:tc>
        <w:tc>
          <w:tcPr>
            <w:tcW w:w="1134" w:type="dxa"/>
            <w:vAlign w:val="center"/>
          </w:tcPr>
          <w:p w14:paraId="719AB398" w14:textId="77777777" w:rsidR="000C6453" w:rsidRPr="00025F23" w:rsidRDefault="000C6453" w:rsidP="000C6453">
            <w:pPr>
              <w:keepNext/>
              <w:spacing w:after="0"/>
              <w:jc w:val="center"/>
              <w:rPr>
                <w:color w:val="595959" w:themeColor="text1" w:themeTint="A6"/>
                <w:sz w:val="14"/>
                <w:szCs w:val="14"/>
              </w:rPr>
            </w:pPr>
          </w:p>
        </w:tc>
        <w:tc>
          <w:tcPr>
            <w:tcW w:w="1134" w:type="dxa"/>
            <w:vAlign w:val="center"/>
          </w:tcPr>
          <w:p w14:paraId="3FB45052" w14:textId="77777777" w:rsidR="000C6453" w:rsidRPr="00025F23" w:rsidRDefault="000C6453" w:rsidP="000C6453">
            <w:pPr>
              <w:keepNext/>
              <w:spacing w:after="0"/>
              <w:jc w:val="center"/>
              <w:rPr>
                <w:color w:val="595959" w:themeColor="text1" w:themeTint="A6"/>
                <w:sz w:val="14"/>
                <w:szCs w:val="14"/>
              </w:rPr>
            </w:pPr>
          </w:p>
        </w:tc>
        <w:tc>
          <w:tcPr>
            <w:tcW w:w="1134" w:type="dxa"/>
            <w:vAlign w:val="center"/>
          </w:tcPr>
          <w:p w14:paraId="56E8B159" w14:textId="6D71BEDF" w:rsidR="000C6453" w:rsidRPr="00025F23" w:rsidRDefault="000C6453" w:rsidP="000C6453">
            <w:pPr>
              <w:keepNext/>
              <w:spacing w:after="0"/>
              <w:jc w:val="center"/>
              <w:rPr>
                <w:color w:val="595959" w:themeColor="text1" w:themeTint="A6"/>
                <w:sz w:val="14"/>
                <w:szCs w:val="14"/>
              </w:rPr>
            </w:pPr>
          </w:p>
        </w:tc>
        <w:tc>
          <w:tcPr>
            <w:tcW w:w="1134" w:type="dxa"/>
            <w:vMerge/>
            <w:tcBorders>
              <w:right w:val="nil"/>
            </w:tcBorders>
            <w:vAlign w:val="center"/>
          </w:tcPr>
          <w:p w14:paraId="6EE2BDF6" w14:textId="77777777" w:rsidR="000C6453" w:rsidRPr="00025F23" w:rsidRDefault="000C6453" w:rsidP="000C6453">
            <w:pPr>
              <w:keepNext/>
              <w:spacing w:after="0"/>
              <w:jc w:val="center"/>
              <w:rPr>
                <w:color w:val="595959" w:themeColor="text1" w:themeTint="A6"/>
                <w:sz w:val="14"/>
                <w:szCs w:val="14"/>
              </w:rPr>
            </w:pPr>
          </w:p>
        </w:tc>
      </w:tr>
      <w:tr w:rsidR="000C6453" w:rsidRPr="00025F23" w14:paraId="489C3FB9" w14:textId="77777777" w:rsidTr="000C6453">
        <w:trPr>
          <w:trHeight w:val="283"/>
        </w:trPr>
        <w:tc>
          <w:tcPr>
            <w:tcW w:w="1282" w:type="dxa"/>
            <w:tcBorders>
              <w:left w:val="nil"/>
            </w:tcBorders>
            <w:vAlign w:val="center"/>
          </w:tcPr>
          <w:p w14:paraId="3AB6916C" w14:textId="15862E6C" w:rsidR="000C6453" w:rsidRPr="00025F23" w:rsidRDefault="000C6453" w:rsidP="000C6453">
            <w:pPr>
              <w:keepNext/>
              <w:spacing w:after="0"/>
              <w:jc w:val="right"/>
              <w:rPr>
                <w:i/>
                <w:iCs/>
                <w:color w:val="800000"/>
              </w:rPr>
            </w:pPr>
            <w:hyperlink w:anchor="_Productividad_del_trabajo" w:history="1">
              <w:r w:rsidRPr="00025F23">
                <w:rPr>
                  <w:rStyle w:val="Hipervnculo"/>
                  <w:i/>
                  <w:iCs/>
                  <w:color w:val="800000"/>
                  <w:u w:val="none"/>
                </w:rPr>
                <w:t>Productividad del trabajo</w:t>
              </w:r>
            </w:hyperlink>
          </w:p>
        </w:tc>
        <w:tc>
          <w:tcPr>
            <w:tcW w:w="1134" w:type="dxa"/>
            <w:vAlign w:val="center"/>
          </w:tcPr>
          <w:p w14:paraId="08F5B45B" w14:textId="77777777" w:rsidR="000C6453" w:rsidRPr="00025F23" w:rsidRDefault="000C6453" w:rsidP="000C6453">
            <w:pPr>
              <w:keepNext/>
              <w:spacing w:after="0"/>
              <w:jc w:val="center"/>
              <w:rPr>
                <w:color w:val="595959" w:themeColor="text1" w:themeTint="A6"/>
                <w:sz w:val="14"/>
                <w:szCs w:val="14"/>
              </w:rPr>
            </w:pPr>
          </w:p>
        </w:tc>
        <w:tc>
          <w:tcPr>
            <w:tcW w:w="1134" w:type="dxa"/>
            <w:vAlign w:val="center"/>
          </w:tcPr>
          <w:p w14:paraId="0260760F" w14:textId="77777777" w:rsidR="000C6453" w:rsidRPr="00025F23" w:rsidRDefault="000C6453" w:rsidP="000C6453">
            <w:pPr>
              <w:keepNext/>
              <w:spacing w:after="0"/>
              <w:jc w:val="center"/>
              <w:rPr>
                <w:color w:val="595959" w:themeColor="text1" w:themeTint="A6"/>
                <w:sz w:val="14"/>
                <w:szCs w:val="14"/>
              </w:rPr>
            </w:pPr>
          </w:p>
        </w:tc>
        <w:tc>
          <w:tcPr>
            <w:tcW w:w="1134" w:type="dxa"/>
            <w:vAlign w:val="center"/>
          </w:tcPr>
          <w:p w14:paraId="5514AB8C" w14:textId="037A356E" w:rsidR="000C6453" w:rsidRPr="00025F23" w:rsidRDefault="000C6453" w:rsidP="000C6453">
            <w:pPr>
              <w:keepNext/>
              <w:spacing w:after="0"/>
              <w:jc w:val="center"/>
              <w:rPr>
                <w:color w:val="595959" w:themeColor="text1" w:themeTint="A6"/>
                <w:sz w:val="14"/>
                <w:szCs w:val="14"/>
              </w:rPr>
            </w:pPr>
          </w:p>
        </w:tc>
        <w:tc>
          <w:tcPr>
            <w:tcW w:w="1134" w:type="dxa"/>
            <w:vMerge/>
            <w:tcBorders>
              <w:right w:val="nil"/>
            </w:tcBorders>
            <w:vAlign w:val="center"/>
          </w:tcPr>
          <w:p w14:paraId="23066D4F" w14:textId="77777777" w:rsidR="000C6453" w:rsidRPr="00025F23" w:rsidRDefault="000C6453" w:rsidP="000C6453">
            <w:pPr>
              <w:keepNext/>
              <w:spacing w:after="0"/>
              <w:jc w:val="center"/>
              <w:rPr>
                <w:color w:val="595959" w:themeColor="text1" w:themeTint="A6"/>
                <w:sz w:val="14"/>
                <w:szCs w:val="14"/>
              </w:rPr>
            </w:pPr>
          </w:p>
        </w:tc>
      </w:tr>
      <w:tr w:rsidR="000C6453" w:rsidRPr="00025F23" w14:paraId="12DA67A0" w14:textId="77777777" w:rsidTr="000C6453">
        <w:trPr>
          <w:trHeight w:val="283"/>
        </w:trPr>
        <w:tc>
          <w:tcPr>
            <w:tcW w:w="1282" w:type="dxa"/>
            <w:tcBorders>
              <w:left w:val="nil"/>
            </w:tcBorders>
            <w:vAlign w:val="center"/>
          </w:tcPr>
          <w:p w14:paraId="09972579" w14:textId="0700CA1A" w:rsidR="000C6453" w:rsidRPr="00025F23" w:rsidRDefault="000C6453" w:rsidP="000C6453">
            <w:pPr>
              <w:keepNext/>
              <w:spacing w:after="0"/>
              <w:jc w:val="right"/>
              <w:rPr>
                <w:i/>
                <w:iCs/>
                <w:color w:val="800000"/>
                <w:szCs w:val="16"/>
              </w:rPr>
            </w:pPr>
            <w:hyperlink w:anchor="_Productividad_del_trabajo" w:history="1">
              <w:r w:rsidRPr="00025F23">
                <w:rPr>
                  <w:rStyle w:val="Hipervnculo"/>
                  <w:i/>
                  <w:iCs/>
                  <w:color w:val="800000"/>
                  <w:szCs w:val="16"/>
                  <w:u w:val="none"/>
                </w:rPr>
                <w:t>Inflación</w:t>
              </w:r>
            </w:hyperlink>
          </w:p>
        </w:tc>
        <w:tc>
          <w:tcPr>
            <w:tcW w:w="1134" w:type="dxa"/>
            <w:vAlign w:val="center"/>
          </w:tcPr>
          <w:p w14:paraId="06853DF8" w14:textId="77777777" w:rsidR="000C6453" w:rsidRPr="00025F23" w:rsidRDefault="000C6453" w:rsidP="000C6453">
            <w:pPr>
              <w:keepNext/>
              <w:spacing w:after="0"/>
              <w:jc w:val="center"/>
              <w:rPr>
                <w:color w:val="595959" w:themeColor="text1" w:themeTint="A6"/>
                <w:sz w:val="14"/>
                <w:szCs w:val="14"/>
              </w:rPr>
            </w:pPr>
          </w:p>
        </w:tc>
        <w:tc>
          <w:tcPr>
            <w:tcW w:w="1134" w:type="dxa"/>
            <w:vAlign w:val="center"/>
          </w:tcPr>
          <w:p w14:paraId="48C08A9D" w14:textId="77777777" w:rsidR="000C6453" w:rsidRPr="00025F23" w:rsidRDefault="000C6453" w:rsidP="000C6453">
            <w:pPr>
              <w:keepNext/>
              <w:spacing w:after="0"/>
              <w:jc w:val="center"/>
              <w:rPr>
                <w:color w:val="595959" w:themeColor="text1" w:themeTint="A6"/>
                <w:sz w:val="14"/>
                <w:szCs w:val="14"/>
              </w:rPr>
            </w:pPr>
          </w:p>
        </w:tc>
        <w:tc>
          <w:tcPr>
            <w:tcW w:w="1134" w:type="dxa"/>
            <w:vAlign w:val="center"/>
          </w:tcPr>
          <w:p w14:paraId="40A7109C" w14:textId="499DE0A9" w:rsidR="000C6453" w:rsidRPr="00025F23" w:rsidRDefault="000C6453" w:rsidP="000C6453">
            <w:pPr>
              <w:keepNext/>
              <w:spacing w:after="0"/>
              <w:jc w:val="center"/>
              <w:rPr>
                <w:color w:val="595959" w:themeColor="text1" w:themeTint="A6"/>
                <w:sz w:val="14"/>
                <w:szCs w:val="14"/>
              </w:rPr>
            </w:pPr>
          </w:p>
        </w:tc>
        <w:tc>
          <w:tcPr>
            <w:tcW w:w="1134" w:type="dxa"/>
            <w:vMerge/>
            <w:tcBorders>
              <w:right w:val="nil"/>
            </w:tcBorders>
            <w:vAlign w:val="center"/>
          </w:tcPr>
          <w:p w14:paraId="629BECDB" w14:textId="77777777" w:rsidR="000C6453" w:rsidRPr="00025F23" w:rsidRDefault="000C6453" w:rsidP="000C6453">
            <w:pPr>
              <w:keepNext/>
              <w:spacing w:after="0"/>
              <w:jc w:val="center"/>
              <w:rPr>
                <w:color w:val="595959" w:themeColor="text1" w:themeTint="A6"/>
                <w:sz w:val="14"/>
                <w:szCs w:val="14"/>
              </w:rPr>
            </w:pPr>
          </w:p>
        </w:tc>
      </w:tr>
      <w:tr w:rsidR="000C6453" w:rsidRPr="00025F23" w14:paraId="61025160" w14:textId="77777777" w:rsidTr="000C6453">
        <w:trPr>
          <w:trHeight w:val="283"/>
        </w:trPr>
        <w:tc>
          <w:tcPr>
            <w:tcW w:w="1282" w:type="dxa"/>
            <w:tcBorders>
              <w:left w:val="nil"/>
            </w:tcBorders>
            <w:vAlign w:val="center"/>
          </w:tcPr>
          <w:p w14:paraId="7D46F044" w14:textId="46F5FFBF" w:rsidR="000C6453" w:rsidRPr="00025F23" w:rsidRDefault="000C6453" w:rsidP="000C6453">
            <w:pPr>
              <w:keepNext/>
              <w:spacing w:after="0"/>
              <w:jc w:val="right"/>
              <w:rPr>
                <w:i/>
                <w:iCs/>
                <w:color w:val="800000"/>
                <w:szCs w:val="16"/>
              </w:rPr>
            </w:pPr>
            <w:r w:rsidRPr="00025F23">
              <w:rPr>
                <w:i/>
                <w:iCs/>
                <w:color w:val="800000"/>
                <w:szCs w:val="16"/>
              </w:rPr>
              <w:t>Tipos de interés</w:t>
            </w:r>
          </w:p>
        </w:tc>
        <w:tc>
          <w:tcPr>
            <w:tcW w:w="1134" w:type="dxa"/>
            <w:vAlign w:val="center"/>
          </w:tcPr>
          <w:p w14:paraId="257C6328" w14:textId="77777777" w:rsidR="000C6453" w:rsidRPr="00025F23" w:rsidRDefault="000C6453" w:rsidP="000C6453">
            <w:pPr>
              <w:keepNext/>
              <w:spacing w:after="0"/>
              <w:jc w:val="center"/>
              <w:rPr>
                <w:color w:val="595959" w:themeColor="text1" w:themeTint="A6"/>
                <w:sz w:val="14"/>
                <w:szCs w:val="14"/>
              </w:rPr>
            </w:pPr>
          </w:p>
        </w:tc>
        <w:tc>
          <w:tcPr>
            <w:tcW w:w="1134" w:type="dxa"/>
            <w:vAlign w:val="center"/>
          </w:tcPr>
          <w:p w14:paraId="18DEBB1C" w14:textId="77777777" w:rsidR="000C6453" w:rsidRPr="00025F23" w:rsidRDefault="000C6453" w:rsidP="000C6453">
            <w:pPr>
              <w:keepNext/>
              <w:spacing w:after="0"/>
              <w:jc w:val="center"/>
              <w:rPr>
                <w:color w:val="595959" w:themeColor="text1" w:themeTint="A6"/>
                <w:sz w:val="14"/>
                <w:szCs w:val="14"/>
              </w:rPr>
            </w:pPr>
          </w:p>
        </w:tc>
        <w:tc>
          <w:tcPr>
            <w:tcW w:w="1134" w:type="dxa"/>
            <w:vAlign w:val="center"/>
          </w:tcPr>
          <w:p w14:paraId="2FF4B226" w14:textId="1D928400" w:rsidR="000C6453" w:rsidRPr="00025F23" w:rsidRDefault="000C6453" w:rsidP="000C6453">
            <w:pPr>
              <w:keepNext/>
              <w:spacing w:after="0"/>
              <w:jc w:val="center"/>
              <w:rPr>
                <w:color w:val="595959" w:themeColor="text1" w:themeTint="A6"/>
                <w:sz w:val="14"/>
                <w:szCs w:val="14"/>
              </w:rPr>
            </w:pPr>
          </w:p>
        </w:tc>
        <w:tc>
          <w:tcPr>
            <w:tcW w:w="1134" w:type="dxa"/>
            <w:vMerge/>
            <w:tcBorders>
              <w:right w:val="nil"/>
            </w:tcBorders>
            <w:vAlign w:val="center"/>
          </w:tcPr>
          <w:p w14:paraId="4DC0301B" w14:textId="77777777" w:rsidR="000C6453" w:rsidRPr="00025F23" w:rsidRDefault="000C6453" w:rsidP="000C6453">
            <w:pPr>
              <w:keepNext/>
              <w:spacing w:after="0"/>
              <w:jc w:val="center"/>
              <w:rPr>
                <w:color w:val="595959" w:themeColor="text1" w:themeTint="A6"/>
                <w:sz w:val="14"/>
                <w:szCs w:val="14"/>
              </w:rPr>
            </w:pPr>
          </w:p>
        </w:tc>
      </w:tr>
      <w:tr w:rsidR="000C6453" w:rsidRPr="00025F23" w14:paraId="4430B639" w14:textId="77777777" w:rsidTr="000C6453">
        <w:trPr>
          <w:trHeight w:val="283"/>
        </w:trPr>
        <w:tc>
          <w:tcPr>
            <w:tcW w:w="1282" w:type="dxa"/>
            <w:tcBorders>
              <w:left w:val="nil"/>
              <w:bottom w:val="single" w:sz="12" w:space="0" w:color="800000"/>
            </w:tcBorders>
            <w:vAlign w:val="center"/>
          </w:tcPr>
          <w:p w14:paraId="0015C270" w14:textId="33093014" w:rsidR="000C6453" w:rsidRPr="00025F23" w:rsidRDefault="000C6453" w:rsidP="000C6453">
            <w:pPr>
              <w:spacing w:after="0"/>
              <w:jc w:val="right"/>
              <w:rPr>
                <w:i/>
                <w:iCs/>
                <w:color w:val="800000"/>
              </w:rPr>
            </w:pPr>
            <w:hyperlink w:anchor="_Salarios_y_Costes" w:history="1">
              <w:r w:rsidRPr="00025F23">
                <w:rPr>
                  <w:rStyle w:val="Hipervnculo"/>
                  <w:i/>
                  <w:iCs/>
                  <w:color w:val="800000"/>
                  <w:u w:val="none"/>
                </w:rPr>
                <w:t>Salario real</w:t>
              </w:r>
            </w:hyperlink>
          </w:p>
        </w:tc>
        <w:tc>
          <w:tcPr>
            <w:tcW w:w="1134" w:type="dxa"/>
            <w:tcBorders>
              <w:bottom w:val="single" w:sz="12" w:space="0" w:color="800000"/>
            </w:tcBorders>
            <w:vAlign w:val="center"/>
          </w:tcPr>
          <w:p w14:paraId="5DD0F6FC" w14:textId="77777777" w:rsidR="000C6453" w:rsidRPr="00025F23" w:rsidRDefault="000C6453" w:rsidP="000C6453">
            <w:pPr>
              <w:spacing w:after="0"/>
              <w:jc w:val="center"/>
              <w:rPr>
                <w:color w:val="595959" w:themeColor="text1" w:themeTint="A6"/>
                <w:sz w:val="14"/>
                <w:szCs w:val="14"/>
              </w:rPr>
            </w:pPr>
          </w:p>
        </w:tc>
        <w:tc>
          <w:tcPr>
            <w:tcW w:w="1134" w:type="dxa"/>
            <w:tcBorders>
              <w:bottom w:val="single" w:sz="12" w:space="0" w:color="800000"/>
            </w:tcBorders>
            <w:vAlign w:val="center"/>
          </w:tcPr>
          <w:p w14:paraId="70617D04" w14:textId="77777777" w:rsidR="000C6453" w:rsidRPr="00025F23" w:rsidRDefault="000C6453" w:rsidP="000C6453">
            <w:pPr>
              <w:spacing w:after="0"/>
              <w:jc w:val="center"/>
              <w:rPr>
                <w:color w:val="595959" w:themeColor="text1" w:themeTint="A6"/>
                <w:sz w:val="14"/>
                <w:szCs w:val="14"/>
              </w:rPr>
            </w:pPr>
          </w:p>
        </w:tc>
        <w:tc>
          <w:tcPr>
            <w:tcW w:w="1134" w:type="dxa"/>
            <w:tcBorders>
              <w:bottom w:val="single" w:sz="12" w:space="0" w:color="800000"/>
            </w:tcBorders>
            <w:vAlign w:val="center"/>
          </w:tcPr>
          <w:p w14:paraId="34A01982" w14:textId="33BCE31C" w:rsidR="000C6453" w:rsidRPr="00025F23" w:rsidRDefault="000C6453" w:rsidP="000C6453">
            <w:pPr>
              <w:spacing w:after="0"/>
              <w:jc w:val="center"/>
              <w:rPr>
                <w:color w:val="595959" w:themeColor="text1" w:themeTint="A6"/>
                <w:sz w:val="14"/>
                <w:szCs w:val="14"/>
              </w:rPr>
            </w:pPr>
          </w:p>
        </w:tc>
        <w:tc>
          <w:tcPr>
            <w:tcW w:w="1134" w:type="dxa"/>
            <w:vMerge/>
            <w:tcBorders>
              <w:bottom w:val="single" w:sz="12" w:space="0" w:color="800000"/>
              <w:right w:val="nil"/>
            </w:tcBorders>
            <w:vAlign w:val="center"/>
          </w:tcPr>
          <w:p w14:paraId="6E83751C" w14:textId="77777777" w:rsidR="000C6453" w:rsidRPr="00025F23" w:rsidRDefault="000C6453" w:rsidP="000C6453">
            <w:pPr>
              <w:spacing w:after="0"/>
              <w:jc w:val="center"/>
              <w:rPr>
                <w:color w:val="595959" w:themeColor="text1" w:themeTint="A6"/>
                <w:sz w:val="14"/>
                <w:szCs w:val="14"/>
              </w:rPr>
            </w:pPr>
          </w:p>
        </w:tc>
      </w:tr>
    </w:tbl>
    <w:p w14:paraId="2F372DD1" w14:textId="5D03C72C" w:rsidR="00D51DB8" w:rsidRPr="00025F23" w:rsidRDefault="00D51DB8" w:rsidP="00F43619">
      <w:pPr>
        <w:pStyle w:val="Ttulo5"/>
        <w:spacing w:before="80"/>
        <w:rPr>
          <w:i w:val="0"/>
          <w:iCs w:val="0"/>
          <w:u w:val="none"/>
        </w:rPr>
      </w:pPr>
      <w:r w:rsidRPr="00025F23">
        <w:t>Anexo</w:t>
      </w:r>
      <w:r w:rsidR="00B77C3E" w:rsidRPr="00025F23">
        <w:t> </w:t>
      </w:r>
      <w:r w:rsidRPr="00025F23">
        <w:t>3</w:t>
      </w:r>
      <w:r w:rsidRPr="00025F23">
        <w:rPr>
          <w:i w:val="0"/>
          <w:iCs w:val="0"/>
          <w:u w:val="none"/>
        </w:rPr>
        <w:t>: Estadísticas derivadas</w:t>
      </w:r>
    </w:p>
    <w:p w14:paraId="550A744C" w14:textId="77777777" w:rsidR="00D51DB8" w:rsidRPr="00025F23" w:rsidRDefault="00D51DB8" w:rsidP="00717A38">
      <w:pPr>
        <w:keepNext/>
        <w:spacing w:after="0"/>
      </w:pPr>
      <w:r w:rsidRPr="00025F23">
        <w:t>Cuando nos acercamos al estudio de una serie macroeconómica, observamos características que son comunes a la mayoría de ellas, características que deben tratarse para obtener la mayor información posible. Estas características son:</w:t>
      </w:r>
    </w:p>
    <w:p w14:paraId="0D1C7AA1" w14:textId="77777777" w:rsidR="00D51DB8" w:rsidRPr="00025F23" w:rsidRDefault="00D51DB8" w:rsidP="00D51DB8">
      <w:pPr>
        <w:pStyle w:val="Nivel2"/>
      </w:pPr>
      <w:r w:rsidRPr="00025F23">
        <w:t>Las series crecen o decrecen de manera más o menos continua;</w:t>
      </w:r>
    </w:p>
    <w:p w14:paraId="18991F00" w14:textId="77777777" w:rsidR="00D51DB8" w:rsidRPr="00025F23" w:rsidRDefault="00D51DB8" w:rsidP="00D51DB8">
      <w:pPr>
        <w:pStyle w:val="Nivel2"/>
      </w:pPr>
      <w:r w:rsidRPr="00025F23">
        <w:t>Las unidades en que se recogen no permiten en muchos casos la comparación con otras series;</w:t>
      </w:r>
    </w:p>
    <w:p w14:paraId="4546F26E" w14:textId="77777777" w:rsidR="00D51DB8" w:rsidRPr="00025F23" w:rsidRDefault="00D51DB8" w:rsidP="00D51DB8">
      <w:pPr>
        <w:pStyle w:val="Nivel2"/>
      </w:pPr>
      <w:r w:rsidRPr="00025F23">
        <w:t>La inflación actúa sobre ellas de manera que no es posible comparar directamente datos de la misma serie;</w:t>
      </w:r>
    </w:p>
    <w:p w14:paraId="4DCF3EFA" w14:textId="77777777" w:rsidR="00D51DB8" w:rsidRPr="00025F23" w:rsidRDefault="00D51DB8" w:rsidP="00D51DB8">
      <w:pPr>
        <w:pStyle w:val="Nivel2"/>
      </w:pPr>
      <w:r w:rsidRPr="00025F23">
        <w:t>Cuando se trata de series de magnitudes constantes, los años tomados como base no siempre coinciden en todas las series.</w:t>
      </w:r>
    </w:p>
    <w:p w14:paraId="22AFCE92" w14:textId="77777777" w:rsidR="00D51DB8" w:rsidRPr="00025F23" w:rsidRDefault="00D51DB8" w:rsidP="00717A38">
      <w:pPr>
        <w:pStyle w:val="Nivel2"/>
        <w:keepNext/>
        <w:numPr>
          <w:ilvl w:val="0"/>
          <w:numId w:val="0"/>
        </w:numPr>
        <w:spacing w:after="0"/>
      </w:pPr>
      <w:r w:rsidRPr="00025F23">
        <w:t>Dadas estas características, es necesario estudiar:</w:t>
      </w:r>
    </w:p>
    <w:p w14:paraId="4D947108" w14:textId="77777777" w:rsidR="00D51DB8" w:rsidRPr="00025F23" w:rsidRDefault="00D51DB8" w:rsidP="00D51DB8">
      <w:pPr>
        <w:pStyle w:val="Nivel2"/>
      </w:pPr>
      <w:r w:rsidRPr="00025F23">
        <w:t>La evolución de la serie, viendo cuando el crecimiento o decrecimiento se acentúa, se suaviza o cambia de signo;</w:t>
      </w:r>
    </w:p>
    <w:p w14:paraId="52C1305F" w14:textId="77777777" w:rsidR="00D51DB8" w:rsidRPr="00025F23" w:rsidRDefault="00D51DB8" w:rsidP="00D51DB8">
      <w:pPr>
        <w:pStyle w:val="Nivel2"/>
      </w:pPr>
      <w:r w:rsidRPr="00025F23">
        <w:t>La manera de homogeneizar las unidades de medida o el modo de prescindir de ellas;</w:t>
      </w:r>
    </w:p>
    <w:p w14:paraId="58699F00" w14:textId="77777777" w:rsidR="00D51DB8" w:rsidRPr="00025F23" w:rsidRDefault="00D51DB8" w:rsidP="00D51DB8">
      <w:pPr>
        <w:pStyle w:val="Nivel2"/>
      </w:pPr>
      <w:r w:rsidRPr="00025F23">
        <w:t>El efecto de la inflación sobre la serie, de manera que ésta no provoque distorsiones.</w:t>
      </w:r>
    </w:p>
    <w:p w14:paraId="6705B1D1" w14:textId="77777777" w:rsidR="00D51DB8" w:rsidRPr="00025F23" w:rsidRDefault="00D51DB8" w:rsidP="00D51DB8">
      <w:pPr>
        <w:pStyle w:val="Nivel2"/>
      </w:pPr>
      <w:r w:rsidRPr="00025F23">
        <w:t>Convertir las series constantes a un mismo período base.</w:t>
      </w:r>
    </w:p>
    <w:p w14:paraId="60839190" w14:textId="77777777" w:rsidR="00D51DB8" w:rsidRPr="00025F23" w:rsidRDefault="00D51DB8" w:rsidP="00717A38">
      <w:pPr>
        <w:keepNext/>
        <w:spacing w:after="0"/>
      </w:pPr>
      <w:r w:rsidRPr="00025F23">
        <w:t>Los instrumentos más utilizados para solventar estos problemas son los siguientes:</w:t>
      </w:r>
    </w:p>
    <w:p w14:paraId="32743E12" w14:textId="77777777" w:rsidR="00D51DB8" w:rsidRPr="00025F23" w:rsidRDefault="00D51DB8" w:rsidP="00D51DB8">
      <w:pPr>
        <w:pStyle w:val="Nivel2"/>
      </w:pPr>
      <w:r w:rsidRPr="00025F23">
        <w:rPr>
          <w:i/>
          <w:iCs/>
          <w:u w:val="single"/>
        </w:rPr>
        <w:t>Proporciones</w:t>
      </w:r>
      <w:r w:rsidRPr="00025F23">
        <w:t>: En una suma de varios sumandos se denomina proporción al cociente de dividir un sumando cualquiera por el total. Su valor oscila entre cero y uno y la suma de todas las proporciones es uno. Se expresan en tantos por uno.</w:t>
      </w:r>
    </w:p>
    <w:p w14:paraId="307DFC93" w14:textId="77777777" w:rsidR="00D51DB8" w:rsidRPr="00025F23" w:rsidRDefault="00D51DB8" w:rsidP="00D51DB8">
      <w:pPr>
        <w:pStyle w:val="Nivel2"/>
      </w:pPr>
      <w:r w:rsidRPr="00025F23">
        <w:rPr>
          <w:i/>
          <w:iCs/>
          <w:u w:val="single"/>
        </w:rPr>
        <w:t>Porcentajes</w:t>
      </w:r>
      <w:r w:rsidRPr="00025F23">
        <w:t>: Si multiplicamos por cien una proporción tendremos un porcentaje, cuyo valor oscila entre cero y cien, indican tantos por ciento, y la suma de todos los porcentajes de una cantidad dada se iguala a cien. Tanto los porcentajes como las proporciones carecen de unidades de medida, y permiten establecer comparaciones entre dos totales medidos en unidades distintas.</w:t>
      </w:r>
    </w:p>
    <w:p w14:paraId="6C4F6A8B" w14:textId="77777777" w:rsidR="00D51DB8" w:rsidRPr="00025F23" w:rsidRDefault="00D51DB8" w:rsidP="00717A38">
      <w:pPr>
        <w:pStyle w:val="Nivel2"/>
        <w:spacing w:after="0"/>
      </w:pPr>
      <w:r w:rsidRPr="00025F23">
        <w:rPr>
          <w:i/>
          <w:iCs/>
          <w:u w:val="single"/>
        </w:rPr>
        <w:t>Índices</w:t>
      </w:r>
      <w:r w:rsidRPr="00025F23">
        <w:t>: Los índices se emplean para comparar, dentro de una misma serie o entre distintas series, los acontecimientos ocurridos tomando como referencia un determinado período que se denomina “base”. Los números índice carecen de unidades de medida, lo cual facilita la comparación entre series.</w:t>
      </w:r>
    </w:p>
    <w:p w14:paraId="3DB739DA" w14:textId="77777777" w:rsidR="00D51DB8" w:rsidRPr="00025F23" w:rsidRDefault="00D51DB8" w:rsidP="00D51DB8">
      <w:pPr>
        <w:pStyle w:val="Nivel3"/>
        <w:rPr>
          <w:i/>
          <w:iCs/>
        </w:rPr>
      </w:pPr>
      <w:r w:rsidRPr="00025F23">
        <w:rPr>
          <w:i/>
          <w:iCs/>
        </w:rPr>
        <w:t>Índices simples</w:t>
      </w:r>
      <w:r w:rsidRPr="00025F23">
        <w:t>: Para obtener una serie de índices simples a partir de la serie original se divide el valor de la variable en cada período por el valor que toma la variable en el período base y se multiplica por cien (el período base tomará el valor de cien). Los índices indican tantos por ciento, pues son porcentajes en los que el dividendo, el año base, permanece constante.</w:t>
      </w:r>
    </w:p>
    <w:p w14:paraId="393334A4" w14:textId="77777777" w:rsidR="00D51DB8" w:rsidRPr="00025F23" w:rsidRDefault="00D51DB8" w:rsidP="00D51DB8">
      <w:pPr>
        <w:pStyle w:val="Nivel3"/>
        <w:rPr>
          <w:i/>
          <w:iCs/>
        </w:rPr>
      </w:pPr>
      <w:r w:rsidRPr="00025F23">
        <w:rPr>
          <w:i/>
          <w:iCs/>
        </w:rPr>
        <w:t>Cambio de base</w:t>
      </w:r>
      <w:r w:rsidRPr="00025F23">
        <w:t>: Para homogeneizar los años base se utiliza una regla de tres simple. Para cambiar el año base no es necesario conocer la serie original.</w:t>
      </w:r>
    </w:p>
    <w:p w14:paraId="7C774640" w14:textId="77777777" w:rsidR="00D51DB8" w:rsidRPr="00025F23" w:rsidRDefault="00D51DB8" w:rsidP="00D51DB8">
      <w:pPr>
        <w:pStyle w:val="Nivel3"/>
        <w:rPr>
          <w:i/>
          <w:iCs/>
        </w:rPr>
      </w:pPr>
      <w:r w:rsidRPr="00025F23">
        <w:rPr>
          <w:i/>
          <w:iCs/>
        </w:rPr>
        <w:t>Índices en cadena</w:t>
      </w:r>
      <w:r w:rsidRPr="00025F23">
        <w:t>: En ellos el año base es móvil.</w:t>
      </w:r>
    </w:p>
    <w:p w14:paraId="5487471E" w14:textId="4ADB9A58" w:rsidR="00D51DB8" w:rsidRPr="00025F23" w:rsidRDefault="00D51DB8" w:rsidP="00D51DB8">
      <w:pPr>
        <w:pStyle w:val="Nivel2"/>
      </w:pPr>
      <w:r w:rsidRPr="00025F23">
        <w:t>Son, en general, los porcentajes y los índices cuando éstos se refieren a incrementos, que, aunque hemos visto que no son lo mismo de manera genérica, se les denomina tasas. La tasa se suele identificar con el porcentaje.</w:t>
      </w:r>
    </w:p>
    <w:p w14:paraId="47A9BE9D" w14:textId="59A338EE" w:rsidR="002C6FC8" w:rsidRPr="00025F23" w:rsidRDefault="002C6FC8" w:rsidP="00F84330">
      <w:pPr>
        <w:pStyle w:val="Ttulo5"/>
        <w:rPr>
          <w:i w:val="0"/>
          <w:iCs w:val="0"/>
          <w:spacing w:val="-5"/>
          <w:u w:val="none"/>
        </w:rPr>
      </w:pPr>
      <w:bookmarkStart w:id="372" w:name="_Ref102036679"/>
      <w:r w:rsidRPr="00025F23">
        <w:t>Anexo</w:t>
      </w:r>
      <w:r w:rsidR="00B77C3E" w:rsidRPr="00025F23">
        <w:t> </w:t>
      </w:r>
      <w:r w:rsidR="00CB7666" w:rsidRPr="00025F23">
        <w:t>4</w:t>
      </w:r>
      <w:r w:rsidRPr="00025F23">
        <w:rPr>
          <w:i w:val="0"/>
          <w:iCs w:val="0"/>
          <w:u w:val="none"/>
        </w:rPr>
        <w:t>:</w:t>
      </w:r>
      <w:r w:rsidRPr="00025F23">
        <w:rPr>
          <w:i w:val="0"/>
          <w:iCs w:val="0"/>
          <w:spacing w:val="-5"/>
          <w:u w:val="none"/>
        </w:rPr>
        <w:t xml:space="preserve"> Programación y políticas financieras </w:t>
      </w:r>
      <w:r w:rsidRPr="00025F23">
        <w:rPr>
          <w:i w:val="0"/>
          <w:iCs w:val="0"/>
          <w:spacing w:val="-5"/>
          <w:sz w:val="15"/>
          <w:szCs w:val="15"/>
          <w:u w:val="none"/>
        </w:rPr>
        <w:t>(Fondo Monetario Internacional)</w:t>
      </w:r>
      <w:bookmarkEnd w:id="372"/>
    </w:p>
    <w:p w14:paraId="4120142C" w14:textId="05EB0D01" w:rsidR="002C6FC8" w:rsidRPr="00025F23" w:rsidRDefault="002C6FC8" w:rsidP="002C6FC8">
      <w:r w:rsidRPr="00025F23">
        <w:t xml:space="preserve">La </w:t>
      </w:r>
      <w:r w:rsidRPr="00025F23">
        <w:rPr>
          <w:b/>
          <w:bCs/>
        </w:rPr>
        <w:t>programación financiera</w:t>
      </w:r>
      <w:r w:rsidRPr="00025F23">
        <w:t xml:space="preserve"> es un </w:t>
      </w:r>
      <w:r w:rsidRPr="00025F23">
        <w:rPr>
          <w:i/>
          <w:iCs/>
        </w:rPr>
        <w:t>marco</w:t>
      </w:r>
      <w:r w:rsidR="00933C47" w:rsidRPr="00025F23">
        <w:rPr>
          <w:rFonts w:ascii="Cambria Math" w:hAnsi="Cambria Math" w:cs="Cambria Math"/>
          <w:color w:val="800000"/>
          <w:spacing w:val="-2"/>
          <w:sz w:val="12"/>
          <w:szCs w:val="12"/>
          <w:vertAlign w:val="superscript"/>
        </w:rPr>
        <w:t>①</w:t>
      </w:r>
      <w:r w:rsidRPr="00025F23">
        <w:t xml:space="preserve"> para formular </w:t>
      </w:r>
      <w:r w:rsidRPr="00025F23">
        <w:rPr>
          <w:i/>
          <w:iCs/>
        </w:rPr>
        <w:t>políticas económicas</w:t>
      </w:r>
      <w:r w:rsidR="00933C47" w:rsidRPr="00025F23">
        <w:rPr>
          <w:rFonts w:ascii="Cambria Math" w:hAnsi="Cambria Math" w:cs="Cambria Math"/>
          <w:color w:val="800000"/>
          <w:spacing w:val="-2"/>
          <w:sz w:val="12"/>
          <w:szCs w:val="12"/>
          <w:vertAlign w:val="superscript"/>
        </w:rPr>
        <w:t>②</w:t>
      </w:r>
      <w:r w:rsidRPr="00025F23">
        <w:t xml:space="preserve"> orientadas a mantener o lograr la </w:t>
      </w:r>
      <w:r w:rsidRPr="00025F23">
        <w:rPr>
          <w:i/>
          <w:iCs/>
        </w:rPr>
        <w:t>estabilidad macroeconómica</w:t>
      </w:r>
      <w:r w:rsidR="00933C47" w:rsidRPr="00025F23">
        <w:rPr>
          <w:rFonts w:ascii="Cambria Math" w:hAnsi="Cambria Math" w:cs="Cambria Math"/>
          <w:color w:val="800000"/>
          <w:spacing w:val="-2"/>
          <w:sz w:val="12"/>
          <w:szCs w:val="12"/>
          <w:vertAlign w:val="superscript"/>
        </w:rPr>
        <w:t>③</w:t>
      </w:r>
      <w:r w:rsidRPr="00025F23">
        <w:t>.</w:t>
      </w:r>
    </w:p>
    <w:p w14:paraId="654B0768" w14:textId="53FE5F0C" w:rsidR="002C6FC8" w:rsidRPr="00025F23" w:rsidRDefault="00933C47" w:rsidP="00716273">
      <w:r w:rsidRPr="00025F23">
        <w:rPr>
          <w:rFonts w:ascii="Cambria Math" w:hAnsi="Cambria Math" w:cs="Cambria Math"/>
          <w:color w:val="800000"/>
          <w:spacing w:val="-2"/>
          <w:sz w:val="12"/>
          <w:szCs w:val="12"/>
        </w:rPr>
        <w:t>①</w:t>
      </w:r>
      <w:r w:rsidRPr="00025F23">
        <w:rPr>
          <w:rFonts w:cs="Cambria Math"/>
          <w:spacing w:val="-2"/>
          <w:szCs w:val="16"/>
        </w:rPr>
        <w:t xml:space="preserve"> </w:t>
      </w:r>
      <w:r w:rsidRPr="00025F23">
        <w:rPr>
          <w:rFonts w:cs="Cambria Math"/>
          <w:i/>
          <w:iCs/>
          <w:spacing w:val="-2"/>
          <w:szCs w:val="16"/>
          <w:u w:val="single"/>
        </w:rPr>
        <w:t>Marco</w:t>
      </w:r>
      <w:r w:rsidRPr="00025F23">
        <w:rPr>
          <w:rFonts w:cs="Cambria Math"/>
          <w:spacing w:val="-2"/>
          <w:szCs w:val="16"/>
        </w:rPr>
        <w:t>:</w:t>
      </w:r>
      <w:r w:rsidR="00716273" w:rsidRPr="00025F23">
        <w:rPr>
          <w:rFonts w:cs="Cambria Math"/>
          <w:spacing w:val="-2"/>
          <w:szCs w:val="16"/>
        </w:rPr>
        <w:t xml:space="preserve"> De este modo, la programación financiera es un </w:t>
      </w:r>
      <w:r w:rsidR="00716273" w:rsidRPr="00025F23">
        <w:t>marco, no un modelo de la economía. Utiliza modelos pero va más allá de ellos.</w:t>
      </w:r>
    </w:p>
    <w:p w14:paraId="38699EED" w14:textId="4BBA362A" w:rsidR="00933C47" w:rsidRPr="00025F23" w:rsidRDefault="00933C47" w:rsidP="00933C47">
      <w:pPr>
        <w:rPr>
          <w:rFonts w:cs="Cambria Math"/>
          <w:spacing w:val="-2"/>
          <w:szCs w:val="16"/>
        </w:rPr>
      </w:pPr>
      <w:r w:rsidRPr="00025F23">
        <w:rPr>
          <w:rFonts w:ascii="Cambria Math" w:hAnsi="Cambria Math" w:cs="Cambria Math"/>
          <w:color w:val="800000"/>
          <w:spacing w:val="-2"/>
          <w:sz w:val="12"/>
          <w:szCs w:val="12"/>
        </w:rPr>
        <w:t>②</w:t>
      </w:r>
      <w:r w:rsidRPr="00025F23">
        <w:rPr>
          <w:rFonts w:cs="Cambria Math"/>
          <w:spacing w:val="-2"/>
          <w:szCs w:val="16"/>
        </w:rPr>
        <w:t xml:space="preserve"> </w:t>
      </w:r>
      <w:r w:rsidRPr="00025F23">
        <w:rPr>
          <w:rFonts w:cs="Cambria Math"/>
          <w:i/>
          <w:iCs/>
          <w:spacing w:val="-2"/>
          <w:szCs w:val="16"/>
          <w:u w:val="single"/>
        </w:rPr>
        <w:t>Políticas económicas</w:t>
      </w:r>
      <w:r w:rsidRPr="00025F23">
        <w:rPr>
          <w:rFonts w:cs="Cambria Math"/>
          <w:spacing w:val="-2"/>
          <w:szCs w:val="16"/>
        </w:rPr>
        <w:t>:</w:t>
      </w:r>
      <w:r w:rsidR="00716273" w:rsidRPr="00025F23">
        <w:rPr>
          <w:rFonts w:cs="Cambria Math"/>
          <w:spacing w:val="-2"/>
          <w:szCs w:val="16"/>
        </w:rPr>
        <w:t xml:space="preserve"> </w:t>
      </w:r>
      <w:r w:rsidR="00A579F1" w:rsidRPr="00025F23">
        <w:rPr>
          <w:rFonts w:cs="Cambria Math"/>
          <w:spacing w:val="-2"/>
          <w:szCs w:val="16"/>
        </w:rPr>
        <w:t>fiscales, monetarias y estructurales.</w:t>
      </w:r>
    </w:p>
    <w:p w14:paraId="0775A72D" w14:textId="77777777" w:rsidR="00A579F1" w:rsidRPr="00025F23" w:rsidRDefault="00933C47" w:rsidP="00A579F1">
      <w:pPr>
        <w:keepNext/>
        <w:spacing w:after="0"/>
        <w:rPr>
          <w:rFonts w:cs="Cambria Math"/>
          <w:spacing w:val="-2"/>
          <w:szCs w:val="16"/>
        </w:rPr>
      </w:pPr>
      <w:r w:rsidRPr="00025F23">
        <w:rPr>
          <w:rFonts w:ascii="Cambria Math" w:hAnsi="Cambria Math" w:cs="Cambria Math"/>
          <w:color w:val="800000"/>
          <w:spacing w:val="-2"/>
          <w:sz w:val="12"/>
          <w:szCs w:val="12"/>
        </w:rPr>
        <w:t>③</w:t>
      </w:r>
      <w:r w:rsidRPr="00025F23">
        <w:rPr>
          <w:rFonts w:cs="Cambria Math"/>
          <w:spacing w:val="-2"/>
          <w:szCs w:val="16"/>
        </w:rPr>
        <w:t xml:space="preserve"> </w:t>
      </w:r>
      <w:r w:rsidRPr="00025F23">
        <w:rPr>
          <w:rFonts w:cs="Cambria Math"/>
          <w:i/>
          <w:iCs/>
          <w:spacing w:val="-2"/>
          <w:szCs w:val="16"/>
          <w:u w:val="single"/>
        </w:rPr>
        <w:t>Estabilidad macroeconómica</w:t>
      </w:r>
      <w:r w:rsidRPr="00025F23">
        <w:rPr>
          <w:rFonts w:cs="Cambria Math"/>
          <w:spacing w:val="-2"/>
          <w:szCs w:val="16"/>
        </w:rPr>
        <w:t>:</w:t>
      </w:r>
      <w:r w:rsidR="00D4457C" w:rsidRPr="00025F23">
        <w:rPr>
          <w:rFonts w:cs="Cambria Math"/>
          <w:spacing w:val="-2"/>
          <w:szCs w:val="16"/>
        </w:rPr>
        <w:t xml:space="preserve"> </w:t>
      </w:r>
      <w:r w:rsidR="00716273" w:rsidRPr="00025F23">
        <w:rPr>
          <w:rFonts w:cs="Cambria Math"/>
          <w:spacing w:val="-2"/>
          <w:szCs w:val="16"/>
        </w:rPr>
        <w:t>En nuestro caso, el objetivo es analizar la economía y proponer medidas para la estabilidad macroeconómica, definida como la situación en la que</w:t>
      </w:r>
      <w:r w:rsidR="00A579F1" w:rsidRPr="00025F23">
        <w:rPr>
          <w:rFonts w:cs="Cambria Math"/>
          <w:spacing w:val="-2"/>
          <w:szCs w:val="16"/>
        </w:rPr>
        <w:t>:</w:t>
      </w:r>
    </w:p>
    <w:p w14:paraId="395890C2" w14:textId="6F132E1B" w:rsidR="00A579F1" w:rsidRPr="00025F23" w:rsidRDefault="00A579F1">
      <w:pPr>
        <w:pStyle w:val="Prrafodelista"/>
        <w:numPr>
          <w:ilvl w:val="0"/>
          <w:numId w:val="22"/>
        </w:numPr>
        <w:ind w:left="454" w:hanging="170"/>
        <w:rPr>
          <w:rFonts w:cs="Cambria Math"/>
          <w:spacing w:val="-2"/>
          <w:szCs w:val="16"/>
        </w:rPr>
      </w:pPr>
      <w:r w:rsidRPr="00025F23">
        <w:rPr>
          <w:rFonts w:cs="Cambria Math"/>
          <w:spacing w:val="-2"/>
          <w:szCs w:val="16"/>
        </w:rPr>
        <w:t>L</w:t>
      </w:r>
      <w:r w:rsidR="00716273" w:rsidRPr="00025F23">
        <w:rPr>
          <w:rFonts w:cs="Cambria Math"/>
          <w:spacing w:val="-2"/>
          <w:szCs w:val="16"/>
        </w:rPr>
        <w:t xml:space="preserve">a economía </w:t>
      </w:r>
      <w:r w:rsidR="00716273" w:rsidRPr="00025F23">
        <w:rPr>
          <w:rFonts w:cs="Cambria Math"/>
          <w:i/>
          <w:iCs/>
          <w:spacing w:val="-2"/>
          <w:szCs w:val="16"/>
        </w:rPr>
        <w:t>crece</w:t>
      </w:r>
      <w:r w:rsidR="00716273" w:rsidRPr="00025F23">
        <w:rPr>
          <w:rFonts w:cs="Cambria Math"/>
          <w:spacing w:val="-2"/>
          <w:szCs w:val="16"/>
        </w:rPr>
        <w:t xml:space="preserve"> de forma duradera y estable</w:t>
      </w:r>
      <w:r w:rsidRPr="00025F23">
        <w:rPr>
          <w:rFonts w:cs="Cambria Math"/>
          <w:spacing w:val="-2"/>
          <w:szCs w:val="16"/>
        </w:rPr>
        <w:t>;</w:t>
      </w:r>
    </w:p>
    <w:p w14:paraId="4CFEC7E0" w14:textId="08D63E21" w:rsidR="00A579F1" w:rsidRPr="00025F23" w:rsidRDefault="00A579F1">
      <w:pPr>
        <w:pStyle w:val="Prrafodelista"/>
        <w:numPr>
          <w:ilvl w:val="0"/>
          <w:numId w:val="22"/>
        </w:numPr>
        <w:ind w:left="454" w:hanging="170"/>
        <w:rPr>
          <w:rFonts w:cs="Cambria Math"/>
          <w:spacing w:val="-2"/>
          <w:szCs w:val="16"/>
        </w:rPr>
      </w:pPr>
      <w:r w:rsidRPr="00025F23">
        <w:rPr>
          <w:rFonts w:cs="Cambria Math"/>
          <w:spacing w:val="-2"/>
          <w:szCs w:val="16"/>
        </w:rPr>
        <w:t>L</w:t>
      </w:r>
      <w:r w:rsidR="00716273" w:rsidRPr="00025F23">
        <w:rPr>
          <w:rFonts w:cs="Cambria Math"/>
          <w:spacing w:val="-2"/>
          <w:szCs w:val="16"/>
        </w:rPr>
        <w:t xml:space="preserve">a </w:t>
      </w:r>
      <w:r w:rsidR="00716273" w:rsidRPr="00025F23">
        <w:rPr>
          <w:rFonts w:cs="Cambria Math"/>
          <w:i/>
          <w:iCs/>
          <w:spacing w:val="-2"/>
          <w:szCs w:val="16"/>
        </w:rPr>
        <w:t>inflación</w:t>
      </w:r>
      <w:r w:rsidR="00716273" w:rsidRPr="00025F23">
        <w:rPr>
          <w:rFonts w:cs="Cambria Math"/>
          <w:spacing w:val="-2"/>
          <w:szCs w:val="16"/>
        </w:rPr>
        <w:t xml:space="preserve"> está bajo control</w:t>
      </w:r>
      <w:r w:rsidRPr="00025F23">
        <w:rPr>
          <w:rFonts w:cs="Cambria Math"/>
          <w:spacing w:val="-2"/>
          <w:szCs w:val="16"/>
        </w:rPr>
        <w:t>;</w:t>
      </w:r>
    </w:p>
    <w:p w14:paraId="2493B24F" w14:textId="77777777" w:rsidR="00A579F1" w:rsidRPr="00025F23" w:rsidRDefault="00A579F1">
      <w:pPr>
        <w:pStyle w:val="Prrafodelista"/>
        <w:numPr>
          <w:ilvl w:val="0"/>
          <w:numId w:val="22"/>
        </w:numPr>
        <w:ind w:left="454" w:hanging="170"/>
        <w:rPr>
          <w:rFonts w:cs="Cambria Math"/>
          <w:spacing w:val="-2"/>
          <w:szCs w:val="16"/>
        </w:rPr>
      </w:pPr>
      <w:r w:rsidRPr="00025F23">
        <w:rPr>
          <w:rFonts w:cs="Cambria Math"/>
          <w:spacing w:val="-2"/>
          <w:szCs w:val="16"/>
        </w:rPr>
        <w:t>E</w:t>
      </w:r>
      <w:r w:rsidR="00716273" w:rsidRPr="00025F23">
        <w:rPr>
          <w:rFonts w:cs="Cambria Math"/>
          <w:spacing w:val="-2"/>
          <w:szCs w:val="16"/>
        </w:rPr>
        <w:t xml:space="preserve">l </w:t>
      </w:r>
      <w:r w:rsidR="00716273" w:rsidRPr="00025F23">
        <w:rPr>
          <w:rFonts w:cs="Cambria Math"/>
          <w:i/>
          <w:iCs/>
          <w:spacing w:val="-2"/>
          <w:szCs w:val="16"/>
        </w:rPr>
        <w:t>sistema financiero</w:t>
      </w:r>
      <w:r w:rsidR="00716273" w:rsidRPr="00025F23">
        <w:rPr>
          <w:rFonts w:cs="Cambria Math"/>
          <w:spacing w:val="-2"/>
          <w:szCs w:val="16"/>
        </w:rPr>
        <w:t xml:space="preserve"> es sólido</w:t>
      </w:r>
      <w:r w:rsidRPr="00025F23">
        <w:rPr>
          <w:rFonts w:cs="Cambria Math"/>
          <w:spacing w:val="-2"/>
          <w:szCs w:val="16"/>
        </w:rPr>
        <w:t>;</w:t>
      </w:r>
    </w:p>
    <w:p w14:paraId="3E2234E1" w14:textId="7ACE8829" w:rsidR="00A579F1" w:rsidRPr="00025F23" w:rsidRDefault="00A579F1">
      <w:pPr>
        <w:pStyle w:val="Prrafodelista"/>
        <w:numPr>
          <w:ilvl w:val="0"/>
          <w:numId w:val="22"/>
        </w:numPr>
        <w:ind w:left="454" w:hanging="170"/>
        <w:rPr>
          <w:rFonts w:cs="Cambria Math"/>
          <w:spacing w:val="-2"/>
          <w:szCs w:val="16"/>
        </w:rPr>
      </w:pPr>
      <w:r w:rsidRPr="00025F23">
        <w:rPr>
          <w:rFonts w:cs="Cambria Math"/>
          <w:spacing w:val="-2"/>
          <w:szCs w:val="16"/>
        </w:rPr>
        <w:t xml:space="preserve">Las </w:t>
      </w:r>
      <w:r w:rsidRPr="00025F23">
        <w:rPr>
          <w:rFonts w:cs="Cambria Math"/>
          <w:i/>
          <w:iCs/>
          <w:spacing w:val="-2"/>
          <w:szCs w:val="16"/>
        </w:rPr>
        <w:t>finanzas públicas</w:t>
      </w:r>
      <w:r w:rsidRPr="00025F23">
        <w:rPr>
          <w:rFonts w:cs="Cambria Math"/>
          <w:spacing w:val="-2"/>
          <w:szCs w:val="16"/>
        </w:rPr>
        <w:t xml:space="preserve"> no presentan grandes desajustes; y</w:t>
      </w:r>
    </w:p>
    <w:p w14:paraId="3C7F9A58" w14:textId="37881AD2" w:rsidR="00716273" w:rsidRPr="00025F23" w:rsidRDefault="00A579F1">
      <w:pPr>
        <w:pStyle w:val="Prrafodelista"/>
        <w:numPr>
          <w:ilvl w:val="0"/>
          <w:numId w:val="22"/>
        </w:numPr>
        <w:ind w:left="454" w:hanging="170"/>
        <w:rPr>
          <w:rFonts w:cs="Cambria Math"/>
          <w:spacing w:val="-2"/>
          <w:szCs w:val="16"/>
        </w:rPr>
      </w:pPr>
      <w:r w:rsidRPr="00025F23">
        <w:rPr>
          <w:rFonts w:cs="Cambria Math"/>
          <w:spacing w:val="-2"/>
          <w:szCs w:val="16"/>
        </w:rPr>
        <w:t>L</w:t>
      </w:r>
      <w:r w:rsidR="00716273" w:rsidRPr="00025F23">
        <w:rPr>
          <w:rFonts w:cs="Cambria Math"/>
          <w:spacing w:val="-2"/>
          <w:szCs w:val="16"/>
        </w:rPr>
        <w:t xml:space="preserve">a que la economía es </w:t>
      </w:r>
      <w:r w:rsidR="00716273" w:rsidRPr="00025F23">
        <w:rPr>
          <w:rFonts w:cs="Cambria Math"/>
          <w:i/>
          <w:iCs/>
          <w:spacing w:val="-2"/>
          <w:szCs w:val="16"/>
        </w:rPr>
        <w:t>resiliente ante shocks</w:t>
      </w:r>
      <w:r w:rsidR="00716273" w:rsidRPr="00025F23">
        <w:rPr>
          <w:rFonts w:cs="Cambria Math"/>
          <w:spacing w:val="-2"/>
          <w:szCs w:val="16"/>
        </w:rPr>
        <w:t xml:space="preserve"> y pueda resistir a las crisis.</w:t>
      </w:r>
    </w:p>
    <w:p w14:paraId="4049BD4F" w14:textId="299CC527" w:rsidR="00716273" w:rsidRPr="00025F23" w:rsidRDefault="00D4457C" w:rsidP="00D4457C">
      <w:pPr>
        <w:keepNext/>
        <w:spacing w:after="0"/>
        <w:rPr>
          <w:rFonts w:cs="Cambria Math"/>
          <w:spacing w:val="-2"/>
          <w:szCs w:val="16"/>
        </w:rPr>
      </w:pPr>
      <w:r w:rsidRPr="00025F23">
        <w:rPr>
          <w:rFonts w:cs="Cambria Math"/>
          <w:spacing w:val="-2"/>
          <w:szCs w:val="16"/>
        </w:rPr>
        <w:t>La estabilidad económica depende de tres factores:</w:t>
      </w:r>
    </w:p>
    <w:p w14:paraId="7E4435F8" w14:textId="70C72D9A" w:rsidR="00D4457C" w:rsidRPr="00025F23" w:rsidRDefault="00D4457C">
      <w:pPr>
        <w:pStyle w:val="Prrafodelista"/>
        <w:numPr>
          <w:ilvl w:val="0"/>
          <w:numId w:val="20"/>
        </w:numPr>
        <w:ind w:left="454" w:hanging="170"/>
        <w:rPr>
          <w:rFonts w:cs="Cambria Math"/>
          <w:spacing w:val="-2"/>
          <w:szCs w:val="16"/>
        </w:rPr>
      </w:pPr>
      <w:r w:rsidRPr="00025F23">
        <w:rPr>
          <w:rFonts w:cs="Cambria Math"/>
          <w:i/>
          <w:iCs/>
          <w:spacing w:val="-2"/>
          <w:szCs w:val="16"/>
        </w:rPr>
        <w:t>Factores externos a la economía</w:t>
      </w:r>
      <w:r w:rsidRPr="00025F23">
        <w:rPr>
          <w:rFonts w:cs="Cambria Math"/>
          <w:spacing w:val="-2"/>
          <w:szCs w:val="16"/>
        </w:rPr>
        <w:t>: son factores que la economía no puede controlar por sí misma. Por ejemplo, el surgimiento de una crisis en socios comerciales o un desastre natural que destruya la infraestructura física.</w:t>
      </w:r>
    </w:p>
    <w:p w14:paraId="242D64AF" w14:textId="40C3F92E" w:rsidR="00D4457C" w:rsidRPr="00025F23" w:rsidRDefault="00D4457C">
      <w:pPr>
        <w:pStyle w:val="Prrafodelista"/>
        <w:numPr>
          <w:ilvl w:val="0"/>
          <w:numId w:val="20"/>
        </w:numPr>
        <w:ind w:left="454" w:hanging="170"/>
        <w:rPr>
          <w:rFonts w:cs="Cambria Math"/>
          <w:spacing w:val="-2"/>
          <w:szCs w:val="16"/>
        </w:rPr>
      </w:pPr>
      <w:r w:rsidRPr="00025F23">
        <w:rPr>
          <w:rFonts w:cs="Cambria Math"/>
          <w:i/>
          <w:iCs/>
          <w:spacing w:val="-2"/>
          <w:szCs w:val="16"/>
        </w:rPr>
        <w:t>Factores intrínsecos a la economía</w:t>
      </w:r>
      <w:r w:rsidRPr="00025F23">
        <w:rPr>
          <w:rFonts w:cs="Cambria Math"/>
          <w:spacing w:val="-2"/>
          <w:szCs w:val="16"/>
        </w:rPr>
        <w:t>: son factores que la economía no puede cambiar o que llevaría mucho tiempo cambiarlo. Por ejemplo, el estado de desarrollo económico o las dinámicas demográficas.</w:t>
      </w:r>
    </w:p>
    <w:p w14:paraId="393B24F1" w14:textId="55958B9A" w:rsidR="00D4457C" w:rsidRPr="00025F23" w:rsidRDefault="00D4457C">
      <w:pPr>
        <w:pStyle w:val="Prrafodelista"/>
        <w:numPr>
          <w:ilvl w:val="0"/>
          <w:numId w:val="20"/>
        </w:numPr>
        <w:ind w:left="454" w:hanging="170"/>
        <w:rPr>
          <w:rFonts w:cs="Cambria Math"/>
          <w:spacing w:val="-2"/>
          <w:szCs w:val="16"/>
        </w:rPr>
      </w:pPr>
      <w:r w:rsidRPr="00025F23">
        <w:rPr>
          <w:rFonts w:cs="Cambria Math"/>
          <w:i/>
          <w:iCs/>
          <w:spacing w:val="-2"/>
          <w:szCs w:val="16"/>
        </w:rPr>
        <w:t>Políticas económicas</w:t>
      </w:r>
      <w:r w:rsidRPr="00025F23">
        <w:rPr>
          <w:rFonts w:cs="Cambria Math"/>
          <w:spacing w:val="-2"/>
          <w:szCs w:val="16"/>
        </w:rPr>
        <w:t>: son factores que afectan el estado de la economía y que se pueden modificar. En la programación financiera distinguimos tres tipos de políticas económicas:</w:t>
      </w:r>
    </w:p>
    <w:p w14:paraId="7A67D177" w14:textId="6AEDB0A1" w:rsidR="00BE0342" w:rsidRPr="00025F23" w:rsidRDefault="00D4457C">
      <w:pPr>
        <w:pStyle w:val="Prrafodelista"/>
        <w:numPr>
          <w:ilvl w:val="1"/>
          <w:numId w:val="20"/>
        </w:numPr>
        <w:ind w:left="737" w:hanging="170"/>
        <w:rPr>
          <w:rFonts w:cs="Cambria Math"/>
          <w:spacing w:val="-2"/>
          <w:szCs w:val="16"/>
        </w:rPr>
      </w:pPr>
      <w:r w:rsidRPr="00025F23">
        <w:rPr>
          <w:rFonts w:cs="Cambria Math"/>
          <w:spacing w:val="-2"/>
          <w:szCs w:val="16"/>
        </w:rPr>
        <w:t>Políticas fiscales:</w:t>
      </w:r>
      <w:r w:rsidRPr="00025F23">
        <w:rPr>
          <w:rFonts w:cs="Cambria Math"/>
          <w:spacing w:val="-2"/>
          <w:sz w:val="14"/>
          <w:szCs w:val="14"/>
        </w:rPr>
        <w:t xml:space="preserve"> </w:t>
      </w:r>
      <w:r w:rsidR="00BE0342" w:rsidRPr="00025F23">
        <w:rPr>
          <w:rFonts w:cs="Cambria Math"/>
          <w:spacing w:val="-2"/>
          <w:sz w:val="14"/>
          <w:szCs w:val="14"/>
        </w:rPr>
        <w:t>se centra en la administración y gestión de los recursos del Estado (impuestos y gasto público).</w:t>
      </w:r>
    </w:p>
    <w:p w14:paraId="5E8E7655" w14:textId="2433EAF0" w:rsidR="00D4457C" w:rsidRPr="00025F23" w:rsidRDefault="00D4457C">
      <w:pPr>
        <w:pStyle w:val="Prrafodelista"/>
        <w:numPr>
          <w:ilvl w:val="1"/>
          <w:numId w:val="20"/>
        </w:numPr>
        <w:ind w:left="737" w:hanging="170"/>
        <w:rPr>
          <w:rFonts w:cs="Cambria Math"/>
          <w:spacing w:val="-2"/>
          <w:szCs w:val="16"/>
        </w:rPr>
      </w:pPr>
      <w:r w:rsidRPr="00025F23">
        <w:rPr>
          <w:rFonts w:cs="Cambria Math"/>
          <w:spacing w:val="-2"/>
          <w:szCs w:val="16"/>
        </w:rPr>
        <w:t>Políticas monetarias:</w:t>
      </w:r>
      <w:r w:rsidR="00BE0342" w:rsidRPr="00025F23">
        <w:rPr>
          <w:rFonts w:cs="Cambria Math"/>
          <w:spacing w:val="-2"/>
          <w:sz w:val="14"/>
          <w:szCs w:val="14"/>
        </w:rPr>
        <w:t xml:space="preserve"> control de los factores monetarios para garantizar la estabilidad de precios y el crecimiento económico (tipos de interés, oferta monetaria, tipo de cambio y crédito).</w:t>
      </w:r>
    </w:p>
    <w:p w14:paraId="5830F5FA" w14:textId="4237372F" w:rsidR="00D4457C" w:rsidRPr="00025F23" w:rsidRDefault="00D4457C">
      <w:pPr>
        <w:pStyle w:val="Prrafodelista"/>
        <w:numPr>
          <w:ilvl w:val="1"/>
          <w:numId w:val="20"/>
        </w:numPr>
        <w:ind w:left="737" w:hanging="170"/>
        <w:rPr>
          <w:rFonts w:cs="Cambria Math"/>
          <w:spacing w:val="-2"/>
          <w:szCs w:val="16"/>
        </w:rPr>
      </w:pPr>
      <w:r w:rsidRPr="00025F23">
        <w:rPr>
          <w:rFonts w:cs="Cambria Math"/>
          <w:spacing w:val="-2"/>
          <w:szCs w:val="16"/>
        </w:rPr>
        <w:t>Políticas estructurales:</w:t>
      </w:r>
      <w:r w:rsidRPr="00025F23">
        <w:rPr>
          <w:rFonts w:cs="Cambria Math"/>
          <w:spacing w:val="-2"/>
          <w:sz w:val="14"/>
          <w:szCs w:val="14"/>
        </w:rPr>
        <w:t xml:space="preserve"> todo tipo de regulaciones e instituciones que determinan el funcionamiento de la economía.</w:t>
      </w:r>
    </w:p>
    <w:p w14:paraId="5B4CED66" w14:textId="01C9D452" w:rsidR="00BE0342" w:rsidRPr="00025F23" w:rsidRDefault="00BE0342" w:rsidP="00BE0342">
      <w:r w:rsidRPr="00025F23">
        <w:t>Para ello, perseguimos conseguir dos objetivos:</w:t>
      </w:r>
    </w:p>
    <w:p w14:paraId="36E2FC9F" w14:textId="2DDCD185" w:rsidR="00BE0342" w:rsidRPr="00025F23" w:rsidRDefault="00BE0342">
      <w:pPr>
        <w:pStyle w:val="Prrafodelista"/>
        <w:numPr>
          <w:ilvl w:val="0"/>
          <w:numId w:val="21"/>
        </w:numPr>
        <w:ind w:left="454" w:hanging="170"/>
      </w:pPr>
      <w:r w:rsidRPr="00025F23">
        <w:rPr>
          <w:i/>
          <w:iCs/>
          <w:u w:val="single"/>
        </w:rPr>
        <w:t>Equilibrio interno</w:t>
      </w:r>
      <w:r w:rsidRPr="00025F23">
        <w:t xml:space="preserve">: </w:t>
      </w:r>
    </w:p>
    <w:p w14:paraId="10ED1AF0" w14:textId="435F66F5" w:rsidR="00BE0342" w:rsidRPr="00025F23" w:rsidRDefault="00BE0342">
      <w:pPr>
        <w:pStyle w:val="Prrafodelista"/>
        <w:numPr>
          <w:ilvl w:val="0"/>
          <w:numId w:val="21"/>
        </w:numPr>
        <w:ind w:left="454" w:hanging="170"/>
      </w:pPr>
      <w:r w:rsidRPr="00025F23">
        <w:rPr>
          <w:i/>
          <w:iCs/>
          <w:u w:val="single"/>
        </w:rPr>
        <w:t>Equilibrio externo</w:t>
      </w:r>
      <w:r w:rsidRPr="00025F23">
        <w:t xml:space="preserve">: </w:t>
      </w:r>
    </w:p>
    <w:p w14:paraId="3DFDB001" w14:textId="5D225788" w:rsidR="00210991" w:rsidRPr="00025F23" w:rsidRDefault="00210991" w:rsidP="00210991">
      <w:pPr>
        <w:keepNext/>
        <w:spacing w:after="0"/>
      </w:pPr>
      <w:r w:rsidRPr="00025F23">
        <w:t>Que problemas pueden impedir el equilibrio interno y externo:</w:t>
      </w:r>
    </w:p>
    <w:p w14:paraId="0984EAC7" w14:textId="6970AC40" w:rsidR="00210991" w:rsidRPr="00025F23" w:rsidRDefault="00210991">
      <w:pPr>
        <w:pStyle w:val="Prrafodelista"/>
        <w:numPr>
          <w:ilvl w:val="0"/>
          <w:numId w:val="23"/>
        </w:numPr>
        <w:ind w:left="454" w:hanging="170"/>
      </w:pPr>
      <w:r w:rsidRPr="00025F23">
        <w:rPr>
          <w:i/>
          <w:iCs/>
        </w:rPr>
        <w:t>Demanda excesiva o insuficiente</w:t>
      </w:r>
      <w:r w:rsidRPr="00025F23">
        <w:t>: Esto puede causar que la producción sea diferente de la producción potencial o inflación demasiado elevada o reducida.</w:t>
      </w:r>
    </w:p>
    <w:p w14:paraId="48937A04" w14:textId="720FE00A" w:rsidR="00210991" w:rsidRPr="00025F23" w:rsidRDefault="00210991">
      <w:pPr>
        <w:pStyle w:val="Prrafodelista"/>
        <w:numPr>
          <w:ilvl w:val="0"/>
          <w:numId w:val="23"/>
        </w:numPr>
        <w:ind w:left="454" w:hanging="170"/>
      </w:pPr>
      <w:r w:rsidRPr="00025F23">
        <w:rPr>
          <w:i/>
          <w:iCs/>
        </w:rPr>
        <w:t>Incertidumbre</w:t>
      </w:r>
      <w:r w:rsidRPr="00025F23">
        <w:t>: Posiblemente porque el sistema financiero no sea sólido o porque las finanzas públicas no estén sanas.</w:t>
      </w:r>
    </w:p>
    <w:p w14:paraId="3A339955" w14:textId="54BC904F" w:rsidR="00210991" w:rsidRPr="00025F23" w:rsidRDefault="00210991">
      <w:pPr>
        <w:pStyle w:val="Prrafodelista"/>
        <w:numPr>
          <w:ilvl w:val="0"/>
          <w:numId w:val="23"/>
        </w:numPr>
        <w:ind w:left="454" w:hanging="170"/>
      </w:pPr>
      <w:r w:rsidRPr="00025F23">
        <w:rPr>
          <w:i/>
          <w:iCs/>
        </w:rPr>
        <w:t>Una combinación de inflación y tipos de cambio</w:t>
      </w:r>
      <w:r w:rsidRPr="00025F23">
        <w:t xml:space="preserve"> que haga conveniente comprar los bienes en el extranjero y que haga que las exportaciones no sean atractivas, lo que pueda conducir a la economía a desequilibrios externos.</w:t>
      </w:r>
    </w:p>
    <w:p w14:paraId="60F90E53" w14:textId="545F7AF3" w:rsidR="00210991" w:rsidRPr="00025F23" w:rsidRDefault="00210991">
      <w:pPr>
        <w:pStyle w:val="Prrafodelista"/>
        <w:numPr>
          <w:ilvl w:val="0"/>
          <w:numId w:val="23"/>
        </w:numPr>
        <w:ind w:left="454" w:hanging="170"/>
      </w:pPr>
      <w:r w:rsidRPr="00025F23">
        <w:rPr>
          <w:i/>
          <w:iCs/>
        </w:rPr>
        <w:t>Burbujas del precio de los activos</w:t>
      </w:r>
      <w:r w:rsidRPr="00025F23">
        <w:t>: Por ejemplo en el precio de las viviendas o de los activos.</w:t>
      </w:r>
    </w:p>
    <w:p w14:paraId="6DFC9DC2" w14:textId="2702CFA1" w:rsidR="00025A56" w:rsidRPr="00025F23" w:rsidRDefault="00025A56" w:rsidP="00025A56">
      <w:r w:rsidRPr="00025F23">
        <w:t xml:space="preserve">Si los desequilibrios se agravan degeneran en </w:t>
      </w:r>
      <w:r w:rsidRPr="00025F23">
        <w:rPr>
          <w:b/>
          <w:bCs/>
        </w:rPr>
        <w:t>crisis</w:t>
      </w:r>
      <w:r w:rsidRPr="00025F23">
        <w:t>. Durante las crisis, la producción cae, la gente reduce su consumo, el desempleo aumenta, los bancos quiebran, los activos pierden su valor y, por lo tanto, la gente pierde sus ahorros.</w:t>
      </w:r>
    </w:p>
    <w:p w14:paraId="5CF8F458" w14:textId="007DE912" w:rsidR="00F84330" w:rsidRPr="00025F23" w:rsidRDefault="00F84330" w:rsidP="00F84330">
      <w:pPr>
        <w:pStyle w:val="Ttulo5"/>
      </w:pPr>
      <w:bookmarkStart w:id="373" w:name="_Ref102036059"/>
      <w:r w:rsidRPr="00025F23">
        <w:t>Anexo</w:t>
      </w:r>
      <w:r w:rsidR="00B77C3E" w:rsidRPr="00025F23">
        <w:t> </w:t>
      </w:r>
      <w:r w:rsidR="00CB7666" w:rsidRPr="00025F23">
        <w:t>5</w:t>
      </w:r>
      <w:r w:rsidRPr="00025F23">
        <w:rPr>
          <w:i w:val="0"/>
          <w:iCs w:val="0"/>
          <w:u w:val="none"/>
        </w:rPr>
        <w:t>: Fórmulas imprescindibles</w:t>
      </w:r>
      <w:bookmarkEnd w:id="373"/>
    </w:p>
    <w:tbl>
      <w:tblPr>
        <w:tblStyle w:val="Tablaconcuadrcula"/>
        <w:tblW w:w="5671" w:type="dxa"/>
        <w:tblInd w:w="-284"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5671"/>
      </w:tblGrid>
      <w:tr w:rsidR="00EB22DF" w:rsidRPr="00025F23" w14:paraId="214EC2D7" w14:textId="77777777" w:rsidTr="004B7DBF">
        <w:trPr>
          <w:trHeight w:val="454"/>
        </w:trPr>
        <w:tc>
          <w:tcPr>
            <w:tcW w:w="5671" w:type="dxa"/>
            <w:vAlign w:val="center"/>
          </w:tcPr>
          <w:p w14:paraId="711A8434" w14:textId="557DA249" w:rsidR="00EB22DF" w:rsidRPr="00025F23" w:rsidRDefault="00EB22DF" w:rsidP="00D51DB8">
            <w:pPr>
              <w:spacing w:after="0" w:line="276" w:lineRule="auto"/>
              <w:ind w:left="-110"/>
              <w:jc w:val="center"/>
              <w:rPr>
                <w:rFonts w:eastAsia="Calibri" w:cs="Arial"/>
                <w:i/>
                <w:spacing w:val="-6"/>
                <w:szCs w:val="16"/>
              </w:rPr>
            </w:pPr>
            <m:oMathPara>
              <m:oMath>
                <m:r>
                  <m:rPr>
                    <m:nor/>
                  </m:rPr>
                  <w:rPr>
                    <w:b/>
                    <w:bCs/>
                    <w:i/>
                  </w:rPr>
                  <m:t xml:space="preserve">γ </m:t>
                </m:r>
                <m:r>
                  <m:rPr>
                    <m:nor/>
                  </m:rPr>
                  <w:rPr>
                    <w:b/>
                    <w:bCs/>
                    <w:i/>
                    <w:iCs/>
                  </w:rPr>
                  <m:t>Output gap</m:t>
                </m:r>
                <m:r>
                  <w:rPr>
                    <w:rFonts w:ascii="Cambria Math" w:hAnsi="Cambria Math"/>
                  </w:rPr>
                  <m:t>=</m:t>
                </m:r>
                <m:r>
                  <m:rPr>
                    <m:nor/>
                  </m:rPr>
                  <w:rPr>
                    <w:i/>
                  </w:rPr>
                  <m:t xml:space="preserve">γ </m:t>
                </m:r>
                <m:sSub>
                  <m:sSubPr>
                    <m:ctrlPr>
                      <w:rPr>
                        <w:rFonts w:ascii="Cambria Math" w:hAnsi="Cambria Math"/>
                        <w:i/>
                        <w:iCs/>
                      </w:rPr>
                    </m:ctrlPr>
                  </m:sSubPr>
                  <m:e>
                    <m:r>
                      <m:rPr>
                        <m:nor/>
                      </m:rPr>
                      <w:rPr>
                        <w:i/>
                        <w:iCs/>
                      </w:rPr>
                      <m:t>PIB</m:t>
                    </m:r>
                  </m:e>
                  <m:sub>
                    <m:r>
                      <m:rPr>
                        <m:nor/>
                      </m:rPr>
                      <w:rPr>
                        <w:i/>
                        <w:iCs/>
                      </w:rPr>
                      <m:t>Observado</m:t>
                    </m:r>
                  </m:sub>
                </m:sSub>
                <m:r>
                  <w:rPr>
                    <w:rFonts w:ascii="Cambria Math" w:hAnsi="Cambria Math"/>
                  </w:rPr>
                  <m:t>-</m:t>
                </m:r>
                <m:r>
                  <m:rPr>
                    <m:nor/>
                  </m:rPr>
                  <w:rPr>
                    <w:i/>
                  </w:rPr>
                  <m:t xml:space="preserve">γ </m:t>
                </m:r>
                <m:sSub>
                  <m:sSubPr>
                    <m:ctrlPr>
                      <w:rPr>
                        <w:rFonts w:ascii="Cambria Math" w:hAnsi="Cambria Math"/>
                        <w:i/>
                        <w:iCs/>
                      </w:rPr>
                    </m:ctrlPr>
                  </m:sSubPr>
                  <m:e>
                    <m:r>
                      <m:rPr>
                        <m:nor/>
                      </m:rPr>
                      <w:rPr>
                        <w:i/>
                        <w:iCs/>
                      </w:rPr>
                      <m:t>PIB</m:t>
                    </m:r>
                  </m:e>
                  <m:sub>
                    <m:r>
                      <m:rPr>
                        <m:nor/>
                      </m:rPr>
                      <w:rPr>
                        <w:i/>
                        <w:iCs/>
                      </w:rPr>
                      <m:t>Potencial</m:t>
                    </m:r>
                  </m:sub>
                </m:sSub>
              </m:oMath>
            </m:oMathPara>
          </w:p>
        </w:tc>
      </w:tr>
      <w:tr w:rsidR="00D16775" w:rsidRPr="00025F23" w14:paraId="14E57643" w14:textId="77777777" w:rsidTr="004B7DBF">
        <w:trPr>
          <w:trHeight w:val="454"/>
        </w:trPr>
        <w:tc>
          <w:tcPr>
            <w:tcW w:w="5671" w:type="dxa"/>
            <w:vAlign w:val="center"/>
          </w:tcPr>
          <w:p w14:paraId="2E6C898B" w14:textId="50DF9C7E" w:rsidR="00D16775" w:rsidRPr="00025F23" w:rsidRDefault="00000000" w:rsidP="00D51DB8">
            <w:pPr>
              <w:spacing w:after="0" w:line="276" w:lineRule="auto"/>
              <w:ind w:left="-110"/>
              <w:jc w:val="center"/>
              <w:rPr>
                <w:rFonts w:eastAsia="Calibri" w:cs="Arial"/>
                <w:i/>
                <w:spacing w:val="-6"/>
                <w:szCs w:val="16"/>
              </w:rPr>
            </w:pPr>
            <m:oMathPara>
              <m:oMath>
                <m:sSub>
                  <m:sSubPr>
                    <m:ctrlPr>
                      <w:rPr>
                        <w:rFonts w:ascii="Cambria Math" w:hAnsi="Cambria Math"/>
                        <w:b/>
                        <w:bCs/>
                        <w:i/>
                        <w:spacing w:val="-6"/>
                        <w:szCs w:val="16"/>
                      </w:rPr>
                    </m:ctrlPr>
                  </m:sSubPr>
                  <m:e>
                    <m:r>
                      <m:rPr>
                        <m:nor/>
                      </m:rPr>
                      <w:rPr>
                        <w:b/>
                        <w:bCs/>
                        <w:i/>
                        <w:spacing w:val="-6"/>
                        <w:szCs w:val="16"/>
                      </w:rPr>
                      <m:t>Deflactor</m:t>
                    </m:r>
                  </m:e>
                  <m:sub>
                    <m:r>
                      <m:rPr>
                        <m:nor/>
                      </m:rPr>
                      <w:rPr>
                        <w:b/>
                        <w:bCs/>
                        <w:i/>
                        <w:spacing w:val="-6"/>
                        <w:szCs w:val="16"/>
                      </w:rPr>
                      <m:t>PIB</m:t>
                    </m:r>
                  </m:sub>
                </m:sSub>
                <m:r>
                  <w:rPr>
                    <w:rFonts w:ascii="Cambria Math" w:hAnsi="Cambria Math"/>
                  </w:rPr>
                  <m:t>=</m:t>
                </m:r>
                <m:f>
                  <m:fPr>
                    <m:ctrlPr>
                      <w:rPr>
                        <w:rFonts w:ascii="Cambria Math" w:hAnsi="Cambria Math"/>
                        <w:i/>
                        <w:iCs/>
                      </w:rPr>
                    </m:ctrlPr>
                  </m:fPr>
                  <m:num>
                    <m:limUpp>
                      <m:limUppPr>
                        <m:ctrlPr>
                          <w:rPr>
                            <w:rFonts w:ascii="Cambria Math" w:hAnsi="Cambria Math"/>
                            <w:i/>
                            <w:iCs/>
                          </w:rPr>
                        </m:ctrlPr>
                      </m:limUppPr>
                      <m:e>
                        <m:groupChr>
                          <m:groupChrPr>
                            <m:chr m:val="⏞"/>
                            <m:pos m:val="top"/>
                            <m:vertJc m:val="bot"/>
                            <m:ctrlPr>
                              <w:rPr>
                                <w:rFonts w:ascii="Cambria Math" w:hAnsi="Cambria Math"/>
                                <w:i/>
                                <w:iCs/>
                              </w:rPr>
                            </m:ctrlPr>
                          </m:groupChrPr>
                          <m:e>
                            <m:r>
                              <m:rPr>
                                <m:nor/>
                              </m:rPr>
                              <w:rPr>
                                <w:i/>
                                <w:iCs/>
                              </w:rPr>
                              <m:t>PIB nominal</m:t>
                            </m:r>
                          </m:e>
                        </m:groupChr>
                      </m:e>
                      <m:lim>
                        <m:r>
                          <m:rPr>
                            <m:nor/>
                          </m:rPr>
                          <w:rPr>
                            <w:i/>
                            <w:iCs/>
                          </w:rPr>
                          <m:t>PIB a precios corrientes</m:t>
                        </m:r>
                      </m:lim>
                    </m:limUpp>
                  </m:num>
                  <m:den>
                    <m:limLow>
                      <m:limLowPr>
                        <m:ctrlPr>
                          <w:rPr>
                            <w:rFonts w:ascii="Cambria Math" w:hAnsi="Cambria Math"/>
                            <w:i/>
                            <w:iCs/>
                          </w:rPr>
                        </m:ctrlPr>
                      </m:limLowPr>
                      <m:e>
                        <m:groupChr>
                          <m:groupChrPr>
                            <m:ctrlPr>
                              <w:rPr>
                                <w:rFonts w:ascii="Cambria Math" w:hAnsi="Cambria Math"/>
                                <w:i/>
                                <w:iCs/>
                              </w:rPr>
                            </m:ctrlPr>
                          </m:groupChrPr>
                          <m:e>
                            <m:r>
                              <m:rPr>
                                <m:nor/>
                              </m:rPr>
                              <w:rPr>
                                <w:i/>
                                <w:iCs/>
                              </w:rPr>
                              <m:t>PIB real</m:t>
                            </m:r>
                          </m:e>
                        </m:groupChr>
                      </m:e>
                      <m:lim>
                        <m:r>
                          <m:rPr>
                            <m:nor/>
                          </m:rPr>
                          <w:rPr>
                            <w:i/>
                            <w:iCs/>
                          </w:rPr>
                          <m:t>PIB a precios fijos</m:t>
                        </m:r>
                      </m:lim>
                    </m:limLow>
                  </m:den>
                </m:f>
                <m:r>
                  <w:rPr>
                    <w:rFonts w:ascii="Cambria Math" w:hAnsi="Cambria Math"/>
                  </w:rPr>
                  <m:t>×</m:t>
                </m:r>
                <m:r>
                  <m:rPr>
                    <m:nor/>
                  </m:rPr>
                  <w:rPr>
                    <w:i/>
                    <w:iCs/>
                  </w:rPr>
                  <m:t>100</m:t>
                </m:r>
              </m:oMath>
            </m:oMathPara>
          </w:p>
        </w:tc>
      </w:tr>
      <w:tr w:rsidR="00F84330" w:rsidRPr="00025F23" w14:paraId="29B222F1" w14:textId="77777777" w:rsidTr="004B7DBF">
        <w:trPr>
          <w:trHeight w:val="454"/>
        </w:trPr>
        <w:tc>
          <w:tcPr>
            <w:tcW w:w="5671" w:type="dxa"/>
            <w:vAlign w:val="center"/>
          </w:tcPr>
          <w:p w14:paraId="55C2B54D" w14:textId="6A9A16BB" w:rsidR="00F84330" w:rsidRPr="00025F23" w:rsidRDefault="00D16775" w:rsidP="00D51DB8">
            <w:pPr>
              <w:spacing w:after="0" w:line="276" w:lineRule="auto"/>
              <w:ind w:left="-110"/>
              <w:jc w:val="center"/>
              <w:rPr>
                <w:i/>
                <w:spacing w:val="-6"/>
                <w:szCs w:val="16"/>
              </w:rPr>
            </w:pPr>
            <m:oMathPara>
              <m:oMath>
                <m:r>
                  <m:rPr>
                    <m:nor/>
                  </m:rPr>
                  <w:rPr>
                    <w:b/>
                    <w:bCs/>
                    <w:i/>
                    <w:spacing w:val="-6"/>
                    <w:szCs w:val="16"/>
                  </w:rPr>
                  <m:t xml:space="preserve">γ </m:t>
                </m:r>
                <m:sSub>
                  <m:sSubPr>
                    <m:ctrlPr>
                      <w:rPr>
                        <w:rFonts w:ascii="Cambria Math" w:hAnsi="Cambria Math"/>
                        <w:b/>
                        <w:i/>
                        <w:spacing w:val="-6"/>
                        <w:szCs w:val="16"/>
                      </w:rPr>
                    </m:ctrlPr>
                  </m:sSubPr>
                  <m:e>
                    <m:r>
                      <m:rPr>
                        <m:nor/>
                      </m:rPr>
                      <w:rPr>
                        <w:b/>
                        <w:i/>
                        <w:spacing w:val="-6"/>
                        <w:szCs w:val="16"/>
                      </w:rPr>
                      <m:t>Deflactor</m:t>
                    </m:r>
                  </m:e>
                  <m:sub>
                    <m:r>
                      <m:rPr>
                        <m:nor/>
                      </m:rPr>
                      <w:rPr>
                        <w:b/>
                        <w:i/>
                        <w:spacing w:val="-6"/>
                        <w:szCs w:val="16"/>
                      </w:rPr>
                      <m:t>PIB</m:t>
                    </m:r>
                  </m:sub>
                </m:sSub>
                <m:r>
                  <m:rPr>
                    <m:sty m:val="bi"/>
                  </m:rPr>
                  <w:rPr>
                    <w:rFonts w:ascii="Cambria Math" w:hAnsi="Cambria Math"/>
                    <w:spacing w:val="-6"/>
                    <w:szCs w:val="16"/>
                  </w:rPr>
                  <m:t>=</m:t>
                </m:r>
                <m:r>
                  <m:rPr>
                    <m:nor/>
                  </m:rPr>
                  <w:rPr>
                    <w:i/>
                    <w:spacing w:val="-6"/>
                    <w:szCs w:val="16"/>
                  </w:rPr>
                  <m:t>γ PIB nominal</m:t>
                </m:r>
                <m:r>
                  <w:rPr>
                    <w:rFonts w:ascii="Cambria Math" w:hAnsi="Cambria Math"/>
                    <w:spacing w:val="-6"/>
                    <w:szCs w:val="16"/>
                  </w:rPr>
                  <m:t>-</m:t>
                </m:r>
                <m:r>
                  <m:rPr>
                    <m:nor/>
                  </m:rPr>
                  <w:rPr>
                    <w:i/>
                    <w:spacing w:val="-6"/>
                    <w:szCs w:val="16"/>
                  </w:rPr>
                  <m:t>γ PIB real</m:t>
                </m:r>
              </m:oMath>
            </m:oMathPara>
          </w:p>
        </w:tc>
      </w:tr>
      <w:tr w:rsidR="00F84330" w:rsidRPr="00025F23" w14:paraId="5A30ACEB" w14:textId="77777777" w:rsidTr="004B7DBF">
        <w:trPr>
          <w:trHeight w:val="454"/>
        </w:trPr>
        <w:tc>
          <w:tcPr>
            <w:tcW w:w="5671" w:type="dxa"/>
            <w:vAlign w:val="center"/>
          </w:tcPr>
          <w:p w14:paraId="31F33478" w14:textId="2AB5FE07" w:rsidR="00F84330" w:rsidRPr="00025F23" w:rsidRDefault="000B514B" w:rsidP="00D51DB8">
            <w:pPr>
              <w:spacing w:after="0" w:line="276" w:lineRule="auto"/>
              <w:ind w:left="-110"/>
              <w:jc w:val="center"/>
              <w:rPr>
                <w:bCs/>
                <w:i/>
                <w:spacing w:val="-6"/>
                <w:szCs w:val="16"/>
              </w:rPr>
            </w:pPr>
            <m:oMathPara>
              <m:oMath>
                <m:r>
                  <m:rPr>
                    <m:nor/>
                  </m:rPr>
                  <w:rPr>
                    <w:b/>
                    <w:i/>
                    <w:spacing w:val="-6"/>
                    <w:szCs w:val="16"/>
                  </w:rPr>
                  <m:t>Tipo de interés real L/P</m:t>
                </m:r>
                <m:r>
                  <m:rPr>
                    <m:sty m:val="bi"/>
                  </m:rPr>
                  <w:rPr>
                    <w:rFonts w:ascii="Cambria Math" w:hAnsi="Cambria Math"/>
                    <w:spacing w:val="-6"/>
                    <w:szCs w:val="16"/>
                  </w:rPr>
                  <m:t>=</m:t>
                </m:r>
                <m:r>
                  <m:rPr>
                    <m:nor/>
                  </m:rPr>
                  <w:rPr>
                    <w:i/>
                    <w:spacing w:val="-6"/>
                    <w:szCs w:val="16"/>
                  </w:rPr>
                  <m:t>tipo de interés nominal a L/P</m:t>
                </m:r>
                <m:r>
                  <w:rPr>
                    <w:rFonts w:ascii="Cambria Math" w:hAnsi="Cambria Math"/>
                    <w:spacing w:val="-6"/>
                    <w:szCs w:val="16"/>
                  </w:rPr>
                  <m:t>-</m:t>
                </m:r>
                <m:r>
                  <m:rPr>
                    <m:nor/>
                  </m:rPr>
                  <w:rPr>
                    <w:i/>
                    <w:spacing w:val="-6"/>
                    <w:szCs w:val="16"/>
                  </w:rPr>
                  <m:t xml:space="preserve">γ </m:t>
                </m:r>
                <m:sSub>
                  <m:sSubPr>
                    <m:ctrlPr>
                      <w:rPr>
                        <w:rFonts w:ascii="Cambria Math" w:hAnsi="Cambria Math"/>
                        <w:bCs/>
                        <w:i/>
                        <w:spacing w:val="-6"/>
                        <w:szCs w:val="16"/>
                      </w:rPr>
                    </m:ctrlPr>
                  </m:sSubPr>
                  <m:e>
                    <m:r>
                      <m:rPr>
                        <m:nor/>
                      </m:rPr>
                      <w:rPr>
                        <w:bCs/>
                        <w:i/>
                        <w:spacing w:val="-6"/>
                        <w:szCs w:val="16"/>
                      </w:rPr>
                      <m:t>Deflactor</m:t>
                    </m:r>
                  </m:e>
                  <m:sub>
                    <m:r>
                      <m:rPr>
                        <m:nor/>
                      </m:rPr>
                      <w:rPr>
                        <w:bCs/>
                        <w:i/>
                        <w:spacing w:val="-6"/>
                        <w:szCs w:val="16"/>
                      </w:rPr>
                      <m:t>PIB</m:t>
                    </m:r>
                  </m:sub>
                </m:sSub>
              </m:oMath>
            </m:oMathPara>
          </w:p>
        </w:tc>
      </w:tr>
      <w:tr w:rsidR="00F84330" w:rsidRPr="00025F23" w14:paraId="33DF0449" w14:textId="77777777" w:rsidTr="004B7DBF">
        <w:trPr>
          <w:trHeight w:val="454"/>
        </w:trPr>
        <w:tc>
          <w:tcPr>
            <w:tcW w:w="5671" w:type="dxa"/>
            <w:vAlign w:val="center"/>
          </w:tcPr>
          <w:p w14:paraId="18669E99" w14:textId="0D52B671" w:rsidR="00F84330" w:rsidRPr="00025F23" w:rsidRDefault="000B514B" w:rsidP="00D51DB8">
            <w:pPr>
              <w:spacing w:after="0" w:line="276" w:lineRule="auto"/>
              <w:ind w:left="-110"/>
              <w:jc w:val="center"/>
              <w:rPr>
                <w:i/>
                <w:spacing w:val="-6"/>
                <w:szCs w:val="16"/>
              </w:rPr>
            </w:pPr>
            <m:oMathPara>
              <m:oMath>
                <m:r>
                  <m:rPr>
                    <m:nor/>
                  </m:rPr>
                  <w:rPr>
                    <w:b/>
                    <w:i/>
                    <w:spacing w:val="-6"/>
                    <w:szCs w:val="16"/>
                  </w:rPr>
                  <m:t>Tipo de interés real a C/P</m:t>
                </m:r>
                <m:r>
                  <m:rPr>
                    <m:sty m:val="bi"/>
                  </m:rPr>
                  <w:rPr>
                    <w:rFonts w:ascii="Cambria Math" w:hAnsi="Cambria Math"/>
                    <w:spacing w:val="-6"/>
                    <w:szCs w:val="16"/>
                  </w:rPr>
                  <m:t>=</m:t>
                </m:r>
                <m:r>
                  <m:rPr>
                    <m:nor/>
                  </m:rPr>
                  <w:rPr>
                    <w:i/>
                    <w:spacing w:val="-6"/>
                    <w:szCs w:val="16"/>
                  </w:rPr>
                  <m:t>tipo de interés nominal a C/P</m:t>
                </m:r>
                <m:r>
                  <w:rPr>
                    <w:rFonts w:ascii="Cambria Math" w:hAnsi="Cambria Math"/>
                    <w:spacing w:val="-6"/>
                    <w:szCs w:val="16"/>
                  </w:rPr>
                  <m:t>-</m:t>
                </m:r>
                <m:r>
                  <m:rPr>
                    <m:nor/>
                  </m:rPr>
                  <w:rPr>
                    <w:i/>
                    <w:spacing w:val="-6"/>
                    <w:szCs w:val="16"/>
                  </w:rPr>
                  <m:t>γ</m:t>
                </m:r>
                <m:r>
                  <m:rPr>
                    <m:nor/>
                  </m:rPr>
                  <w:rPr>
                    <w:b/>
                    <w:i/>
                    <w:spacing w:val="-6"/>
                    <w:szCs w:val="16"/>
                  </w:rPr>
                  <m:t xml:space="preserve"> </m:t>
                </m:r>
                <m:r>
                  <m:rPr>
                    <m:nor/>
                  </m:rPr>
                  <w:rPr>
                    <w:i/>
                    <w:spacing w:val="-6"/>
                    <w:szCs w:val="16"/>
                  </w:rPr>
                  <m:t>IPC</m:t>
                </m:r>
              </m:oMath>
            </m:oMathPara>
          </w:p>
        </w:tc>
      </w:tr>
      <w:tr w:rsidR="00F84330" w:rsidRPr="00025F23" w14:paraId="572ADCB2" w14:textId="77777777" w:rsidTr="004B7DBF">
        <w:trPr>
          <w:trHeight w:val="454"/>
        </w:trPr>
        <w:tc>
          <w:tcPr>
            <w:tcW w:w="5671" w:type="dxa"/>
            <w:vAlign w:val="center"/>
          </w:tcPr>
          <w:p w14:paraId="0DB440E9" w14:textId="32A81AF7" w:rsidR="00F84330" w:rsidRPr="00025F23" w:rsidRDefault="000B514B" w:rsidP="00D51DB8">
            <w:pPr>
              <w:spacing w:after="0" w:line="276" w:lineRule="auto"/>
              <w:ind w:left="-110"/>
              <w:jc w:val="center"/>
              <w:rPr>
                <w:i/>
                <w:spacing w:val="-6"/>
                <w:szCs w:val="16"/>
              </w:rPr>
            </w:pPr>
            <m:oMathPara>
              <m:oMath>
                <m:r>
                  <m:rPr>
                    <m:nor/>
                  </m:rPr>
                  <w:rPr>
                    <w:b/>
                    <w:bCs/>
                    <w:i/>
                    <w:spacing w:val="-6"/>
                    <w:szCs w:val="16"/>
                  </w:rPr>
                  <m:t>γ</m:t>
                </m:r>
                <m:r>
                  <m:rPr>
                    <m:nor/>
                  </m:rPr>
                  <w:rPr>
                    <w:b/>
                    <w:i/>
                    <w:spacing w:val="-6"/>
                    <w:szCs w:val="16"/>
                  </w:rPr>
                  <m:t xml:space="preserve"> Remuneraciones reales</m:t>
                </m:r>
                <m:r>
                  <m:rPr>
                    <m:sty m:val="bi"/>
                  </m:rPr>
                  <w:rPr>
                    <w:rFonts w:ascii="Cambria Math" w:hAnsi="Cambria Math"/>
                    <w:spacing w:val="-6"/>
                    <w:szCs w:val="16"/>
                  </w:rPr>
                  <m:t>=</m:t>
                </m:r>
                <m:r>
                  <m:rPr>
                    <m:nor/>
                  </m:rPr>
                  <w:rPr>
                    <w:i/>
                    <w:spacing w:val="-6"/>
                    <w:szCs w:val="16"/>
                  </w:rPr>
                  <m:t>γ</m:t>
                </m:r>
                <m:r>
                  <m:rPr>
                    <m:nor/>
                  </m:rPr>
                  <w:rPr>
                    <w:b/>
                    <w:i/>
                    <w:spacing w:val="-6"/>
                    <w:szCs w:val="16"/>
                  </w:rPr>
                  <m:t xml:space="preserve"> S</m:t>
                </m:r>
                <m:r>
                  <m:rPr>
                    <m:nor/>
                  </m:rPr>
                  <w:rPr>
                    <w:i/>
                    <w:spacing w:val="-6"/>
                    <w:szCs w:val="16"/>
                  </w:rPr>
                  <m:t>alarios nominales</m:t>
                </m:r>
                <m:r>
                  <w:rPr>
                    <w:rFonts w:ascii="Cambria Math" w:hAnsi="Cambria Math"/>
                    <w:spacing w:val="-6"/>
                    <w:szCs w:val="16"/>
                  </w:rPr>
                  <m:t>-</m:t>
                </m:r>
                <m:r>
                  <m:rPr>
                    <m:nor/>
                  </m:rPr>
                  <w:rPr>
                    <w:i/>
                    <w:spacing w:val="-6"/>
                    <w:szCs w:val="16"/>
                  </w:rPr>
                  <m:t>γ</m:t>
                </m:r>
                <m:r>
                  <m:rPr>
                    <m:nor/>
                  </m:rPr>
                  <w:rPr>
                    <w:b/>
                    <w:i/>
                    <w:spacing w:val="-6"/>
                    <w:szCs w:val="16"/>
                  </w:rPr>
                  <m:t xml:space="preserve"> </m:t>
                </m:r>
                <m:r>
                  <m:rPr>
                    <m:nor/>
                  </m:rPr>
                  <w:rPr>
                    <w:i/>
                    <w:spacing w:val="-6"/>
                    <w:szCs w:val="16"/>
                  </w:rPr>
                  <m:t>IPC</m:t>
                </m:r>
              </m:oMath>
            </m:oMathPara>
          </w:p>
        </w:tc>
      </w:tr>
      <w:tr w:rsidR="00F84330" w:rsidRPr="00025F23" w14:paraId="1160FA4B" w14:textId="77777777" w:rsidTr="004B7DBF">
        <w:trPr>
          <w:trHeight w:val="454"/>
        </w:trPr>
        <w:tc>
          <w:tcPr>
            <w:tcW w:w="5671" w:type="dxa"/>
            <w:vAlign w:val="center"/>
          </w:tcPr>
          <w:p w14:paraId="22617F65" w14:textId="26C6F78E" w:rsidR="00F84330" w:rsidRPr="00025F23" w:rsidRDefault="00F84330" w:rsidP="00D51DB8">
            <w:pPr>
              <w:pStyle w:val="Nivel1"/>
              <w:numPr>
                <w:ilvl w:val="0"/>
                <w:numId w:val="0"/>
              </w:numPr>
              <w:rPr>
                <w:i/>
                <w:iCs w:val="0"/>
              </w:rPr>
            </w:pPr>
            <m:oMathPara>
              <m:oMath>
                <m:r>
                  <m:rPr>
                    <m:nor/>
                  </m:rPr>
                  <w:rPr>
                    <w:b/>
                    <w:bCs/>
                    <w:i/>
                    <w:spacing w:val="-6"/>
                    <w:szCs w:val="16"/>
                  </w:rPr>
                  <m:t xml:space="preserve">γ </m:t>
                </m:r>
                <m:sSub>
                  <m:sSubPr>
                    <m:ctrlPr>
                      <w:rPr>
                        <w:rFonts w:ascii="Cambria Math" w:hAnsi="Cambria Math"/>
                        <w:b/>
                        <w:bCs/>
                        <w:i/>
                      </w:rPr>
                    </m:ctrlPr>
                  </m:sSubPr>
                  <m:e>
                    <m:r>
                      <m:rPr>
                        <m:nor/>
                      </m:rPr>
                      <w:rPr>
                        <w:b/>
                        <w:bCs/>
                        <w:i/>
                      </w:rPr>
                      <m:t>PAT</m:t>
                    </m:r>
                  </m:e>
                  <m:sub>
                    <m:r>
                      <m:rPr>
                        <m:nor/>
                      </m:rPr>
                      <w:rPr>
                        <w:b/>
                        <w:bCs/>
                        <w:i/>
                        <w:spacing w:val="-6"/>
                        <w:szCs w:val="16"/>
                      </w:rPr>
                      <m:t>real</m:t>
                    </m:r>
                  </m:sub>
                </m:sSub>
                <m:r>
                  <m:rPr>
                    <m:sty m:val="bi"/>
                  </m:rPr>
                  <w:rPr>
                    <w:rFonts w:ascii="Cambria Math" w:hAnsi="Cambria Math"/>
                    <w:spacing w:val="-6"/>
                    <w:szCs w:val="16"/>
                  </w:rPr>
                  <m:t>=</m:t>
                </m:r>
                <m:r>
                  <m:rPr>
                    <m:nor/>
                  </m:rPr>
                  <w:rPr>
                    <w:i/>
                    <w:spacing w:val="-6"/>
                    <w:szCs w:val="16"/>
                  </w:rPr>
                  <m:t xml:space="preserve">γ </m:t>
                </m:r>
                <m:sSub>
                  <m:sSubPr>
                    <m:ctrlPr>
                      <w:rPr>
                        <w:rFonts w:ascii="Cambria Math" w:hAnsi="Cambria Math"/>
                        <w:i/>
                        <w:spacing w:val="-6"/>
                        <w:szCs w:val="16"/>
                      </w:rPr>
                    </m:ctrlPr>
                  </m:sSubPr>
                  <m:e>
                    <m:r>
                      <m:rPr>
                        <m:nor/>
                      </m:rPr>
                      <w:rPr>
                        <w:i/>
                        <w:spacing w:val="-6"/>
                        <w:szCs w:val="16"/>
                      </w:rPr>
                      <m:t>PIB</m:t>
                    </m:r>
                  </m:e>
                  <m:sub>
                    <m:r>
                      <m:rPr>
                        <m:nor/>
                      </m:rPr>
                      <w:rPr>
                        <w:i/>
                        <w:spacing w:val="-6"/>
                        <w:szCs w:val="16"/>
                      </w:rPr>
                      <m:t>real</m:t>
                    </m:r>
                  </m:sub>
                </m:sSub>
                <m:r>
                  <w:rPr>
                    <w:rFonts w:ascii="Cambria Math" w:hAnsi="Cambria Math"/>
                    <w:spacing w:val="-6"/>
                    <w:szCs w:val="16"/>
                  </w:rPr>
                  <m:t>-</m:t>
                </m:r>
                <m:r>
                  <m:rPr>
                    <m:nor/>
                  </m:rPr>
                  <w:rPr>
                    <w:i/>
                    <w:spacing w:val="-6"/>
                    <w:szCs w:val="16"/>
                  </w:rPr>
                  <m:t>γ Em</m:t>
                </m:r>
                <w:proofErr w:type="spellStart"/>
                <m:r>
                  <m:rPr>
                    <m:nor/>
                  </m:rPr>
                  <w:rPr>
                    <w:i/>
                    <w:iCs w:val="0"/>
                    <w:spacing w:val="-6"/>
                    <w:szCs w:val="16"/>
                  </w:rPr>
                  <m:t>pleo</m:t>
                </m:r>
              </m:oMath>
            </m:oMathPara>
            <w:proofErr w:type="spellEnd"/>
          </w:p>
        </w:tc>
      </w:tr>
      <w:tr w:rsidR="00382492" w:rsidRPr="00025F23" w14:paraId="28C065B7" w14:textId="77777777" w:rsidTr="004B7DBF">
        <w:trPr>
          <w:trHeight w:val="454"/>
        </w:trPr>
        <w:tc>
          <w:tcPr>
            <w:tcW w:w="5671" w:type="dxa"/>
            <w:vAlign w:val="center"/>
          </w:tcPr>
          <w:p w14:paraId="4E442EB3" w14:textId="451277CE" w:rsidR="00382492" w:rsidRPr="00025F23" w:rsidRDefault="00382492" w:rsidP="00D51DB8">
            <w:pPr>
              <w:pStyle w:val="Nivel1"/>
              <w:numPr>
                <w:ilvl w:val="0"/>
                <w:numId w:val="0"/>
              </w:numPr>
              <w:rPr>
                <w:rFonts w:eastAsia="Calibri" w:cs="Arial"/>
                <w:spacing w:val="-6"/>
                <w:szCs w:val="16"/>
              </w:rPr>
            </w:pPr>
            <m:oMathPara>
              <m:oMath>
                <m:r>
                  <m:rPr>
                    <m:sty m:val="bi"/>
                  </m:rPr>
                  <w:rPr>
                    <w:rFonts w:ascii="Cambria Math" w:eastAsiaTheme="minorEastAsia" w:hAnsi="Cambria Math"/>
                    <w:spacing w:val="-8"/>
                    <w:szCs w:val="16"/>
                  </w:rPr>
                  <m:t xml:space="preserve"> </m:t>
                </m:r>
                <m:sSub>
                  <m:sSubPr>
                    <m:ctrlPr>
                      <w:rPr>
                        <w:rFonts w:ascii="Cambria Math" w:hAnsi="Cambria Math"/>
                        <w:b/>
                        <w:bCs/>
                        <w:i/>
                      </w:rPr>
                    </m:ctrlPr>
                  </m:sSubPr>
                  <m:e>
                    <m:r>
                      <m:rPr>
                        <m:nor/>
                      </m:rPr>
                      <w:rPr>
                        <w:b/>
                        <w:bCs/>
                        <w:i/>
                      </w:rPr>
                      <m:t>CLU</m:t>
                    </m:r>
                  </m:e>
                  <m:sub>
                    <m:r>
                      <m:rPr>
                        <m:nor/>
                      </m:rPr>
                      <w:rPr>
                        <w:b/>
                        <w:bCs/>
                        <w:i/>
                      </w:rPr>
                      <m:t>nominales</m:t>
                    </m:r>
                  </m:sub>
                </m:sSub>
                <m:r>
                  <w:rPr>
                    <w:rFonts w:ascii="Cambria Math" w:hAnsi="Cambria Math"/>
                  </w:rPr>
                  <m:t>=</m:t>
                </m:r>
                <m:f>
                  <m:fPr>
                    <m:ctrlPr>
                      <w:rPr>
                        <w:rFonts w:ascii="Cambria Math" w:hAnsi="Cambria Math"/>
                        <w:i/>
                      </w:rPr>
                    </m:ctrlPr>
                  </m:fPr>
                  <m:num>
                    <m:r>
                      <m:rPr>
                        <m:nor/>
                      </m:rPr>
                      <w:rPr>
                        <w:i/>
                      </w:rPr>
                      <m:t>W</m:t>
                    </m:r>
                    <m:r>
                      <w:rPr>
                        <w:rFonts w:ascii="Cambria Math" w:hAnsi="Cambria Math"/>
                      </w:rPr>
                      <m:t>∙</m:t>
                    </m:r>
                    <m:r>
                      <m:rPr>
                        <m:nor/>
                      </m:rPr>
                      <w:rPr>
                        <w:i/>
                      </w:rPr>
                      <m:t>L</m:t>
                    </m:r>
                  </m:num>
                  <m:den>
                    <m:r>
                      <m:rPr>
                        <m:nor/>
                      </m:rPr>
                      <w:rPr>
                        <w:i/>
                      </w:rPr>
                      <m:t>Y</m:t>
                    </m:r>
                    <m:d>
                      <m:dPr>
                        <m:ctrlPr>
                          <w:rPr>
                            <w:rFonts w:ascii="Cambria Math" w:hAnsi="Cambria Math"/>
                            <w:i/>
                          </w:rPr>
                        </m:ctrlPr>
                      </m:dPr>
                      <m:e>
                        <m:r>
                          <m:rPr>
                            <m:nor/>
                          </m:rPr>
                          <w:rPr>
                            <w:i/>
                          </w:rPr>
                          <m:t>A, K, L</m:t>
                        </m:r>
                      </m:e>
                    </m:d>
                  </m:den>
                </m:f>
                <m:r>
                  <w:rPr>
                    <w:rFonts w:ascii="Cambria Math" w:hAnsi="Cambria Math"/>
                  </w:rPr>
                  <m:t>=</m:t>
                </m:r>
                <m:f>
                  <m:fPr>
                    <m:ctrlPr>
                      <w:rPr>
                        <w:rFonts w:ascii="Cambria Math" w:hAnsi="Cambria Math"/>
                        <w:i/>
                      </w:rPr>
                    </m:ctrlPr>
                  </m:fPr>
                  <m:num>
                    <m:r>
                      <m:rPr>
                        <m:nor/>
                      </m:rPr>
                      <w:rPr>
                        <w:i/>
                      </w:rPr>
                      <m:t>W</m:t>
                    </m:r>
                  </m:num>
                  <m:den>
                    <m:f>
                      <m:fPr>
                        <m:type m:val="lin"/>
                        <m:ctrlPr>
                          <w:rPr>
                            <w:rFonts w:ascii="Cambria Math" w:hAnsi="Cambria Math"/>
                            <w:i/>
                          </w:rPr>
                        </m:ctrlPr>
                      </m:fPr>
                      <m:num>
                        <m:r>
                          <m:rPr>
                            <m:nor/>
                          </m:rPr>
                          <w:rPr>
                            <w:i/>
                          </w:rPr>
                          <m:t>Y</m:t>
                        </m:r>
                      </m:num>
                      <m:den>
                        <m:r>
                          <m:rPr>
                            <m:nor/>
                          </m:rPr>
                          <w:rPr>
                            <w:i/>
                          </w:rPr>
                          <m:t>L</m:t>
                        </m:r>
                      </m:den>
                    </m:f>
                  </m:den>
                </m:f>
                <m:r>
                  <w:rPr>
                    <w:rFonts w:ascii="Cambria Math" w:hAnsi="Cambria Math"/>
                  </w:rPr>
                  <m:t>=</m:t>
                </m:r>
                <m:f>
                  <m:fPr>
                    <m:ctrlPr>
                      <w:rPr>
                        <w:rFonts w:ascii="Cambria Math" w:hAnsi="Cambria Math"/>
                        <w:i/>
                      </w:rPr>
                    </m:ctrlPr>
                  </m:fPr>
                  <m:num>
                    <m:r>
                      <m:rPr>
                        <m:nor/>
                      </m:rPr>
                      <w:rPr>
                        <w:i/>
                      </w:rPr>
                      <m:t>Salario nominal</m:t>
                    </m:r>
                  </m:num>
                  <m:den>
                    <m:r>
                      <m:rPr>
                        <m:nor/>
                      </m:rPr>
                      <w:rPr>
                        <w:i/>
                      </w:rPr>
                      <m:t>Productividad media del trabajo</m:t>
                    </m:r>
                  </m:den>
                </m:f>
              </m:oMath>
            </m:oMathPara>
          </w:p>
        </w:tc>
      </w:tr>
      <w:tr w:rsidR="00F84330" w:rsidRPr="00025F23" w14:paraId="472222FF" w14:textId="77777777" w:rsidTr="004B7DBF">
        <w:trPr>
          <w:trHeight w:val="454"/>
        </w:trPr>
        <w:tc>
          <w:tcPr>
            <w:tcW w:w="5671" w:type="dxa"/>
            <w:vAlign w:val="center"/>
          </w:tcPr>
          <w:p w14:paraId="506ED65A" w14:textId="0E32A1A5" w:rsidR="00F84330" w:rsidRPr="00025F23" w:rsidRDefault="009E5B28" w:rsidP="00D51DB8">
            <w:pPr>
              <w:spacing w:after="0" w:line="276" w:lineRule="auto"/>
              <w:ind w:left="-110"/>
              <w:jc w:val="center"/>
              <w:rPr>
                <w:i/>
                <w:spacing w:val="-6"/>
                <w:szCs w:val="16"/>
              </w:rPr>
            </w:pPr>
            <m:oMathPara>
              <m:oMath>
                <m:r>
                  <m:rPr>
                    <m:sty m:val="p"/>
                  </m:rPr>
                  <w:rPr>
                    <w:rFonts w:ascii="Cambria Math" w:eastAsiaTheme="minorEastAsia" w:hAnsi="Cambria Math"/>
                    <w:spacing w:val="-6"/>
                    <w:szCs w:val="16"/>
                  </w:rPr>
                  <m:t xml:space="preserve"> </m:t>
                </m:r>
                <m:r>
                  <m:rPr>
                    <m:nor/>
                  </m:rPr>
                  <w:rPr>
                    <w:b/>
                    <w:bCs/>
                    <w:i/>
                    <w:spacing w:val="-6"/>
                    <w:szCs w:val="16"/>
                  </w:rPr>
                  <m:t xml:space="preserve">γ </m:t>
                </m:r>
                <m:sSub>
                  <m:sSubPr>
                    <m:ctrlPr>
                      <w:rPr>
                        <w:rFonts w:ascii="Cambria Math" w:hAnsi="Cambria Math"/>
                        <w:b/>
                        <w:bCs/>
                        <w:i/>
                      </w:rPr>
                    </m:ctrlPr>
                  </m:sSubPr>
                  <m:e>
                    <m:r>
                      <m:rPr>
                        <m:nor/>
                      </m:rPr>
                      <w:rPr>
                        <w:b/>
                        <w:bCs/>
                        <w:i/>
                      </w:rPr>
                      <m:t>CLU</m:t>
                    </m:r>
                  </m:e>
                  <m:sub>
                    <m:r>
                      <m:rPr>
                        <m:nor/>
                      </m:rPr>
                      <w:rPr>
                        <w:b/>
                        <w:bCs/>
                        <w:i/>
                      </w:rPr>
                      <m:t>nominales</m:t>
                    </m:r>
                  </m:sub>
                </m:sSub>
                <m:r>
                  <w:rPr>
                    <w:rFonts w:ascii="Cambria Math" w:hAnsi="Cambria Math"/>
                  </w:rPr>
                  <m:t>=</m:t>
                </m:r>
                <m:limLow>
                  <m:limLowPr>
                    <m:ctrlPr>
                      <w:rPr>
                        <w:rFonts w:ascii="Cambria Math" w:hAnsi="Cambria Math"/>
                        <w:i/>
                        <w:spacing w:val="-6"/>
                        <w:szCs w:val="16"/>
                      </w:rPr>
                    </m:ctrlPr>
                  </m:limLowPr>
                  <m:e>
                    <m:groupChr>
                      <m:groupChrPr>
                        <m:ctrlPr>
                          <w:rPr>
                            <w:rFonts w:ascii="Cambria Math" w:hAnsi="Cambria Math"/>
                            <w:i/>
                            <w:spacing w:val="-6"/>
                            <w:szCs w:val="16"/>
                          </w:rPr>
                        </m:ctrlPr>
                      </m:groupChrPr>
                      <m:e>
                        <m:r>
                          <m:rPr>
                            <m:nor/>
                          </m:rPr>
                          <w:rPr>
                            <w:i/>
                            <w:spacing w:val="-6"/>
                            <w:szCs w:val="16"/>
                          </w:rPr>
                          <m:t xml:space="preserve">γ </m:t>
                        </m:r>
                        <m:sSub>
                          <m:sSubPr>
                            <m:ctrlPr>
                              <w:rPr>
                                <w:rFonts w:ascii="Cambria Math" w:hAnsi="Cambria Math"/>
                                <w:i/>
                                <w:spacing w:val="-6"/>
                                <w:szCs w:val="16"/>
                              </w:rPr>
                            </m:ctrlPr>
                          </m:sSubPr>
                          <m:e>
                            <m:r>
                              <m:rPr>
                                <m:nor/>
                              </m:rPr>
                              <w:rPr>
                                <w:i/>
                                <w:spacing w:val="-6"/>
                                <w:szCs w:val="16"/>
                              </w:rPr>
                              <m:t>W</m:t>
                            </m:r>
                          </m:e>
                          <m:sub>
                            <m:r>
                              <m:rPr>
                                <m:nor/>
                              </m:rPr>
                              <w:rPr>
                                <w:i/>
                                <w:spacing w:val="-6"/>
                                <w:szCs w:val="16"/>
                              </w:rPr>
                              <m:t>nominal</m:t>
                            </m:r>
                          </m:sub>
                        </m:sSub>
                      </m:e>
                    </m:groupChr>
                  </m:e>
                  <m:lim>
                    <m:r>
                      <m:rPr>
                        <m:nor/>
                      </m:rPr>
                      <w:rPr>
                        <w:i/>
                        <w:spacing w:val="-6"/>
                        <w:szCs w:val="16"/>
                      </w:rPr>
                      <m:t>γ Salario nominal</m:t>
                    </m:r>
                  </m:lim>
                </m:limLow>
                <m:r>
                  <w:rPr>
                    <w:rFonts w:ascii="Cambria Math" w:hAnsi="Cambria Math"/>
                    <w:spacing w:val="-6"/>
                    <w:szCs w:val="16"/>
                  </w:rPr>
                  <m:t>-</m:t>
                </m:r>
                <m:limLow>
                  <m:limLowPr>
                    <m:ctrlPr>
                      <w:rPr>
                        <w:rFonts w:ascii="Cambria Math" w:hAnsi="Cambria Math"/>
                        <w:i/>
                        <w:iCs/>
                      </w:rPr>
                    </m:ctrlPr>
                  </m:limLowPr>
                  <m:e>
                    <m:groupChr>
                      <m:groupChrPr>
                        <m:ctrlPr>
                          <w:rPr>
                            <w:rFonts w:ascii="Cambria Math" w:hAnsi="Cambria Math"/>
                            <w:i/>
                            <w:iCs/>
                          </w:rPr>
                        </m:ctrlPr>
                      </m:groupChrPr>
                      <m:e>
                        <m:d>
                          <m:dPr>
                            <m:ctrlPr>
                              <w:rPr>
                                <w:rFonts w:ascii="Cambria Math" w:hAnsi="Cambria Math"/>
                                <w:i/>
                                <w:iCs/>
                              </w:rPr>
                            </m:ctrlPr>
                          </m:dPr>
                          <m:e>
                            <m:r>
                              <m:rPr>
                                <m:nor/>
                              </m:rPr>
                              <w:rPr>
                                <w:i/>
                                <w:spacing w:val="-6"/>
                                <w:szCs w:val="16"/>
                              </w:rPr>
                              <m:t xml:space="preserve">γ </m:t>
                            </m:r>
                            <m:sSub>
                              <m:sSubPr>
                                <m:ctrlPr>
                                  <w:rPr>
                                    <w:rFonts w:ascii="Cambria Math" w:hAnsi="Cambria Math"/>
                                    <w:i/>
                                    <w:spacing w:val="-6"/>
                                    <w:szCs w:val="16"/>
                                  </w:rPr>
                                </m:ctrlPr>
                              </m:sSubPr>
                              <m:e>
                                <m:r>
                                  <m:rPr>
                                    <m:nor/>
                                  </m:rPr>
                                  <w:rPr>
                                    <w:i/>
                                    <w:spacing w:val="-6"/>
                                    <w:szCs w:val="16"/>
                                  </w:rPr>
                                  <m:t>PIB</m:t>
                                </m:r>
                              </m:e>
                              <m:sub>
                                <m:r>
                                  <m:rPr>
                                    <m:nor/>
                                  </m:rPr>
                                  <w:rPr>
                                    <w:i/>
                                    <w:spacing w:val="-6"/>
                                    <w:szCs w:val="16"/>
                                  </w:rPr>
                                  <m:t>real</m:t>
                                </m:r>
                              </m:sub>
                            </m:sSub>
                            <m:r>
                              <w:rPr>
                                <w:rFonts w:ascii="Cambria Math" w:hAnsi="Cambria Math"/>
                                <w:spacing w:val="-6"/>
                                <w:szCs w:val="16"/>
                              </w:rPr>
                              <m:t>-</m:t>
                            </m:r>
                            <m:r>
                              <m:rPr>
                                <m:nor/>
                              </m:rPr>
                              <w:rPr>
                                <w:i/>
                                <w:spacing w:val="-6"/>
                                <w:szCs w:val="16"/>
                              </w:rPr>
                              <m:t>γ Empleo</m:t>
                            </m:r>
                          </m:e>
                        </m:d>
                      </m:e>
                    </m:groupChr>
                  </m:e>
                  <m:lim>
                    <m:r>
                      <m:rPr>
                        <m:nor/>
                      </m:rPr>
                      <w:rPr>
                        <w:i/>
                        <w:spacing w:val="-6"/>
                        <w:szCs w:val="16"/>
                      </w:rPr>
                      <m:t xml:space="preserve">γ </m:t>
                    </m:r>
                    <m:sSub>
                      <m:sSubPr>
                        <m:ctrlPr>
                          <w:rPr>
                            <w:rFonts w:ascii="Cambria Math" w:hAnsi="Cambria Math"/>
                            <w:i/>
                          </w:rPr>
                        </m:ctrlPr>
                      </m:sSubPr>
                      <m:e>
                        <m:r>
                          <m:rPr>
                            <m:nor/>
                          </m:rPr>
                          <w:rPr>
                            <w:i/>
                          </w:rPr>
                          <m:t>PAT</m:t>
                        </m:r>
                      </m:e>
                      <m:sub>
                        <m:r>
                          <m:rPr>
                            <m:nor/>
                          </m:rPr>
                          <w:rPr>
                            <w:i/>
                            <w:spacing w:val="-6"/>
                            <w:szCs w:val="16"/>
                          </w:rPr>
                          <m:t>real</m:t>
                        </m:r>
                      </m:sub>
                    </m:sSub>
                  </m:lim>
                </m:limLow>
              </m:oMath>
            </m:oMathPara>
          </w:p>
        </w:tc>
      </w:tr>
      <w:tr w:rsidR="00B8161E" w:rsidRPr="00025F23" w14:paraId="12B9DF3D" w14:textId="77777777" w:rsidTr="004B7DBF">
        <w:trPr>
          <w:trHeight w:val="454"/>
        </w:trPr>
        <w:tc>
          <w:tcPr>
            <w:tcW w:w="5671" w:type="dxa"/>
            <w:vAlign w:val="center"/>
          </w:tcPr>
          <w:p w14:paraId="5A6C95C0" w14:textId="244FECB8" w:rsidR="00B8161E" w:rsidRPr="00025F23" w:rsidRDefault="00B8161E" w:rsidP="00D51DB8">
            <w:pPr>
              <w:spacing w:after="0" w:line="276" w:lineRule="auto"/>
              <w:ind w:left="-110"/>
              <w:jc w:val="center"/>
              <w:rPr>
                <w:i/>
                <w:iCs/>
                <w:spacing w:val="-6"/>
                <w:szCs w:val="16"/>
              </w:rPr>
            </w:pPr>
            <m:oMathPara>
              <m:oMath>
                <m:r>
                  <m:rPr>
                    <m:nor/>
                  </m:rPr>
                  <w:rPr>
                    <w:bCs/>
                    <w:iCs/>
                    <w:spacing w:val="-8"/>
                    <w:szCs w:val="16"/>
                  </w:rPr>
                  <m:t xml:space="preserve"> </m:t>
                </m:r>
                <m:r>
                  <m:rPr>
                    <m:nor/>
                  </m:rPr>
                  <w:rPr>
                    <w:b/>
                    <w:i/>
                    <w:spacing w:val="-8"/>
                    <w:szCs w:val="16"/>
                  </w:rPr>
                  <m:t>CLU real</m:t>
                </m:r>
                <m:r>
                  <w:rPr>
                    <w:rFonts w:ascii="Cambria Math" w:hAnsi="Cambria Math"/>
                  </w:rPr>
                  <m:t>=</m:t>
                </m:r>
                <m:f>
                  <m:fPr>
                    <m:ctrlPr>
                      <w:rPr>
                        <w:rFonts w:ascii="Cambria Math" w:hAnsi="Cambria Math"/>
                        <w:i/>
                        <w:iCs/>
                      </w:rPr>
                    </m:ctrlPr>
                  </m:fPr>
                  <m:num>
                    <m:r>
                      <m:rPr>
                        <m:nor/>
                      </m:rPr>
                      <w:rPr>
                        <w:i/>
                      </w:rPr>
                      <m:t>W</m:t>
                    </m:r>
                    <m:r>
                      <w:rPr>
                        <w:rFonts w:ascii="Cambria Math" w:hAnsi="Cambria Math"/>
                      </w:rPr>
                      <m:t>∙</m:t>
                    </m:r>
                    <m:r>
                      <m:rPr>
                        <m:nor/>
                      </m:rPr>
                      <w:rPr>
                        <w:i/>
                        <w:iCs/>
                      </w:rPr>
                      <m:t>L</m:t>
                    </m:r>
                  </m:num>
                  <m:den>
                    <m:r>
                      <m:rPr>
                        <m:nor/>
                      </m:rPr>
                      <w:rPr>
                        <w:i/>
                      </w:rPr>
                      <m:t>P</m:t>
                    </m:r>
                    <m:r>
                      <w:rPr>
                        <w:rFonts w:ascii="Cambria Math" w:hAnsi="Cambria Math"/>
                      </w:rPr>
                      <m:t>∙</m:t>
                    </m:r>
                    <m:r>
                      <m:rPr>
                        <m:nor/>
                      </m:rPr>
                      <w:rPr>
                        <w:i/>
                      </w:rPr>
                      <m:t>Y</m:t>
                    </m:r>
                    <m:d>
                      <m:dPr>
                        <m:ctrlPr>
                          <w:rPr>
                            <w:rFonts w:ascii="Cambria Math" w:hAnsi="Cambria Math"/>
                            <w:i/>
                          </w:rPr>
                        </m:ctrlPr>
                      </m:dPr>
                      <m:e>
                        <m:r>
                          <m:rPr>
                            <m:nor/>
                          </m:rPr>
                          <w:rPr>
                            <w:i/>
                            <w:iCs/>
                          </w:rPr>
                          <m:t>A, K, L</m:t>
                        </m:r>
                      </m:e>
                    </m:d>
                  </m:den>
                </m:f>
                <m:r>
                  <w:rPr>
                    <w:rFonts w:ascii="Cambria Math" w:hAnsi="Cambria Math"/>
                  </w:rPr>
                  <m:t>=</m:t>
                </m:r>
                <m:f>
                  <m:fPr>
                    <m:ctrlPr>
                      <w:rPr>
                        <w:rFonts w:ascii="Cambria Math" w:hAnsi="Cambria Math"/>
                        <w:i/>
                      </w:rPr>
                    </m:ctrlPr>
                  </m:fPr>
                  <m:num>
                    <m:r>
                      <m:rPr>
                        <m:nor/>
                      </m:rPr>
                      <w:rPr>
                        <w:i/>
                      </w:rPr>
                      <m:t>W</m:t>
                    </m:r>
                  </m:num>
                  <m:den>
                    <m:f>
                      <m:fPr>
                        <m:type m:val="lin"/>
                        <m:ctrlPr>
                          <w:rPr>
                            <w:rFonts w:ascii="Cambria Math" w:hAnsi="Cambria Math"/>
                            <w:i/>
                          </w:rPr>
                        </m:ctrlPr>
                      </m:fPr>
                      <m:num>
                        <m:r>
                          <m:rPr>
                            <m:nor/>
                          </m:rPr>
                          <w:rPr>
                            <w:i/>
                          </w:rPr>
                          <m:t>P</m:t>
                        </m:r>
                        <m:r>
                          <w:rPr>
                            <w:rFonts w:ascii="Cambria Math" w:hAnsi="Cambria Math"/>
                          </w:rPr>
                          <m:t>∙</m:t>
                        </m:r>
                        <m:r>
                          <m:rPr>
                            <m:nor/>
                          </m:rPr>
                          <w:rPr>
                            <w:i/>
                          </w:rPr>
                          <m:t>Y</m:t>
                        </m:r>
                      </m:num>
                      <m:den>
                        <m:r>
                          <m:rPr>
                            <m:nor/>
                          </m:rPr>
                          <w:rPr>
                            <w:i/>
                            <w:iCs/>
                          </w:rPr>
                          <m:t>L</m:t>
                        </m:r>
                      </m:den>
                    </m:f>
                  </m:den>
                </m:f>
                <m:r>
                  <w:rPr>
                    <w:rFonts w:ascii="Cambria Math" w:hAnsi="Cambria Math"/>
                  </w:rPr>
                  <m:t>=</m:t>
                </m:r>
                <m:f>
                  <m:fPr>
                    <m:ctrlPr>
                      <w:rPr>
                        <w:rFonts w:ascii="Cambria Math" w:hAnsi="Cambria Math"/>
                        <w:i/>
                        <w:iCs/>
                      </w:rPr>
                    </m:ctrlPr>
                  </m:fPr>
                  <m:num>
                    <m:r>
                      <m:rPr>
                        <m:nor/>
                      </m:rPr>
                      <w:rPr>
                        <w:i/>
                      </w:rPr>
                      <m:t>Salario real</m:t>
                    </m:r>
                  </m:num>
                  <m:den>
                    <m:r>
                      <m:rPr>
                        <m:nor/>
                      </m:rPr>
                      <w:rPr>
                        <w:i/>
                      </w:rPr>
                      <m:t>Productividad media del trabajo</m:t>
                    </m:r>
                  </m:den>
                </m:f>
              </m:oMath>
            </m:oMathPara>
          </w:p>
        </w:tc>
      </w:tr>
      <w:tr w:rsidR="00F55360" w:rsidRPr="00025F23" w14:paraId="72A4E8E7" w14:textId="77777777" w:rsidTr="004B7DBF">
        <w:trPr>
          <w:trHeight w:val="454"/>
        </w:trPr>
        <w:tc>
          <w:tcPr>
            <w:tcW w:w="5671" w:type="dxa"/>
            <w:vAlign w:val="center"/>
          </w:tcPr>
          <w:p w14:paraId="5ED0283F" w14:textId="1E094C49" w:rsidR="00F55360" w:rsidRPr="00025F23" w:rsidRDefault="00F55360" w:rsidP="00F55360">
            <w:pPr>
              <w:spacing w:after="0" w:line="276" w:lineRule="auto"/>
              <w:ind w:left="-110"/>
              <w:jc w:val="center"/>
              <w:rPr>
                <w:bCs/>
                <w:i/>
                <w:iCs/>
                <w:spacing w:val="-6"/>
                <w:szCs w:val="16"/>
              </w:rPr>
            </w:pPr>
            <m:oMathPara>
              <m:oMath>
                <m:r>
                  <m:rPr>
                    <m:nor/>
                  </m:rPr>
                  <w:rPr>
                    <w:iCs/>
                    <w:spacing w:val="-6"/>
                    <w:szCs w:val="16"/>
                  </w:rPr>
                  <m:t xml:space="preserve"> </m:t>
                </m:r>
                <m:r>
                  <m:rPr>
                    <m:nor/>
                  </m:rPr>
                  <w:rPr>
                    <w:b/>
                    <w:bCs/>
                    <w:i/>
                    <w:spacing w:val="-6"/>
                    <w:szCs w:val="16"/>
                  </w:rPr>
                  <m:t>γ</m:t>
                </m:r>
                <m:r>
                  <m:rPr>
                    <m:nor/>
                  </m:rPr>
                  <w:rPr>
                    <w:b/>
                    <w:i/>
                    <w:spacing w:val="-8"/>
                    <w:szCs w:val="16"/>
                  </w:rPr>
                  <m:t xml:space="preserve"> CLU real</m:t>
                </m:r>
                <m:r>
                  <m:rPr>
                    <m:sty m:val="bi"/>
                  </m:rPr>
                  <w:rPr>
                    <w:rFonts w:ascii="Cambria Math" w:hAnsi="Cambria Math"/>
                    <w:spacing w:val="-6"/>
                    <w:szCs w:val="16"/>
                  </w:rPr>
                  <m:t>=</m:t>
                </m:r>
                <m:limLow>
                  <m:limLowPr>
                    <m:ctrlPr>
                      <w:rPr>
                        <w:rFonts w:ascii="Cambria Math" w:hAnsi="Cambria Math"/>
                        <w:i/>
                        <w:spacing w:val="-6"/>
                        <w:szCs w:val="16"/>
                      </w:rPr>
                    </m:ctrlPr>
                  </m:limLowPr>
                  <m:e>
                    <m:groupChr>
                      <m:groupChrPr>
                        <m:ctrlPr>
                          <w:rPr>
                            <w:rFonts w:ascii="Cambria Math" w:hAnsi="Cambria Math"/>
                            <w:i/>
                            <w:spacing w:val="-6"/>
                            <w:szCs w:val="16"/>
                          </w:rPr>
                        </m:ctrlPr>
                      </m:groupChrPr>
                      <m:e>
                        <m:r>
                          <m:rPr>
                            <m:nor/>
                          </m:rPr>
                          <w:rPr>
                            <w:i/>
                            <w:spacing w:val="-6"/>
                            <w:szCs w:val="16"/>
                          </w:rPr>
                          <m:t>γ</m:t>
                        </m:r>
                        <m:r>
                          <m:rPr>
                            <m:nor/>
                          </m:rPr>
                          <w:rPr>
                            <w:i/>
                            <w:spacing w:val="-8"/>
                            <w:szCs w:val="16"/>
                          </w:rPr>
                          <m:t xml:space="preserve"> Salario nominal</m:t>
                        </m:r>
                        <m:r>
                          <w:rPr>
                            <w:rFonts w:ascii="Cambria Math" w:hAnsi="Cambria Math"/>
                            <w:spacing w:val="-8"/>
                            <w:szCs w:val="16"/>
                          </w:rPr>
                          <m:t>-</m:t>
                        </m:r>
                        <m:r>
                          <m:rPr>
                            <m:nor/>
                          </m:rPr>
                          <w:rPr>
                            <w:i/>
                            <w:spacing w:val="-6"/>
                            <w:szCs w:val="16"/>
                          </w:rPr>
                          <m:t xml:space="preserve">γ </m:t>
                        </m:r>
                        <m:sSub>
                          <m:sSubPr>
                            <m:ctrlPr>
                              <w:rPr>
                                <w:rFonts w:ascii="Cambria Math" w:hAnsi="Cambria Math"/>
                                <w:bCs/>
                                <w:i/>
                                <w:spacing w:val="-6"/>
                                <w:szCs w:val="16"/>
                              </w:rPr>
                            </m:ctrlPr>
                          </m:sSubPr>
                          <m:e>
                            <m:r>
                              <m:rPr>
                                <m:nor/>
                              </m:rPr>
                              <w:rPr>
                                <w:bCs/>
                                <w:i/>
                                <w:spacing w:val="-6"/>
                                <w:szCs w:val="16"/>
                              </w:rPr>
                              <m:t>Deflactor</m:t>
                            </m:r>
                          </m:e>
                          <m:sub>
                            <m:r>
                              <m:rPr>
                                <m:nor/>
                              </m:rPr>
                              <w:rPr>
                                <w:bCs/>
                                <w:i/>
                                <w:spacing w:val="-6"/>
                                <w:szCs w:val="16"/>
                              </w:rPr>
                              <m:t>PIB</m:t>
                            </m:r>
                          </m:sub>
                        </m:sSub>
                      </m:e>
                    </m:groupChr>
                  </m:e>
                  <m:lim>
                    <m:r>
                      <m:rPr>
                        <m:nor/>
                      </m:rPr>
                      <w:rPr>
                        <w:i/>
                        <w:spacing w:val="-6"/>
                        <w:szCs w:val="16"/>
                      </w:rPr>
                      <m:t>γ</m:t>
                    </m:r>
                    <m:r>
                      <m:rPr>
                        <m:nor/>
                      </m:rPr>
                      <w:rPr>
                        <w:i/>
                        <w:spacing w:val="-8"/>
                        <w:szCs w:val="16"/>
                      </w:rPr>
                      <m:t xml:space="preserve"> Salario real</m:t>
                    </m:r>
                  </m:lim>
                </m:limLow>
                <m:r>
                  <w:rPr>
                    <w:rFonts w:ascii="Cambria Math" w:hAnsi="Cambria Math"/>
                    <w:spacing w:val="-8"/>
                    <w:szCs w:val="16"/>
                  </w:rPr>
                  <m:t>-</m:t>
                </m:r>
                <m:limLow>
                  <m:limLowPr>
                    <m:ctrlPr>
                      <w:rPr>
                        <w:rFonts w:ascii="Cambria Math" w:hAnsi="Cambria Math"/>
                        <w:i/>
                        <w:spacing w:val="-8"/>
                        <w:szCs w:val="16"/>
                      </w:rPr>
                    </m:ctrlPr>
                  </m:limLowPr>
                  <m:e>
                    <m:groupChr>
                      <m:groupChrPr>
                        <m:ctrlPr>
                          <w:rPr>
                            <w:rFonts w:ascii="Cambria Math" w:hAnsi="Cambria Math"/>
                            <w:i/>
                            <w:spacing w:val="-8"/>
                            <w:szCs w:val="16"/>
                          </w:rPr>
                        </m:ctrlPr>
                      </m:groupChrPr>
                      <m:e>
                        <m:d>
                          <m:dPr>
                            <m:ctrlPr>
                              <w:rPr>
                                <w:rFonts w:ascii="Cambria Math" w:hAnsi="Cambria Math"/>
                                <w:i/>
                                <w:spacing w:val="-8"/>
                                <w:szCs w:val="16"/>
                              </w:rPr>
                            </m:ctrlPr>
                          </m:dPr>
                          <m:e>
                            <m:r>
                              <m:rPr>
                                <m:nor/>
                              </m:rPr>
                              <w:rPr>
                                <w:i/>
                                <w:spacing w:val="-6"/>
                                <w:szCs w:val="16"/>
                              </w:rPr>
                              <m:t>γ PIB real</m:t>
                            </m:r>
                            <m:r>
                              <w:rPr>
                                <w:rFonts w:ascii="Cambria Math" w:hAnsi="Cambria Math"/>
                                <w:spacing w:val="-8"/>
                                <w:szCs w:val="16"/>
                              </w:rPr>
                              <m:t>-</m:t>
                            </m:r>
                            <m:r>
                              <m:rPr>
                                <m:nor/>
                              </m:rPr>
                              <w:rPr>
                                <w:i/>
                                <w:spacing w:val="-6"/>
                                <w:szCs w:val="16"/>
                              </w:rPr>
                              <m:t>γ Empleo</m:t>
                            </m:r>
                          </m:e>
                        </m:d>
                      </m:e>
                    </m:groupChr>
                  </m:e>
                  <m:lim>
                    <m:r>
                      <m:rPr>
                        <m:nor/>
                      </m:rPr>
                      <w:rPr>
                        <w:i/>
                        <w:spacing w:val="-6"/>
                        <w:szCs w:val="16"/>
                      </w:rPr>
                      <m:t>γ PAT</m:t>
                    </m:r>
                  </m:lim>
                </m:limLow>
                <m:r>
                  <w:rPr>
                    <w:rFonts w:ascii="Cambria Math" w:hAnsi="Cambria Math"/>
                    <w:spacing w:val="-8"/>
                    <w:szCs w:val="16"/>
                  </w:rPr>
                  <m:t>=</m:t>
                </m:r>
                <m:r>
                  <m:rPr>
                    <m:nor/>
                  </m:rPr>
                  <w:rPr>
                    <w:i/>
                    <w:spacing w:val="-6"/>
                    <w:szCs w:val="16"/>
                  </w:rPr>
                  <m:t>γ</m:t>
                </m:r>
                <m:r>
                  <m:rPr>
                    <m:nor/>
                  </m:rPr>
                  <w:rPr>
                    <w:i/>
                    <w:spacing w:val="-8"/>
                    <w:szCs w:val="16"/>
                  </w:rPr>
                  <m:t xml:space="preserve"> CLU nominal</m:t>
                </m:r>
                <m:r>
                  <w:rPr>
                    <w:rFonts w:ascii="Cambria Math" w:hAnsi="Cambria Math"/>
                    <w:spacing w:val="-8"/>
                    <w:szCs w:val="16"/>
                  </w:rPr>
                  <m:t>-</m:t>
                </m:r>
                <m:r>
                  <m:rPr>
                    <m:nor/>
                  </m:rPr>
                  <w:rPr>
                    <w:i/>
                    <w:spacing w:val="-6"/>
                    <w:szCs w:val="16"/>
                  </w:rPr>
                  <m:t xml:space="preserve">γ </m:t>
                </m:r>
                <m:sSub>
                  <m:sSubPr>
                    <m:ctrlPr>
                      <w:rPr>
                        <w:rFonts w:ascii="Cambria Math" w:hAnsi="Cambria Math"/>
                        <w:bCs/>
                        <w:i/>
                        <w:spacing w:val="-6"/>
                        <w:szCs w:val="16"/>
                      </w:rPr>
                    </m:ctrlPr>
                  </m:sSubPr>
                  <m:e>
                    <m:r>
                      <m:rPr>
                        <m:nor/>
                      </m:rPr>
                      <w:rPr>
                        <w:bCs/>
                        <w:i/>
                        <w:spacing w:val="-6"/>
                        <w:szCs w:val="16"/>
                      </w:rPr>
                      <m:t>Deflactor</m:t>
                    </m:r>
                  </m:e>
                  <m:sub>
                    <m:r>
                      <m:rPr>
                        <m:nor/>
                      </m:rPr>
                      <w:rPr>
                        <w:bCs/>
                        <w:i/>
                        <w:spacing w:val="-6"/>
                        <w:szCs w:val="16"/>
                      </w:rPr>
                      <m:t>PIB</m:t>
                    </m:r>
                  </m:sub>
                </m:sSub>
              </m:oMath>
            </m:oMathPara>
          </w:p>
        </w:tc>
      </w:tr>
      <w:tr w:rsidR="00F55360" w:rsidRPr="00B2524F" w14:paraId="5EEEA153" w14:textId="77777777" w:rsidTr="004B7DBF">
        <w:trPr>
          <w:trHeight w:val="454"/>
        </w:trPr>
        <w:tc>
          <w:tcPr>
            <w:tcW w:w="5671" w:type="dxa"/>
            <w:vAlign w:val="center"/>
          </w:tcPr>
          <w:p w14:paraId="1236E4A7" w14:textId="12C861A8" w:rsidR="00F55360" w:rsidRPr="00025F23" w:rsidRDefault="005D50B8" w:rsidP="00F55360">
            <w:pPr>
              <w:spacing w:after="0" w:line="276" w:lineRule="auto"/>
              <w:ind w:left="-110"/>
              <w:jc w:val="center"/>
              <w:rPr>
                <w:i/>
                <w:iCs/>
                <w:spacing w:val="-6"/>
                <w:szCs w:val="16"/>
                <w:lang w:val="en-US"/>
              </w:rPr>
            </w:pPr>
            <m:oMathPara>
              <m:oMath>
                <m:r>
                  <m:rPr>
                    <m:nor/>
                  </m:rPr>
                  <w:rPr>
                    <w:b/>
                    <w:bCs/>
                    <w:i/>
                    <w:spacing w:val="-6"/>
                    <w:szCs w:val="16"/>
                  </w:rPr>
                  <m:t>γ</m:t>
                </m:r>
                <m:r>
                  <m:rPr>
                    <m:nor/>
                  </m:rPr>
                  <w:rPr>
                    <w:b/>
                    <w:i/>
                    <w:spacing w:val="-6"/>
                    <w:szCs w:val="16"/>
                    <w:lang w:val="en-US"/>
                  </w:rPr>
                  <m:t xml:space="preserve"> mark-up</m:t>
                </m:r>
                <m:r>
                  <w:rPr>
                    <w:rFonts w:ascii="Cambria Math" w:hAnsi="Cambria Math"/>
                    <w:sz w:val="14"/>
                    <w:szCs w:val="14"/>
                    <w:lang w:val="en-US"/>
                  </w:rPr>
                  <m:t>≈</m:t>
                </m:r>
                <m:r>
                  <m:rPr>
                    <m:nor/>
                  </m:rPr>
                  <w:rPr>
                    <w:i/>
                    <w:spacing w:val="-6"/>
                    <w:szCs w:val="16"/>
                  </w:rPr>
                  <m:t>γ</m:t>
                </m:r>
                <m:r>
                  <m:rPr>
                    <m:nor/>
                  </m:rPr>
                  <w:rPr>
                    <w:i/>
                    <w:spacing w:val="-6"/>
                    <w:szCs w:val="16"/>
                    <w:lang w:val="en-US"/>
                  </w:rPr>
                  <m:t xml:space="preserve"> </m:t>
                </m:r>
                <m:sSub>
                  <m:sSubPr>
                    <m:ctrlPr>
                      <w:rPr>
                        <w:rFonts w:ascii="Cambria Math" w:hAnsi="Cambria Math"/>
                        <w:bCs/>
                        <w:i/>
                        <w:spacing w:val="-6"/>
                        <w:szCs w:val="16"/>
                      </w:rPr>
                    </m:ctrlPr>
                  </m:sSubPr>
                  <m:e>
                    <m:r>
                      <m:rPr>
                        <m:nor/>
                      </m:rPr>
                      <w:rPr>
                        <w:bCs/>
                        <w:i/>
                        <w:spacing w:val="-6"/>
                        <w:szCs w:val="16"/>
                        <w:lang w:val="en-US"/>
                      </w:rPr>
                      <m:t>Deflactor</m:t>
                    </m:r>
                  </m:e>
                  <m:sub>
                    <m:r>
                      <m:rPr>
                        <m:nor/>
                      </m:rPr>
                      <w:rPr>
                        <w:bCs/>
                        <w:i/>
                        <w:spacing w:val="-6"/>
                        <w:szCs w:val="16"/>
                        <w:lang w:val="en-US"/>
                      </w:rPr>
                      <m:t>PIB</m:t>
                    </m:r>
                  </m:sub>
                </m:sSub>
                <m:r>
                  <w:rPr>
                    <w:rFonts w:ascii="Cambria Math" w:hAnsi="Cambria Math"/>
                    <w:spacing w:val="-8"/>
                    <w:szCs w:val="16"/>
                    <w:lang w:val="en-US"/>
                  </w:rPr>
                  <m:t>-</m:t>
                </m:r>
                <m:r>
                  <m:rPr>
                    <m:nor/>
                  </m:rPr>
                  <w:rPr>
                    <w:i/>
                    <w:spacing w:val="-6"/>
                    <w:szCs w:val="16"/>
                  </w:rPr>
                  <m:t>γ</m:t>
                </m:r>
                <m:r>
                  <m:rPr>
                    <m:nor/>
                  </m:rPr>
                  <w:rPr>
                    <w:i/>
                    <w:spacing w:val="-6"/>
                    <w:szCs w:val="16"/>
                    <w:lang w:val="en-US"/>
                  </w:rPr>
                  <m:t xml:space="preserve"> CLU</m:t>
                </m:r>
              </m:oMath>
            </m:oMathPara>
          </w:p>
        </w:tc>
      </w:tr>
      <w:tr w:rsidR="00F55360" w:rsidRPr="00025F23" w14:paraId="0B185CF0" w14:textId="77777777" w:rsidTr="004B7DBF">
        <w:trPr>
          <w:trHeight w:val="454"/>
        </w:trPr>
        <w:tc>
          <w:tcPr>
            <w:tcW w:w="5671" w:type="dxa"/>
            <w:vAlign w:val="center"/>
          </w:tcPr>
          <w:p w14:paraId="03AFD203" w14:textId="56C303EB" w:rsidR="00F55360" w:rsidRPr="00025F23" w:rsidRDefault="00000000" w:rsidP="00F55360">
            <w:pPr>
              <w:spacing w:after="0" w:line="276" w:lineRule="auto"/>
              <w:ind w:left="-108"/>
              <w:jc w:val="center"/>
              <w:rPr>
                <w:i/>
                <w:iCs/>
                <w:spacing w:val="-6"/>
                <w:szCs w:val="16"/>
              </w:rPr>
            </w:pPr>
            <m:oMathPara>
              <m:oMath>
                <m:limLow>
                  <m:limLowPr>
                    <m:ctrlPr>
                      <w:rPr>
                        <w:rStyle w:val="Hipervnculo"/>
                        <w:rFonts w:ascii="Cambria Math" w:hAnsi="Cambria Math"/>
                        <w:i/>
                        <w:color w:val="auto"/>
                        <w:szCs w:val="16"/>
                        <w:u w:val="none"/>
                      </w:rPr>
                    </m:ctrlPr>
                  </m:limLowPr>
                  <m:e>
                    <m:groupChr>
                      <m:groupChrPr>
                        <m:ctrlPr>
                          <w:rPr>
                            <w:rStyle w:val="Hipervnculo"/>
                            <w:rFonts w:ascii="Cambria Math" w:hAnsi="Cambria Math"/>
                            <w:i/>
                            <w:color w:val="auto"/>
                            <w:szCs w:val="16"/>
                            <w:u w:val="none"/>
                          </w:rPr>
                        </m:ctrlPr>
                      </m:groupChrPr>
                      <m:e>
                        <m:limLow>
                          <m:limLowPr>
                            <m:ctrlPr>
                              <w:rPr>
                                <w:rStyle w:val="Hipervnculo"/>
                                <w:rFonts w:ascii="Cambria Math" w:hAnsi="Cambria Math"/>
                                <w:i/>
                                <w:color w:val="auto"/>
                                <w:szCs w:val="16"/>
                                <w:u w:val="none"/>
                              </w:rPr>
                            </m:ctrlPr>
                          </m:limLowPr>
                          <m:e>
                            <m:groupChr>
                              <m:groupChrPr>
                                <m:ctrlPr>
                                  <w:rPr>
                                    <w:rStyle w:val="Hipervnculo"/>
                                    <w:rFonts w:ascii="Cambria Math" w:hAnsi="Cambria Math"/>
                                    <w:i/>
                                    <w:color w:val="auto"/>
                                    <w:szCs w:val="16"/>
                                    <w:u w:val="none"/>
                                  </w:rPr>
                                </m:ctrlPr>
                              </m:groupChrPr>
                              <m:e>
                                <m:r>
                                  <m:rPr>
                                    <m:nor/>
                                  </m:rPr>
                                  <w:rPr>
                                    <w:i/>
                                    <w:iCs/>
                                    <w:szCs w:val="16"/>
                                  </w:rPr>
                                  <m:t>CC</m:t>
                                </m:r>
                              </m:e>
                            </m:groupChr>
                          </m:e>
                          <m:lim>
                            <m:limLow>
                              <m:limLowPr>
                                <m:ctrlPr>
                                  <w:rPr>
                                    <w:rStyle w:val="Hipervnculo"/>
                                    <w:rFonts w:ascii="Cambria Math" w:hAnsi="Cambria Math"/>
                                    <w:i/>
                                    <w:color w:val="auto"/>
                                    <w:szCs w:val="16"/>
                                    <w:u w:val="none"/>
                                  </w:rPr>
                                </m:ctrlPr>
                              </m:limLowPr>
                              <m:e>
                                <m:groupChr>
                                  <m:groupChrPr>
                                    <m:ctrlPr>
                                      <w:rPr>
                                        <w:rStyle w:val="Hipervnculo"/>
                                        <w:rFonts w:ascii="Cambria Math" w:hAnsi="Cambria Math"/>
                                        <w:i/>
                                        <w:color w:val="auto"/>
                                        <w:szCs w:val="16"/>
                                        <w:u w:val="none"/>
                                      </w:rPr>
                                    </m:ctrlPr>
                                  </m:groupChrPr>
                                  <m:e>
                                    <m:r>
                                      <m:rPr>
                                        <m:nor/>
                                      </m:rPr>
                                      <w:rPr>
                                        <w:rStyle w:val="Hipervnculo"/>
                                        <w:i/>
                                        <w:color w:val="auto"/>
                                        <w:szCs w:val="16"/>
                                        <w:u w:val="none"/>
                                      </w:rPr>
                                      <m:t>CB&amp;S</m:t>
                                    </m:r>
                                    <m:r>
                                      <w:rPr>
                                        <w:rStyle w:val="Hipervnculo"/>
                                        <w:rFonts w:ascii="Cambria Math" w:hAnsi="Cambria Math"/>
                                        <w:color w:val="auto"/>
                                        <w:szCs w:val="16"/>
                                        <w:u w:val="none"/>
                                      </w:rPr>
                                      <m:t>+</m:t>
                                    </m:r>
                                    <m:r>
                                      <m:rPr>
                                        <m:nor/>
                                      </m:rPr>
                                      <w:rPr>
                                        <w:rStyle w:val="Hipervnculo"/>
                                        <w:i/>
                                        <w:color w:val="auto"/>
                                        <w:szCs w:val="16"/>
                                        <w:u w:val="none"/>
                                      </w:rPr>
                                      <m:t>CR1</m:t>
                                    </m:r>
                                    <m:r>
                                      <m:rPr>
                                        <m:nor/>
                                      </m:rPr>
                                      <w:rPr>
                                        <w:rStyle w:val="Hipervnculo"/>
                                        <w:i/>
                                        <w:color w:val="auto"/>
                                        <w:szCs w:val="16"/>
                                        <w:u w:val="none"/>
                                        <w:vertAlign w:val="superscript"/>
                                      </w:rPr>
                                      <m:t>as</m:t>
                                    </m:r>
                                    <m:r>
                                      <w:rPr>
                                        <w:rStyle w:val="Hipervnculo"/>
                                        <w:rFonts w:ascii="Cambria Math" w:hAnsi="Cambria Math"/>
                                        <w:color w:val="auto"/>
                                        <w:szCs w:val="16"/>
                                        <w:u w:val="none"/>
                                      </w:rPr>
                                      <m:t>+</m:t>
                                    </m:r>
                                    <m:r>
                                      <m:rPr>
                                        <m:nor/>
                                      </m:rPr>
                                      <w:rPr>
                                        <w:rStyle w:val="Hipervnculo"/>
                                        <w:i/>
                                        <w:color w:val="auto"/>
                                        <w:szCs w:val="16"/>
                                        <w:u w:val="none"/>
                                      </w:rPr>
                                      <m:t>CR2</m:t>
                                    </m:r>
                                    <w:proofErr w:type="spellStart"/>
                                    <m:r>
                                      <m:rPr>
                                        <m:nor/>
                                      </m:rPr>
                                      <w:rPr>
                                        <w:rStyle w:val="Hipervnculo"/>
                                        <w:i/>
                                        <w:color w:val="auto"/>
                                        <w:szCs w:val="16"/>
                                        <w:u w:val="none"/>
                                        <w:vertAlign w:val="superscript"/>
                                      </w:rPr>
                                      <m:t>as</m:t>
                                    </m:r>
                                    <w:proofErr w:type="spellEnd"/>
                                  </m:e>
                                </m:groupChr>
                              </m:e>
                              <m:lim>
                                <m:r>
                                  <m:rPr>
                                    <m:nor/>
                                  </m:rPr>
                                  <w:rPr>
                                    <w:i/>
                                    <w:iCs/>
                                    <w:szCs w:val="16"/>
                                  </w:rPr>
                                  <m:t>X</m:t>
                                </m:r>
                                <m:r>
                                  <w:rPr>
                                    <w:rFonts w:ascii="Cambria Math" w:hAnsi="Cambria Math"/>
                                    <w:szCs w:val="16"/>
                                  </w:rPr>
                                  <m:t>-</m:t>
                                </m:r>
                                <m:r>
                                  <m:rPr>
                                    <m:nor/>
                                  </m:rPr>
                                  <w:rPr>
                                    <w:i/>
                                    <w:iCs/>
                                    <w:szCs w:val="16"/>
                                  </w:rPr>
                                  <m:t>M</m:t>
                                </m:r>
                                <m:r>
                                  <w:rPr>
                                    <w:rFonts w:ascii="Cambria Math" w:hAnsi="Cambria Math"/>
                                    <w:szCs w:val="16"/>
                                  </w:rPr>
                                  <m:t>+</m:t>
                                </m:r>
                                <m:r>
                                  <m:rPr>
                                    <m:nor/>
                                  </m:rPr>
                                  <w:rPr>
                                    <w:i/>
                                    <w:iCs/>
                                    <w:szCs w:val="16"/>
                                  </w:rPr>
                                  <m:t>rentas</m:t>
                                </m:r>
                                <m:r>
                                  <w:rPr>
                                    <w:rFonts w:ascii="Cambria Math" w:hAnsi="Cambria Math"/>
                                    <w:szCs w:val="16"/>
                                  </w:rPr>
                                  <m:t>=</m:t>
                                </m:r>
                                <m:r>
                                  <m:rPr>
                                    <m:nor/>
                                  </m:rPr>
                                  <w:rPr>
                                    <w:i/>
                                    <w:iCs/>
                                    <w:szCs w:val="16"/>
                                  </w:rPr>
                                  <m:t>Y</m:t>
                                </m:r>
                                <m:r>
                                  <w:rPr>
                                    <w:rFonts w:ascii="Cambria Math" w:hAnsi="Cambria Math"/>
                                    <w:szCs w:val="16"/>
                                  </w:rPr>
                                  <m:t>-</m:t>
                                </m:r>
                                <m:r>
                                  <m:rPr>
                                    <m:nor/>
                                  </m:rPr>
                                  <w:rPr>
                                    <w:i/>
                                    <w:iCs/>
                                    <w:szCs w:val="16"/>
                                  </w:rPr>
                                  <m:t>A</m:t>
                                </m:r>
                                <m:r>
                                  <w:rPr>
                                    <w:rFonts w:ascii="Cambria Math" w:hAnsi="Cambria Math"/>
                                    <w:szCs w:val="16"/>
                                  </w:rPr>
                                  <m:t>+</m:t>
                                </m:r>
                                <m:r>
                                  <m:rPr>
                                    <m:nor/>
                                  </m:rPr>
                                  <w:rPr>
                                    <w:i/>
                                    <w:iCs/>
                                    <w:szCs w:val="16"/>
                                  </w:rPr>
                                  <m:t>rentas</m:t>
                                </m:r>
                                <m:r>
                                  <w:rPr>
                                    <w:rFonts w:ascii="Cambria Math" w:hAnsi="Cambria Math"/>
                                    <w:szCs w:val="16"/>
                                  </w:rPr>
                                  <m:t>=</m:t>
                                </m:r>
                                <m:r>
                                  <m:rPr>
                                    <m:nor/>
                                  </m:rPr>
                                  <w:rPr>
                                    <w:i/>
                                    <w:iCs/>
                                    <w:szCs w:val="16"/>
                                  </w:rPr>
                                  <m:t>S</m:t>
                                </m:r>
                                <m:r>
                                  <w:rPr>
                                    <w:rFonts w:ascii="Cambria Math" w:hAnsi="Cambria Math"/>
                                    <w:szCs w:val="16"/>
                                  </w:rPr>
                                  <m:t>-</m:t>
                                </m:r>
                                <m:r>
                                  <m:rPr>
                                    <m:nor/>
                                  </m:rPr>
                                  <w:rPr>
                                    <w:i/>
                                    <w:iCs/>
                                    <w:szCs w:val="16"/>
                                  </w:rPr>
                                  <m:t>I</m:t>
                                </m:r>
                                <m:r>
                                  <w:rPr>
                                    <w:rFonts w:ascii="Cambria Math" w:hAnsi="Cambria Math"/>
                                    <w:szCs w:val="16"/>
                                  </w:rPr>
                                  <m:t>=</m:t>
                                </m:r>
                                <m:d>
                                  <m:dPr>
                                    <m:ctrlPr>
                                      <w:rPr>
                                        <w:rFonts w:ascii="Cambria Math" w:hAnsi="Cambria Math"/>
                                        <w:i/>
                                        <w:iCs/>
                                        <w:szCs w:val="16"/>
                                      </w:rPr>
                                    </m:ctrlPr>
                                  </m:dPr>
                                  <m:e>
                                    <m:sSub>
                                      <m:sSubPr>
                                        <m:ctrlPr>
                                          <w:rPr>
                                            <w:rFonts w:ascii="Cambria Math" w:hAnsi="Cambria Math"/>
                                            <w:i/>
                                            <w:iCs/>
                                            <w:szCs w:val="16"/>
                                          </w:rPr>
                                        </m:ctrlPr>
                                      </m:sSubPr>
                                      <m:e>
                                        <m:r>
                                          <m:rPr>
                                            <m:nor/>
                                          </m:rPr>
                                          <w:rPr>
                                            <w:i/>
                                            <w:iCs/>
                                            <w:szCs w:val="16"/>
                                          </w:rPr>
                                          <m:t>S</m:t>
                                        </m:r>
                                      </m:e>
                                      <m:sub>
                                        <m:r>
                                          <m:rPr>
                                            <m:nor/>
                                          </m:rPr>
                                          <w:rPr>
                                            <w:i/>
                                            <w:iCs/>
                                            <w:szCs w:val="16"/>
                                          </w:rPr>
                                          <m:t>PDO</m:t>
                                        </m:r>
                                      </m:sub>
                                    </m:sSub>
                                    <m:r>
                                      <w:rPr>
                                        <w:rFonts w:ascii="Cambria Math" w:hAnsi="Cambria Math"/>
                                        <w:szCs w:val="16"/>
                                      </w:rPr>
                                      <m:t>-</m:t>
                                    </m:r>
                                    <m:sSub>
                                      <m:sSubPr>
                                        <m:ctrlPr>
                                          <w:rPr>
                                            <w:rFonts w:ascii="Cambria Math" w:hAnsi="Cambria Math"/>
                                            <w:i/>
                                            <w:iCs/>
                                            <w:szCs w:val="16"/>
                                          </w:rPr>
                                        </m:ctrlPr>
                                      </m:sSubPr>
                                      <m:e>
                                        <m:r>
                                          <m:rPr>
                                            <m:nor/>
                                          </m:rPr>
                                          <w:rPr>
                                            <w:i/>
                                            <w:iCs/>
                                            <w:szCs w:val="16"/>
                                          </w:rPr>
                                          <m:t>I</m:t>
                                        </m:r>
                                      </m:e>
                                      <m:sub>
                                        <m:r>
                                          <m:rPr>
                                            <m:nor/>
                                          </m:rPr>
                                          <w:rPr>
                                            <w:i/>
                                            <w:iCs/>
                                            <w:szCs w:val="16"/>
                                          </w:rPr>
                                          <m:t>PDA</m:t>
                                        </m:r>
                                      </m:sub>
                                    </m:sSub>
                                  </m:e>
                                </m:d>
                                <m:r>
                                  <w:rPr>
                                    <w:rFonts w:ascii="Cambria Math" w:hAnsi="Cambria Math"/>
                                    <w:szCs w:val="16"/>
                                  </w:rPr>
                                  <m:t>+</m:t>
                                </m:r>
                                <m:d>
                                  <m:dPr>
                                    <m:ctrlPr>
                                      <w:rPr>
                                        <w:rFonts w:ascii="Cambria Math" w:hAnsi="Cambria Math"/>
                                        <w:i/>
                                        <w:iCs/>
                                        <w:szCs w:val="16"/>
                                      </w:rPr>
                                    </m:ctrlPr>
                                  </m:dPr>
                                  <m:e>
                                    <m:r>
                                      <m:rPr>
                                        <m:nor/>
                                      </m:rPr>
                                      <w:rPr>
                                        <w:i/>
                                        <w:iCs/>
                                        <w:szCs w:val="16"/>
                                      </w:rPr>
                                      <m:t>T</m:t>
                                    </m:r>
                                    <m:r>
                                      <w:rPr>
                                        <w:rFonts w:ascii="Cambria Math" w:hAnsi="Cambria Math"/>
                                        <w:spacing w:val="-6"/>
                                        <w:szCs w:val="16"/>
                                      </w:rPr>
                                      <m:t>-</m:t>
                                    </m:r>
                                    <m:r>
                                      <m:rPr>
                                        <m:nor/>
                                      </m:rPr>
                                      <w:rPr>
                                        <w:i/>
                                        <w:iCs/>
                                        <w:szCs w:val="16"/>
                                      </w:rPr>
                                      <m:t>G</m:t>
                                    </m:r>
                                  </m:e>
                                </m:d>
                              </m:lim>
                            </m:limLow>
                          </m:lim>
                        </m:limLow>
                        <m:r>
                          <w:rPr>
                            <w:rStyle w:val="Hipervnculo"/>
                            <w:rFonts w:ascii="Cambria Math" w:hAnsi="Cambria Math"/>
                            <w:color w:val="auto"/>
                            <w:szCs w:val="16"/>
                            <w:u w:val="none"/>
                          </w:rPr>
                          <m:t>+</m:t>
                        </m:r>
                        <m:r>
                          <m:rPr>
                            <m:nor/>
                          </m:rPr>
                          <w:rPr>
                            <w:i/>
                            <w:iCs/>
                            <w:szCs w:val="16"/>
                          </w:rPr>
                          <m:t>CK</m:t>
                        </m:r>
                      </m:e>
                    </m:groupChr>
                    <m:r>
                      <w:rPr>
                        <w:rFonts w:ascii="Cambria Math" w:hAnsi="Cambria Math"/>
                        <w:szCs w:val="16"/>
                      </w:rPr>
                      <m:t>+</m:t>
                    </m:r>
                    <m:r>
                      <m:rPr>
                        <m:nor/>
                      </m:rPr>
                      <w:rPr>
                        <w:i/>
                        <w:iCs/>
                        <w:szCs w:val="16"/>
                      </w:rPr>
                      <m:t>EO</m:t>
                    </m:r>
                  </m:e>
                  <m:lim>
                    <m:r>
                      <m:rPr>
                        <m:nor/>
                      </m:rPr>
                      <w:rPr>
                        <w:i/>
                        <w:szCs w:val="16"/>
                      </w:rPr>
                      <m:t xml:space="preserve">Capacidad </m:t>
                    </m:r>
                    <m:d>
                      <m:dPr>
                        <m:ctrlPr>
                          <w:rPr>
                            <w:rFonts w:ascii="Cambria Math" w:hAnsi="Cambria Math"/>
                            <w:i/>
                            <w:szCs w:val="16"/>
                          </w:rPr>
                        </m:ctrlPr>
                      </m:dPr>
                      <m:e>
                        <m:r>
                          <w:rPr>
                            <w:rFonts w:ascii="Cambria Math" w:hAnsi="Cambria Math"/>
                            <w:szCs w:val="16"/>
                          </w:rPr>
                          <m:t>+</m:t>
                        </m:r>
                      </m:e>
                    </m:d>
                    <m:r>
                      <m:rPr>
                        <m:nor/>
                      </m:rPr>
                      <w:rPr>
                        <w:i/>
                        <w:szCs w:val="16"/>
                      </w:rPr>
                      <m:t xml:space="preserve"> o Necesidad </m:t>
                    </m:r>
                    <m:d>
                      <m:dPr>
                        <m:ctrlPr>
                          <w:rPr>
                            <w:rFonts w:ascii="Cambria Math" w:hAnsi="Cambria Math"/>
                            <w:i/>
                            <w:szCs w:val="16"/>
                          </w:rPr>
                        </m:ctrlPr>
                      </m:dPr>
                      <m:e>
                        <m:r>
                          <w:rPr>
                            <w:rFonts w:ascii="Cambria Math" w:hAnsi="Cambria Math"/>
                            <w:szCs w:val="16"/>
                          </w:rPr>
                          <m:t>-</m:t>
                        </m:r>
                      </m:e>
                    </m:d>
                    <m:r>
                      <m:rPr>
                        <m:nor/>
                      </m:rPr>
                      <w:rPr>
                        <w:i/>
                        <w:szCs w:val="16"/>
                      </w:rPr>
                      <m:t xml:space="preserve"> de Financiación</m:t>
                    </m:r>
                  </m:lim>
                </m:limLow>
                <m:r>
                  <w:rPr>
                    <w:rStyle w:val="Hipervnculo"/>
                    <w:rFonts w:ascii="Cambria Math" w:hAnsi="Cambria Math"/>
                    <w:color w:val="auto"/>
                    <w:szCs w:val="16"/>
                    <w:u w:val="none"/>
                  </w:rPr>
                  <m:t>=</m:t>
                </m:r>
                <m:limLow>
                  <m:limLowPr>
                    <m:ctrlPr>
                      <w:rPr>
                        <w:rStyle w:val="Hipervnculo"/>
                        <w:rFonts w:ascii="Cambria Math" w:hAnsi="Cambria Math"/>
                        <w:i/>
                        <w:color w:val="auto"/>
                        <w:szCs w:val="16"/>
                        <w:u w:val="none"/>
                      </w:rPr>
                    </m:ctrlPr>
                  </m:limLowPr>
                  <m:e>
                    <m:groupChr>
                      <m:groupChrPr>
                        <m:ctrlPr>
                          <w:rPr>
                            <w:rStyle w:val="Hipervnculo"/>
                            <w:rFonts w:ascii="Cambria Math" w:hAnsi="Cambria Math"/>
                            <w:i/>
                            <w:color w:val="auto"/>
                            <w:szCs w:val="16"/>
                            <w:u w:val="none"/>
                          </w:rPr>
                        </m:ctrlPr>
                      </m:groupChrPr>
                      <m:e>
                        <m:r>
                          <m:rPr>
                            <m:nor/>
                          </m:rPr>
                          <w:rPr>
                            <w:i/>
                            <w:iCs/>
                            <w:szCs w:val="16"/>
                          </w:rPr>
                          <m:t>CF</m:t>
                        </m:r>
                      </m:e>
                    </m:groupChr>
                  </m:e>
                  <m:lim>
                    <m:r>
                      <m:rPr>
                        <m:nor/>
                      </m:rPr>
                      <w:rPr>
                        <w:rStyle w:val="Hipervnculo"/>
                        <w:i/>
                        <w:color w:val="auto"/>
                        <w:szCs w:val="16"/>
                        <w:u w:val="none"/>
                      </w:rPr>
                      <m:t>ID</m:t>
                    </m:r>
                    <m:r>
                      <w:rPr>
                        <w:rStyle w:val="Hipervnculo"/>
                        <w:rFonts w:ascii="Cambria Math" w:hAnsi="Cambria Math"/>
                        <w:color w:val="auto"/>
                        <w:szCs w:val="16"/>
                        <w:u w:val="none"/>
                      </w:rPr>
                      <m:t>+</m:t>
                    </m:r>
                    <m:r>
                      <m:rPr>
                        <m:nor/>
                      </m:rPr>
                      <w:rPr>
                        <w:rStyle w:val="Hipervnculo"/>
                        <w:i/>
                        <w:color w:val="auto"/>
                        <w:szCs w:val="16"/>
                        <w:u w:val="none"/>
                      </w:rPr>
                      <m:t>IC</m:t>
                    </m:r>
                    <m:r>
                      <w:rPr>
                        <w:rStyle w:val="Hipervnculo"/>
                        <w:rFonts w:ascii="Cambria Math" w:hAnsi="Cambria Math"/>
                        <w:color w:val="auto"/>
                        <w:szCs w:val="16"/>
                        <w:u w:val="none"/>
                      </w:rPr>
                      <m:t>+</m:t>
                    </m:r>
                    <m:r>
                      <m:rPr>
                        <m:nor/>
                      </m:rPr>
                      <w:rPr>
                        <w:rStyle w:val="Hipervnculo"/>
                        <w:i/>
                        <w:color w:val="auto"/>
                        <w:szCs w:val="16"/>
                        <w:u w:val="none"/>
                      </w:rPr>
                      <m:t>Otra inversión</m:t>
                    </m:r>
                    <m:r>
                      <w:rPr>
                        <w:rStyle w:val="Hipervnculo"/>
                        <w:rFonts w:ascii="Cambria Math" w:hAnsi="Cambria Math"/>
                        <w:color w:val="auto"/>
                        <w:szCs w:val="16"/>
                        <w:u w:val="none"/>
                      </w:rPr>
                      <m:t>+</m:t>
                    </m:r>
                    <m:r>
                      <m:rPr>
                        <m:nor/>
                      </m:rPr>
                      <w:rPr>
                        <w:rStyle w:val="Hipervnculo"/>
                        <w:i/>
                        <w:color w:val="auto"/>
                        <w:szCs w:val="16"/>
                        <w:u w:val="none"/>
                      </w:rPr>
                      <m:t>Derivados</m:t>
                    </m:r>
                    <m:r>
                      <w:rPr>
                        <w:rStyle w:val="Hipervnculo"/>
                        <w:rFonts w:ascii="Cambria Math" w:hAnsi="Cambria Math"/>
                        <w:color w:val="auto"/>
                        <w:szCs w:val="16"/>
                        <w:u w:val="none"/>
                      </w:rPr>
                      <m:t>+</m:t>
                    </m:r>
                    <m:r>
                      <m:rPr>
                        <m:nor/>
                      </m:rPr>
                      <w:rPr>
                        <w:i/>
                        <w:szCs w:val="16"/>
                      </w:rPr>
                      <m:t>∆R</m:t>
                    </m:r>
                  </m:lim>
                </m:limLow>
              </m:oMath>
            </m:oMathPara>
          </w:p>
        </w:tc>
      </w:tr>
      <w:tr w:rsidR="00F55360" w:rsidRPr="00025F23" w14:paraId="0C3E9C5F" w14:textId="77777777" w:rsidTr="004B7DBF">
        <w:trPr>
          <w:trHeight w:val="454"/>
        </w:trPr>
        <w:tc>
          <w:tcPr>
            <w:tcW w:w="5671" w:type="dxa"/>
            <w:vAlign w:val="center"/>
          </w:tcPr>
          <w:p w14:paraId="40B21E3B" w14:textId="63987B37" w:rsidR="00F55360" w:rsidRPr="00025F23" w:rsidRDefault="000B514B" w:rsidP="00F55360">
            <w:pPr>
              <w:spacing w:after="0" w:line="276" w:lineRule="auto"/>
              <w:ind w:left="-110"/>
              <w:jc w:val="center"/>
              <w:rPr>
                <w:i/>
                <w:spacing w:val="-6"/>
                <w:szCs w:val="16"/>
              </w:rPr>
            </w:pPr>
            <m:oMathPara>
              <m:oMath>
                <m:r>
                  <m:rPr>
                    <m:nor/>
                  </m:rPr>
                  <w:rPr>
                    <w:b/>
                    <w:bCs/>
                    <w:i/>
                    <w:spacing w:val="-6"/>
                    <w:szCs w:val="16"/>
                  </w:rPr>
                  <w:lastRenderedPageBreak/>
                  <m:t>γ</m:t>
                </m:r>
                <m:r>
                  <m:rPr>
                    <m:nor/>
                  </m:rPr>
                  <w:rPr>
                    <w:b/>
                    <w:i/>
                    <w:spacing w:val="-6"/>
                    <w:szCs w:val="16"/>
                  </w:rPr>
                  <m:t xml:space="preserve"> PIIN</m:t>
                </m:r>
                <m:r>
                  <m:rPr>
                    <m:sty m:val="bi"/>
                  </m:rPr>
                  <w:rPr>
                    <w:rFonts w:ascii="Cambria Math" w:hAnsi="Cambria Math"/>
                    <w:spacing w:val="-6"/>
                    <w:szCs w:val="16"/>
                  </w:rPr>
                  <m:t>=</m:t>
                </m:r>
                <m:r>
                  <m:rPr>
                    <m:nor/>
                  </m:rPr>
                  <w:rPr>
                    <w:i/>
                    <w:spacing w:val="-6"/>
                    <w:szCs w:val="16"/>
                  </w:rPr>
                  <m:t>γ Saldo C. Financiera</m:t>
                </m:r>
                <m:r>
                  <w:rPr>
                    <w:rFonts w:ascii="Cambria Math" w:hAnsi="Cambria Math"/>
                    <w:spacing w:val="-6"/>
                    <w:szCs w:val="16"/>
                  </w:rPr>
                  <m:t>+</m:t>
                </m:r>
                <m:r>
                  <m:rPr>
                    <m:nor/>
                  </m:rPr>
                  <w:rPr>
                    <w:i/>
                    <w:spacing w:val="-6"/>
                    <w:szCs w:val="16"/>
                  </w:rPr>
                  <m:t>γ Efectos Valoración</m:t>
                </m:r>
                <m:r>
                  <w:rPr>
                    <w:rFonts w:ascii="Cambria Math" w:hAnsi="Cambria Math"/>
                    <w:spacing w:val="-6"/>
                    <w:szCs w:val="16"/>
                  </w:rPr>
                  <m:t>+</m:t>
                </m:r>
                <m:r>
                  <m:rPr>
                    <m:nor/>
                  </m:rPr>
                  <w:rPr>
                    <w:i/>
                    <w:spacing w:val="-6"/>
                    <w:szCs w:val="16"/>
                  </w:rPr>
                  <m:t>γ OCV</m:t>
                </m:r>
              </m:oMath>
            </m:oMathPara>
          </w:p>
        </w:tc>
      </w:tr>
      <w:tr w:rsidR="00F55360" w:rsidRPr="00025F23" w14:paraId="2E962167" w14:textId="77777777" w:rsidTr="004B7DBF">
        <w:trPr>
          <w:trHeight w:val="454"/>
        </w:trPr>
        <w:tc>
          <w:tcPr>
            <w:tcW w:w="5671" w:type="dxa"/>
            <w:vAlign w:val="center"/>
          </w:tcPr>
          <w:p w14:paraId="5901A14E" w14:textId="15AF5406" w:rsidR="00F55360" w:rsidRPr="00025F23" w:rsidRDefault="000B514B" w:rsidP="00F55360">
            <w:pPr>
              <w:spacing w:after="0" w:line="276" w:lineRule="auto"/>
              <w:ind w:left="-110"/>
              <w:jc w:val="center"/>
              <w:rPr>
                <w:i/>
                <w:spacing w:val="-6"/>
                <w:szCs w:val="16"/>
              </w:rPr>
            </w:pPr>
            <m:oMathPara>
              <m:oMath>
                <m:r>
                  <m:rPr>
                    <m:nor/>
                  </m:rPr>
                  <w:rPr>
                    <w:b/>
                    <w:i/>
                    <w:spacing w:val="-6"/>
                    <w:szCs w:val="16"/>
                  </w:rPr>
                  <m:t>Spread plazos tipos</m:t>
                </m:r>
                <m:r>
                  <m:rPr>
                    <m:sty m:val="bi"/>
                  </m:rPr>
                  <w:rPr>
                    <w:rFonts w:ascii="Cambria Math" w:hAnsi="Cambria Math"/>
                    <w:spacing w:val="-6"/>
                    <w:szCs w:val="16"/>
                  </w:rPr>
                  <m:t>=</m:t>
                </m:r>
                <m:r>
                  <m:rPr>
                    <m:nor/>
                  </m:rPr>
                  <w:rPr>
                    <w:i/>
                    <w:spacing w:val="-6"/>
                    <w:szCs w:val="16"/>
                  </w:rPr>
                  <m:t>Diferencia entre tipos a largo y corto nos da curva de tipos</m:t>
                </m:r>
              </m:oMath>
            </m:oMathPara>
          </w:p>
        </w:tc>
      </w:tr>
    </w:tbl>
    <w:p w14:paraId="4B71820A" w14:textId="69091A59" w:rsidR="004611DA" w:rsidRPr="00025F23" w:rsidRDefault="004611DA" w:rsidP="00F84330">
      <w:pPr>
        <w:pStyle w:val="Ttulo5"/>
        <w:rPr>
          <w:i w:val="0"/>
          <w:iCs w:val="0"/>
          <w:u w:val="none"/>
        </w:rPr>
      </w:pPr>
      <w:r w:rsidRPr="00025F23">
        <w:t>Anexo</w:t>
      </w:r>
      <w:r w:rsidR="00B77C3E" w:rsidRPr="00025F23">
        <w:t> </w:t>
      </w:r>
      <w:r w:rsidRPr="00025F23">
        <w:t>6</w:t>
      </w:r>
      <w:r w:rsidRPr="00025F23">
        <w:rPr>
          <w:i w:val="0"/>
          <w:iCs w:val="0"/>
          <w:u w:val="none"/>
        </w:rPr>
        <w:t>: Consideraciones de la economía española</w:t>
      </w:r>
    </w:p>
    <w:p w14:paraId="53D40D8A" w14:textId="72597D61" w:rsidR="007A19F9" w:rsidRDefault="007A19F9" w:rsidP="007A19F9">
      <w:hyperlink r:id="rId61" w:history="1">
        <w:r w:rsidRPr="00025F23">
          <w:rPr>
            <w:rStyle w:val="Hipervnculo"/>
          </w:rPr>
          <w:t>https://youtu.be/Y4FN5guVt</w:t>
        </w:r>
        <w:r w:rsidRPr="00025F23">
          <w:rPr>
            <w:rStyle w:val="Hipervnculo"/>
          </w:rPr>
          <w:t>G</w:t>
        </w:r>
        <w:r w:rsidRPr="00025F23">
          <w:rPr>
            <w:rStyle w:val="Hipervnculo"/>
          </w:rPr>
          <w:t>M</w:t>
        </w:r>
      </w:hyperlink>
    </w:p>
    <w:p w14:paraId="0D0BA9E8" w14:textId="447A4A19" w:rsidR="00B2524F" w:rsidRPr="00025F23" w:rsidRDefault="00B2524F" w:rsidP="007A19F9">
      <w:hyperlink r:id="rId62" w:history="1">
        <w:r w:rsidRPr="0069200B">
          <w:rPr>
            <w:rStyle w:val="Hipervnculo"/>
          </w:rPr>
          <w:t>https://youtu.be/uLitq_EK_IQ</w:t>
        </w:r>
      </w:hyperlink>
    </w:p>
    <w:p w14:paraId="5BFB3E70" w14:textId="1B5FA322" w:rsidR="004611DA" w:rsidRPr="00025F23" w:rsidRDefault="004611DA" w:rsidP="004611DA">
      <w:r w:rsidRPr="00025F23">
        <w:t>En este anexo, desarrollaremos consideraciones del desarrollo de la economía española según los últimos informes anuales del Banco de España y las últimas Consultas al Artículo IV del FMI.</w:t>
      </w:r>
    </w:p>
    <w:p w14:paraId="720131F1" w14:textId="00E250EB" w:rsidR="004611DA" w:rsidRPr="00025F23" w:rsidRDefault="00EE07AD" w:rsidP="009454CB">
      <w:pPr>
        <w:pStyle w:val="Nivel1"/>
        <w:keepNext/>
        <w:spacing w:after="0"/>
      </w:pPr>
      <w:r w:rsidRPr="00025F23">
        <w:t xml:space="preserve">En el año </w:t>
      </w:r>
      <w:r w:rsidRPr="00025F23">
        <w:rPr>
          <w:u w:val="single"/>
        </w:rPr>
        <w:t>2020</w:t>
      </w:r>
      <w:r w:rsidRPr="00025F23">
        <w:t>, l</w:t>
      </w:r>
      <w:r w:rsidR="004611DA" w:rsidRPr="00025F23">
        <w:t>a pandemia por COVID-19 supuso un shock terrible para la economía mundial.</w:t>
      </w:r>
    </w:p>
    <w:p w14:paraId="50FE74FD" w14:textId="24EC06DC" w:rsidR="004611DA" w:rsidRPr="00025F23" w:rsidRDefault="004611DA" w:rsidP="004611DA">
      <w:pPr>
        <w:pStyle w:val="Nivel2"/>
      </w:pPr>
      <w:r w:rsidRPr="00025F23">
        <w:t>Supone un enorme coste en vidas humanas</w:t>
      </w:r>
      <w:r w:rsidR="009454CB" w:rsidRPr="00025F23">
        <w:t>.</w:t>
      </w:r>
    </w:p>
    <w:p w14:paraId="449B5C41" w14:textId="77777777" w:rsidR="009454CB" w:rsidRPr="00025F23" w:rsidRDefault="009454CB" w:rsidP="009454CB">
      <w:pPr>
        <w:pStyle w:val="Nivel2"/>
        <w:keepNext/>
        <w:spacing w:after="0"/>
      </w:pPr>
      <w:r w:rsidRPr="00025F23">
        <w:t>En términos económicos:</w:t>
      </w:r>
    </w:p>
    <w:p w14:paraId="4887E7AD" w14:textId="77777777" w:rsidR="009454CB" w:rsidRPr="00025F23" w:rsidRDefault="009454CB" w:rsidP="009454CB">
      <w:pPr>
        <w:pStyle w:val="Nivel3"/>
      </w:pPr>
      <w:r w:rsidRPr="00025F23">
        <w:t xml:space="preserve">Supone un </w:t>
      </w:r>
      <w:r w:rsidRPr="00025F23">
        <w:rPr>
          <w:i/>
          <w:iCs/>
        </w:rPr>
        <w:t>shock de oferta</w:t>
      </w:r>
      <w:r w:rsidRPr="00025F23">
        <w:t xml:space="preserve"> inicial </w:t>
      </w:r>
      <w:r w:rsidRPr="00025F23">
        <w:rPr>
          <w:sz w:val="14"/>
          <w:szCs w:val="14"/>
        </w:rPr>
        <w:t>(se limita la capacidad productiva de las economías debido a la respuesta en materia sanitaria que supuso una limitación de la movilidad y de los intercambios)</w:t>
      </w:r>
      <w:r w:rsidRPr="00025F23">
        <w:t>,</w:t>
      </w:r>
    </w:p>
    <w:p w14:paraId="19D33315" w14:textId="21D19608" w:rsidR="009454CB" w:rsidRPr="00025F23" w:rsidRDefault="009454CB" w:rsidP="009454CB">
      <w:pPr>
        <w:pStyle w:val="Nivel3"/>
      </w:pPr>
      <w:r w:rsidRPr="00025F23">
        <w:t xml:space="preserve">Que se ha convertido progresivamente en un </w:t>
      </w:r>
      <w:r w:rsidRPr="00025F23">
        <w:rPr>
          <w:i/>
          <w:iCs/>
        </w:rPr>
        <w:t>shock de demanda</w:t>
      </w:r>
      <w:r w:rsidRPr="00025F23">
        <w:t xml:space="preserve"> </w:t>
      </w:r>
      <w:r w:rsidRPr="00025F23">
        <w:rPr>
          <w:sz w:val="14"/>
          <w:szCs w:val="14"/>
        </w:rPr>
        <w:t>(ahorro precautorio y forzoso de las familias durante la crisis sanitaria)</w:t>
      </w:r>
      <w:r w:rsidRPr="00025F23">
        <w:t>.</w:t>
      </w:r>
    </w:p>
    <w:p w14:paraId="7039BE3D" w14:textId="77777777" w:rsidR="00035289" w:rsidRPr="00025F23" w:rsidRDefault="009454CB" w:rsidP="00035289">
      <w:pPr>
        <w:pStyle w:val="Nivel1"/>
        <w:spacing w:after="0"/>
      </w:pPr>
      <w:r w:rsidRPr="00025F23">
        <w:t xml:space="preserve">En el año </w:t>
      </w:r>
      <w:r w:rsidRPr="00025F23">
        <w:rPr>
          <w:u w:val="single"/>
        </w:rPr>
        <w:t>2021</w:t>
      </w:r>
      <w:r w:rsidR="00035289" w:rsidRPr="00025F23">
        <w:t>:</w:t>
      </w:r>
    </w:p>
    <w:p w14:paraId="42A0E828" w14:textId="485EDD28" w:rsidR="002F169D" w:rsidRPr="00025F23" w:rsidRDefault="00035289" w:rsidP="002F169D">
      <w:pPr>
        <w:pStyle w:val="Nivel2"/>
        <w:keepNext/>
        <w:spacing w:after="0"/>
        <w:rPr>
          <w:spacing w:val="-2"/>
        </w:rPr>
      </w:pPr>
      <w:r w:rsidRPr="00025F23">
        <w:rPr>
          <w:spacing w:val="-2"/>
        </w:rPr>
        <w:t>Se introduce la vacuna en España</w:t>
      </w:r>
      <w:r w:rsidRPr="00025F23">
        <w:rPr>
          <w:rStyle w:val="Refdenotaalpie"/>
          <w:spacing w:val="-2"/>
        </w:rPr>
        <w:footnoteReference w:id="41"/>
      </w:r>
      <w:r w:rsidRPr="00025F23">
        <w:rPr>
          <w:spacing w:val="-2"/>
        </w:rPr>
        <w:t xml:space="preserve"> y en la mayoría de países desarrollados y </w:t>
      </w:r>
      <w:r w:rsidRPr="00025F23">
        <w:rPr>
          <w:b/>
          <w:bCs/>
          <w:spacing w:val="-2"/>
        </w:rPr>
        <w:t>se supera la etapa más aguda de la crisis sanitaria</w:t>
      </w:r>
      <w:r w:rsidRPr="00025F23">
        <w:rPr>
          <w:spacing w:val="-2"/>
        </w:rPr>
        <w:t>, esto permite continuar con la recuperación económica gradualmente.</w:t>
      </w:r>
    </w:p>
    <w:p w14:paraId="7A571C1F" w14:textId="08689CE1" w:rsidR="002F169D" w:rsidRPr="00025F23" w:rsidRDefault="002F169D" w:rsidP="002F169D">
      <w:pPr>
        <w:pStyle w:val="Nivel3"/>
      </w:pPr>
      <w:r w:rsidRPr="00025F23">
        <w:t>La mejora de las estadísticas epidemiológicas</w:t>
      </w:r>
      <w:r w:rsidR="00EE07AD" w:rsidRPr="00025F23">
        <w:t xml:space="preserve"> en España </w:t>
      </w:r>
      <w:r w:rsidR="00EE07AD" w:rsidRPr="00025F23">
        <w:rPr>
          <w:sz w:val="14"/>
          <w:szCs w:val="14"/>
        </w:rPr>
        <w:t>(y en muchos otros países)</w:t>
      </w:r>
      <w:r w:rsidR="00EE07AD" w:rsidRPr="00025F23">
        <w:t>, permitió que se</w:t>
      </w:r>
      <w:r w:rsidRPr="00025F23">
        <w:t xml:space="preserve"> relaja</w:t>
      </w:r>
      <w:r w:rsidR="00EE07AD" w:rsidRPr="00025F23">
        <w:t>ra</w:t>
      </w:r>
      <w:r w:rsidRPr="00025F23">
        <w:t>n gradualmente las med</w:t>
      </w:r>
      <w:r w:rsidR="00EE07AD" w:rsidRPr="00025F23">
        <w:t>idas de distanciamiento social. Ello favoreció que se prolongara la senda de reactivación de la actividad iniciada en el verano de 2020.</w:t>
      </w:r>
    </w:p>
    <w:p w14:paraId="305716EA" w14:textId="0D9905D8" w:rsidR="00EE07AD" w:rsidRPr="00025F23" w:rsidRDefault="00EE07AD" w:rsidP="00EE07AD">
      <w:pPr>
        <w:pStyle w:val="Nivel3"/>
        <w:keepNext/>
        <w:rPr>
          <w:spacing w:val="-2"/>
        </w:rPr>
      </w:pPr>
      <w:r w:rsidRPr="00025F23">
        <w:rPr>
          <w:spacing w:val="-2"/>
        </w:rPr>
        <w:t>No obstante, esta recuperación se vio parcialmente obstaculizada por:</w:t>
      </w:r>
    </w:p>
    <w:p w14:paraId="72D4CB55" w14:textId="1F56148D" w:rsidR="00EE07AD" w:rsidRPr="00025F23" w:rsidRDefault="00EE07AD">
      <w:pPr>
        <w:pStyle w:val="Nmeroromano"/>
        <w:numPr>
          <w:ilvl w:val="0"/>
          <w:numId w:val="26"/>
        </w:numPr>
        <w:spacing w:after="0"/>
        <w:ind w:left="908" w:hanging="57"/>
      </w:pPr>
      <w:r w:rsidRPr="00025F23">
        <w:t xml:space="preserve">Las distintas vicisitudes por las que atravesó la </w:t>
      </w:r>
      <w:r w:rsidRPr="00025F23">
        <w:rPr>
          <w:i/>
          <w:iCs/>
        </w:rPr>
        <w:t>situación sanitaria</w:t>
      </w:r>
      <w:r w:rsidRPr="00025F23">
        <w:t>;</w:t>
      </w:r>
    </w:p>
    <w:p w14:paraId="4FB72BF8" w14:textId="4BE4C8CC" w:rsidR="00EE07AD" w:rsidRPr="00025F23" w:rsidRDefault="00EE07AD" w:rsidP="00BA0EE6">
      <w:pPr>
        <w:pStyle w:val="Nmeroromano"/>
        <w:spacing w:after="0"/>
        <w:ind w:left="908" w:hanging="57"/>
      </w:pPr>
      <w:r w:rsidRPr="00025F23">
        <w:t xml:space="preserve">El fuerte repunte que experimentaron los </w:t>
      </w:r>
      <w:r w:rsidRPr="00025F23">
        <w:rPr>
          <w:i/>
          <w:iCs/>
        </w:rPr>
        <w:t>precios energéticos</w:t>
      </w:r>
      <w:r w:rsidRPr="00025F23">
        <w:t>; y</w:t>
      </w:r>
    </w:p>
    <w:p w14:paraId="22F824E2" w14:textId="79034A0F" w:rsidR="00EE07AD" w:rsidRPr="00025F23" w:rsidRDefault="00EE07AD" w:rsidP="00BA0EE6">
      <w:pPr>
        <w:pStyle w:val="Nmeroromano"/>
        <w:spacing w:after="0"/>
        <w:ind w:left="908" w:hanging="57"/>
      </w:pPr>
      <w:r w:rsidRPr="00025F23">
        <w:t xml:space="preserve">Diversos elementos que </w:t>
      </w:r>
      <w:r w:rsidRPr="00025F23">
        <w:rPr>
          <w:i/>
          <w:iCs/>
        </w:rPr>
        <w:t>limitaron la capacidad de la oferta para responder a una mayor demanda</w:t>
      </w:r>
      <w:r w:rsidRPr="00025F23">
        <w:t>, impulsada no sólo por la mejora de la situación epidemiológica, sino también por el apoyo extraordinario de las políticas económicas.</w:t>
      </w:r>
    </w:p>
    <w:p w14:paraId="05CEEB5B" w14:textId="2A5D93D1" w:rsidR="003B6519" w:rsidRPr="00025F23" w:rsidRDefault="003B6519" w:rsidP="003B6519">
      <w:pPr>
        <w:pStyle w:val="Nivel3"/>
        <w:rPr>
          <w:spacing w:val="-3"/>
        </w:rPr>
      </w:pPr>
      <w:r w:rsidRPr="00025F23">
        <w:rPr>
          <w:spacing w:val="-3"/>
        </w:rPr>
        <w:t>Si bien el primero de estos factores constituyó, a medida que avanzaba 2021, un impedimento cada vez menor, los otros dos han venido condicionando de manera creciente el comportamiento económico.</w:t>
      </w:r>
    </w:p>
    <w:p w14:paraId="120F41B2" w14:textId="6F08AB9F" w:rsidR="002F169D" w:rsidRPr="00025F23" w:rsidRDefault="003B6519" w:rsidP="00BA0EE6">
      <w:pPr>
        <w:pStyle w:val="Nivel2"/>
        <w:keepNext/>
        <w:spacing w:after="0"/>
      </w:pPr>
      <w:r w:rsidRPr="00025F23">
        <w:t>Estos factores hacen que</w:t>
      </w:r>
      <w:r w:rsidR="00035289" w:rsidRPr="00025F23">
        <w:t xml:space="preserve"> el año 2021</w:t>
      </w:r>
      <w:r w:rsidRPr="00025F23">
        <w:t xml:space="preserve"> no quede únicamente marcado como el año en que se supera la etapa más aguda de la crisis sanitaria, sino </w:t>
      </w:r>
      <w:r w:rsidR="00035289" w:rsidRPr="00025F23">
        <w:t xml:space="preserve">también </w:t>
      </w:r>
      <w:r w:rsidRPr="00025F23">
        <w:t xml:space="preserve">que </w:t>
      </w:r>
      <w:r w:rsidR="00035289" w:rsidRPr="00025F23">
        <w:t xml:space="preserve">queda marcado por el </w:t>
      </w:r>
      <w:r w:rsidR="00035289" w:rsidRPr="00025F23">
        <w:rPr>
          <w:b/>
          <w:bCs/>
        </w:rPr>
        <w:t>fuerte repunte de la inflación a escala global</w:t>
      </w:r>
      <w:r w:rsidR="00035289" w:rsidRPr="00025F23">
        <w:t>.</w:t>
      </w:r>
    </w:p>
    <w:p w14:paraId="3AACEBD9" w14:textId="336ECB2E" w:rsidR="00BA0EE6" w:rsidRPr="00025F23" w:rsidRDefault="00BA0EE6" w:rsidP="00BA0EE6">
      <w:pPr>
        <w:pStyle w:val="Nivel3"/>
      </w:pPr>
      <w:r w:rsidRPr="00025F23">
        <w:t>Inicialmente, el repunte de los precios se concentró en las materias primas y en los alimentos y parecía presentar una naturaleza relativamente transitoria.</w:t>
      </w:r>
    </w:p>
    <w:p w14:paraId="2664AA21" w14:textId="532E94E0" w:rsidR="002F169D" w:rsidRPr="00025F23" w:rsidRDefault="002F169D" w:rsidP="00FC1085">
      <w:pPr>
        <w:pStyle w:val="Nivel1"/>
        <w:keepNext/>
        <w:spacing w:after="0"/>
      </w:pPr>
      <w:r w:rsidRPr="00025F23">
        <w:t xml:space="preserve">En lo que llevamos de </w:t>
      </w:r>
      <w:r w:rsidRPr="00025F23">
        <w:rPr>
          <w:u w:val="single"/>
        </w:rPr>
        <w:t>2022</w:t>
      </w:r>
      <w:r w:rsidRPr="00025F23">
        <w:t>,</w:t>
      </w:r>
    </w:p>
    <w:p w14:paraId="6FD2F1C6" w14:textId="77777777" w:rsidR="000134D4" w:rsidRPr="00025F23" w:rsidRDefault="000134D4" w:rsidP="000134D4">
      <w:pPr>
        <w:pStyle w:val="Nivel2"/>
        <w:keepNext/>
        <w:spacing w:after="0"/>
      </w:pPr>
      <w:r w:rsidRPr="00025F23">
        <w:t>Sin embargo, éstas presiones inflacionistas se ha ido extendiendo al resto de bienes y servicios de la cesta de consumo y ha dado muestras de una mayor persistencia.</w:t>
      </w:r>
    </w:p>
    <w:p w14:paraId="0A9227D4" w14:textId="77777777" w:rsidR="000134D4" w:rsidRPr="00025F23" w:rsidRDefault="000134D4" w:rsidP="000134D4">
      <w:pPr>
        <w:pStyle w:val="Nivel2"/>
        <w:keepNext/>
        <w:spacing w:after="0"/>
        <w:rPr>
          <w:spacing w:val="-3"/>
        </w:rPr>
      </w:pPr>
      <w:r w:rsidRPr="00025F23">
        <w:rPr>
          <w:spacing w:val="-3"/>
        </w:rPr>
        <w:t xml:space="preserve">En un contexto en el que muchas economías, sectores, empresas y hogares aún no habían logrado recuperares por completo de los efectos adversos de la crisis sanitaria, la </w:t>
      </w:r>
      <w:r w:rsidRPr="00025F23">
        <w:rPr>
          <w:i/>
          <w:iCs/>
          <w:spacing w:val="-3"/>
        </w:rPr>
        <w:t>invasión rusa de Ucrania a finales de febrero de 2022</w:t>
      </w:r>
      <w:r w:rsidRPr="00025F23">
        <w:rPr>
          <w:spacing w:val="-3"/>
        </w:rPr>
        <w:t xml:space="preserve"> ha supuesto una nueva perturbación negativa.</w:t>
      </w:r>
    </w:p>
    <w:p w14:paraId="240E9CE6" w14:textId="77777777" w:rsidR="000134D4" w:rsidRPr="00025F23" w:rsidRDefault="000134D4" w:rsidP="000134D4">
      <w:pPr>
        <w:pStyle w:val="Nivel3"/>
      </w:pPr>
      <w:r w:rsidRPr="00025F23">
        <w:t xml:space="preserve">Como consecuencia de ella, las </w:t>
      </w:r>
      <w:r w:rsidRPr="00025F23">
        <w:rPr>
          <w:b/>
          <w:bCs/>
        </w:rPr>
        <w:t>perspectivas de crecimiento en el corto plazo se han revisado a la baja</w:t>
      </w:r>
      <w:r w:rsidRPr="00025F23">
        <w:t>, especialmente en Europa.</w:t>
      </w:r>
    </w:p>
    <w:p w14:paraId="5FA5F5D3" w14:textId="77777777" w:rsidR="000134D4" w:rsidRPr="00025F23" w:rsidRDefault="000134D4" w:rsidP="000134D4">
      <w:pPr>
        <w:pStyle w:val="Nivel3"/>
      </w:pPr>
      <w:r w:rsidRPr="00025F23">
        <w:t xml:space="preserve">Además, se han </w:t>
      </w:r>
      <w:r w:rsidRPr="00025F23">
        <w:rPr>
          <w:b/>
          <w:bCs/>
        </w:rPr>
        <w:t>intensificado las presiones inflacionistas</w:t>
      </w:r>
      <w:r w:rsidRPr="00025F23">
        <w:t xml:space="preserve"> y se prevé que muestren una mayor persistencia que la que se anticipaba al comienzo de 2022.</w:t>
      </w:r>
    </w:p>
    <w:p w14:paraId="2AF73DD8" w14:textId="3C3246CD" w:rsidR="000134D4" w:rsidRPr="00025F23" w:rsidRDefault="000134D4" w:rsidP="000134D4">
      <w:pPr>
        <w:pStyle w:val="Nivel2"/>
        <w:keepNext/>
        <w:spacing w:after="0"/>
      </w:pPr>
      <w:r w:rsidRPr="00025F23">
        <w:t>Y es que las presiones inflacionistas se han visto agravadas por distintos motivos:</w:t>
      </w:r>
    </w:p>
    <w:p w14:paraId="6A0C4AD4" w14:textId="77777777" w:rsidR="000134D4" w:rsidRPr="00025F23" w:rsidRDefault="000134D4" w:rsidP="000134D4">
      <w:pPr>
        <w:pStyle w:val="Nivel3"/>
      </w:pPr>
      <w:r w:rsidRPr="00025F23">
        <w:t xml:space="preserve">Los cuellos de botella que, por diversos motivos, se han registrado en las cadenas globales de producción y de transporte a lo largo de los últimos trimestres no se han disipado a la velocidad que se esperaba, e incluso </w:t>
      </w:r>
      <w:r w:rsidRPr="00025F23">
        <w:rPr>
          <w:sz w:val="14"/>
          <w:szCs w:val="14"/>
        </w:rPr>
        <w:t>–con el estallido de la guerra en Ucrania y el empeoramiento reciente de la pandemia en China–</w:t>
      </w:r>
      <w:r w:rsidRPr="00025F23">
        <w:t xml:space="preserve"> han llegado a intensificarse en algunos casos.</w:t>
      </w:r>
    </w:p>
    <w:p w14:paraId="749F8C2A" w14:textId="77777777" w:rsidR="000134D4" w:rsidRPr="00025F23" w:rsidRDefault="000134D4" w:rsidP="000134D4">
      <w:pPr>
        <w:pStyle w:val="Nivel3"/>
      </w:pPr>
      <w:r w:rsidRPr="00025F23">
        <w:t>Deterioro de la confianza de los agentes económicos; y</w:t>
      </w:r>
    </w:p>
    <w:p w14:paraId="27D12FB4" w14:textId="77777777" w:rsidR="000134D4" w:rsidRPr="00025F23" w:rsidRDefault="000134D4" w:rsidP="000134D4">
      <w:pPr>
        <w:pStyle w:val="Nivel3"/>
      </w:pPr>
      <w:r w:rsidRPr="00025F23">
        <w:t>Ralentización del comercio internacional.</w:t>
      </w:r>
    </w:p>
    <w:p w14:paraId="7F86D31B" w14:textId="77777777" w:rsidR="0071249D" w:rsidRPr="00025F23" w:rsidRDefault="00B63A24" w:rsidP="0071249D">
      <w:pPr>
        <w:pStyle w:val="Nivel2"/>
        <w:keepNext/>
        <w:spacing w:after="0"/>
      </w:pPr>
      <w:r w:rsidRPr="00025F23">
        <w:t>Aunque todos estos factores condicionantes de la evolución económica presentan un carácter eminentemente global, su incidencia ha sido muy asimétrica entre las principales economías mundiales.</w:t>
      </w:r>
    </w:p>
    <w:p w14:paraId="549FBDC1" w14:textId="5469F272" w:rsidR="00B63A24" w:rsidRPr="00025F23" w:rsidRDefault="00B63A24" w:rsidP="0071249D">
      <w:pPr>
        <w:pStyle w:val="Nivel3"/>
        <w:keepNext/>
      </w:pPr>
      <w:r w:rsidRPr="00025F23">
        <w:t>Entre otros aspectos, esta heterogeneidad ha respondido a diferencias entre países en cuanto a su:</w:t>
      </w:r>
    </w:p>
    <w:p w14:paraId="24D4E5C6" w14:textId="4C677B8F" w:rsidR="00B63A24" w:rsidRPr="00025F23" w:rsidRDefault="00B63A24" w:rsidP="0071249D">
      <w:pPr>
        <w:pStyle w:val="Nivel4"/>
      </w:pPr>
      <w:r w:rsidRPr="00025F23">
        <w:t>Estructura productiva,</w:t>
      </w:r>
    </w:p>
    <w:p w14:paraId="73970C76" w14:textId="1C83ECD1" w:rsidR="00B63A24" w:rsidRPr="00025F23" w:rsidRDefault="00B63A24" w:rsidP="0071249D">
      <w:pPr>
        <w:pStyle w:val="Nivel4"/>
      </w:pPr>
      <w:r w:rsidRPr="00025F23">
        <w:t>Acceso a las vacunas;</w:t>
      </w:r>
    </w:p>
    <w:p w14:paraId="0C20CF31" w14:textId="27964F28" w:rsidR="00B63A24" w:rsidRPr="00025F23" w:rsidRDefault="00B63A24" w:rsidP="0071249D">
      <w:pPr>
        <w:pStyle w:val="Nivel4"/>
      </w:pPr>
      <w:r w:rsidRPr="00025F23">
        <w:t>Capacidad de apoyo de las políticas económicas; y</w:t>
      </w:r>
    </w:p>
    <w:p w14:paraId="174296C7" w14:textId="5DEAEF08" w:rsidR="00B63A24" w:rsidRPr="00025F23" w:rsidRDefault="00B63A24" w:rsidP="0071249D">
      <w:pPr>
        <w:pStyle w:val="Nivel4"/>
      </w:pPr>
      <w:r w:rsidRPr="00025F23">
        <w:t>Dependencia de los inputs energéticos.</w:t>
      </w:r>
    </w:p>
    <w:p w14:paraId="7AABE2AC" w14:textId="3CAE8C38" w:rsidR="002767C6" w:rsidRPr="00025F23" w:rsidRDefault="0071249D" w:rsidP="00B2524F">
      <w:pPr>
        <w:pStyle w:val="Nivel2"/>
      </w:pPr>
      <w:r w:rsidRPr="00025F23">
        <w:t xml:space="preserve">En este sentido, en los últimos trimestres la recuperación económica ha sido especialmente vigorosa en Estados Unidos, donde ya en la primera mitad de 2021 se superó el nivel de actividad previo a la pandemia. Este elevado dinamismo, se ha traducido también en presiones inflacionistas subyacentes más intensas y tempranas. En cambio, en el conjunto del área del euro, el nivel de actividad prepandemia no se recuperó hasta finales del pasado año y en el caso de la economía española no se prevé </w:t>
      </w:r>
      <w:r w:rsidR="00FA6F07" w:rsidRPr="00025F23">
        <w:t xml:space="preserve">alcanzar los niveles prepandemia hasta </w:t>
      </w:r>
      <w:r w:rsidR="006F7343" w:rsidRPr="00025F23">
        <w:t xml:space="preserve">finales de </w:t>
      </w:r>
      <w:r w:rsidR="00FA6F07" w:rsidRPr="00025F23">
        <w:t>2023.</w:t>
      </w:r>
    </w:p>
    <w:sectPr w:rsidR="002767C6" w:rsidRPr="00025F23" w:rsidSect="009822A5">
      <w:type w:val="continuous"/>
      <w:pgSz w:w="11906" w:h="16838"/>
      <w:pgMar w:top="425" w:right="425" w:bottom="425" w:left="425" w:header="57" w:footer="57" w:gutter="0"/>
      <w:cols w:num="2" w:sep="1"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9371DF" w14:textId="77777777" w:rsidR="00833453" w:rsidRDefault="00833453" w:rsidP="00B77C0F">
      <w:r>
        <w:separator/>
      </w:r>
    </w:p>
  </w:endnote>
  <w:endnote w:type="continuationSeparator" w:id="0">
    <w:p w14:paraId="48AA07DF" w14:textId="77777777" w:rsidR="00833453" w:rsidRDefault="00833453" w:rsidP="00B77C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Baskerville Old Face">
    <w:panose1 w:val="02020602080505020303"/>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11341" w:type="dxa"/>
      <w:tblInd w:w="-142" w:type="dxa"/>
      <w:tblBorders>
        <w:top w:val="thinThickSmallGap" w:sz="12" w:space="0" w:color="800000"/>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4253"/>
      <w:gridCol w:w="2552"/>
    </w:tblGrid>
    <w:tr w:rsidR="00587196" w:rsidRPr="007F0327" w14:paraId="4AB88F57" w14:textId="77777777" w:rsidTr="00587196">
      <w:trPr>
        <w:trHeight w:val="20"/>
      </w:trPr>
      <w:tc>
        <w:tcPr>
          <w:tcW w:w="4536" w:type="dxa"/>
          <w:vAlign w:val="center"/>
        </w:tcPr>
        <w:sdt>
          <w:sdtPr>
            <w:rPr>
              <w:i/>
              <w:iCs/>
              <w:color w:val="800000"/>
              <w:szCs w:val="16"/>
            </w:rPr>
            <w:id w:val="-812799086"/>
            <w:docPartObj>
              <w:docPartGallery w:val="Page Numbers (Bottom of Page)"/>
              <w:docPartUnique/>
            </w:docPartObj>
          </w:sdtPr>
          <w:sdtEndPr>
            <w:rPr>
              <w:i w:val="0"/>
              <w:iCs w:val="0"/>
              <w:noProof/>
            </w:rPr>
          </w:sdtEndPr>
          <w:sdtContent>
            <w:p w14:paraId="597AFD70" w14:textId="40D49E3D" w:rsidR="00587196" w:rsidRPr="007F0327" w:rsidRDefault="00587196" w:rsidP="004B7DBF">
              <w:pPr>
                <w:pStyle w:val="Piedepgina"/>
                <w:spacing w:after="0"/>
                <w:jc w:val="left"/>
                <w:rPr>
                  <w:noProof/>
                  <w:color w:val="800000"/>
                  <w:szCs w:val="16"/>
                </w:rPr>
              </w:pPr>
              <w:r w:rsidRPr="007F0327">
                <w:rPr>
                  <w:b/>
                  <w:bCs/>
                  <w:i/>
                  <w:iCs/>
                  <w:color w:val="800000"/>
                  <w:szCs w:val="16"/>
                </w:rPr>
                <w:fldChar w:fldCharType="begin"/>
              </w:r>
              <w:r w:rsidRPr="007F0327">
                <w:rPr>
                  <w:b/>
                  <w:bCs/>
                  <w:i/>
                  <w:iCs/>
                  <w:color w:val="800000"/>
                  <w:szCs w:val="16"/>
                </w:rPr>
                <w:instrText xml:space="preserve"> PAGE  \* Arabic  \* MERGEFORMAT </w:instrText>
              </w:r>
              <w:r w:rsidRPr="007F0327">
                <w:rPr>
                  <w:b/>
                  <w:bCs/>
                  <w:i/>
                  <w:iCs/>
                  <w:color w:val="800000"/>
                  <w:szCs w:val="16"/>
                </w:rPr>
                <w:fldChar w:fldCharType="separate"/>
              </w:r>
              <w:r w:rsidRPr="007F0327">
                <w:rPr>
                  <w:b/>
                  <w:bCs/>
                  <w:i/>
                  <w:iCs/>
                  <w:color w:val="800000"/>
                  <w:szCs w:val="16"/>
                </w:rPr>
                <w:t>2</w:t>
              </w:r>
              <w:r w:rsidRPr="007F0327">
                <w:rPr>
                  <w:b/>
                  <w:bCs/>
                  <w:i/>
                  <w:iCs/>
                  <w:color w:val="800000"/>
                  <w:szCs w:val="16"/>
                </w:rPr>
                <w:fldChar w:fldCharType="end"/>
              </w:r>
              <w:r w:rsidRPr="007F0327">
                <w:rPr>
                  <w:i/>
                  <w:iCs/>
                  <w:color w:val="800000"/>
                  <w:szCs w:val="16"/>
                </w:rPr>
                <w:t>/</w:t>
              </w:r>
              <w:r w:rsidRPr="007F0327">
                <w:rPr>
                  <w:b/>
                  <w:bCs/>
                  <w:i/>
                  <w:iCs/>
                  <w:color w:val="800000"/>
                  <w:szCs w:val="16"/>
                </w:rPr>
                <w:fldChar w:fldCharType="begin"/>
              </w:r>
              <w:r w:rsidRPr="007F0327">
                <w:rPr>
                  <w:b/>
                  <w:bCs/>
                  <w:i/>
                  <w:iCs/>
                  <w:color w:val="800000"/>
                  <w:szCs w:val="16"/>
                </w:rPr>
                <w:instrText>NUMPAGES  \* Arabic  \* MERGEFORMAT</w:instrText>
              </w:r>
              <w:r w:rsidRPr="007F0327">
                <w:rPr>
                  <w:b/>
                  <w:bCs/>
                  <w:i/>
                  <w:iCs/>
                  <w:color w:val="800000"/>
                  <w:szCs w:val="16"/>
                </w:rPr>
                <w:fldChar w:fldCharType="separate"/>
              </w:r>
              <w:r w:rsidRPr="007F0327">
                <w:rPr>
                  <w:b/>
                  <w:bCs/>
                  <w:i/>
                  <w:iCs/>
                  <w:color w:val="800000"/>
                  <w:szCs w:val="16"/>
                </w:rPr>
                <w:t>9</w:t>
              </w:r>
              <w:r w:rsidRPr="007F0327">
                <w:rPr>
                  <w:b/>
                  <w:bCs/>
                  <w:i/>
                  <w:iCs/>
                  <w:color w:val="800000"/>
                  <w:szCs w:val="16"/>
                </w:rPr>
                <w:fldChar w:fldCharType="end"/>
              </w:r>
            </w:p>
          </w:sdtContent>
        </w:sdt>
      </w:tc>
      <w:tc>
        <w:tcPr>
          <w:tcW w:w="4253" w:type="dxa"/>
          <w:vAlign w:val="center"/>
        </w:tcPr>
        <w:p w14:paraId="5E598C93" w14:textId="77777777" w:rsidR="00587196" w:rsidRPr="007F0327" w:rsidRDefault="00587196" w:rsidP="004B7DBF">
          <w:pPr>
            <w:pStyle w:val="Encabezado"/>
            <w:spacing w:after="0"/>
            <w:jc w:val="center"/>
            <w:rPr>
              <w:i/>
              <w:iCs/>
              <w:color w:val="800000"/>
              <w:szCs w:val="16"/>
            </w:rPr>
          </w:pPr>
        </w:p>
      </w:tc>
      <w:tc>
        <w:tcPr>
          <w:tcW w:w="2552" w:type="dxa"/>
          <w:vAlign w:val="center"/>
        </w:tcPr>
        <w:p w14:paraId="2C72C9E8" w14:textId="77777777" w:rsidR="00587196" w:rsidRPr="007F0327" w:rsidRDefault="00587196" w:rsidP="004B7DBF">
          <w:pPr>
            <w:pStyle w:val="Piedepgina"/>
            <w:spacing w:after="0"/>
            <w:jc w:val="right"/>
            <w:rPr>
              <w:color w:val="800000"/>
              <w:szCs w:val="16"/>
            </w:rPr>
          </w:pPr>
        </w:p>
      </w:tc>
    </w:tr>
  </w:tbl>
  <w:p w14:paraId="3D316F76" w14:textId="1DC2E940" w:rsidR="00C958C4" w:rsidRPr="00587196" w:rsidRDefault="00C958C4" w:rsidP="00587196">
    <w:pPr>
      <w:pStyle w:val="Piedepgina"/>
      <w:spacing w:after="0"/>
      <w:ind w:right="-449"/>
      <w:jc w:val="left"/>
      <w:rPr>
        <w:color w:val="800000"/>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11341" w:type="dxa"/>
      <w:tblInd w:w="-142" w:type="dxa"/>
      <w:tblBorders>
        <w:top w:val="thinThickSmallGap" w:sz="12" w:space="0" w:color="800000"/>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4253"/>
      <w:gridCol w:w="2552"/>
    </w:tblGrid>
    <w:tr w:rsidR="00587196" w:rsidRPr="007F0327" w14:paraId="21B45D5C" w14:textId="77777777" w:rsidTr="00587196">
      <w:trPr>
        <w:trHeight w:val="20"/>
      </w:trPr>
      <w:tc>
        <w:tcPr>
          <w:tcW w:w="4536" w:type="dxa"/>
          <w:vAlign w:val="center"/>
        </w:tcPr>
        <w:p w14:paraId="067C02DB" w14:textId="64BA961F" w:rsidR="00587196" w:rsidRPr="007F0327" w:rsidRDefault="00587196" w:rsidP="004B7DBF">
          <w:pPr>
            <w:pStyle w:val="Encabezado"/>
            <w:spacing w:after="0"/>
            <w:jc w:val="left"/>
            <w:rPr>
              <w:i/>
              <w:iCs/>
              <w:color w:val="800000"/>
              <w:szCs w:val="16"/>
            </w:rPr>
          </w:pPr>
        </w:p>
      </w:tc>
      <w:tc>
        <w:tcPr>
          <w:tcW w:w="4253" w:type="dxa"/>
          <w:vAlign w:val="center"/>
        </w:tcPr>
        <w:p w14:paraId="5E863478" w14:textId="77777777" w:rsidR="00587196" w:rsidRPr="007F0327" w:rsidRDefault="00587196" w:rsidP="004B7DBF">
          <w:pPr>
            <w:pStyle w:val="Encabezado"/>
            <w:spacing w:after="0"/>
            <w:jc w:val="center"/>
            <w:rPr>
              <w:i/>
              <w:iCs/>
              <w:color w:val="800000"/>
              <w:szCs w:val="16"/>
            </w:rPr>
          </w:pPr>
        </w:p>
      </w:tc>
      <w:tc>
        <w:tcPr>
          <w:tcW w:w="2552" w:type="dxa"/>
          <w:vAlign w:val="center"/>
        </w:tcPr>
        <w:sdt>
          <w:sdtPr>
            <w:rPr>
              <w:i/>
              <w:iCs/>
              <w:color w:val="800000"/>
              <w:szCs w:val="16"/>
            </w:rPr>
            <w:id w:val="226348636"/>
            <w:docPartObj>
              <w:docPartGallery w:val="Page Numbers (Bottom of Page)"/>
              <w:docPartUnique/>
            </w:docPartObj>
          </w:sdtPr>
          <w:sdtEndPr>
            <w:rPr>
              <w:i w:val="0"/>
              <w:iCs w:val="0"/>
              <w:noProof/>
            </w:rPr>
          </w:sdtEndPr>
          <w:sdtContent>
            <w:p w14:paraId="5D97C02D" w14:textId="0A269888" w:rsidR="00587196" w:rsidRPr="007F0327" w:rsidRDefault="00587196" w:rsidP="004B7DBF">
              <w:pPr>
                <w:pStyle w:val="Piedepgina"/>
                <w:spacing w:after="0"/>
                <w:jc w:val="right"/>
                <w:rPr>
                  <w:color w:val="800000"/>
                  <w:szCs w:val="16"/>
                </w:rPr>
              </w:pPr>
              <w:r w:rsidRPr="007F0327">
                <w:rPr>
                  <w:b/>
                  <w:bCs/>
                  <w:i/>
                  <w:iCs/>
                  <w:color w:val="800000"/>
                  <w:szCs w:val="16"/>
                </w:rPr>
                <w:fldChar w:fldCharType="begin"/>
              </w:r>
              <w:r w:rsidRPr="007F0327">
                <w:rPr>
                  <w:b/>
                  <w:bCs/>
                  <w:i/>
                  <w:iCs/>
                  <w:color w:val="800000"/>
                  <w:szCs w:val="16"/>
                </w:rPr>
                <w:instrText xml:space="preserve"> PAGE  \* Arabic  \* MERGEFORMAT </w:instrText>
              </w:r>
              <w:r w:rsidRPr="007F0327">
                <w:rPr>
                  <w:b/>
                  <w:bCs/>
                  <w:i/>
                  <w:iCs/>
                  <w:color w:val="800000"/>
                  <w:szCs w:val="16"/>
                </w:rPr>
                <w:fldChar w:fldCharType="separate"/>
              </w:r>
              <w:r w:rsidRPr="007F0327">
                <w:rPr>
                  <w:b/>
                  <w:bCs/>
                  <w:i/>
                  <w:iCs/>
                  <w:color w:val="800000"/>
                  <w:szCs w:val="16"/>
                </w:rPr>
                <w:t>1</w:t>
              </w:r>
              <w:r w:rsidRPr="007F0327">
                <w:rPr>
                  <w:b/>
                  <w:bCs/>
                  <w:i/>
                  <w:iCs/>
                  <w:color w:val="800000"/>
                  <w:szCs w:val="16"/>
                </w:rPr>
                <w:fldChar w:fldCharType="end"/>
              </w:r>
              <w:r w:rsidRPr="007F0327">
                <w:rPr>
                  <w:i/>
                  <w:iCs/>
                  <w:color w:val="800000"/>
                  <w:szCs w:val="16"/>
                </w:rPr>
                <w:t>/</w:t>
              </w:r>
              <w:r w:rsidRPr="007F0327">
                <w:rPr>
                  <w:b/>
                  <w:bCs/>
                  <w:i/>
                  <w:iCs/>
                  <w:color w:val="800000"/>
                  <w:szCs w:val="16"/>
                </w:rPr>
                <w:fldChar w:fldCharType="begin"/>
              </w:r>
              <w:r w:rsidRPr="007F0327">
                <w:rPr>
                  <w:b/>
                  <w:bCs/>
                  <w:i/>
                  <w:iCs/>
                  <w:color w:val="800000"/>
                  <w:szCs w:val="16"/>
                </w:rPr>
                <w:instrText>NUMPAGES  \* Arabic  \* MERGEFORMAT</w:instrText>
              </w:r>
              <w:r w:rsidRPr="007F0327">
                <w:rPr>
                  <w:b/>
                  <w:bCs/>
                  <w:i/>
                  <w:iCs/>
                  <w:color w:val="800000"/>
                  <w:szCs w:val="16"/>
                </w:rPr>
                <w:fldChar w:fldCharType="separate"/>
              </w:r>
              <w:r w:rsidRPr="007F0327">
                <w:rPr>
                  <w:b/>
                  <w:bCs/>
                  <w:i/>
                  <w:iCs/>
                  <w:color w:val="800000"/>
                  <w:szCs w:val="16"/>
                </w:rPr>
                <w:t>9</w:t>
              </w:r>
              <w:r w:rsidRPr="007F0327">
                <w:rPr>
                  <w:b/>
                  <w:bCs/>
                  <w:i/>
                  <w:iCs/>
                  <w:color w:val="800000"/>
                  <w:szCs w:val="16"/>
                </w:rPr>
                <w:fldChar w:fldCharType="end"/>
              </w:r>
            </w:p>
          </w:sdtContent>
        </w:sdt>
      </w:tc>
    </w:tr>
  </w:tbl>
  <w:p w14:paraId="4B78CD25" w14:textId="359A97D1" w:rsidR="00C81078" w:rsidRPr="00587196" w:rsidRDefault="00C81078" w:rsidP="00587196">
    <w:pPr>
      <w:pStyle w:val="Piedepgina"/>
      <w:spacing w:after="0"/>
      <w:ind w:right="-11"/>
      <w:jc w:val="right"/>
      <w:rPr>
        <w:color w:val="800000"/>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11341" w:type="dxa"/>
      <w:tblInd w:w="-142" w:type="dxa"/>
      <w:tblBorders>
        <w:top w:val="thinThickSmallGap" w:sz="12" w:space="0" w:color="800000"/>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4253"/>
      <w:gridCol w:w="2552"/>
    </w:tblGrid>
    <w:tr w:rsidR="00587196" w:rsidRPr="00100FDB" w14:paraId="214974BB" w14:textId="77777777" w:rsidTr="00587196">
      <w:trPr>
        <w:trHeight w:val="20"/>
      </w:trPr>
      <w:tc>
        <w:tcPr>
          <w:tcW w:w="4536" w:type="dxa"/>
          <w:vAlign w:val="center"/>
        </w:tcPr>
        <w:p w14:paraId="3B636487" w14:textId="56DBC75C" w:rsidR="00587196" w:rsidRPr="00626467" w:rsidRDefault="00587196" w:rsidP="008201C2">
          <w:pPr>
            <w:pStyle w:val="Encabezado"/>
            <w:spacing w:after="0"/>
            <w:jc w:val="left"/>
            <w:rPr>
              <w:i/>
              <w:iCs/>
              <w:color w:val="800000"/>
              <w:sz w:val="14"/>
              <w:szCs w:val="20"/>
            </w:rPr>
          </w:pPr>
        </w:p>
      </w:tc>
      <w:tc>
        <w:tcPr>
          <w:tcW w:w="4253" w:type="dxa"/>
          <w:vAlign w:val="center"/>
        </w:tcPr>
        <w:p w14:paraId="6F14723F" w14:textId="77777777" w:rsidR="00587196" w:rsidRPr="00FB44CF" w:rsidRDefault="00587196" w:rsidP="008201C2">
          <w:pPr>
            <w:pStyle w:val="Encabezado"/>
            <w:spacing w:after="0"/>
            <w:jc w:val="center"/>
            <w:rPr>
              <w:i/>
              <w:iCs/>
              <w:color w:val="800000"/>
            </w:rPr>
          </w:pPr>
        </w:p>
      </w:tc>
      <w:tc>
        <w:tcPr>
          <w:tcW w:w="2552" w:type="dxa"/>
          <w:vAlign w:val="center"/>
        </w:tcPr>
        <w:sdt>
          <w:sdtPr>
            <w:rPr>
              <w:i/>
              <w:iCs/>
              <w:color w:val="800000"/>
              <w:spacing w:val="-2"/>
            </w:rPr>
            <w:id w:val="434947281"/>
            <w:docPartObj>
              <w:docPartGallery w:val="Page Numbers (Bottom of Page)"/>
              <w:docPartUnique/>
            </w:docPartObj>
          </w:sdtPr>
          <w:sdtEndPr>
            <w:rPr>
              <w:i w:val="0"/>
              <w:iCs w:val="0"/>
              <w:noProof/>
            </w:rPr>
          </w:sdtEndPr>
          <w:sdtContent>
            <w:p w14:paraId="7E6FC79B" w14:textId="70FA40DA" w:rsidR="00587196" w:rsidRPr="00100FDB" w:rsidRDefault="00587196" w:rsidP="008201C2">
              <w:pPr>
                <w:pStyle w:val="Piedepgina"/>
                <w:spacing w:after="0"/>
                <w:jc w:val="right"/>
                <w:rPr>
                  <w:color w:val="800000"/>
                  <w:spacing w:val="-2"/>
                </w:rPr>
              </w:pPr>
              <w:r w:rsidRPr="00100FDB">
                <w:rPr>
                  <w:b/>
                  <w:bCs/>
                  <w:i/>
                  <w:iCs/>
                  <w:color w:val="800000"/>
                  <w:spacing w:val="-2"/>
                </w:rPr>
                <w:fldChar w:fldCharType="begin"/>
              </w:r>
              <w:r w:rsidRPr="00100FDB">
                <w:rPr>
                  <w:b/>
                  <w:bCs/>
                  <w:i/>
                  <w:iCs/>
                  <w:color w:val="800000"/>
                  <w:spacing w:val="-2"/>
                </w:rPr>
                <w:instrText xml:space="preserve"> PAGE  \* Arabic  \* MERGEFORMAT </w:instrText>
              </w:r>
              <w:r w:rsidRPr="00100FDB">
                <w:rPr>
                  <w:b/>
                  <w:bCs/>
                  <w:i/>
                  <w:iCs/>
                  <w:color w:val="800000"/>
                  <w:spacing w:val="-2"/>
                </w:rPr>
                <w:fldChar w:fldCharType="separate"/>
              </w:r>
              <w:r w:rsidRPr="00100FDB">
                <w:rPr>
                  <w:b/>
                  <w:bCs/>
                  <w:i/>
                  <w:iCs/>
                  <w:color w:val="800000"/>
                  <w:spacing w:val="-2"/>
                </w:rPr>
                <w:t>1</w:t>
              </w:r>
              <w:r w:rsidRPr="00100FDB">
                <w:rPr>
                  <w:b/>
                  <w:bCs/>
                  <w:i/>
                  <w:iCs/>
                  <w:color w:val="800000"/>
                  <w:spacing w:val="-2"/>
                </w:rPr>
                <w:fldChar w:fldCharType="end"/>
              </w:r>
              <w:r w:rsidRPr="00100FDB">
                <w:rPr>
                  <w:i/>
                  <w:iCs/>
                  <w:color w:val="800000"/>
                  <w:spacing w:val="-2"/>
                </w:rPr>
                <w:t>/</w:t>
              </w:r>
              <w:r w:rsidRPr="00100FDB">
                <w:rPr>
                  <w:b/>
                  <w:bCs/>
                  <w:i/>
                  <w:iCs/>
                  <w:color w:val="800000"/>
                  <w:spacing w:val="-2"/>
                </w:rPr>
                <w:fldChar w:fldCharType="begin"/>
              </w:r>
              <w:r w:rsidRPr="00100FDB">
                <w:rPr>
                  <w:b/>
                  <w:bCs/>
                  <w:i/>
                  <w:iCs/>
                  <w:color w:val="800000"/>
                  <w:spacing w:val="-2"/>
                </w:rPr>
                <w:instrText>NUMPAGES  \* Arabic  \* MERGEFORMAT</w:instrText>
              </w:r>
              <w:r w:rsidRPr="00100FDB">
                <w:rPr>
                  <w:b/>
                  <w:bCs/>
                  <w:i/>
                  <w:iCs/>
                  <w:color w:val="800000"/>
                  <w:spacing w:val="-2"/>
                </w:rPr>
                <w:fldChar w:fldCharType="separate"/>
              </w:r>
              <w:r w:rsidRPr="00100FDB">
                <w:rPr>
                  <w:b/>
                  <w:bCs/>
                  <w:i/>
                  <w:iCs/>
                  <w:color w:val="800000"/>
                  <w:spacing w:val="-2"/>
                </w:rPr>
                <w:t>2</w:t>
              </w:r>
              <w:r w:rsidRPr="00100FDB">
                <w:rPr>
                  <w:b/>
                  <w:bCs/>
                  <w:i/>
                  <w:iCs/>
                  <w:color w:val="800000"/>
                  <w:spacing w:val="-2"/>
                </w:rPr>
                <w:fldChar w:fldCharType="end"/>
              </w:r>
            </w:p>
          </w:sdtContent>
        </w:sdt>
      </w:tc>
    </w:tr>
  </w:tbl>
  <w:p w14:paraId="70607D98" w14:textId="3D81E60D" w:rsidR="002A6F50" w:rsidRPr="00587196" w:rsidRDefault="002A6F50" w:rsidP="008201C2">
    <w:pPr>
      <w:pStyle w:val="Piedepgina"/>
      <w:spacing w:after="0"/>
      <w:ind w:right="-1"/>
      <w:jc w:val="right"/>
      <w:rPr>
        <w:rFonts w:ascii="Baskerville Old Face" w:hAnsi="Baskerville Old Face"/>
        <w:noProof/>
        <w:color w:val="800000"/>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125A8B" w14:textId="77777777" w:rsidR="00833453" w:rsidRDefault="00833453" w:rsidP="008201C2">
      <w:pPr>
        <w:spacing w:after="0"/>
      </w:pPr>
      <w:r>
        <w:separator/>
      </w:r>
    </w:p>
  </w:footnote>
  <w:footnote w:type="continuationSeparator" w:id="0">
    <w:p w14:paraId="5421D626" w14:textId="77777777" w:rsidR="00833453" w:rsidRDefault="00833453" w:rsidP="008201C2">
      <w:pPr>
        <w:spacing w:after="0"/>
      </w:pPr>
      <w:r>
        <w:continuationSeparator/>
      </w:r>
    </w:p>
  </w:footnote>
  <w:footnote w:type="continuationNotice" w:id="1">
    <w:p w14:paraId="6882A90A" w14:textId="77777777" w:rsidR="00833453" w:rsidRPr="008201C2" w:rsidRDefault="00833453" w:rsidP="008201C2">
      <w:pPr>
        <w:spacing w:after="0" w:line="192" w:lineRule="auto"/>
        <w:jc w:val="right"/>
        <w:rPr>
          <w:sz w:val="12"/>
          <w:szCs w:val="12"/>
        </w:rPr>
      </w:pPr>
      <w:r w:rsidRPr="008201C2">
        <w:rPr>
          <w:rFonts w:ascii="Cambria Math" w:hAnsi="Cambria Math" w:cs="Cambria Math"/>
          <w:color w:val="202122"/>
          <w:sz w:val="12"/>
          <w:szCs w:val="12"/>
          <w:shd w:val="clear" w:color="auto" w:fill="FFFFFF"/>
        </w:rPr>
        <w:t>↪</w:t>
      </w:r>
    </w:p>
  </w:footnote>
  <w:footnote w:id="2">
    <w:p w14:paraId="10A81401" w14:textId="005370FF" w:rsidR="002A7A83" w:rsidRPr="007B06BA" w:rsidRDefault="002A7A83" w:rsidP="003656F7">
      <w:pPr>
        <w:pStyle w:val="Textonotapie"/>
      </w:pPr>
      <w:r w:rsidRPr="007B06BA">
        <w:rPr>
          <w:rStyle w:val="Refdenotaalpie"/>
          <w:szCs w:val="14"/>
        </w:rPr>
        <w:footnoteRef/>
      </w:r>
      <w:r w:rsidRPr="007B06BA">
        <w:t xml:space="preserve"> Es importante tener en cuenta que</w:t>
      </w:r>
      <w:r w:rsidR="007B06BA">
        <w:t xml:space="preserve"> la escritura d</w:t>
      </w:r>
      <w:r w:rsidRPr="007B06BA">
        <w:t xml:space="preserve">el dictamen se </w:t>
      </w:r>
      <w:r w:rsidR="007B06BA">
        <w:t>realiza</w:t>
      </w:r>
      <w:r w:rsidRPr="007B06BA">
        <w:t xml:space="preserve"> después de haber realizado el test, por lo que no se hace en condiciones óptimas de descanso</w:t>
      </w:r>
      <w:r w:rsidR="007B06BA">
        <w:t>.</w:t>
      </w:r>
    </w:p>
  </w:footnote>
  <w:footnote w:id="3">
    <w:p w14:paraId="089F169C" w14:textId="57C1A23E" w:rsidR="002A7A83" w:rsidRPr="007B06BA" w:rsidRDefault="002A7A83" w:rsidP="003656F7">
      <w:pPr>
        <w:pStyle w:val="Textonotapie"/>
      </w:pPr>
      <w:r w:rsidRPr="007B06BA">
        <w:rPr>
          <w:rStyle w:val="Refdenotaalpie"/>
          <w:szCs w:val="14"/>
        </w:rPr>
        <w:footnoteRef/>
      </w:r>
      <w:r w:rsidRPr="007B06BA">
        <w:t xml:space="preserve"> Es relevante dedicar tiempo a analizar la información de la que disponemos, no podremos decir nada sin antes haber analizado los datos ni leído bien las preguntas.</w:t>
      </w:r>
    </w:p>
  </w:footnote>
  <w:footnote w:id="4">
    <w:p w14:paraId="3EB644D2" w14:textId="77777777" w:rsidR="00E124A2" w:rsidRDefault="00E124A2" w:rsidP="00E124A2">
      <w:pPr>
        <w:pStyle w:val="Textonotapie"/>
      </w:pPr>
      <w:r w:rsidRPr="007B06BA">
        <w:rPr>
          <w:rStyle w:val="Refdenotaalpie"/>
          <w:szCs w:val="14"/>
        </w:rPr>
        <w:footnoteRef/>
      </w:r>
      <w:r>
        <w:t xml:space="preserve"> </w:t>
      </w:r>
      <w:r w:rsidRPr="007B06BA">
        <w:t>En preguntas de cálculo, hacer explícito el procedimiento de cálculo.</w:t>
      </w:r>
    </w:p>
  </w:footnote>
  <w:footnote w:id="5">
    <w:p w14:paraId="31C49A74" w14:textId="77777777" w:rsidR="009D3671" w:rsidRDefault="009D3671" w:rsidP="009D3671">
      <w:pPr>
        <w:pStyle w:val="Textonotapie"/>
        <w:spacing w:after="0"/>
        <w:rPr>
          <w:rFonts w:eastAsiaTheme="minorEastAsia"/>
        </w:rPr>
      </w:pPr>
      <w:r>
        <w:rPr>
          <w:rStyle w:val="Refdenotaalpie"/>
        </w:rPr>
        <w:footnoteRef/>
      </w:r>
      <w:r>
        <w:t xml:space="preserve"> El dato </w:t>
      </w:r>
      <m:oMath>
        <m:r>
          <m:rPr>
            <m:nor/>
          </m:rPr>
          <w:rPr>
            <w:i/>
          </w:rPr>
          <m:t xml:space="preserve">γ </m:t>
        </m:r>
        <m:sSubSup>
          <m:sSubSupPr>
            <m:ctrlPr>
              <w:rPr>
                <w:rFonts w:ascii="Cambria Math" w:hAnsi="Cambria Math"/>
                <w:i/>
              </w:rPr>
            </m:ctrlPr>
          </m:sSubSupPr>
          <m:e>
            <m:r>
              <m:rPr>
                <m:nor/>
              </m:rPr>
              <w:rPr>
                <w:i/>
                <w:iCs/>
              </w:rPr>
              <m:t>PIB</m:t>
            </m:r>
          </m:e>
          <m:sub>
            <m:r>
              <m:rPr>
                <m:nor/>
              </m:rPr>
              <w:rPr>
                <w:i/>
                <w:iCs/>
              </w:rPr>
              <m:t>t</m:t>
            </m:r>
          </m:sub>
          <m:sup>
            <m:r>
              <m:rPr>
                <m:nor/>
              </m:rPr>
              <w:rPr>
                <w:i/>
                <w:iCs/>
              </w:rPr>
              <m:t>Real</m:t>
            </m:r>
          </m:sup>
        </m:sSubSup>
      </m:oMath>
      <w:r>
        <w:rPr>
          <w:rFonts w:eastAsiaTheme="minorEastAsia"/>
        </w:rPr>
        <w:t xml:space="preserve"> lo vamos a tener siempre. </w:t>
      </w:r>
      <w:r w:rsidRPr="009D3671">
        <w:rPr>
          <w:rFonts w:eastAsiaTheme="minorEastAsia"/>
        </w:rPr>
        <w:t xml:space="preserve">El </w:t>
      </w:r>
      <w:r w:rsidRPr="009D3671">
        <w:rPr>
          <w:rFonts w:eastAsiaTheme="minorEastAsia"/>
          <w:i/>
          <w:iCs/>
        </w:rPr>
        <w:t>output gap</w:t>
      </w:r>
      <w:r w:rsidRPr="009D3671">
        <w:rPr>
          <w:rFonts w:eastAsiaTheme="minorEastAsia"/>
        </w:rPr>
        <w:t xml:space="preserve"> no siem</w:t>
      </w:r>
      <w:r>
        <w:rPr>
          <w:rFonts w:eastAsiaTheme="minorEastAsia"/>
        </w:rPr>
        <w:t>pre.</w:t>
      </w:r>
    </w:p>
    <w:p w14:paraId="60B70DC1" w14:textId="62169F08" w:rsidR="009D3671" w:rsidRPr="009D3671" w:rsidRDefault="009D3671">
      <w:pPr>
        <w:pStyle w:val="Textonotapie"/>
      </w:pPr>
      <w:r>
        <w:rPr>
          <w:rFonts w:eastAsiaTheme="minorEastAsia"/>
        </w:rPr>
        <w:t>Idealmente, si contamos con ambos datos, la división en etapas del ciclo debería ser similar. Sin embargo, a veces pueden parecer contradictorios.</w:t>
      </w:r>
    </w:p>
  </w:footnote>
  <w:footnote w:id="6">
    <w:p w14:paraId="3D973527" w14:textId="3932892D" w:rsidR="00D676F7" w:rsidRDefault="007A108F" w:rsidP="00D676F7">
      <w:pPr>
        <w:pStyle w:val="Textonotapie"/>
        <w:keepNext/>
        <w:spacing w:after="0"/>
      </w:pPr>
      <w:r>
        <w:rPr>
          <w:rStyle w:val="Refdenotaalpie"/>
        </w:rPr>
        <w:footnoteRef/>
      </w:r>
      <w:r>
        <w:t xml:space="preserve"> Se denominará recesión cuando se sucedan 2</w:t>
      </w:r>
      <w:r w:rsidR="006F2A1A">
        <w:t> </w:t>
      </w:r>
      <w:r>
        <w:t>trimestres consecutivos con disminución del PIB real; y depresión cuando la caída del PIB real sea mayor del 10</w:t>
      </w:r>
      <w:r w:rsidR="006F2A1A">
        <w:t> </w:t>
      </w:r>
      <w:r>
        <w:t>%</w:t>
      </w:r>
      <w:r w:rsidR="00D676F7">
        <w:t xml:space="preserve"> o cuando la caída se mantenga por más de 3</w:t>
      </w:r>
      <w:r w:rsidR="006F2A1A">
        <w:t> </w:t>
      </w:r>
      <w:r w:rsidR="00D676F7">
        <w:t>años:</w:t>
      </w:r>
    </w:p>
    <w:p w14:paraId="102622DB" w14:textId="23FD0AE2" w:rsidR="007A108F" w:rsidRPr="00D676F7" w:rsidRDefault="00D676F7">
      <w:pPr>
        <w:pStyle w:val="Textonotapie"/>
        <w:rPr>
          <w:sz w:val="12"/>
          <w:szCs w:val="12"/>
        </w:rPr>
      </w:pPr>
      <w:r w:rsidRPr="00D676F7">
        <w:rPr>
          <w:sz w:val="12"/>
          <w:szCs w:val="12"/>
        </w:rPr>
        <w:t xml:space="preserve"> </w:t>
      </w:r>
      <w:hyperlink r:id="rId1" w:history="1">
        <w:r w:rsidRPr="00D676F7">
          <w:rPr>
            <w:rStyle w:val="Hipervnculo"/>
            <w:sz w:val="12"/>
            <w:szCs w:val="12"/>
          </w:rPr>
          <w:t>https://www.economist.com/finance-and-economics/2008/12/30/diagnosing-depression</w:t>
        </w:r>
      </w:hyperlink>
    </w:p>
  </w:footnote>
  <w:footnote w:id="7">
    <w:p w14:paraId="60B276B2" w14:textId="30D0ECAD" w:rsidR="00B84C21" w:rsidRDefault="00B84C21">
      <w:pPr>
        <w:pStyle w:val="Textonotapie"/>
      </w:pPr>
      <w:r>
        <w:rPr>
          <w:rStyle w:val="Refdenotaalpie"/>
        </w:rPr>
        <w:footnoteRef/>
      </w:r>
      <w:r>
        <w:t xml:space="preserve"> PIB potencial</w:t>
      </w:r>
      <w:r w:rsidR="00EB7AA3" w:rsidRPr="00EB7AA3">
        <w:rPr>
          <w:color w:val="767171" w:themeColor="background2" w:themeShade="80"/>
          <w:sz w:val="12"/>
          <w:szCs w:val="12"/>
        </w:rPr>
        <w:t xml:space="preserve"> [ver tema 4.B.5]</w:t>
      </w:r>
      <w:r>
        <w:t xml:space="preserve">: En una economía dinámica de mercado que opere de forma fluida, los patrones de producción responden continuamente a cambios en las preferencias de los consumidores, cambios en los precios relativos de los factores productivos y otros cambios que afecten a la oferta y la demanda de los bienes y servicios. En </w:t>
      </w:r>
      <w:r w:rsidR="009A47FA">
        <w:t>todo</w:t>
      </w:r>
      <w:r>
        <w:t xml:space="preserve"> momento,</w:t>
      </w:r>
      <w:r w:rsidR="009A47FA">
        <w:t xml:space="preserve"> hay recursos ociosos por estar cambiando de actividad. Por lo tanto, hay un nivel normal de inactividad en la utilización de recursos productivos. El nivel de producción correspondiente a este grado de utilización de los recursos (y en consecuencia</w:t>
      </w:r>
      <w:r>
        <w:t xml:space="preserve"> </w:t>
      </w:r>
      <w:r w:rsidR="009A47FA">
        <w:t xml:space="preserve">a un nivel estable de inflación) </w:t>
      </w:r>
      <w:r w:rsidR="000D48FB">
        <w:t>es el</w:t>
      </w:r>
      <w:r w:rsidR="009A47FA">
        <w:t xml:space="preserve"> </w:t>
      </w:r>
      <w:r w:rsidR="009A47FA">
        <w:rPr>
          <w:i/>
          <w:iCs/>
        </w:rPr>
        <w:t>output potencial</w:t>
      </w:r>
      <w:r w:rsidR="009A47FA">
        <w:t>.</w:t>
      </w:r>
    </w:p>
    <w:p w14:paraId="108CA388" w14:textId="2BACB31F" w:rsidR="00423575" w:rsidRDefault="00423575" w:rsidP="00A26FB6">
      <w:pPr>
        <w:pStyle w:val="Textonotapie"/>
        <w:keepNext/>
        <w:spacing w:after="0"/>
      </w:pPr>
      <w:r>
        <w:t>El nivel de producción actual puede estar:</w:t>
      </w:r>
    </w:p>
    <w:p w14:paraId="1B607E63" w14:textId="41AB8FA3" w:rsidR="00423575" w:rsidRDefault="00423575" w:rsidP="00A26FB6">
      <w:pPr>
        <w:pStyle w:val="Textonotapie"/>
        <w:numPr>
          <w:ilvl w:val="0"/>
          <w:numId w:val="8"/>
        </w:numPr>
        <w:spacing w:after="0"/>
        <w:ind w:left="284" w:hanging="141"/>
      </w:pPr>
      <w:r w:rsidRPr="00423575">
        <w:rPr>
          <w:i/>
          <w:iCs/>
        </w:rPr>
        <w:t>Por debajo del nivel potencial</w:t>
      </w:r>
      <w:r>
        <w:t xml:space="preserve">: </w:t>
      </w:r>
      <w:r w:rsidR="00CC1F79">
        <w:t>S</w:t>
      </w:r>
      <w:r>
        <w:t>i por algún motivo hay un elevado nivel de desempleo (tanto del factor trabajo como del factor capital)</w:t>
      </w:r>
    </w:p>
    <w:p w14:paraId="19002FA2" w14:textId="69643D04" w:rsidR="00423575" w:rsidRDefault="00423575" w:rsidP="00A26FB6">
      <w:pPr>
        <w:pStyle w:val="Textonotapie"/>
        <w:numPr>
          <w:ilvl w:val="0"/>
          <w:numId w:val="8"/>
        </w:numPr>
        <w:spacing w:after="0"/>
        <w:ind w:left="284" w:hanging="141"/>
      </w:pPr>
      <w:r w:rsidRPr="00423575">
        <w:rPr>
          <w:i/>
          <w:iCs/>
        </w:rPr>
        <w:t>Por encima del nivel potencial</w:t>
      </w:r>
      <w:r>
        <w:t xml:space="preserve">: </w:t>
      </w:r>
      <w:r w:rsidR="00CC1F79">
        <w:t>E</w:t>
      </w:r>
      <w:r>
        <w:t>n tiempos de fuerte demanda, los factores productivos pueden ser empleados en cantidades que exceden su intensidad normal, empujando la producción total por encima de su nivel potencial por un tiempo limitado.</w:t>
      </w:r>
    </w:p>
    <w:p w14:paraId="40A2DFC3" w14:textId="0205611A" w:rsidR="00A26FB6" w:rsidRPr="00A26FB6" w:rsidRDefault="00A26FB6" w:rsidP="00A26FB6">
      <w:pPr>
        <w:pStyle w:val="Textonotapie"/>
      </w:pPr>
      <w:r>
        <w:rPr>
          <w:rFonts w:eastAsiaTheme="minorEastAsia"/>
        </w:rPr>
        <w:t>Como tiene una relación natural con la inflación, los economistas a menudo llaman al output potencial, Non-</w:t>
      </w:r>
      <w:proofErr w:type="spellStart"/>
      <w:r>
        <w:rPr>
          <w:rFonts w:eastAsiaTheme="minorEastAsia"/>
        </w:rPr>
        <w:t>Accelerating</w:t>
      </w:r>
      <w:proofErr w:type="spellEnd"/>
      <w:r>
        <w:rPr>
          <w:rFonts w:eastAsiaTheme="minorEastAsia"/>
        </w:rPr>
        <w:t xml:space="preserve"> </w:t>
      </w:r>
      <w:proofErr w:type="spellStart"/>
      <w:r>
        <w:rPr>
          <w:rFonts w:eastAsiaTheme="minorEastAsia"/>
        </w:rPr>
        <w:t>Inflation</w:t>
      </w:r>
      <w:proofErr w:type="spellEnd"/>
      <w:r>
        <w:rPr>
          <w:rFonts w:eastAsiaTheme="minorEastAsia"/>
        </w:rPr>
        <w:t xml:space="preserve"> Output (y será el output asociado a la Non-</w:t>
      </w:r>
      <w:proofErr w:type="spellStart"/>
      <w:r>
        <w:rPr>
          <w:rFonts w:eastAsiaTheme="minorEastAsia"/>
        </w:rPr>
        <w:t>Accelerating</w:t>
      </w:r>
      <w:proofErr w:type="spellEnd"/>
      <w:r>
        <w:rPr>
          <w:rFonts w:eastAsiaTheme="minorEastAsia"/>
        </w:rPr>
        <w:t xml:space="preserve"> </w:t>
      </w:r>
      <w:proofErr w:type="spellStart"/>
      <w:r>
        <w:rPr>
          <w:rFonts w:eastAsiaTheme="minorEastAsia"/>
        </w:rPr>
        <w:t>Inflation</w:t>
      </w:r>
      <w:proofErr w:type="spellEnd"/>
      <w:r>
        <w:rPr>
          <w:rFonts w:eastAsiaTheme="minorEastAsia"/>
        </w:rPr>
        <w:t xml:space="preserve"> </w:t>
      </w:r>
      <w:proofErr w:type="spellStart"/>
      <w:r>
        <w:rPr>
          <w:rFonts w:eastAsiaTheme="minorEastAsia"/>
        </w:rPr>
        <w:t>Rate</w:t>
      </w:r>
      <w:proofErr w:type="spellEnd"/>
      <w:r>
        <w:rPr>
          <w:rFonts w:eastAsiaTheme="minorEastAsia"/>
        </w:rPr>
        <w:t xml:space="preserve"> </w:t>
      </w:r>
      <w:proofErr w:type="spellStart"/>
      <w:r>
        <w:rPr>
          <w:rFonts w:eastAsiaTheme="minorEastAsia"/>
        </w:rPr>
        <w:t>of</w:t>
      </w:r>
      <w:proofErr w:type="spellEnd"/>
      <w:r>
        <w:rPr>
          <w:rFonts w:eastAsiaTheme="minorEastAsia"/>
        </w:rPr>
        <w:t xml:space="preserve"> </w:t>
      </w:r>
      <w:proofErr w:type="spellStart"/>
      <w:r>
        <w:rPr>
          <w:rFonts w:eastAsiaTheme="minorEastAsia"/>
        </w:rPr>
        <w:t>Unemployment</w:t>
      </w:r>
      <w:proofErr w:type="spellEnd"/>
      <w:r>
        <w:rPr>
          <w:rFonts w:eastAsiaTheme="minorEastAsia"/>
        </w:rPr>
        <w:t xml:space="preserve"> (NAIRU))</w:t>
      </w:r>
      <w:r w:rsidR="002C7496">
        <w:rPr>
          <w:rFonts w:eastAsiaTheme="minorEastAsia"/>
        </w:rPr>
        <w:t>.</w:t>
      </w:r>
    </w:p>
  </w:footnote>
  <w:footnote w:id="8">
    <w:p w14:paraId="013E4D17" w14:textId="77777777" w:rsidR="00763259" w:rsidRPr="00966673" w:rsidRDefault="00EB7AA3">
      <w:pPr>
        <w:pStyle w:val="Textonotapie"/>
        <w:rPr>
          <w:spacing w:val="-2"/>
        </w:rPr>
      </w:pPr>
      <w:r>
        <w:rPr>
          <w:rStyle w:val="Refdenotaalpie"/>
        </w:rPr>
        <w:footnoteRef/>
      </w:r>
      <w:r>
        <w:t xml:space="preserve"> </w:t>
      </w:r>
      <w:r w:rsidRPr="00966673">
        <w:rPr>
          <w:spacing w:val="-2"/>
        </w:rPr>
        <w:t xml:space="preserve">El </w:t>
      </w:r>
      <w:r w:rsidRPr="00966673">
        <w:rPr>
          <w:i/>
          <w:iCs/>
          <w:spacing w:val="-2"/>
        </w:rPr>
        <w:t>PIB potencial</w:t>
      </w:r>
      <w:r w:rsidRPr="00966673">
        <w:rPr>
          <w:spacing w:val="-2"/>
        </w:rPr>
        <w:t xml:space="preserve"> se calcula vía método de la función de producción</w:t>
      </w:r>
      <w:r w:rsidR="00763259" w:rsidRPr="00966673">
        <w:rPr>
          <w:spacing w:val="-2"/>
        </w:rPr>
        <w:t xml:space="preserve"> (ello requiere datos fiables de los stocks de capital y los inputs laborales).</w:t>
      </w:r>
    </w:p>
    <w:p w14:paraId="448341DE" w14:textId="6F5424AB" w:rsidR="00EB7AA3" w:rsidRPr="00966673" w:rsidRDefault="00763259">
      <w:pPr>
        <w:pStyle w:val="Textonotapie"/>
        <w:rPr>
          <w:color w:val="767171" w:themeColor="background2" w:themeShade="80"/>
          <w:sz w:val="12"/>
          <w:szCs w:val="12"/>
        </w:rPr>
      </w:pPr>
      <w:r w:rsidRPr="00966673">
        <w:rPr>
          <w:spacing w:val="-2"/>
        </w:rPr>
        <w:t>E</w:t>
      </w:r>
      <w:r w:rsidR="00EB7AA3" w:rsidRPr="00966673">
        <w:rPr>
          <w:spacing w:val="-2"/>
        </w:rPr>
        <w:t xml:space="preserve">l </w:t>
      </w:r>
      <w:r w:rsidR="00EB7AA3" w:rsidRPr="00966673">
        <w:rPr>
          <w:i/>
          <w:iCs/>
          <w:spacing w:val="-2"/>
        </w:rPr>
        <w:t>PIB tendencial</w:t>
      </w:r>
      <w:r w:rsidRPr="00966673">
        <w:rPr>
          <w:spacing w:val="-2"/>
        </w:rPr>
        <w:t xml:space="preserve">, por su parte, </w:t>
      </w:r>
      <w:r w:rsidR="00EB7AA3" w:rsidRPr="00966673">
        <w:rPr>
          <w:spacing w:val="-2"/>
        </w:rPr>
        <w:t xml:space="preserve">se calcula vía métodos estadísticos </w:t>
      </w:r>
      <w:r w:rsidRPr="00966673">
        <w:rPr>
          <w:spacing w:val="-2"/>
        </w:rPr>
        <w:t xml:space="preserve">utilizando técnicas de series temporales </w:t>
      </w:r>
      <w:r w:rsidR="00EB7AA3" w:rsidRPr="00966673">
        <w:rPr>
          <w:spacing w:val="-2"/>
        </w:rPr>
        <w:t>(filtro Hodrick-Prescott</w:t>
      </w:r>
      <w:r w:rsidR="00966673" w:rsidRPr="00966673">
        <w:rPr>
          <w:spacing w:val="-2"/>
        </w:rPr>
        <w:t xml:space="preserve"> </w:t>
      </w:r>
      <w:r w:rsidR="00966673" w:rsidRPr="00966673">
        <w:rPr>
          <w:color w:val="767171" w:themeColor="background2" w:themeShade="80"/>
          <w:spacing w:val="-2"/>
          <w:sz w:val="12"/>
          <w:szCs w:val="12"/>
        </w:rPr>
        <w:t>[ver tema 3.A.4</w:t>
      </w:r>
      <w:r w:rsidR="00EE58E7">
        <w:rPr>
          <w:color w:val="767171" w:themeColor="background2" w:themeShade="80"/>
          <w:spacing w:val="-2"/>
          <w:sz w:val="12"/>
          <w:szCs w:val="12"/>
        </w:rPr>
        <w:t>2</w:t>
      </w:r>
      <w:r w:rsidR="00966673" w:rsidRPr="00966673">
        <w:rPr>
          <w:color w:val="767171" w:themeColor="background2" w:themeShade="80"/>
          <w:spacing w:val="-2"/>
          <w:sz w:val="12"/>
          <w:szCs w:val="12"/>
        </w:rPr>
        <w:t>]</w:t>
      </w:r>
      <w:r w:rsidR="00EB7AA3" w:rsidRPr="00966673">
        <w:rPr>
          <w:spacing w:val="-2"/>
        </w:rPr>
        <w:t>)</w:t>
      </w:r>
      <w:r w:rsidRPr="00966673">
        <w:rPr>
          <w:spacing w:val="-2"/>
        </w:rPr>
        <w:t>, lo cual requiere menos información</w:t>
      </w:r>
      <w:r w:rsidR="00A26FB6" w:rsidRPr="00966673">
        <w:rPr>
          <w:spacing w:val="-2"/>
        </w:rPr>
        <w:t>.</w:t>
      </w:r>
    </w:p>
  </w:footnote>
  <w:footnote w:id="9">
    <w:p w14:paraId="40E13EC7" w14:textId="37DAE200" w:rsidR="00372F88" w:rsidRPr="00C941AF" w:rsidRDefault="00372F88">
      <w:pPr>
        <w:pStyle w:val="Textonotapie"/>
        <w:rPr>
          <w:spacing w:val="-1"/>
        </w:rPr>
      </w:pPr>
      <w:r w:rsidRPr="00C941AF">
        <w:rPr>
          <w:rStyle w:val="Refdenotaalpie"/>
          <w:spacing w:val="-1"/>
        </w:rPr>
        <w:footnoteRef/>
      </w:r>
      <w:r w:rsidRPr="00C941AF">
        <w:rPr>
          <w:spacing w:val="-1"/>
        </w:rPr>
        <w:t xml:space="preserve"> Los </w:t>
      </w:r>
      <w:r w:rsidRPr="00C941AF">
        <w:rPr>
          <w:i/>
          <w:iCs/>
          <w:spacing w:val="-1"/>
          <w:u w:val="single"/>
        </w:rPr>
        <w:t>shocks de oferta</w:t>
      </w:r>
      <w:r w:rsidRPr="00C941AF">
        <w:rPr>
          <w:spacing w:val="-1"/>
        </w:rPr>
        <w:t xml:space="preserve"> desplazan al PIB potencial y, por tanto, al output gap. La producción puede aumentar bien por una mayor dotación de capital (p.ej. incremento de la inversión en bienes de equipo) y de trabajo (p.ej. inmigración), bien por un aumento de la productividad.</w:t>
      </w:r>
    </w:p>
  </w:footnote>
  <w:footnote w:id="10">
    <w:p w14:paraId="308EC8E1" w14:textId="5969382B" w:rsidR="00D0645A" w:rsidRDefault="00D0645A">
      <w:pPr>
        <w:pStyle w:val="Textonotapie"/>
      </w:pPr>
      <w:r>
        <w:rPr>
          <w:rStyle w:val="Refdenotaalpie"/>
        </w:rPr>
        <w:footnoteRef/>
      </w:r>
      <w:r>
        <w:t xml:space="preserve"> A veces puede que nos den directamente la renta bruta disponible (por lo que no sería necesario repasar meticulosamente los diferentes determinantes de esta relación). Sin embargo, de no darnos el dato, podremos buscar relaciones directamente entre el consumo y estos factores.</w:t>
      </w:r>
    </w:p>
  </w:footnote>
  <w:footnote w:id="11">
    <w:p w14:paraId="44F083D0" w14:textId="77777777" w:rsidR="00380807" w:rsidRDefault="00380807" w:rsidP="00380807">
      <w:pPr>
        <w:pStyle w:val="Textonotapie"/>
      </w:pPr>
      <w:r>
        <w:rPr>
          <w:rStyle w:val="Refdenotaalpie"/>
        </w:rPr>
        <w:footnoteRef/>
      </w:r>
      <w:r>
        <w:t xml:space="preserve"> La evidencia empírica muestra que la propensión marginal a consumir una unidad adicional de renta procedente de un aumento del empleo es mayor que cuando tiene su origen en un incremento de los salarios reales, ya que las rentas laborales procedentes del empleo señalizan en mayor medida un aumento de la renta permanente.</w:t>
      </w:r>
    </w:p>
  </w:footnote>
  <w:footnote w:id="12">
    <w:p w14:paraId="492C85FC" w14:textId="71A5E5D2" w:rsidR="00380807" w:rsidRDefault="00380807">
      <w:pPr>
        <w:pStyle w:val="Textonotapie"/>
      </w:pPr>
      <w:r>
        <w:rPr>
          <w:rStyle w:val="Refdenotaalpie"/>
        </w:rPr>
        <w:footnoteRef/>
      </w:r>
      <w:r>
        <w:t xml:space="preserve"> El salario real depende negativamente de la inflación esperada, por lo que el efecto global de la inflación esperada sobre el consumo es ambiguo, ya que por un lado disminuye el la renta real vital, por otro lado adelanta las decisiones de consumo. En este sentido, los precios del petróleo tienen una especial incidencia en la renta real de los hogares, pues la demanda de </w:t>
      </w:r>
      <w:r w:rsidR="002D1B8A">
        <w:t>b</w:t>
      </w:r>
      <w:r>
        <w:t xml:space="preserve">ienes energéticos es relativamente inelástica. </w:t>
      </w:r>
    </w:p>
  </w:footnote>
  <w:footnote w:id="13">
    <w:p w14:paraId="6F55F219" w14:textId="77777777" w:rsidR="002D1B8A" w:rsidRPr="00B77084" w:rsidRDefault="002D1B8A" w:rsidP="002D1B8A">
      <w:pPr>
        <w:pStyle w:val="Nivel1"/>
        <w:keepNext/>
        <w:numPr>
          <w:ilvl w:val="0"/>
          <w:numId w:val="0"/>
        </w:numPr>
        <w:spacing w:after="0"/>
        <w:rPr>
          <w:sz w:val="13"/>
          <w:szCs w:val="13"/>
        </w:rPr>
      </w:pPr>
      <w:r>
        <w:rPr>
          <w:rStyle w:val="Refdenotaalpie"/>
        </w:rPr>
        <w:footnoteRef/>
      </w:r>
      <w:r>
        <w:t xml:space="preserve"> </w:t>
      </w:r>
      <w:r w:rsidRPr="00B77084">
        <w:rPr>
          <w:sz w:val="13"/>
          <w:szCs w:val="13"/>
        </w:rPr>
        <w:t xml:space="preserve">La </w:t>
      </w:r>
      <w:r w:rsidRPr="008C0DBF">
        <w:rPr>
          <w:b/>
          <w:bCs/>
          <w:sz w:val="13"/>
          <w:szCs w:val="13"/>
        </w:rPr>
        <w:t>curva de tipos</w:t>
      </w:r>
      <w:r w:rsidRPr="00B77084">
        <w:rPr>
          <w:sz w:val="13"/>
          <w:szCs w:val="13"/>
        </w:rPr>
        <w:t>:</w:t>
      </w:r>
    </w:p>
    <w:p w14:paraId="4F35A96F" w14:textId="499684E8" w:rsidR="002D1B8A" w:rsidRPr="00B77084" w:rsidRDefault="002D1B8A" w:rsidP="008C0DBF">
      <w:pPr>
        <w:pStyle w:val="Nivel1"/>
        <w:spacing w:after="0"/>
        <w:ind w:left="255" w:hanging="113"/>
        <w:rPr>
          <w:sz w:val="13"/>
          <w:szCs w:val="13"/>
        </w:rPr>
      </w:pPr>
      <w:r w:rsidRPr="008C0DBF">
        <w:rPr>
          <w:i/>
          <w:sz w:val="13"/>
          <w:szCs w:val="13"/>
          <w:u w:val="single"/>
        </w:rPr>
        <w:t>Concepto</w:t>
      </w:r>
      <w:r w:rsidRPr="00B77084">
        <w:rPr>
          <w:sz w:val="13"/>
          <w:szCs w:val="13"/>
        </w:rPr>
        <w:t xml:space="preserve">: </w:t>
      </w:r>
      <w:r w:rsidR="003F67CC">
        <w:rPr>
          <w:sz w:val="13"/>
          <w:szCs w:val="13"/>
        </w:rPr>
        <w:t>L</w:t>
      </w:r>
      <w:r w:rsidRPr="00B77084">
        <w:rPr>
          <w:sz w:val="13"/>
          <w:szCs w:val="13"/>
        </w:rPr>
        <w:t>a curva hace referencia a los rendimientos de los bonos del Gobierno para diferentes horizontes temporales.</w:t>
      </w:r>
    </w:p>
    <w:p w14:paraId="58B1E702" w14:textId="6D85172D" w:rsidR="002D1B8A" w:rsidRPr="00B77084" w:rsidRDefault="002D1B8A" w:rsidP="008C0DBF">
      <w:pPr>
        <w:pStyle w:val="Nivel1"/>
        <w:keepNext/>
        <w:spacing w:after="0"/>
        <w:ind w:left="255" w:hanging="113"/>
        <w:rPr>
          <w:sz w:val="13"/>
          <w:szCs w:val="13"/>
        </w:rPr>
      </w:pPr>
      <w:r w:rsidRPr="008C0DBF">
        <w:rPr>
          <w:i/>
          <w:sz w:val="13"/>
          <w:szCs w:val="13"/>
          <w:u w:val="single"/>
        </w:rPr>
        <w:t>Construcción</w:t>
      </w:r>
      <w:r w:rsidRPr="00B77084">
        <w:rPr>
          <w:sz w:val="13"/>
          <w:szCs w:val="13"/>
        </w:rPr>
        <w:t xml:space="preserve">: </w:t>
      </w:r>
      <w:r w:rsidR="003F67CC">
        <w:rPr>
          <w:sz w:val="13"/>
          <w:szCs w:val="13"/>
        </w:rPr>
        <w:t>P</w:t>
      </w:r>
      <w:r w:rsidRPr="00B77084">
        <w:rPr>
          <w:sz w:val="13"/>
          <w:szCs w:val="13"/>
        </w:rPr>
        <w:t>ara cada año, se ordenan las rentabilidades de los bonos de menor a mayor madurez de éstos.</w:t>
      </w:r>
    </w:p>
    <w:p w14:paraId="3BF80FD8" w14:textId="6B2692A1" w:rsidR="002D1B8A" w:rsidRPr="00B77084" w:rsidRDefault="002D1B8A" w:rsidP="008C0DBF">
      <w:pPr>
        <w:pStyle w:val="Nivel2"/>
        <w:spacing w:after="0"/>
        <w:ind w:left="340"/>
        <w:rPr>
          <w:sz w:val="13"/>
          <w:szCs w:val="13"/>
        </w:rPr>
      </w:pPr>
      <w:r w:rsidRPr="00B77084">
        <w:rPr>
          <w:sz w:val="13"/>
          <w:szCs w:val="13"/>
        </w:rPr>
        <w:t>A veces nos dan, para cada año de la serie, los rendimientos que tienen los bonos a 6</w:t>
      </w:r>
      <w:r w:rsidR="0097016E">
        <w:rPr>
          <w:sz w:val="13"/>
          <w:szCs w:val="13"/>
        </w:rPr>
        <w:t> </w:t>
      </w:r>
      <w:r w:rsidRPr="00B77084">
        <w:rPr>
          <w:sz w:val="13"/>
          <w:szCs w:val="13"/>
        </w:rPr>
        <w:t>meses, 5</w:t>
      </w:r>
      <w:r w:rsidR="0097016E">
        <w:rPr>
          <w:sz w:val="13"/>
          <w:szCs w:val="13"/>
        </w:rPr>
        <w:t> </w:t>
      </w:r>
      <w:r w:rsidRPr="00B77084">
        <w:rPr>
          <w:sz w:val="13"/>
          <w:szCs w:val="13"/>
        </w:rPr>
        <w:t xml:space="preserve">años, y 10 </w:t>
      </w:r>
      <w:proofErr w:type="spellStart"/>
      <w:r w:rsidRPr="00B77084">
        <w:rPr>
          <w:sz w:val="13"/>
          <w:szCs w:val="13"/>
        </w:rPr>
        <w:t>ó</w:t>
      </w:r>
      <w:proofErr w:type="spellEnd"/>
      <w:r w:rsidRPr="00B77084">
        <w:rPr>
          <w:sz w:val="13"/>
          <w:szCs w:val="13"/>
        </w:rPr>
        <w:t xml:space="preserve"> 30</w:t>
      </w:r>
      <w:r w:rsidR="0097016E">
        <w:rPr>
          <w:sz w:val="13"/>
          <w:szCs w:val="13"/>
        </w:rPr>
        <w:t> </w:t>
      </w:r>
      <w:r w:rsidRPr="00B77084">
        <w:rPr>
          <w:sz w:val="13"/>
          <w:szCs w:val="13"/>
        </w:rPr>
        <w:t>años. Con esos 3</w:t>
      </w:r>
      <w:r w:rsidR="0097016E">
        <w:rPr>
          <w:sz w:val="13"/>
          <w:szCs w:val="13"/>
        </w:rPr>
        <w:t> </w:t>
      </w:r>
      <w:r w:rsidRPr="00B77084">
        <w:rPr>
          <w:sz w:val="13"/>
          <w:szCs w:val="13"/>
        </w:rPr>
        <w:t>datos se puede construir una curva aproximada de tipos para cada año.</w:t>
      </w:r>
    </w:p>
    <w:p w14:paraId="36849C53" w14:textId="13805876" w:rsidR="002D1B8A" w:rsidRPr="00B77084" w:rsidRDefault="002D1B8A" w:rsidP="008C0DBF">
      <w:pPr>
        <w:pStyle w:val="Nivel2"/>
        <w:spacing w:after="0"/>
        <w:ind w:left="340"/>
        <w:rPr>
          <w:sz w:val="13"/>
          <w:szCs w:val="13"/>
        </w:rPr>
      </w:pPr>
      <w:r w:rsidRPr="00B77084">
        <w:rPr>
          <w:sz w:val="13"/>
          <w:szCs w:val="13"/>
        </w:rPr>
        <w:t>Pero lo más normal es que no nos den explícitamente los rendimientos de los bonos del Gobierno, por lo que tendremos que aproximar la “curva” con 2</w:t>
      </w:r>
      <w:r w:rsidR="0097016E">
        <w:rPr>
          <w:sz w:val="13"/>
          <w:szCs w:val="13"/>
        </w:rPr>
        <w:t> </w:t>
      </w:r>
      <w:r w:rsidRPr="00B77084">
        <w:rPr>
          <w:sz w:val="13"/>
          <w:szCs w:val="13"/>
        </w:rPr>
        <w:t>datos: el tipo de interés nominal a corto plazo y el tipo de interés nominal a largo plazo.</w:t>
      </w:r>
    </w:p>
    <w:p w14:paraId="186DE13D" w14:textId="77777777" w:rsidR="002D1B8A" w:rsidRPr="00B77084" w:rsidRDefault="002D1B8A" w:rsidP="008C0DBF">
      <w:pPr>
        <w:pStyle w:val="Nivel1"/>
        <w:keepNext/>
        <w:spacing w:after="0"/>
        <w:ind w:left="255" w:hanging="113"/>
        <w:rPr>
          <w:sz w:val="13"/>
          <w:szCs w:val="13"/>
        </w:rPr>
      </w:pPr>
      <w:r w:rsidRPr="008C0DBF">
        <w:rPr>
          <w:i/>
          <w:iCs w:val="0"/>
          <w:sz w:val="13"/>
          <w:szCs w:val="13"/>
          <w:u w:val="single"/>
        </w:rPr>
        <w:t>Forma de la curva en un período</w:t>
      </w:r>
      <w:r w:rsidRPr="00B77084">
        <w:rPr>
          <w:sz w:val="13"/>
          <w:szCs w:val="13"/>
        </w:rPr>
        <w:t>:</w:t>
      </w:r>
    </w:p>
    <w:p w14:paraId="4A66A6C5" w14:textId="77777777" w:rsidR="002D1B8A" w:rsidRPr="00B77084" w:rsidRDefault="002D1B8A" w:rsidP="008C0DBF">
      <w:pPr>
        <w:pStyle w:val="Nivel2"/>
        <w:spacing w:after="0"/>
        <w:ind w:left="340"/>
        <w:rPr>
          <w:sz w:val="13"/>
          <w:szCs w:val="13"/>
        </w:rPr>
      </w:pPr>
      <w:r w:rsidRPr="008C0DBF">
        <w:rPr>
          <w:i/>
          <w:iCs/>
          <w:sz w:val="13"/>
          <w:szCs w:val="13"/>
        </w:rPr>
        <w:t>Curva creciente</w:t>
      </w:r>
      <w:r w:rsidRPr="00B77084">
        <w:rPr>
          <w:sz w:val="13"/>
          <w:szCs w:val="13"/>
        </w:rPr>
        <w:t>: Puede preceder a una expansión (teoría de las expectativas). Se espera que los tipos de interés suban para, por ejemplo, enfriar una economía que se espera que crezca mucho y combatir la inflación. No tiene por qué esperarse que los tipos suban, ya que la curva es positiva por la prima de liquidez (teoría de la liquidez).</w:t>
      </w:r>
    </w:p>
    <w:p w14:paraId="5F18A397" w14:textId="4678390C" w:rsidR="002D1B8A" w:rsidRPr="00B77084" w:rsidRDefault="002D1B8A" w:rsidP="008C0DBF">
      <w:pPr>
        <w:pStyle w:val="Nivel2"/>
        <w:spacing w:after="0"/>
        <w:ind w:left="340"/>
        <w:rPr>
          <w:sz w:val="13"/>
          <w:szCs w:val="13"/>
        </w:rPr>
      </w:pPr>
      <w:r w:rsidRPr="008C0DBF">
        <w:rPr>
          <w:i/>
          <w:iCs/>
          <w:sz w:val="13"/>
          <w:szCs w:val="13"/>
        </w:rPr>
        <w:t>Curva plana</w:t>
      </w:r>
      <w:r w:rsidRPr="00B77084">
        <w:rPr>
          <w:sz w:val="13"/>
          <w:szCs w:val="13"/>
        </w:rPr>
        <w:t xml:space="preserve">: </w:t>
      </w:r>
      <w:r w:rsidR="003F67CC">
        <w:rPr>
          <w:sz w:val="13"/>
          <w:szCs w:val="13"/>
        </w:rPr>
        <w:t>S</w:t>
      </w:r>
      <w:r w:rsidRPr="00B77084">
        <w:rPr>
          <w:sz w:val="13"/>
          <w:szCs w:val="13"/>
        </w:rPr>
        <w:t>e espera una caída de los tipos de interés + prima de liquidez = curva plana (combinación de ambas teorías).</w:t>
      </w:r>
    </w:p>
    <w:p w14:paraId="4F48B165" w14:textId="3925A978" w:rsidR="002D1B8A" w:rsidRPr="00B77084" w:rsidRDefault="002D1B8A" w:rsidP="008C0DBF">
      <w:pPr>
        <w:pStyle w:val="Nivel2"/>
        <w:spacing w:after="0"/>
        <w:ind w:left="340"/>
        <w:rPr>
          <w:sz w:val="13"/>
          <w:szCs w:val="13"/>
        </w:rPr>
      </w:pPr>
      <w:r w:rsidRPr="008C0DBF">
        <w:rPr>
          <w:i/>
          <w:iCs/>
          <w:sz w:val="13"/>
          <w:szCs w:val="13"/>
        </w:rPr>
        <w:t>Curva invertida</w:t>
      </w:r>
      <w:r w:rsidRPr="00B77084">
        <w:rPr>
          <w:sz w:val="13"/>
          <w:szCs w:val="13"/>
        </w:rPr>
        <w:t xml:space="preserve">: </w:t>
      </w:r>
      <w:r w:rsidR="003F67CC">
        <w:rPr>
          <w:sz w:val="13"/>
          <w:szCs w:val="13"/>
        </w:rPr>
        <w:t>S</w:t>
      </w:r>
      <w:r w:rsidRPr="00B77084">
        <w:rPr>
          <w:sz w:val="13"/>
          <w:szCs w:val="13"/>
        </w:rPr>
        <w:t>uele preceder a una recesión (teoría de las expectativas). Los inversores esperan que el banco central disminuya los tipos en un futuro para combatir la recesión que anticipan, por lo que invertirán a plazos largos para aprovechar los altos tipos de interés presentes (los precios de los bonos a largo plazo aumentan y disminuye su rentabilidad).</w:t>
      </w:r>
    </w:p>
    <w:p w14:paraId="32CA4BDB" w14:textId="77777777" w:rsidR="002D1B8A" w:rsidRPr="00B77084" w:rsidRDefault="002D1B8A" w:rsidP="008C0DBF">
      <w:pPr>
        <w:pStyle w:val="Nivel1"/>
        <w:keepNext/>
        <w:spacing w:after="0"/>
        <w:ind w:left="255" w:hanging="113"/>
        <w:rPr>
          <w:sz w:val="13"/>
          <w:szCs w:val="13"/>
        </w:rPr>
      </w:pPr>
      <w:r w:rsidRPr="008C0DBF">
        <w:rPr>
          <w:i/>
          <w:iCs w:val="0"/>
          <w:sz w:val="13"/>
          <w:szCs w:val="13"/>
          <w:u w:val="single"/>
        </w:rPr>
        <w:t>Cambios en la forma de la curva en diferentes períodos</w:t>
      </w:r>
      <w:r w:rsidRPr="00B77084">
        <w:rPr>
          <w:sz w:val="13"/>
          <w:szCs w:val="13"/>
        </w:rPr>
        <w:t>.</w:t>
      </w:r>
    </w:p>
    <w:p w14:paraId="15CCD412" w14:textId="77777777" w:rsidR="002D1B8A" w:rsidRPr="00B77084" w:rsidRDefault="002D1B8A" w:rsidP="008C0DBF">
      <w:pPr>
        <w:pStyle w:val="Nivel2"/>
        <w:ind w:left="340"/>
        <w:rPr>
          <w:sz w:val="13"/>
          <w:szCs w:val="13"/>
        </w:rPr>
      </w:pPr>
      <w:r w:rsidRPr="00B77084">
        <w:rPr>
          <w:sz w:val="13"/>
          <w:szCs w:val="13"/>
        </w:rPr>
        <w:t>Si la curva va ganando pendiente a medida que transcurren los años de la serie, entonces se podría decir, en línea con lo expuesto antes, que los agentes podrían tener expectativas cada vez más sólidas de que el período de expansión se va a producir (o de que está más cerca).</w:t>
      </w:r>
    </w:p>
  </w:footnote>
  <w:footnote w:id="14">
    <w:p w14:paraId="267FFF6B" w14:textId="4EFCADF7" w:rsidR="00AD4688" w:rsidRDefault="00AD4688">
      <w:pPr>
        <w:pStyle w:val="Textonotapie"/>
      </w:pPr>
      <w:r>
        <w:rPr>
          <w:rStyle w:val="Refdenotaalpie"/>
        </w:rPr>
        <w:footnoteRef/>
      </w:r>
      <w:r>
        <w:t xml:space="preserve"> El PMI</w:t>
      </w:r>
      <w:r w:rsidRPr="00AD4688">
        <w:t xml:space="preserve"> </w:t>
      </w:r>
      <w:r>
        <w:t>es una encuesta que se hace a los gerentes de compras de un panel de empresas que tiene la empresa que se dedica a esto y de manera que en base a las respuestas de la encuesta, se obtiene como resultado el PMI, que no es más que un índice de la</w:t>
      </w:r>
      <w:r w:rsidR="000872E4">
        <w:t xml:space="preserve"> confianza en el sector empresarial</w:t>
      </w:r>
      <w:r>
        <w:t xml:space="preserve">. </w:t>
      </w:r>
      <w:r w:rsidR="000872E4">
        <w:t>S</w:t>
      </w:r>
      <w:r>
        <w:t xml:space="preserve">e interpreta </w:t>
      </w:r>
      <w:r w:rsidR="000872E4">
        <w:t>de forma</w:t>
      </w:r>
      <w:r>
        <w:t xml:space="preserve"> que todos los valores que estén por encima de 50 denotan optimismo por parte de las empresas, mientras que todos los valores que estén por debajo de 50 denotan pesimismo.</w:t>
      </w:r>
    </w:p>
  </w:footnote>
  <w:footnote w:id="15">
    <w:p w14:paraId="0EFC9EB4" w14:textId="77777777" w:rsidR="00797620" w:rsidRDefault="00797620" w:rsidP="00797620">
      <w:pPr>
        <w:pStyle w:val="Textonotapie"/>
      </w:pPr>
      <w:r>
        <w:rPr>
          <w:rStyle w:val="Refdenotaalpie"/>
        </w:rPr>
        <w:footnoteRef/>
      </w:r>
      <w:r>
        <w:t xml:space="preserve"> Una condición necesaria para que se cumpla la hipótesis de la renta permanente es que los hogares puedan prestar y pedir prestado. Este es un supuesto razonable solo en países con mercados financieros desarrollados.</w:t>
      </w:r>
    </w:p>
  </w:footnote>
  <w:footnote w:id="16">
    <w:p w14:paraId="36F159A1" w14:textId="6F0B0D5B" w:rsidR="00B77084" w:rsidRDefault="00B77084">
      <w:pPr>
        <w:pStyle w:val="Textonotapie"/>
      </w:pPr>
      <w:r>
        <w:rPr>
          <w:rStyle w:val="Refdenotaalpie"/>
        </w:rPr>
        <w:footnoteRef/>
      </w:r>
      <w:r>
        <w:t xml:space="preserve"> La inversión residencial </w:t>
      </w:r>
      <w:r w:rsidRPr="00B77084">
        <w:t>en algunos países constituye el componente más importante de la inversión. Para pronosticar la inversión residencial es importante entender y proyectar la actividad de construcción. Las políticas de crédito y del gobierno son habitualmente claves (hay que tener en cuenta los desarrollos en la cantidad de crédito destinado a este sector, tipos de interés y regulación o impuestos, así como la renta de los hogares y la demanda de vivienda en relación con el número de viviendas disponibles). Es el único componente de la inversión que realizan los hogares.</w:t>
      </w:r>
    </w:p>
  </w:footnote>
  <w:footnote w:id="17">
    <w:p w14:paraId="45CB045E" w14:textId="10A5893B" w:rsidR="00CC722F" w:rsidRDefault="00CC722F">
      <w:pPr>
        <w:pStyle w:val="Textonotapie"/>
      </w:pPr>
      <w:r>
        <w:rPr>
          <w:rStyle w:val="Refdenotaalpie"/>
        </w:rPr>
        <w:footnoteRef/>
      </w:r>
      <w:r>
        <w:t xml:space="preserve"> En ausencia del Excedente Bruto de Explotación podemos calcular la variación del </w:t>
      </w:r>
      <w:proofErr w:type="spellStart"/>
      <w:r>
        <w:t>mark</w:t>
      </w:r>
      <w:proofErr w:type="spellEnd"/>
      <w:r>
        <w:t>-up como aproximación.</w:t>
      </w:r>
    </w:p>
  </w:footnote>
  <w:footnote w:id="18">
    <w:p w14:paraId="7B02E7DF" w14:textId="79FC3B69" w:rsidR="00E5269F" w:rsidRDefault="00E5269F" w:rsidP="00E5269F">
      <w:pPr>
        <w:pStyle w:val="Textonotapie"/>
        <w:keepNext/>
        <w:spacing w:after="0"/>
      </w:pPr>
      <w:r>
        <w:rPr>
          <w:rStyle w:val="Refdenotaalpie"/>
        </w:rPr>
        <w:footnoteRef/>
      </w:r>
      <w:r>
        <w:t xml:space="preserve"> Problema de cálculo del tipo de interés </w:t>
      </w:r>
      <w:r>
        <w:rPr>
          <w:i/>
          <w:iCs/>
        </w:rPr>
        <w:t>real</w:t>
      </w:r>
      <w:r>
        <w:t xml:space="preserve"> a </w:t>
      </w:r>
      <w:r>
        <w:rPr>
          <w:i/>
          <w:iCs/>
        </w:rPr>
        <w:t>largo plazo</w:t>
      </w:r>
      <w:r>
        <w:t xml:space="preserve">: </w:t>
      </w:r>
      <w:r w:rsidRPr="009252E1">
        <w:t>no</w:t>
      </w:r>
      <w:r>
        <w:t xml:space="preserve"> solemos disponer de los tipos nominales a largo plazo ni de las expectativas de inflación a largo plazo, por lo que podemos:</w:t>
      </w:r>
    </w:p>
    <w:p w14:paraId="5C801AB6" w14:textId="58680F1A" w:rsidR="00E5269F" w:rsidRDefault="00E5269F">
      <w:pPr>
        <w:pStyle w:val="Textonotapie"/>
        <w:numPr>
          <w:ilvl w:val="0"/>
          <w:numId w:val="15"/>
        </w:numPr>
        <w:spacing w:after="0"/>
        <w:ind w:left="397" w:hanging="113"/>
      </w:pPr>
      <w:r w:rsidRPr="00E5269F">
        <w:rPr>
          <w:i/>
          <w:iCs/>
        </w:rPr>
        <w:t>Deflactar los tipos a largo con la inflación del período</w:t>
      </w:r>
      <w:r>
        <w:t xml:space="preserve"> (</w:t>
      </w:r>
      <m:oMath>
        <m:r>
          <m:rPr>
            <m:nor/>
          </m:rPr>
          <w:rPr>
            <w:rFonts w:ascii="Palatino Linotype" w:hAnsi="Palatino Linotype"/>
            <w:i/>
            <w:iCs/>
          </w:rPr>
          <m:t>γ</m:t>
        </m:r>
        <m:r>
          <m:rPr>
            <m:nor/>
          </m:rPr>
          <w:rPr>
            <w:rFonts w:ascii="Cambria Math" w:hAnsi="Palatino Linotype"/>
            <w:i/>
            <w:iCs/>
          </w:rPr>
          <m:t xml:space="preserve"> </m:t>
        </m:r>
        <m:r>
          <m:rPr>
            <m:nor/>
          </m:rPr>
          <w:rPr>
            <w:rFonts w:ascii="Palatino Linotype" w:hAnsi="Palatino Linotype"/>
            <w:i/>
            <w:iCs/>
          </w:rPr>
          <m:t>IPC</m:t>
        </m:r>
      </m:oMath>
      <w:r>
        <w:t>).</w:t>
      </w:r>
    </w:p>
    <w:p w14:paraId="52F04FF4" w14:textId="59C73F62" w:rsidR="00E5269F" w:rsidRDefault="00E5269F">
      <w:pPr>
        <w:pStyle w:val="Textonotapie"/>
        <w:numPr>
          <w:ilvl w:val="0"/>
          <w:numId w:val="15"/>
        </w:numPr>
        <w:spacing w:after="0"/>
        <w:ind w:left="397" w:hanging="113"/>
      </w:pPr>
      <w:r w:rsidRPr="00E5269F">
        <w:rPr>
          <w:i/>
          <w:iCs/>
        </w:rPr>
        <w:t>Utilizar los tipos reales a corto plazo</w:t>
      </w:r>
      <w:r>
        <w:t>.</w:t>
      </w:r>
    </w:p>
    <w:p w14:paraId="4BD76BB1" w14:textId="1FDF0A61" w:rsidR="00E5269F" w:rsidRDefault="00E5269F">
      <w:pPr>
        <w:pStyle w:val="Textonotapie"/>
        <w:numPr>
          <w:ilvl w:val="0"/>
          <w:numId w:val="15"/>
        </w:numPr>
        <w:spacing w:after="0"/>
        <w:ind w:left="397" w:hanging="113"/>
      </w:pPr>
      <w:r w:rsidRPr="00E5269F">
        <w:rPr>
          <w:i/>
          <w:iCs/>
        </w:rPr>
        <w:t>Hacer una hipótesis sobre la inflación futura con los datos disponibles</w:t>
      </w:r>
      <w:r>
        <w:t>: El Banco de España calcula los tipos de interés reales restando a los tipos de interés nominales las expectativas de inflación a distintos horizontes temporales obtenidas de los swaps de inflación para España. Así, para el crédito a la vivienda, se usan las expectativas de inflación a 15</w:t>
      </w:r>
      <w:r w:rsidR="00587380">
        <w:t> </w:t>
      </w:r>
      <w:r>
        <w:t>años; para el crédito a sociedades no financieras, las expectativas de inflación a 10</w:t>
      </w:r>
      <w:r w:rsidR="00587380">
        <w:t> </w:t>
      </w:r>
      <w:r>
        <w:t>años; y para el crédito al consumo, las expectativas a 5</w:t>
      </w:r>
      <w:r w:rsidR="00587380">
        <w:t> </w:t>
      </w:r>
      <w:r>
        <w:t>años.</w:t>
      </w:r>
    </w:p>
    <w:p w14:paraId="5E188D79" w14:textId="78B45E69" w:rsidR="00E5269F" w:rsidRDefault="00E5269F">
      <w:pPr>
        <w:pStyle w:val="Textonotapie"/>
        <w:numPr>
          <w:ilvl w:val="0"/>
          <w:numId w:val="15"/>
        </w:numPr>
        <w:spacing w:after="0"/>
        <w:ind w:left="397" w:hanging="113"/>
      </w:pPr>
      <w:r w:rsidRPr="00E5269F">
        <w:rPr>
          <w:i/>
          <w:iCs/>
        </w:rPr>
        <w:t>Utilizar tipos nominales a largo plazo considerando que ya incluyen una prima por el riesgo inflacionario</w:t>
      </w:r>
      <w:r>
        <w:t>.</w:t>
      </w:r>
    </w:p>
    <w:p w14:paraId="318B22D2" w14:textId="4FF3CC8B" w:rsidR="00E5269F" w:rsidRPr="00E5269F" w:rsidRDefault="00E5269F" w:rsidP="00E5269F">
      <w:pPr>
        <w:pStyle w:val="Textonotapie"/>
      </w:pPr>
      <w:r>
        <w:t>Recomendable el primer método y, en su defecto el segundo. En cualquier caso, explicar siempre las limitaciones.</w:t>
      </w:r>
    </w:p>
  </w:footnote>
  <w:footnote w:id="19">
    <w:p w14:paraId="465E7303" w14:textId="77777777" w:rsidR="007502D9" w:rsidRDefault="007502D9" w:rsidP="003656F7">
      <w:pPr>
        <w:pStyle w:val="Textonotapie"/>
      </w:pPr>
      <w:r>
        <w:rPr>
          <w:rStyle w:val="Refdenotaalpie"/>
        </w:rPr>
        <w:footnoteRef/>
      </w:r>
      <w:r>
        <w:t xml:space="preserve"> En países en desarrollo, las conclusiones de los modelos de inversión estándar (basados en el coste y la productividad marginal del capital) son debilitados por factores institucionales y estructurales como la ausencia de mercados financieros desarrollados, el rol preponderante del gobierno en la formación de capital, distorsiones creadas por restricciones cambiarias y otras imperfecciones de mercado. Además, si el país es una pequeña economía abierta, la proximidad relativa a mercados más ricos puede ser la causa tras la inversión. En general, en cualquier caso, la no disponibilidad de datos impide la aplicación de estos modelos.</w:t>
      </w:r>
    </w:p>
    <w:p w14:paraId="06417178" w14:textId="47C7EE2A" w:rsidR="007502D9" w:rsidRDefault="007502D9" w:rsidP="003656F7">
      <w:pPr>
        <w:pStyle w:val="Textonotapie"/>
      </w:pPr>
      <w:r>
        <w:t xml:space="preserve">En muchos países en desarrollo, la disponibilidad de financiación representa una mayor limitación que su propio coste, lo que dificulta la inversión privada. Como resultado, los créditos bancarios, los influjos de capital extranjero y los beneficios retenidos representan los principales determinantes de la inversión privada en estos países. Asimismo, existe la posibilidad de </w:t>
      </w:r>
      <w:proofErr w:type="spellStart"/>
      <w:r>
        <w:rPr>
          <w:i/>
          <w:iCs/>
        </w:rPr>
        <w:t>crowding</w:t>
      </w:r>
      <w:proofErr w:type="spellEnd"/>
      <w:r>
        <w:rPr>
          <w:i/>
          <w:iCs/>
        </w:rPr>
        <w:t xml:space="preserve"> </w:t>
      </w:r>
      <w:proofErr w:type="spellStart"/>
      <w:r>
        <w:rPr>
          <w:i/>
          <w:iCs/>
        </w:rPr>
        <w:t>out</w:t>
      </w:r>
      <w:proofErr w:type="spellEnd"/>
      <w:r>
        <w:t xml:space="preserve"> financiero si el </w:t>
      </w:r>
      <w:r w:rsidRPr="000B201D">
        <w:t xml:space="preserve">recurso del gobierno al sistema bancario limita el crédito al sector privado, y un </w:t>
      </w:r>
      <w:proofErr w:type="spellStart"/>
      <w:r w:rsidRPr="007502D9">
        <w:rPr>
          <w:i/>
          <w:iCs/>
        </w:rPr>
        <w:t>crowding</w:t>
      </w:r>
      <w:proofErr w:type="spellEnd"/>
      <w:r w:rsidRPr="007502D9">
        <w:rPr>
          <w:i/>
          <w:iCs/>
        </w:rPr>
        <w:t xml:space="preserve"> </w:t>
      </w:r>
      <w:proofErr w:type="spellStart"/>
      <w:r w:rsidRPr="007502D9">
        <w:rPr>
          <w:i/>
          <w:iCs/>
        </w:rPr>
        <w:t>out</w:t>
      </w:r>
      <w:proofErr w:type="spellEnd"/>
      <w:r w:rsidRPr="000B201D">
        <w:t xml:space="preserve"> </w:t>
      </w:r>
      <w:r>
        <w:t>r</w:t>
      </w:r>
      <w:r w:rsidRPr="000B201D">
        <w:t>eal si la inversión del gobierno se adelanta a los escasos suministros de recursos físicos nacionales e importados y limita las oportunidades del mercado.</w:t>
      </w:r>
    </w:p>
  </w:footnote>
  <w:footnote w:id="20">
    <w:p w14:paraId="62FECD64" w14:textId="2175103C" w:rsidR="0046628C" w:rsidRDefault="0046628C">
      <w:pPr>
        <w:pStyle w:val="Textonotapie"/>
      </w:pPr>
      <w:r>
        <w:rPr>
          <w:rStyle w:val="Refdenotaalpie"/>
        </w:rPr>
        <w:footnoteRef/>
      </w:r>
      <w:r>
        <w:t xml:space="preserve"> </w:t>
      </w:r>
      <w:r w:rsidR="00FF4267" w:rsidRPr="00FF4267">
        <w:rPr>
          <w:b/>
          <w:bCs/>
        </w:rPr>
        <w:t>Posible efecto ambiguo de una depreciación</w:t>
      </w:r>
      <w:r w:rsidR="00FF4267">
        <w:t xml:space="preserve">: </w:t>
      </w:r>
      <w:r w:rsidRPr="00FF4267">
        <w:t>Una</w:t>
      </w:r>
      <w:r>
        <w:t xml:space="preserve"> depreciación del tipo de cambio fomentaría la inversión de aquellas empresas cuya producción esté orientada al exterior. Al mismo tiempo, esa depreciación encarece los factores productivos importados y en consecuencia reduce los márgenes de beneficio y con ello</w:t>
      </w:r>
      <w:r w:rsidR="008D36A4">
        <w:t xml:space="preserve"> los planes de inversión. El que predomine uno u otro efecto dependerá, por un lado, de la vocación exportadora del país y, por otro lado, de la dependencia de factores provenientes del exterior (el petróleo tendría aquí un papel relevante). En general, y bajo elasticidades Marshall-Lerner, una depreciación aumenta la contribución de la demanda externa al crecimiento del PIB.</w:t>
      </w:r>
    </w:p>
  </w:footnote>
  <w:footnote w:id="21">
    <w:p w14:paraId="4C605AD4" w14:textId="698CE77E" w:rsidR="009C0A99" w:rsidRDefault="009C0A99">
      <w:pPr>
        <w:pStyle w:val="Textonotapie"/>
      </w:pPr>
      <w:r>
        <w:rPr>
          <w:rStyle w:val="Refdenotaalpie"/>
        </w:rPr>
        <w:footnoteRef/>
      </w:r>
      <w:r>
        <w:t xml:space="preserve"> La PAT es una aproximación a la productividad marginal del trabajo. En microeconomía se trabaja con la productividad marginal del trabajo aplicando el marginalismo</w:t>
      </w:r>
      <w:r w:rsidR="004C4845">
        <w:t>. S</w:t>
      </w:r>
      <w:r>
        <w:t>in embargo, aplicar las derivadas a las macromagnitudes es complejo, por lo que lo podemos aproximar haciendo uso de las productividades medias.</w:t>
      </w:r>
    </w:p>
  </w:footnote>
  <w:footnote w:id="22">
    <w:p w14:paraId="19375502" w14:textId="77777777" w:rsidR="005E2367" w:rsidRDefault="005E2367" w:rsidP="005E2367">
      <w:pPr>
        <w:pStyle w:val="Textonotapie"/>
        <w:keepNext/>
        <w:spacing w:after="0"/>
      </w:pPr>
      <w:r>
        <w:rPr>
          <w:rStyle w:val="Refdenotaalpie"/>
        </w:rPr>
        <w:footnoteRef/>
      </w:r>
      <w:r>
        <w:t xml:space="preserve"> También podemos realizar un análisis similar con el PIB per cápita o con el PIB por Persona en Edad de trabajar (PET).</w:t>
      </w:r>
    </w:p>
    <w:tbl>
      <w:tblPr>
        <w:tblStyle w:val="Tablaconcuadrcula"/>
        <w:tblW w:w="53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0" w:type="dxa"/>
        </w:tblCellMar>
        <w:tblLook w:val="04A0" w:firstRow="1" w:lastRow="0" w:firstColumn="1" w:lastColumn="0" w:noHBand="0" w:noVBand="1"/>
      </w:tblPr>
      <w:tblGrid>
        <w:gridCol w:w="3402"/>
        <w:gridCol w:w="1907"/>
      </w:tblGrid>
      <w:tr w:rsidR="005E2367" w14:paraId="5F89D531" w14:textId="77777777" w:rsidTr="00244ADF">
        <w:trPr>
          <w:jc w:val="center"/>
        </w:trPr>
        <w:tc>
          <w:tcPr>
            <w:tcW w:w="3402" w:type="dxa"/>
            <w:vAlign w:val="center"/>
          </w:tcPr>
          <w:p w14:paraId="7AC4F43B" w14:textId="77777777" w:rsidR="005E2367" w:rsidRDefault="005E2367" w:rsidP="00244ADF">
            <w:pPr>
              <w:pStyle w:val="Textonotapie"/>
              <w:spacing w:after="0"/>
            </w:pPr>
            <m:oMathPara>
              <m:oMath>
                <m:r>
                  <m:rPr>
                    <m:nor/>
                  </m:rPr>
                  <w:rPr>
                    <w:rFonts w:ascii="Palatino Linotype" w:hAnsi="Palatino Linotype"/>
                    <w:i/>
                    <w:iCs/>
                  </w:rPr>
                  <m:t>PIB</m:t>
                </m:r>
                <m:r>
                  <w:rPr>
                    <w:rFonts w:ascii="Cambria Math" w:hAnsi="Cambria Math"/>
                  </w:rPr>
                  <m:t>=</m:t>
                </m:r>
                <m:r>
                  <m:rPr>
                    <m:nor/>
                  </m:rPr>
                  <w:rPr>
                    <w:rFonts w:ascii="Palatino Linotype" w:hAnsi="Palatino Linotype"/>
                    <w:i/>
                    <w:iCs/>
                  </w:rPr>
                  <m:t>Horas trabajadas</m:t>
                </m:r>
                <m:r>
                  <w:rPr>
                    <w:rFonts w:ascii="Cambria Math" w:hAnsi="Cambria Math"/>
                  </w:rPr>
                  <m:t>×</m:t>
                </m:r>
                <m:r>
                  <m:rPr>
                    <m:nor/>
                  </m:rPr>
                  <w:rPr>
                    <w:rFonts w:ascii="Palatino Linotype" w:hAnsi="Palatino Linotype"/>
                    <w:i/>
                    <w:iCs/>
                  </w:rPr>
                  <m:t>Producción por hora trabajada</m:t>
                </m:r>
                <m:r>
                  <m:rPr>
                    <m:nor/>
                  </m:rPr>
                  <w:rPr>
                    <w:rFonts w:ascii="Cambria Math" w:hAnsi="Palatino Linotype"/>
                    <w:i/>
                    <w:iCs/>
                  </w:rPr>
                  <w:br/>
                </m:r>
              </m:oMath>
              <m:oMath>
                <m:f>
                  <m:fPr>
                    <m:ctrlPr>
                      <w:rPr>
                        <w:rFonts w:ascii="Cambria Math" w:hAnsi="Cambria Math"/>
                        <w:i/>
                        <w:iCs/>
                        <w:color w:val="004481"/>
                      </w:rPr>
                    </m:ctrlPr>
                  </m:fPr>
                  <m:num>
                    <m:r>
                      <m:rPr>
                        <m:nor/>
                      </m:rPr>
                      <w:rPr>
                        <w:rFonts w:ascii="Palatino Linotype" w:hAnsi="Palatino Linotype"/>
                        <w:i/>
                        <w:iCs/>
                        <w:color w:val="004481"/>
                      </w:rPr>
                      <m:t>PIB</m:t>
                    </m:r>
                  </m:num>
                  <m:den>
                    <m:r>
                      <m:rPr>
                        <m:nor/>
                      </m:rPr>
                      <w:rPr>
                        <w:rFonts w:ascii="Palatino Linotype" w:hAnsi="Palatino Linotype"/>
                        <w:i/>
                        <w:iCs/>
                        <w:color w:val="004481"/>
                      </w:rPr>
                      <m:t>PET</m:t>
                    </m:r>
                  </m:den>
                </m:f>
                <m:r>
                  <w:rPr>
                    <w:rFonts w:ascii="Cambria Math" w:hAnsi="Cambria Math"/>
                  </w:rPr>
                  <m:t>=</m:t>
                </m:r>
                <m:f>
                  <m:fPr>
                    <m:ctrlPr>
                      <w:rPr>
                        <w:rFonts w:ascii="Cambria Math" w:hAnsi="Cambria Math"/>
                        <w:i/>
                        <w:iCs/>
                        <w:color w:val="2DCCCD"/>
                      </w:rPr>
                    </m:ctrlPr>
                  </m:fPr>
                  <m:num>
                    <m:r>
                      <m:rPr>
                        <m:nor/>
                      </m:rPr>
                      <w:rPr>
                        <w:rFonts w:ascii="Palatino Linotype" w:hAnsi="Palatino Linotype"/>
                        <w:i/>
                        <w:iCs/>
                        <w:color w:val="2DCCCD"/>
                      </w:rPr>
                      <m:t>Horas trabajadas</m:t>
                    </m:r>
                  </m:num>
                  <m:den>
                    <m:r>
                      <m:rPr>
                        <m:nor/>
                      </m:rPr>
                      <w:rPr>
                        <w:rFonts w:ascii="Palatino Linotype" w:hAnsi="Palatino Linotype"/>
                        <w:i/>
                        <w:iCs/>
                        <w:color w:val="2DCCCD"/>
                      </w:rPr>
                      <m:t>PET</m:t>
                    </m:r>
                  </m:den>
                </m:f>
                <m:r>
                  <w:rPr>
                    <w:rFonts w:ascii="Cambria Math" w:hAnsi="Cambria Math"/>
                  </w:rPr>
                  <m:t>×</m:t>
                </m:r>
                <m:r>
                  <m:rPr>
                    <m:nor/>
                  </m:rPr>
                  <w:rPr>
                    <w:rFonts w:ascii="Palatino Linotype" w:hAnsi="Palatino Linotype"/>
                    <w:i/>
                    <w:iCs/>
                    <w:color w:val="DC0B13"/>
                  </w:rPr>
                  <m:t>Producción por hora trabajada</m:t>
                </m:r>
                <m:r>
                  <m:rPr>
                    <m:nor/>
                  </m:rPr>
                  <w:rPr>
                    <w:rFonts w:ascii="Cambria Math" w:hAnsi="Palatino Linotype"/>
                    <w:i/>
                    <w:iCs/>
                    <w:color w:val="DC0B13"/>
                  </w:rPr>
                  <w:br/>
                </m:r>
              </m:oMath>
              <m:oMath>
                <m:r>
                  <m:rPr>
                    <m:nor/>
                  </m:rPr>
                  <w:rPr>
                    <w:i/>
                    <w:color w:val="004481"/>
                    <w:spacing w:val="-6"/>
                    <w:szCs w:val="16"/>
                  </w:rPr>
                  <m:t>γ</m:t>
                </m:r>
                <m:f>
                  <m:fPr>
                    <m:ctrlPr>
                      <w:rPr>
                        <w:rFonts w:ascii="Cambria Math" w:hAnsi="Cambria Math"/>
                        <w:i/>
                        <w:iCs/>
                        <w:color w:val="004481"/>
                      </w:rPr>
                    </m:ctrlPr>
                  </m:fPr>
                  <m:num>
                    <m:r>
                      <m:rPr>
                        <m:nor/>
                      </m:rPr>
                      <w:rPr>
                        <w:rFonts w:ascii="Palatino Linotype" w:hAnsi="Palatino Linotype"/>
                        <w:i/>
                        <w:iCs/>
                        <w:color w:val="004481"/>
                      </w:rPr>
                      <m:t>PIB</m:t>
                    </m:r>
                  </m:num>
                  <m:den>
                    <m:r>
                      <m:rPr>
                        <m:nor/>
                      </m:rPr>
                      <w:rPr>
                        <w:rFonts w:ascii="Palatino Linotype" w:hAnsi="Palatino Linotype"/>
                        <w:i/>
                        <w:iCs/>
                        <w:color w:val="004481"/>
                      </w:rPr>
                      <m:t>PET</m:t>
                    </m:r>
                  </m:den>
                </m:f>
                <m:r>
                  <w:rPr>
                    <w:rFonts w:ascii="Cambria Math" w:hAnsi="Cambria Math"/>
                  </w:rPr>
                  <m:t>=</m:t>
                </m:r>
                <m:r>
                  <m:rPr>
                    <m:nor/>
                  </m:rPr>
                  <w:rPr>
                    <w:i/>
                    <w:color w:val="2DCCCD"/>
                    <w:spacing w:val="-6"/>
                    <w:szCs w:val="16"/>
                  </w:rPr>
                  <m:t>γ</m:t>
                </m:r>
                <m:f>
                  <m:fPr>
                    <m:ctrlPr>
                      <w:rPr>
                        <w:rFonts w:ascii="Cambria Math" w:hAnsi="Cambria Math"/>
                        <w:i/>
                        <w:iCs/>
                        <w:color w:val="2DCCCD"/>
                      </w:rPr>
                    </m:ctrlPr>
                  </m:fPr>
                  <m:num>
                    <m:r>
                      <m:rPr>
                        <m:nor/>
                      </m:rPr>
                      <w:rPr>
                        <w:rFonts w:ascii="Palatino Linotype" w:hAnsi="Palatino Linotype"/>
                        <w:i/>
                        <w:iCs/>
                        <w:color w:val="2DCCCD"/>
                      </w:rPr>
                      <m:t>Horas trabajadas</m:t>
                    </m:r>
                  </m:num>
                  <m:den>
                    <m:r>
                      <m:rPr>
                        <m:nor/>
                      </m:rPr>
                      <w:rPr>
                        <w:rFonts w:ascii="Palatino Linotype" w:hAnsi="Palatino Linotype"/>
                        <w:i/>
                        <w:iCs/>
                        <w:color w:val="2DCCCD"/>
                      </w:rPr>
                      <m:t>PET</m:t>
                    </m:r>
                  </m:den>
                </m:f>
                <m:r>
                  <w:rPr>
                    <w:rFonts w:ascii="Cambria Math" w:hAnsi="Cambria Math"/>
                  </w:rPr>
                  <m:t>+</m:t>
                </m:r>
                <m:r>
                  <m:rPr>
                    <m:nor/>
                  </m:rPr>
                  <w:rPr>
                    <w:i/>
                    <w:color w:val="DC0B13"/>
                    <w:spacing w:val="-6"/>
                    <w:szCs w:val="16"/>
                  </w:rPr>
                  <m:t>γ</m:t>
                </m:r>
                <m:r>
                  <m:rPr>
                    <m:nor/>
                  </m:rPr>
                  <w:rPr>
                    <w:rFonts w:ascii="Palatino Linotype" w:hAnsi="Palatino Linotype"/>
                    <w:i/>
                    <w:iCs/>
                    <w:color w:val="DC0B13"/>
                  </w:rPr>
                  <m:t>Producción por hora trabajada</m:t>
                </m:r>
              </m:oMath>
            </m:oMathPara>
          </w:p>
          <w:p w14:paraId="70DA78B6" w14:textId="77777777" w:rsidR="005E2367" w:rsidRPr="00FD25A0" w:rsidRDefault="005E2367" w:rsidP="00244ADF">
            <w:pPr>
              <w:pStyle w:val="Textonotapie"/>
              <w:spacing w:after="0"/>
            </w:pPr>
            <w:r w:rsidRPr="00FD25A0">
              <w:t xml:space="preserve">De este modo, el gráfico de la izquierda muestra la descomposición de la </w:t>
            </w:r>
            <w:r w:rsidRPr="00FD25A0">
              <w:rPr>
                <w:i/>
                <w:iCs/>
                <w:color w:val="004481"/>
              </w:rPr>
              <w:t>variación del PIB por Persona en Edad de Trabajar (PET)</w:t>
            </w:r>
            <w:r w:rsidRPr="00FD25A0">
              <w:t xml:space="preserve"> en </w:t>
            </w:r>
            <w:r w:rsidRPr="00FD25A0">
              <w:rPr>
                <w:i/>
                <w:iCs/>
                <w:color w:val="DC0B13"/>
              </w:rPr>
              <w:t>variación del PIB por hora trabajada</w:t>
            </w:r>
            <w:r w:rsidRPr="00FD25A0">
              <w:t xml:space="preserve"> (que </w:t>
            </w:r>
            <w:r>
              <w:t>sería similar a la variación de la</w:t>
            </w:r>
            <w:r w:rsidRPr="00FD25A0">
              <w:t xml:space="preserve"> PAT real (i.e.</w:t>
            </w:r>
            <m:oMath>
              <m:r>
                <w:rPr>
                  <w:rFonts w:ascii="Cambria Math" w:hAnsi="Cambria Math"/>
                </w:rPr>
                <m:t xml:space="preserve"> </m:t>
              </m:r>
              <m:r>
                <m:rPr>
                  <m:nor/>
                </m:rPr>
                <w:rPr>
                  <w:i/>
                  <w:spacing w:val="-6"/>
                  <w:szCs w:val="16"/>
                </w:rPr>
                <m:t xml:space="preserve">γ </m:t>
              </m:r>
              <m:sSub>
                <m:sSubPr>
                  <m:ctrlPr>
                    <w:rPr>
                      <w:rFonts w:ascii="Cambria Math" w:hAnsi="Cambria Math"/>
                      <w:i/>
                    </w:rPr>
                  </m:ctrlPr>
                </m:sSubPr>
                <m:e>
                  <m:r>
                    <m:rPr>
                      <m:nor/>
                    </m:rPr>
                    <w:rPr>
                      <w:i/>
                    </w:rPr>
                    <m:t>PAT</m:t>
                  </m:r>
                </m:e>
                <m:sub>
                  <m:r>
                    <m:rPr>
                      <m:nor/>
                    </m:rPr>
                    <w:rPr>
                      <w:i/>
                      <w:spacing w:val="-6"/>
                      <w:szCs w:val="16"/>
                    </w:rPr>
                    <m:t>real</m:t>
                  </m:r>
                </m:sub>
              </m:sSub>
            </m:oMath>
            <w:r w:rsidRPr="00FD25A0">
              <w:t xml:space="preserve">)) y </w:t>
            </w:r>
            <w:r w:rsidRPr="00FD25A0">
              <w:rPr>
                <w:i/>
                <w:iCs/>
                <w:color w:val="2DCCCD"/>
              </w:rPr>
              <w:t>variación de las horas trabajadas por persona en edad de trabajar</w:t>
            </w:r>
            <w:r w:rsidRPr="00FD25A0">
              <w:t>.</w:t>
            </w:r>
          </w:p>
        </w:tc>
        <w:tc>
          <w:tcPr>
            <w:tcW w:w="1907" w:type="dxa"/>
          </w:tcPr>
          <w:p w14:paraId="0855D2EF" w14:textId="77777777" w:rsidR="005E2367" w:rsidRDefault="005E2367" w:rsidP="00EA49D7">
            <w:pPr>
              <w:pStyle w:val="Textonotapie"/>
              <w:spacing w:after="0"/>
              <w:jc w:val="right"/>
            </w:pPr>
            <w:r>
              <w:rPr>
                <w:noProof/>
              </w:rPr>
              <w:drawing>
                <wp:inline distT="0" distB="0" distL="0" distR="0" wp14:anchorId="24176E46" wp14:editId="31EE3DC2">
                  <wp:extent cx="1063441" cy="1080000"/>
                  <wp:effectExtent l="0" t="0" r="3810" b="6350"/>
                  <wp:docPr id="847704004" name="Imagen 1" descr="Gráf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704004" name="Imagen 1" descr="Gráfico&#10;&#10;Descripción generada automáticamente"/>
                          <pic:cNvPicPr/>
                        </pic:nvPicPr>
                        <pic:blipFill rotWithShape="1">
                          <a:blip r:embed="rId2"/>
                          <a:srcRect l="5723" t="19370" r="4891" b="6314"/>
                          <a:stretch/>
                        </pic:blipFill>
                        <pic:spPr bwMode="auto">
                          <a:xfrm>
                            <a:off x="0" y="0"/>
                            <a:ext cx="1063441" cy="1080000"/>
                          </a:xfrm>
                          <a:prstGeom prst="rect">
                            <a:avLst/>
                          </a:prstGeom>
                          <a:ln>
                            <a:noFill/>
                          </a:ln>
                          <a:extLst>
                            <a:ext uri="{53640926-AAD7-44D8-BBD7-CCE9431645EC}">
                              <a14:shadowObscured xmlns:a14="http://schemas.microsoft.com/office/drawing/2010/main"/>
                            </a:ext>
                          </a:extLst>
                        </pic:spPr>
                      </pic:pic>
                    </a:graphicData>
                  </a:graphic>
                </wp:inline>
              </w:drawing>
            </w:r>
          </w:p>
        </w:tc>
      </w:tr>
    </w:tbl>
    <w:p w14:paraId="45C4A5BF" w14:textId="77777777" w:rsidR="005E2367" w:rsidRPr="00244ADF" w:rsidRDefault="005E2367" w:rsidP="005E2367">
      <w:pPr>
        <w:pStyle w:val="Textonotapie"/>
        <w:rPr>
          <w:sz w:val="2"/>
          <w:szCs w:val="2"/>
        </w:rPr>
      </w:pPr>
    </w:p>
  </w:footnote>
  <w:footnote w:id="23">
    <w:p w14:paraId="4534C56B" w14:textId="5F1C255A" w:rsidR="00C41A35" w:rsidRDefault="00C41A35">
      <w:pPr>
        <w:pStyle w:val="Textonotapie"/>
      </w:pPr>
      <w:r>
        <w:rPr>
          <w:rStyle w:val="Refdenotaalpie"/>
        </w:rPr>
        <w:footnoteRef/>
      </w:r>
      <w:r>
        <w:t xml:space="preserve"> </w:t>
      </w:r>
      <w:r w:rsidRPr="00C41A35">
        <w:t>Mientras que los salarios reflejan rentas del empleo, la renta total también incluye transferencias y otras rentas no relacionadas con el trabajo. En economías en las que las transferencias y otras rentas (p.ej. subsidios a la alimentación o a la vivienda) son más relevantes, puede ocurrir que el salario no sea un buen indicador del nivel de vida.</w:t>
      </w:r>
    </w:p>
  </w:footnote>
  <w:footnote w:id="24">
    <w:p w14:paraId="17CE5E7D" w14:textId="10276946" w:rsidR="00DB7236" w:rsidRDefault="00DB7236">
      <w:pPr>
        <w:pStyle w:val="Textonotapie"/>
      </w:pPr>
      <w:r>
        <w:rPr>
          <w:rStyle w:val="Refdenotaalpie"/>
        </w:rPr>
        <w:footnoteRef/>
      </w:r>
      <w:r>
        <w:t xml:space="preserve"> </w:t>
      </w:r>
      <w:hyperlink r:id="rId3" w:history="1">
        <w:r w:rsidRPr="005A2D43">
          <w:rPr>
            <w:rStyle w:val="Hipervnculo"/>
            <w:spacing w:val="-2"/>
            <w:sz w:val="12"/>
            <w:szCs w:val="12"/>
          </w:rPr>
          <w:t>https://www.ucm.es/data/cont/docs/518-2015-04-29-COSTE%20LABORAL%20UNITARIO.pdf</w:t>
        </w:r>
      </w:hyperlink>
    </w:p>
  </w:footnote>
  <w:footnote w:id="25">
    <w:p w14:paraId="49CE507C" w14:textId="42E81971" w:rsidR="002F608C" w:rsidRDefault="002F608C" w:rsidP="002F608C">
      <w:pPr>
        <w:pStyle w:val="Textonotapie"/>
        <w:keepNext/>
        <w:spacing w:after="0"/>
      </w:pPr>
      <w:r>
        <w:rPr>
          <w:rStyle w:val="Refdenotaalpie"/>
        </w:rPr>
        <w:footnoteRef/>
      </w:r>
      <w:r>
        <w:t xml:space="preserve"> Notas sobre CLU:</w:t>
      </w:r>
    </w:p>
    <w:p w14:paraId="0AF273BA" w14:textId="0158B36D" w:rsidR="002F608C" w:rsidRDefault="002F608C">
      <w:pPr>
        <w:pStyle w:val="Textonotapie"/>
        <w:numPr>
          <w:ilvl w:val="0"/>
          <w:numId w:val="28"/>
        </w:numPr>
        <w:ind w:left="283" w:hanging="113"/>
      </w:pPr>
      <w:r>
        <w:t>Asumiendo que nos encontremos en un país de la zona euro, la “regla de oro” (</w:t>
      </w:r>
      <w:r w:rsidRPr="002F608C">
        <w:rPr>
          <w:smallCaps/>
        </w:rPr>
        <w:t>Watt</w:t>
      </w:r>
      <w:r>
        <w:t xml:space="preserve">, 2007) del crecimiento de los salarios nominales es que estos crezcan 2 % más que el crecimiento de la productividad, de tal manera que los CLU reales se mantengan estables (con una inflación de “regla de oro” del 2 %). Por tanto, no </w:t>
      </w:r>
      <w:r w:rsidR="004C4845">
        <w:t xml:space="preserve">hay que </w:t>
      </w:r>
      <w:r>
        <w:t xml:space="preserve">criticar que los CLU crezcan a niveles cercanos al 2 %, sino todo lo contrario. </w:t>
      </w:r>
    </w:p>
    <w:p w14:paraId="124E4F69" w14:textId="5D24CA68" w:rsidR="002F608C" w:rsidRDefault="002F608C">
      <w:pPr>
        <w:pStyle w:val="Textonotapie"/>
        <w:numPr>
          <w:ilvl w:val="0"/>
          <w:numId w:val="28"/>
        </w:numPr>
        <w:ind w:left="283" w:hanging="113"/>
      </w:pPr>
      <w:r>
        <w:t>Múltiples estudios discuten la relevancia de los CLU como verdaderos criterios de competitividad exterior. Según estos, los CLU serían un dato relevante a nivel micro</w:t>
      </w:r>
      <w:r w:rsidR="00E339F3">
        <w:t>económico</w:t>
      </w:r>
      <w:r>
        <w:t xml:space="preserve"> pero no macro</w:t>
      </w:r>
      <w:r w:rsidR="00E339F3">
        <w:t>económico</w:t>
      </w:r>
      <w:r>
        <w:t xml:space="preserve">. La acreditada ausencia de relación empírica negativa entre el crecimiento de los CLU y crecimiento del PIB se conoce como la Paradoja de </w:t>
      </w:r>
      <w:proofErr w:type="spellStart"/>
      <w:r>
        <w:t>Kaldor</w:t>
      </w:r>
      <w:proofErr w:type="spellEnd"/>
      <w:r>
        <w:t xml:space="preserve"> (</w:t>
      </w:r>
      <w:hyperlink r:id="rId4" w:history="1">
        <w:r w:rsidRPr="00097556">
          <w:rPr>
            <w:rStyle w:val="Hipervnculo"/>
          </w:rPr>
          <w:t>http://www.levyinstitute.org/pubs/wp_651.pdf</w:t>
        </w:r>
      </w:hyperlink>
      <w:r>
        <w:t>)</w:t>
      </w:r>
    </w:p>
  </w:footnote>
  <w:footnote w:id="26">
    <w:p w14:paraId="23390A99" w14:textId="77777777" w:rsidR="009D590C" w:rsidRDefault="001A427E" w:rsidP="002D47C4">
      <w:pPr>
        <w:pStyle w:val="Textonotapie"/>
        <w:keepNext/>
        <w:keepLines w:val="0"/>
        <w:spacing w:after="0"/>
      </w:pPr>
      <w:r>
        <w:rPr>
          <w:rStyle w:val="Refdenotaalpie"/>
        </w:rPr>
        <w:footnoteRef/>
      </w:r>
      <w:r>
        <w:t xml:space="preserve"> </w:t>
      </w:r>
      <w:r w:rsidR="009D590C">
        <w:t>E</w:t>
      </w:r>
      <w:r w:rsidR="009D590C" w:rsidRPr="009D590C">
        <w:t>l pleno empleo</w:t>
      </w:r>
      <w:r w:rsidR="009D590C">
        <w:t xml:space="preserve"> es</w:t>
      </w:r>
      <w:r w:rsidR="009D590C" w:rsidRPr="009D590C">
        <w:t xml:space="preserve"> una situación en que todas las personas disponibles y que busquen empleo puedan obtenerlo a las tasas de remuneración y condiciones imperantes en el mercado</w:t>
      </w:r>
      <w:r w:rsidR="009D590C">
        <w:t>.</w:t>
      </w:r>
      <w:r w:rsidR="009D590C" w:rsidRPr="009D590C">
        <w:t xml:space="preserve"> </w:t>
      </w:r>
      <w:r>
        <w:t xml:space="preserve">El pleno empleo no significa que deba haber cero desempleados – siempre habrá algunos desempleados temporales mientras cambian de trabajo o por otros motivos. Pleno empleo </w:t>
      </w:r>
      <w:r w:rsidR="009D590C">
        <w:t>quiere decir que los que no trabajan lo hacen voluntariamente. En esta situación los recursos laborales son utilizados y un aumento en la demanda de trabajadores causaría un aumento en los salarios</w:t>
      </w:r>
      <w:r>
        <w:t>.</w:t>
      </w:r>
    </w:p>
    <w:p w14:paraId="1CC98124" w14:textId="7084E53C" w:rsidR="001A427E" w:rsidRDefault="009D590C" w:rsidP="002D47C4">
      <w:pPr>
        <w:pStyle w:val="Textonotapie"/>
        <w:numPr>
          <w:ilvl w:val="0"/>
          <w:numId w:val="12"/>
        </w:numPr>
        <w:spacing w:after="0"/>
        <w:ind w:left="283" w:hanging="113"/>
      </w:pPr>
      <w:r>
        <w:t xml:space="preserve">Para la mayoría de </w:t>
      </w:r>
      <w:r w:rsidRPr="009D590C">
        <w:rPr>
          <w:i/>
          <w:iCs/>
        </w:rPr>
        <w:t>economías avanzadas</w:t>
      </w:r>
      <w:r>
        <w:t xml:space="preserve"> corresponde en la práctica a tasas de desempleo de entre el 3</w:t>
      </w:r>
      <w:r w:rsidR="002D47C4">
        <w:t> </w:t>
      </w:r>
      <w:r>
        <w:t>% y el 6</w:t>
      </w:r>
      <w:r w:rsidR="002D47C4">
        <w:t> </w:t>
      </w:r>
      <w:r>
        <w:t>%.</w:t>
      </w:r>
    </w:p>
    <w:p w14:paraId="3E7CE353" w14:textId="2599EBFC" w:rsidR="009D590C" w:rsidRDefault="009D590C" w:rsidP="002D47C4">
      <w:pPr>
        <w:pStyle w:val="Textonotapie"/>
        <w:numPr>
          <w:ilvl w:val="0"/>
          <w:numId w:val="12"/>
        </w:numPr>
        <w:ind w:left="283" w:hanging="113"/>
      </w:pPr>
      <w:r>
        <w:t xml:space="preserve">Para </w:t>
      </w:r>
      <w:r w:rsidRPr="009D590C">
        <w:rPr>
          <w:i/>
          <w:iCs/>
        </w:rPr>
        <w:t>países menos desarrollados</w:t>
      </w:r>
      <w:r>
        <w:t xml:space="preserve"> (y sorprendentemente en algunos países desarrollados recientemente) tasas de desempleo bajas pueden no ser positivas. Hay personas que están registradas como empleadas, pero que trabajan pocas horas a la semana o en condiciones de precariedad con rentas muy bajas y pocas perspectivas de mejora.</w:t>
      </w:r>
    </w:p>
    <w:p w14:paraId="641B2C0D" w14:textId="2287D87B" w:rsidR="001A427E" w:rsidRPr="000548FB" w:rsidRDefault="001A427E" w:rsidP="00DD3E5C">
      <w:pPr>
        <w:pStyle w:val="Textonotapie"/>
        <w:rPr>
          <w:sz w:val="11"/>
          <w:szCs w:val="11"/>
        </w:rPr>
      </w:pPr>
      <w:hyperlink r:id="rId5" w:history="1">
        <w:r w:rsidRPr="000548FB">
          <w:rPr>
            <w:rStyle w:val="Hipervnculo"/>
            <w:sz w:val="11"/>
            <w:szCs w:val="11"/>
          </w:rPr>
          <w:t>https://www.ilo.org/employment/Informationresources/Publicinformation/articles/WCMS_730021/lang--en/index.htm</w:t>
        </w:r>
      </w:hyperlink>
    </w:p>
  </w:footnote>
  <w:footnote w:id="27">
    <w:p w14:paraId="3B70C10B" w14:textId="4927D0EF" w:rsidR="00A43C9C" w:rsidRDefault="00A43C9C" w:rsidP="00A43C9C">
      <w:pPr>
        <w:pStyle w:val="Textonotapie"/>
      </w:pPr>
      <w:r>
        <w:rPr>
          <w:rStyle w:val="Refdenotaalpie"/>
        </w:rPr>
        <w:footnoteRef/>
      </w:r>
      <w:r>
        <w:t xml:space="preserve"> Si vemos que existe una débil demanda interna, hacer referencia a un posible </w:t>
      </w:r>
      <w:r w:rsidRPr="00A43C9C">
        <w:rPr>
          <w:i/>
          <w:iCs/>
        </w:rPr>
        <w:t>desempleo de tipo keynesiano</w:t>
      </w:r>
      <w:r>
        <w:t xml:space="preserve">. En caso de que haya una rigidez salarial el </w:t>
      </w:r>
      <w:r w:rsidRPr="00A43C9C">
        <w:rPr>
          <w:i/>
          <w:iCs/>
        </w:rPr>
        <w:t>desempleo ser</w:t>
      </w:r>
      <w:r>
        <w:rPr>
          <w:i/>
          <w:iCs/>
        </w:rPr>
        <w:t>ía</w:t>
      </w:r>
      <w:r w:rsidRPr="00A43C9C">
        <w:rPr>
          <w:i/>
          <w:iCs/>
        </w:rPr>
        <w:t xml:space="preserve"> de tipo clásico</w:t>
      </w:r>
      <w:r>
        <w:t>.</w:t>
      </w:r>
    </w:p>
  </w:footnote>
  <w:footnote w:id="28">
    <w:p w14:paraId="48F27655" w14:textId="77777777" w:rsidR="00BA0AF5" w:rsidRDefault="00BA0AF5" w:rsidP="00BA0AF5">
      <w:pPr>
        <w:pStyle w:val="Textonotapie"/>
      </w:pPr>
      <w:r>
        <w:rPr>
          <w:rStyle w:val="Refdenotaalpie"/>
        </w:rPr>
        <w:footnoteRef/>
      </w:r>
      <w:r>
        <w:t xml:space="preserve"> La curva de Beveridge española nos permite ver que entre 2007 y 2009 se produjo un desplazamiento hacia el exterior, lo que se interpreta como un aumento del desajuste en el mercado de trabajo y una menor eficiencia en el emparejamiento de desempleados y vacantes. Los desplazamientos a lo largo de la curva de Beveridge (como entre 2010 y 2013), son principalmente resultado del ciclo económico. Durante la recuperación de la Gran Recesión entre 2013 y 2019, la curva de Beveridge deshizo el camino realizado durante la crisis, con desplazamientos hacia el origen de esta curva y aumentos de la relación vacantes/desempleados, de modo que, en el primer trimestre de 2020, la ratio entre vacantes y desempleo se situaba en un nivel consistente con el ciclo expansivo anterior a la Gran Recesión. El año más parecido al primer trimestre de 2020, en cuanto a la relación vacantes-desempleo, es 1999.</w:t>
      </w:r>
    </w:p>
    <w:p w14:paraId="18B27253" w14:textId="77777777" w:rsidR="00BA0AF5" w:rsidRDefault="00BA0AF5" w:rsidP="00BA0AF5">
      <w:pPr>
        <w:pStyle w:val="Textonotapie"/>
      </w:pPr>
      <w:r>
        <w:t>Los datos desde el cuarto trimestre de 2021 hasta el segundo trimestre de 2022 sitúan a la economía española con un nivel de tensionamiento superior y creciente respecto al de 2019. Los dos últimos trimestres de 2022 han supuesto un nuevo incremento considerable de las vacantes (de 0,58 % a 0,66 %) acompañado de un ligero empeoramiento de la tasa de desempleo (del 12,5 % al 13 %), alejando a la economía española ligeramente de la Curva de Beveridge inicial. A la espera de la evolución del mercado de trabajo en 2023, lo que parece obvio es que la ratio de vacantes sobre desempleo ha pasado de un promedio de 0,03 en 2019 a 0,05 en el cuarto trimestre de 2022, lo que, sin duda, puede constituir un elemento adicional de presión sobre la inflación salarial y general en los próximos trimestres.</w:t>
      </w:r>
    </w:p>
  </w:footnote>
  <w:footnote w:id="29">
    <w:p w14:paraId="576CCF53" w14:textId="5392DB5E" w:rsidR="00D25F61" w:rsidRDefault="00D25F61" w:rsidP="00D25F61">
      <w:pPr>
        <w:pStyle w:val="Textonotapie"/>
        <w:spacing w:after="0"/>
      </w:pPr>
      <w:r>
        <w:rPr>
          <w:rStyle w:val="Refdenotaalpie"/>
        </w:rPr>
        <w:footnoteRef/>
      </w:r>
      <w:r>
        <w:t xml:space="preserve"> La composición de la cesta usada para compilar el IPC está basada en los datos de gasto reportados por los agentes mediante una encuesta sobre la renta y el gasto.</w:t>
      </w:r>
    </w:p>
  </w:footnote>
  <w:footnote w:id="30">
    <w:p w14:paraId="636B523A" w14:textId="77777777" w:rsidR="00D25F61" w:rsidRDefault="00BC435D" w:rsidP="00D25F61">
      <w:pPr>
        <w:pStyle w:val="Textonotapie"/>
        <w:spacing w:after="0"/>
      </w:pPr>
      <w:r>
        <w:rPr>
          <w:rStyle w:val="Refdenotaalpie"/>
        </w:rPr>
        <w:footnoteRef/>
      </w:r>
      <w:r>
        <w:t xml:space="preserve"> Las agencias estadísticas nacionales también computan distintas agregaciones del IPC para medir los cambios relevantes para distintos subconjuntos de la población (p.ej. a nivel geográfico) o para reflejar conceptos y definiciones armonizados, como el </w:t>
      </w:r>
      <w:r w:rsidRPr="001A2BBC">
        <w:rPr>
          <w:i/>
          <w:iCs/>
        </w:rPr>
        <w:t>Índice de Precios al Consumo Armonizado</w:t>
      </w:r>
      <w:r>
        <w:t xml:space="preserve"> (IPCA) de la UE.</w:t>
      </w:r>
    </w:p>
    <w:p w14:paraId="281EED95" w14:textId="77777777" w:rsidR="00D25F61" w:rsidRDefault="00BC435D" w:rsidP="00D25F61">
      <w:pPr>
        <w:pStyle w:val="Textonotapie"/>
        <w:spacing w:after="0"/>
      </w:pPr>
      <w:r>
        <w:t>Los países designan un índice como índice general de precios al consumo como principal índice de referencia para la conducción de políticas macroeconómicas.</w:t>
      </w:r>
    </w:p>
    <w:p w14:paraId="28FF5625" w14:textId="60E013B0" w:rsidR="00BC435D" w:rsidRDefault="00D25F61" w:rsidP="00BC435D">
      <w:pPr>
        <w:pStyle w:val="Textonotapie"/>
      </w:pPr>
      <w:r>
        <w:t>E</w:t>
      </w:r>
      <w:r w:rsidR="00BC435D">
        <w:t>l IPC normalmente se calcula al menos una vez al mes; sin embargo, hay algunos países que calculan el índice de forma trimestral.</w:t>
      </w:r>
    </w:p>
  </w:footnote>
  <w:footnote w:id="31">
    <w:p w14:paraId="341C7A7B" w14:textId="5B11E0CA" w:rsidR="004A34C7" w:rsidRDefault="004A34C7">
      <w:pPr>
        <w:pStyle w:val="Textonotapie"/>
      </w:pPr>
      <w:r>
        <w:rPr>
          <w:rStyle w:val="Refdenotaalpie"/>
        </w:rPr>
        <w:footnoteRef/>
      </w:r>
      <w:r>
        <w:t xml:space="preserve"> A lo largo del tiempo, algunos precios crecen más que otros. Los consumidores tienden a comprar menos bienes con un mayor precio relativo, modificando su cesta de consumo hacia los bienes que les permiten maximizar su utilidad. Como el IPC asume que los consumidores van a comprar la misma cesta de bienes y servicios (la cesta del período base), esto significa que los ítems cuyo precio haya aumentado más reciben demasiado peso en el índice porque los consumidores los sustituirán por otros</w:t>
      </w:r>
      <w:r w:rsidR="00535B86">
        <w:t>, y viceversa. En otras palabras, El IPC muestra más inflación de la sufrida por los consumidores porque no refleja el hecho de que los individuos sustituyen ítems más baratos por ítems más caros.</w:t>
      </w:r>
    </w:p>
  </w:footnote>
  <w:footnote w:id="32">
    <w:p w14:paraId="2EB43233" w14:textId="59B03933" w:rsidR="00761238" w:rsidRDefault="00761238">
      <w:pPr>
        <w:pStyle w:val="Textonotapie"/>
      </w:pPr>
      <w:r>
        <w:rPr>
          <w:rStyle w:val="Refdenotaalpie"/>
        </w:rPr>
        <w:footnoteRef/>
      </w:r>
      <w:r>
        <w:t xml:space="preserve"> </w:t>
      </w:r>
      <w:r w:rsidRPr="00761238">
        <w:t xml:space="preserve">Se asigna un valor de 100 al índice en un </w:t>
      </w:r>
      <w:r w:rsidRPr="007B4B56">
        <w:t>período base</w:t>
      </w:r>
      <w:r w:rsidRPr="00761238">
        <w:t xml:space="preserve"> seleccionado, y los valores del índice para otros períodos indican el cambio porcentual medio en precios comparado con el período de base.</w:t>
      </w:r>
      <w:r w:rsidR="00E76CFE">
        <w:t xml:space="preserve"> </w:t>
      </w:r>
      <w:r w:rsidR="00E76CFE" w:rsidRPr="00E76CFE">
        <w:t>Ambos son números-índices: si viene en porcentaje no es el IPC ni el deflactor del PIB, sino la tasa de variación del índice.</w:t>
      </w:r>
    </w:p>
  </w:footnote>
  <w:footnote w:id="33">
    <w:p w14:paraId="5BBB4451" w14:textId="3EED20C9" w:rsidR="0084513B" w:rsidRDefault="0084513B" w:rsidP="0084513B">
      <w:pPr>
        <w:pStyle w:val="Textonotapie"/>
        <w:keepNext/>
        <w:spacing w:after="0"/>
      </w:pPr>
      <w:r>
        <w:rPr>
          <w:rStyle w:val="Refdenotaalpie"/>
        </w:rPr>
        <w:footnoteRef/>
      </w:r>
      <w:r>
        <w:t xml:space="preserve"> Existen tres grandes clases de medidas de inflación subyacente:</w:t>
      </w:r>
    </w:p>
    <w:p w14:paraId="2A0FA2C0" w14:textId="4E5752CB" w:rsidR="0084513B" w:rsidRDefault="0084513B">
      <w:pPr>
        <w:pStyle w:val="Textonotapie"/>
        <w:numPr>
          <w:ilvl w:val="0"/>
          <w:numId w:val="25"/>
        </w:numPr>
        <w:spacing w:after="0"/>
        <w:ind w:left="397" w:hanging="113"/>
      </w:pPr>
      <w:r>
        <w:t xml:space="preserve">Medidas que excluyen </w:t>
      </w:r>
      <w:r w:rsidR="00834463">
        <w:t xml:space="preserve">ciertos </w:t>
      </w:r>
      <w:r>
        <w:t>componentes pre</w:t>
      </w:r>
      <w:r w:rsidR="00834463">
        <w:t xml:space="preserve">viamente </w:t>
      </w:r>
      <w:r>
        <w:t>identificados del IPC</w:t>
      </w:r>
      <w:r w:rsidR="00834463">
        <w:t xml:space="preserve"> (p.ej. IPC excluyendo comida y energía).</w:t>
      </w:r>
    </w:p>
    <w:p w14:paraId="1B5843FC" w14:textId="1E27FAC7" w:rsidR="0084513B" w:rsidRDefault="0084513B">
      <w:pPr>
        <w:pStyle w:val="Textonotapie"/>
        <w:numPr>
          <w:ilvl w:val="0"/>
          <w:numId w:val="25"/>
        </w:numPr>
        <w:spacing w:after="0"/>
        <w:ind w:left="397" w:hanging="113"/>
      </w:pPr>
      <w:r>
        <w:t xml:space="preserve">Medidas que excluyen </w:t>
      </w:r>
      <w:r w:rsidR="00834463">
        <w:t>ciertos componentes que cambian en cada período en función de su volatilidad.</w:t>
      </w:r>
    </w:p>
    <w:p w14:paraId="67BDD844" w14:textId="64C8AA6C" w:rsidR="0084513B" w:rsidRDefault="0084513B">
      <w:pPr>
        <w:pStyle w:val="Textonotapie"/>
        <w:numPr>
          <w:ilvl w:val="0"/>
          <w:numId w:val="25"/>
        </w:numPr>
        <w:spacing w:after="0"/>
        <w:ind w:left="397" w:hanging="113"/>
      </w:pPr>
      <w:r>
        <w:t xml:space="preserve">Medidas que </w:t>
      </w:r>
      <w:r w:rsidR="00834463">
        <w:t>infravaloran los componentes más volátiles.</w:t>
      </w:r>
    </w:p>
  </w:footnote>
  <w:footnote w:id="34">
    <w:p w14:paraId="03AFAD1A" w14:textId="03E6E2CE" w:rsidR="000B514B" w:rsidRDefault="000B514B">
      <w:pPr>
        <w:pStyle w:val="Textonotapie"/>
      </w:pPr>
      <w:r>
        <w:rPr>
          <w:rStyle w:val="Refdenotaalpie"/>
        </w:rPr>
        <w:footnoteRef/>
      </w:r>
      <w:r>
        <w:t xml:space="preserve"> Conforme al VI</w:t>
      </w:r>
      <w:r w:rsidR="00B265B9">
        <w:t> </w:t>
      </w:r>
      <w:r>
        <w:t xml:space="preserve">Manual de la Balanza de Pagos del FMI, la estructura de ésta debería ser como la señalada arriba, de forma que un </w:t>
      </w:r>
      <w:r w:rsidRPr="000B514B">
        <w:rPr>
          <w:i/>
          <w:iCs/>
        </w:rPr>
        <w:t>aumento de los</w:t>
      </w:r>
      <w:r>
        <w:t xml:space="preserve"> </w:t>
      </w:r>
      <w:r w:rsidRPr="000B514B">
        <w:rPr>
          <w:i/>
          <w:iCs/>
        </w:rPr>
        <w:t>activos</w:t>
      </w:r>
      <w:r>
        <w:t xml:space="preserve"> netos de la economía (i.e. salida de capitales) se computa en la cuenta financiera con signo </w:t>
      </w:r>
      <w:r w:rsidRPr="000B514B">
        <w:rPr>
          <w:i/>
          <w:iCs/>
        </w:rPr>
        <w:t>positivo</w:t>
      </w:r>
      <w:r>
        <w:t xml:space="preserve">, y una </w:t>
      </w:r>
      <w:r>
        <w:rPr>
          <w:i/>
          <w:iCs/>
        </w:rPr>
        <w:t>necesidad</w:t>
      </w:r>
      <w:r>
        <w:t xml:space="preserve"> de financiación se refleja con un saldo </w:t>
      </w:r>
      <w:r>
        <w:rPr>
          <w:i/>
          <w:iCs/>
        </w:rPr>
        <w:t>negativo</w:t>
      </w:r>
      <w:r>
        <w:t>.</w:t>
      </w:r>
    </w:p>
    <w:p w14:paraId="3FDEC2BE" w14:textId="6855BB3F" w:rsidR="000B514B" w:rsidRDefault="000B514B" w:rsidP="000B514B">
      <w:pPr>
        <w:pStyle w:val="Textonotapie"/>
        <w:keepNext/>
        <w:spacing w:after="0"/>
      </w:pPr>
      <w:r>
        <w:t>No obstante, se permite también expresarla de esta manera:</w:t>
      </w:r>
    </w:p>
    <w:p w14:paraId="6BDEEE1E" w14:textId="69CE04FA" w:rsidR="000B514B" w:rsidRPr="000B514B" w:rsidRDefault="000B514B" w:rsidP="003A5271">
      <w:pPr>
        <w:pStyle w:val="Textonotapie"/>
        <w:rPr>
          <w:i/>
          <w:szCs w:val="14"/>
        </w:rPr>
      </w:pPr>
      <m:oMathPara>
        <m:oMath>
          <m:r>
            <m:rPr>
              <m:nor/>
            </m:rPr>
            <w:rPr>
              <w:i/>
              <w:iCs/>
              <w:szCs w:val="14"/>
            </w:rPr>
            <m:t>CC</m:t>
          </m:r>
          <m:r>
            <w:rPr>
              <w:rStyle w:val="Hipervnculo"/>
              <w:rFonts w:ascii="Cambria Math" w:hAnsi="Cambria Math"/>
              <w:color w:val="auto"/>
              <w:szCs w:val="14"/>
              <w:u w:val="none"/>
            </w:rPr>
            <m:t>+</m:t>
          </m:r>
          <m:r>
            <m:rPr>
              <m:nor/>
            </m:rPr>
            <w:rPr>
              <w:i/>
              <w:iCs/>
              <w:szCs w:val="14"/>
            </w:rPr>
            <m:t>CK</m:t>
          </m:r>
          <m:r>
            <w:rPr>
              <w:rFonts w:ascii="Cambria Math" w:hAnsi="Cambria Math"/>
              <w:szCs w:val="14"/>
            </w:rPr>
            <m:t>+</m:t>
          </m:r>
          <m:r>
            <m:rPr>
              <m:nor/>
            </m:rPr>
            <w:rPr>
              <w:i/>
              <w:iCs/>
              <w:szCs w:val="14"/>
            </w:rPr>
            <m:t>EO</m:t>
          </m:r>
          <m:r>
            <w:rPr>
              <w:rFonts w:ascii="Cambria Math" w:hAnsi="Cambria Math"/>
              <w:szCs w:val="14"/>
            </w:rPr>
            <m:t>+</m:t>
          </m:r>
          <m:r>
            <m:rPr>
              <m:nor/>
            </m:rPr>
            <w:rPr>
              <w:i/>
              <w:iCs/>
              <w:szCs w:val="14"/>
            </w:rPr>
            <m:t>CF</m:t>
          </m:r>
          <m:r>
            <w:rPr>
              <w:rStyle w:val="Hipervnculo"/>
              <w:rFonts w:ascii="Cambria Math" w:hAnsi="Cambria Math"/>
              <w:color w:val="auto"/>
              <w:szCs w:val="14"/>
              <w:u w:val="none"/>
            </w:rPr>
            <m:t>=</m:t>
          </m:r>
          <m:r>
            <m:rPr>
              <m:nor/>
            </m:rPr>
            <w:rPr>
              <w:i/>
              <w:iCs/>
              <w:szCs w:val="14"/>
            </w:rPr>
            <m:t>0</m:t>
          </m:r>
          <m:r>
            <m:rPr>
              <m:sty m:val="p"/>
            </m:rPr>
            <w:rPr>
              <w:rFonts w:eastAsiaTheme="minorEastAsia"/>
              <w:szCs w:val="14"/>
            </w:rPr>
            <w:br/>
          </m:r>
        </m:oMath>
      </m:oMathPara>
      <w:r>
        <w:t xml:space="preserve">de forma que un </w:t>
      </w:r>
      <w:r w:rsidRPr="000B514B">
        <w:rPr>
          <w:i/>
          <w:iCs/>
        </w:rPr>
        <w:t>aumento de los</w:t>
      </w:r>
      <w:r>
        <w:t xml:space="preserve"> </w:t>
      </w:r>
      <w:r w:rsidRPr="000B514B">
        <w:rPr>
          <w:i/>
          <w:iCs/>
        </w:rPr>
        <w:t>activos</w:t>
      </w:r>
      <w:r>
        <w:t xml:space="preserve"> netos de la economía (i.e. salida de capitales) se computa en la cuenta financiera con signo </w:t>
      </w:r>
      <w:r>
        <w:rPr>
          <w:i/>
          <w:iCs/>
        </w:rPr>
        <w:t>negat</w:t>
      </w:r>
      <w:r w:rsidRPr="000B514B">
        <w:rPr>
          <w:i/>
          <w:iCs/>
        </w:rPr>
        <w:t>ivo</w:t>
      </w:r>
      <w:r>
        <w:t xml:space="preserve">, y una </w:t>
      </w:r>
      <w:r>
        <w:rPr>
          <w:i/>
          <w:iCs/>
        </w:rPr>
        <w:t>necesidad</w:t>
      </w:r>
      <w:r>
        <w:t xml:space="preserve"> de financiación se refleja con un saldo </w:t>
      </w:r>
      <w:r>
        <w:rPr>
          <w:i/>
          <w:iCs/>
        </w:rPr>
        <w:t>positivo</w:t>
      </w:r>
      <w:r>
        <w:t>.</w:t>
      </w:r>
    </w:p>
  </w:footnote>
  <w:footnote w:id="35">
    <w:p w14:paraId="47AB6FD1" w14:textId="1747776C" w:rsidR="00BF79DD" w:rsidRDefault="00BF79DD" w:rsidP="00BF79DD">
      <w:pPr>
        <w:pStyle w:val="Textonotapie"/>
        <w:keepNext/>
        <w:spacing w:after="0"/>
      </w:pPr>
      <w:r>
        <w:rPr>
          <w:rStyle w:val="Refdenotaalpie"/>
        </w:rPr>
        <w:footnoteRef/>
      </w:r>
      <w:r>
        <w:t xml:space="preserve"> Una combinación de políticas macroeconómicas conducentes a una senda de crecimiento equilibrado es siempre la mejor manera de evitar problemas de balanza de pagos a medio plazo. No obstante, la literatura sobre la acumulación de reservas por motivo precaución (FMI, 2011) proporciona algunos indicadores simples que pueden servir de guía para valorar si un país tiene un nivel de reservas insuficiente o excesivo para hacer frente a futuros shocks:</w:t>
      </w:r>
    </w:p>
    <w:p w14:paraId="16ED73AE" w14:textId="4230DBE9" w:rsidR="00BF79DD" w:rsidRDefault="00BF79DD">
      <w:pPr>
        <w:pStyle w:val="Textonotapie"/>
        <w:numPr>
          <w:ilvl w:val="0"/>
          <w:numId w:val="34"/>
        </w:numPr>
        <w:spacing w:after="0"/>
        <w:ind w:left="283" w:hanging="113"/>
      </w:pPr>
      <w:r w:rsidRPr="00BF79DD">
        <w:rPr>
          <w:i/>
          <w:iCs/>
        </w:rPr>
        <w:t>Cobertura de importaciones</w:t>
      </w:r>
      <w:r>
        <w:t>: Tradicionalmente se ha considerado que los países deben disponer de un volumen de reservas que les permita al menos cubrir 3 meses de importaciones. Es una prueba de resistencia sobre la capacidad de las reservas para financiar las importaciones en caso de que el país pierda acceso a sus ingresos por exportación y a las entradas de capital. Es útil para medir los riesgos de países menos avanzados con limitado acceso a los mercados de capitales.</w:t>
      </w:r>
    </w:p>
    <w:p w14:paraId="2E7B8A04" w14:textId="74CC039C" w:rsidR="00BF79DD" w:rsidRDefault="00BF79DD">
      <w:pPr>
        <w:pStyle w:val="Textonotapie"/>
        <w:numPr>
          <w:ilvl w:val="0"/>
          <w:numId w:val="34"/>
        </w:numPr>
        <w:spacing w:after="0"/>
        <w:ind w:left="283" w:hanging="113"/>
      </w:pPr>
      <w:r w:rsidRPr="00BF79DD">
        <w:rPr>
          <w:i/>
          <w:iCs/>
        </w:rPr>
        <w:t>Cobertura de deuda a corto plazo (regla “Greenspan-</w:t>
      </w:r>
      <w:proofErr w:type="spellStart"/>
      <w:r w:rsidRPr="00BF79DD">
        <w:rPr>
          <w:i/>
          <w:iCs/>
        </w:rPr>
        <w:t>Guidotti</w:t>
      </w:r>
      <w:proofErr w:type="spellEnd"/>
      <w:r w:rsidRPr="00BF79DD">
        <w:rPr>
          <w:i/>
          <w:iCs/>
        </w:rPr>
        <w:t>”)</w:t>
      </w:r>
      <w:r>
        <w:t>: El saldo de reservas debe cubrir el 100 % de la deuda externa a corto plazo. Es una regla más relevante para economía emergentes con acceso a los mercados de capitales. Como limitaciones de esta regla, es precios mencionar que está orientada a medir riesgos de liquidez pero no de solvencia y que no tienen en cuenta los pasivos externos en forma de acciones o derivados.</w:t>
      </w:r>
    </w:p>
    <w:p w14:paraId="08B0AF5B" w14:textId="6A10E077" w:rsidR="00BF79DD" w:rsidRDefault="00BF79DD">
      <w:pPr>
        <w:pStyle w:val="Textonotapie"/>
        <w:numPr>
          <w:ilvl w:val="0"/>
          <w:numId w:val="34"/>
        </w:numPr>
        <w:ind w:left="283" w:hanging="113"/>
      </w:pPr>
      <w:r w:rsidRPr="00BF79DD">
        <w:rPr>
          <w:i/>
          <w:iCs/>
        </w:rPr>
        <w:t>Cobertura de la base monetaria</w:t>
      </w:r>
      <w:r>
        <w:t xml:space="preserve">: Los países deben tener un volumen de reservas de al menos el 20 % del agregado monetario M2 (efectivo más depósitos a la vista y de ahorro). Pretende reflejar el riesgo de una huida de capitales derivada de una pérdida de confianza de depositantes. Es particularmente relevante para países con tipos de cambio fijos, como </w:t>
      </w:r>
      <w:proofErr w:type="spellStart"/>
      <w:r>
        <w:t>currency</w:t>
      </w:r>
      <w:proofErr w:type="spellEnd"/>
      <w:r>
        <w:t xml:space="preserve"> </w:t>
      </w:r>
      <w:proofErr w:type="spellStart"/>
      <w:r>
        <w:t>boards</w:t>
      </w:r>
      <w:proofErr w:type="spellEnd"/>
      <w:r>
        <w:t>, en los que una merma de confianza en la moneda nacional puede conducir a compras masivas y repentinas de moneda extranjera.</w:t>
      </w:r>
    </w:p>
  </w:footnote>
  <w:footnote w:id="36">
    <w:p w14:paraId="7F8A6719" w14:textId="77777777" w:rsidR="003A0A30" w:rsidRDefault="00BF79DD" w:rsidP="003A0A30">
      <w:pPr>
        <w:pStyle w:val="Textonotapie"/>
        <w:keepNext/>
        <w:spacing w:after="0"/>
      </w:pPr>
      <w:r>
        <w:rPr>
          <w:rStyle w:val="Refdenotaalpie"/>
        </w:rPr>
        <w:footnoteRef/>
      </w:r>
      <w:r>
        <w:t xml:space="preserve"> </w:t>
      </w:r>
      <w:r w:rsidR="003A0A30">
        <w:t>¿Cuál es la mejor métrica para medir la vulnerabilidad exterior de la economía?</w:t>
      </w:r>
    </w:p>
    <w:p w14:paraId="62130A97" w14:textId="77777777" w:rsidR="003A0A30" w:rsidRDefault="003A0A30">
      <w:pPr>
        <w:pStyle w:val="Textonotapie"/>
        <w:numPr>
          <w:ilvl w:val="0"/>
          <w:numId w:val="35"/>
        </w:numPr>
        <w:spacing w:after="0"/>
        <w:ind w:left="283" w:hanging="113"/>
      </w:pPr>
      <w:proofErr w:type="spellStart"/>
      <w:r w:rsidRPr="003A0A30">
        <w:rPr>
          <w:smallCaps/>
        </w:rPr>
        <w:t>Shin</w:t>
      </w:r>
      <w:proofErr w:type="spellEnd"/>
      <w:r>
        <w:t xml:space="preserve"> (2012) defiende que el indicador relevante son los </w:t>
      </w:r>
      <w:r w:rsidRPr="003A0A30">
        <w:rPr>
          <w:i/>
          <w:iCs/>
        </w:rPr>
        <w:t>pasivos exteriores brutos</w:t>
      </w:r>
      <w:r>
        <w:t>, pues es un mejor indicador del grado de integración financiera con el exterior y de la exposición.</w:t>
      </w:r>
    </w:p>
    <w:p w14:paraId="4845B731" w14:textId="77777777" w:rsidR="003A0A30" w:rsidRDefault="003A0A30">
      <w:pPr>
        <w:pStyle w:val="Textonotapie"/>
        <w:keepNext/>
        <w:numPr>
          <w:ilvl w:val="0"/>
          <w:numId w:val="35"/>
        </w:numPr>
        <w:spacing w:after="0"/>
        <w:ind w:left="283" w:hanging="113"/>
      </w:pPr>
      <w:proofErr w:type="spellStart"/>
      <w:r w:rsidRPr="003A0A30">
        <w:rPr>
          <w:smallCaps/>
        </w:rPr>
        <w:t>Catão</w:t>
      </w:r>
      <w:proofErr w:type="spellEnd"/>
      <w:r>
        <w:t xml:space="preserve"> y </w:t>
      </w:r>
      <w:proofErr w:type="spellStart"/>
      <w:r w:rsidRPr="003A0A30">
        <w:rPr>
          <w:smallCaps/>
        </w:rPr>
        <w:t>Milesi</w:t>
      </w:r>
      <w:proofErr w:type="spellEnd"/>
      <w:r w:rsidRPr="003A0A30">
        <w:rPr>
          <w:smallCaps/>
        </w:rPr>
        <w:t>-Ferretti</w:t>
      </w:r>
      <w:r>
        <w:t xml:space="preserve"> (2014) defienden que los </w:t>
      </w:r>
      <w:r w:rsidRPr="003A0A30">
        <w:rPr>
          <w:i/>
          <w:iCs/>
        </w:rPr>
        <w:t>pasivos exteriores netos</w:t>
      </w:r>
      <w:r>
        <w:t xml:space="preserve"> (i.e. PIIN) también son un predictor robusto de tensiones exteriores, pues los residentes pueden obtener puntualmente recursos reduciendo el saldo de sus inversiones en el exterior.</w:t>
      </w:r>
    </w:p>
    <w:p w14:paraId="79DF3C20" w14:textId="77777777" w:rsidR="003A0A30" w:rsidRDefault="003A0A30">
      <w:pPr>
        <w:pStyle w:val="Textonotapie"/>
        <w:numPr>
          <w:ilvl w:val="1"/>
          <w:numId w:val="35"/>
        </w:numPr>
        <w:spacing w:after="0"/>
        <w:ind w:left="567" w:hanging="113"/>
      </w:pPr>
      <w:r>
        <w:t>La interpretación de la PIIN es compleja, ya que su variación entre dos momentos del tiempo viene determinada no sólo por la necesidad o capacidad de financiación de la nación, sino también por los efectos de valoración, que reflejan los cambios de valor que experimentan los instrumentos financieros que componen el stock de activos y pasivos financieros, resultantes de la evolución de sus precios y de los tipos de cambio en los que están denominados. De esta manera, un empeoramiento de la PIIN podría no implicar necesariamente un deterioro de la vulnerabilidad exterior si deriva de un efecto valoración negativo que responde a un aumento del precio de los pasivos (p.ej. bonos y acciones españoles en manos de no residentes) debido, por ejemplo, una mejoría de las perspectivas de la economía nacional o a una política monetaria acomodaticia.</w:t>
      </w:r>
    </w:p>
    <w:p w14:paraId="766F1F94" w14:textId="27A716FF" w:rsidR="003A0A30" w:rsidRDefault="003A0A30">
      <w:pPr>
        <w:pStyle w:val="Textonotapie"/>
        <w:keepNext/>
        <w:numPr>
          <w:ilvl w:val="1"/>
          <w:numId w:val="35"/>
        </w:numPr>
        <w:spacing w:after="0"/>
        <w:ind w:left="567" w:hanging="113"/>
      </w:pPr>
      <w:r>
        <w:t xml:space="preserve">Sin considerar posibles efectos valoración, la evolución de la PIIN en porcentaje del PIB se puede aproximar por la siguiente </w:t>
      </w:r>
      <w:r w:rsidRPr="003A0A30">
        <w:t>expresión</w:t>
      </w:r>
      <w:r w:rsidR="001A575F">
        <w:t xml:space="preserve"> (los efectos valoración pueden ser particularmente relevantes para economías pequeñas con divisas débiles flotantes)</w:t>
      </w:r>
      <w:r w:rsidRPr="003A0A30">
        <w:t>:</w:t>
      </w:r>
    </w:p>
    <w:p w14:paraId="6D1F1BA8" w14:textId="01B1276F" w:rsidR="003A0A30" w:rsidRPr="003A0A30" w:rsidRDefault="00000000" w:rsidP="003A0A30">
      <w:pPr>
        <w:pStyle w:val="Textonotapie"/>
        <w:spacing w:after="0"/>
        <w:ind w:left="567"/>
        <w:rPr>
          <w:lang w:val="fr-FR"/>
        </w:rPr>
      </w:pPr>
      <m:oMathPara>
        <m:oMath>
          <m:sSub>
            <m:sSubPr>
              <m:ctrlPr>
                <w:rPr>
                  <w:rFonts w:ascii="Cambria Math" w:hAnsi="Cambria Math"/>
                  <w:i/>
                  <w:iCs/>
                </w:rPr>
              </m:ctrlPr>
            </m:sSubPr>
            <m:e>
              <m:r>
                <m:rPr>
                  <m:nor/>
                </m:rPr>
                <w:rPr>
                  <w:rFonts w:ascii="Palatino Linotype" w:hAnsi="Palatino Linotype"/>
                  <w:i/>
                  <w:iCs/>
                  <w:lang w:val="fr-FR"/>
                </w:rPr>
                <m:t>PIIN</m:t>
              </m:r>
            </m:e>
            <m:sub>
              <m:r>
                <m:rPr>
                  <m:nor/>
                </m:rPr>
                <w:rPr>
                  <w:rFonts w:ascii="Palatino Linotype" w:hAnsi="Palatino Linotype"/>
                  <w:i/>
                  <w:iCs/>
                  <w:lang w:val="fr-FR"/>
                </w:rPr>
                <m:t>t</m:t>
              </m:r>
            </m:sub>
          </m:sSub>
          <m:r>
            <w:rPr>
              <w:rFonts w:ascii="Cambria Math" w:hAnsi="Cambria Math"/>
              <w:lang w:val="fr-FR"/>
            </w:rPr>
            <m:t>-</m:t>
          </m:r>
          <m:sSub>
            <m:sSubPr>
              <m:ctrlPr>
                <w:rPr>
                  <w:rFonts w:ascii="Cambria Math" w:hAnsi="Cambria Math"/>
                  <w:i/>
                  <w:iCs/>
                </w:rPr>
              </m:ctrlPr>
            </m:sSubPr>
            <m:e>
              <m:r>
                <m:rPr>
                  <m:nor/>
                </m:rPr>
                <w:rPr>
                  <w:rFonts w:ascii="Palatino Linotype" w:hAnsi="Palatino Linotype"/>
                  <w:i/>
                  <w:iCs/>
                  <w:lang w:val="fr-FR"/>
                </w:rPr>
                <m:t>PIIN</m:t>
              </m:r>
            </m:e>
            <m:sub>
              <m:r>
                <m:rPr>
                  <m:nor/>
                </m:rPr>
                <w:rPr>
                  <w:rFonts w:ascii="Palatino Linotype" w:hAnsi="Palatino Linotype"/>
                  <w:i/>
                  <w:iCs/>
                  <w:lang w:val="fr-FR"/>
                </w:rPr>
                <m:t>t</m:t>
              </m:r>
              <m:r>
                <w:rPr>
                  <w:rFonts w:ascii="Cambria Math" w:hAnsi="Cambria Math"/>
                  <w:lang w:val="fr-FR"/>
                </w:rPr>
                <m:t>-</m:t>
              </m:r>
              <m:r>
                <m:rPr>
                  <m:nor/>
                </m:rPr>
                <w:rPr>
                  <w:rFonts w:ascii="Palatino Linotype" w:hAnsi="Palatino Linotype"/>
                  <w:i/>
                  <w:iCs/>
                  <w:lang w:val="fr-FR"/>
                </w:rPr>
                <m:t>1</m:t>
              </m:r>
            </m:sub>
          </m:sSub>
          <m:r>
            <w:rPr>
              <w:rFonts w:ascii="Cambria Math" w:hAnsi="Cambria Math"/>
              <w:lang w:val="fr-FR"/>
            </w:rPr>
            <m:t>≈</m:t>
          </m:r>
          <m:sSub>
            <m:sSubPr>
              <m:ctrlPr>
                <w:rPr>
                  <w:rFonts w:ascii="Cambria Math" w:hAnsi="Cambria Math"/>
                  <w:i/>
                  <w:iCs/>
                </w:rPr>
              </m:ctrlPr>
            </m:sSubPr>
            <m:e>
              <m:r>
                <m:rPr>
                  <m:nor/>
                </m:rPr>
                <w:rPr>
                  <w:rFonts w:ascii="Palatino Linotype" w:hAnsi="Palatino Linotype"/>
                  <w:i/>
                  <w:iCs/>
                  <w:lang w:val="fr-FR"/>
                </w:rPr>
                <m:t>PIIN</m:t>
              </m:r>
            </m:e>
            <m:sub>
              <m:r>
                <m:rPr>
                  <m:nor/>
                </m:rPr>
                <w:rPr>
                  <w:rFonts w:ascii="Palatino Linotype" w:hAnsi="Palatino Linotype"/>
                  <w:i/>
                  <w:iCs/>
                  <w:lang w:val="fr-FR"/>
                </w:rPr>
                <m:t>t</m:t>
              </m:r>
              <m:r>
                <w:rPr>
                  <w:rFonts w:ascii="Cambria Math" w:hAnsi="Cambria Math"/>
                  <w:lang w:val="fr-FR"/>
                </w:rPr>
                <m:t>-</m:t>
              </m:r>
              <m:r>
                <m:rPr>
                  <m:nor/>
                </m:rPr>
                <w:rPr>
                  <w:rFonts w:ascii="Palatino Linotype" w:hAnsi="Palatino Linotype"/>
                  <w:i/>
                  <w:iCs/>
                  <w:lang w:val="fr-FR"/>
                </w:rPr>
                <m:t>1</m:t>
              </m:r>
            </m:sub>
          </m:sSub>
          <m:r>
            <w:rPr>
              <w:rFonts w:ascii="Cambria Math" w:hAnsi="Cambria Math"/>
              <w:lang w:val="fr-FR"/>
            </w:rPr>
            <m:t>∙</m:t>
          </m:r>
          <m:d>
            <m:dPr>
              <m:ctrlPr>
                <w:rPr>
                  <w:rFonts w:ascii="Cambria Math" w:hAnsi="Cambria Math"/>
                  <w:i/>
                  <w:iCs/>
                  <w:lang w:val="fr-FR"/>
                </w:rPr>
              </m:ctrlPr>
            </m:dPr>
            <m:e>
              <m:sSub>
                <m:sSubPr>
                  <m:ctrlPr>
                    <w:rPr>
                      <w:rFonts w:ascii="Cambria Math" w:hAnsi="Cambria Math"/>
                      <w:i/>
                      <w:iCs/>
                    </w:rPr>
                  </m:ctrlPr>
                </m:sSubPr>
                <m:e>
                  <m:r>
                    <m:rPr>
                      <m:nor/>
                    </m:rPr>
                    <w:rPr>
                      <w:rFonts w:ascii="Palatino Linotype" w:hAnsi="Palatino Linotype"/>
                      <w:i/>
                      <w:iCs/>
                      <w:lang w:val="fr-FR"/>
                    </w:rPr>
                    <m:t>i</m:t>
                  </m:r>
                </m:e>
                <m:sub>
                  <m:r>
                    <m:rPr>
                      <m:nor/>
                    </m:rPr>
                    <w:rPr>
                      <w:rFonts w:ascii="Palatino Linotype" w:hAnsi="Palatino Linotype"/>
                      <w:i/>
                      <w:iCs/>
                      <w:lang w:val="fr-FR"/>
                    </w:rPr>
                    <m:t>t</m:t>
                  </m:r>
                </m:sub>
              </m:sSub>
              <m:r>
                <w:rPr>
                  <w:rFonts w:ascii="Cambria Math" w:hAnsi="Cambria Math"/>
                  <w:lang w:val="fr-FR"/>
                </w:rPr>
                <m:t>-</m:t>
              </m:r>
              <m:sSub>
                <m:sSubPr>
                  <m:ctrlPr>
                    <w:rPr>
                      <w:rFonts w:ascii="Cambria Math" w:hAnsi="Cambria Math"/>
                      <w:i/>
                      <w:iCs/>
                    </w:rPr>
                  </m:ctrlPr>
                </m:sSubPr>
                <m:e>
                  <m:r>
                    <m:rPr>
                      <m:nor/>
                    </m:rPr>
                    <w:rPr>
                      <w:rFonts w:ascii="Palatino Linotype" w:hAnsi="Palatino Linotype"/>
                      <w:i/>
                      <w:iCs/>
                      <w:lang w:val="fr-FR"/>
                    </w:rPr>
                    <m:t>g</m:t>
                  </m:r>
                </m:e>
                <m:sub>
                  <m:r>
                    <m:rPr>
                      <m:nor/>
                    </m:rPr>
                    <w:rPr>
                      <w:rFonts w:ascii="Palatino Linotype" w:hAnsi="Palatino Linotype"/>
                      <w:i/>
                      <w:iCs/>
                      <w:lang w:val="fr-FR"/>
                    </w:rPr>
                    <m:t>t</m:t>
                  </m:r>
                </m:sub>
              </m:sSub>
            </m:e>
          </m:d>
          <m:r>
            <w:rPr>
              <w:rFonts w:ascii="Cambria Math" w:hAnsi="Cambria Math"/>
              <w:lang w:val="fr-FR"/>
            </w:rPr>
            <m:t>+</m:t>
          </m:r>
          <m:sSub>
            <m:sSubPr>
              <m:ctrlPr>
                <w:rPr>
                  <w:rFonts w:ascii="Cambria Math" w:hAnsi="Cambria Math"/>
                  <w:i/>
                  <w:iCs/>
                </w:rPr>
              </m:ctrlPr>
            </m:sSubPr>
            <m:e>
              <m:r>
                <m:rPr>
                  <m:nor/>
                </m:rPr>
                <w:rPr>
                  <w:rFonts w:ascii="Palatino Linotype" w:hAnsi="Palatino Linotype"/>
                  <w:i/>
                  <w:iCs/>
                  <w:lang w:val="fr-FR"/>
                </w:rPr>
                <m:t>CC</m:t>
              </m:r>
            </m:e>
            <m:sub>
              <m:r>
                <m:rPr>
                  <m:nor/>
                </m:rPr>
                <w:rPr>
                  <w:rFonts w:ascii="Palatino Linotype" w:hAnsi="Palatino Linotype"/>
                  <w:i/>
                  <w:iCs/>
                  <w:lang w:val="fr-FR"/>
                </w:rPr>
                <m:t>t</m:t>
              </m:r>
            </m:sub>
          </m:sSub>
          <m:r>
            <w:rPr>
              <w:rFonts w:ascii="Cambria Math" w:hAnsi="Cambria Math"/>
              <w:lang w:val="fr-FR"/>
            </w:rPr>
            <m:t>+</m:t>
          </m:r>
          <m:sSub>
            <m:sSubPr>
              <m:ctrlPr>
                <w:rPr>
                  <w:rFonts w:ascii="Cambria Math" w:hAnsi="Cambria Math"/>
                  <w:i/>
                  <w:iCs/>
                </w:rPr>
              </m:ctrlPr>
            </m:sSubPr>
            <m:e>
              <m:r>
                <m:rPr>
                  <m:nor/>
                </m:rPr>
                <w:rPr>
                  <w:rFonts w:ascii="Palatino Linotype" w:hAnsi="Palatino Linotype"/>
                  <w:i/>
                  <w:iCs/>
                  <w:lang w:val="fr-FR"/>
                </w:rPr>
                <m:t>CK</m:t>
              </m:r>
            </m:e>
            <m:sub>
              <m:r>
                <m:rPr>
                  <m:nor/>
                </m:rPr>
                <w:rPr>
                  <w:rFonts w:ascii="Palatino Linotype" w:hAnsi="Palatino Linotype"/>
                  <w:i/>
                  <w:iCs/>
                  <w:lang w:val="fr-FR"/>
                </w:rPr>
                <m:t>t</m:t>
              </m:r>
            </m:sub>
          </m:sSub>
        </m:oMath>
      </m:oMathPara>
    </w:p>
    <w:p w14:paraId="687639AB" w14:textId="77777777" w:rsidR="003A0A30" w:rsidRDefault="003A0A30">
      <w:pPr>
        <w:pStyle w:val="Textonotapie"/>
        <w:numPr>
          <w:ilvl w:val="0"/>
          <w:numId w:val="35"/>
        </w:numPr>
        <w:spacing w:after="0"/>
        <w:ind w:left="283" w:hanging="113"/>
        <w:contextualSpacing/>
      </w:pPr>
      <w:r>
        <w:t xml:space="preserve">También cabría pensar que el factor relevante es la </w:t>
      </w:r>
      <w:r w:rsidRPr="003A0A30">
        <w:rPr>
          <w:i/>
          <w:iCs/>
        </w:rPr>
        <w:t>deuda externa</w:t>
      </w:r>
      <w:r>
        <w:t xml:space="preserve"> pues, en la medida en que recoge sólo instrumentos exigibles, refleja mejor los riesgos de refinanciación.</w:t>
      </w:r>
    </w:p>
    <w:p w14:paraId="3F694809" w14:textId="77777777" w:rsidR="003A0A30" w:rsidRDefault="003A0A30">
      <w:pPr>
        <w:pStyle w:val="Textonotapie"/>
        <w:keepNext/>
        <w:numPr>
          <w:ilvl w:val="0"/>
          <w:numId w:val="35"/>
        </w:numPr>
        <w:spacing w:after="0"/>
        <w:ind w:left="283" w:hanging="113"/>
      </w:pPr>
      <w:r>
        <w:t>En cualquier caso, para evaluar la vulnerabilidad exterior usando cualquiera de estas métricas resulta necesario observar la composición por instrumentos, sectores, plazos y monedas de los pasivos.</w:t>
      </w:r>
    </w:p>
    <w:p w14:paraId="429CDF55" w14:textId="3A3C7ED1" w:rsidR="003A0A30" w:rsidRDefault="003A0A30">
      <w:pPr>
        <w:pStyle w:val="Textonotapie"/>
        <w:keepNext/>
        <w:numPr>
          <w:ilvl w:val="1"/>
          <w:numId w:val="35"/>
        </w:numPr>
        <w:spacing w:after="0"/>
        <w:ind w:left="567" w:hanging="113"/>
      </w:pPr>
      <w:r w:rsidRPr="003A0A30">
        <w:rPr>
          <w:i/>
          <w:iCs/>
        </w:rPr>
        <w:t>Instrumentos</w:t>
      </w:r>
      <w:r>
        <w:t>: Mejor si se trata de pasivos no exigibles (y dentro de éstos, IDE &gt; Cartera &gt; Derivados).</w:t>
      </w:r>
    </w:p>
    <w:p w14:paraId="2CE1E60C" w14:textId="34249766" w:rsidR="003A0A30" w:rsidRDefault="003A0A30">
      <w:pPr>
        <w:pStyle w:val="Textonotapie"/>
        <w:keepNext/>
        <w:numPr>
          <w:ilvl w:val="1"/>
          <w:numId w:val="35"/>
        </w:numPr>
        <w:spacing w:after="0"/>
        <w:ind w:left="567" w:hanging="113"/>
      </w:pPr>
      <w:r w:rsidRPr="003A0A30">
        <w:rPr>
          <w:i/>
          <w:iCs/>
        </w:rPr>
        <w:t>Sectores</w:t>
      </w:r>
      <w:r>
        <w:t>: Los pasivos exteriores en manos del Banco Central no presentan riesgo de refinanciación.</w:t>
      </w:r>
    </w:p>
    <w:p w14:paraId="38A9CB83" w14:textId="54336FF3" w:rsidR="003A0A30" w:rsidRDefault="003A0A30">
      <w:pPr>
        <w:pStyle w:val="Textonotapie"/>
        <w:keepNext/>
        <w:numPr>
          <w:ilvl w:val="1"/>
          <w:numId w:val="35"/>
        </w:numPr>
        <w:spacing w:after="0"/>
        <w:ind w:left="567" w:hanging="113"/>
      </w:pPr>
      <w:r w:rsidRPr="003A0A30">
        <w:rPr>
          <w:i/>
          <w:iCs/>
        </w:rPr>
        <w:t>Plazos</w:t>
      </w:r>
      <w:r>
        <w:t>: Mejor si se trata de plazos largos.</w:t>
      </w:r>
    </w:p>
    <w:p w14:paraId="72EC0E36" w14:textId="2A0DB29F" w:rsidR="00BF79DD" w:rsidRDefault="003A0A30">
      <w:pPr>
        <w:pStyle w:val="Textonotapie"/>
        <w:keepNext/>
        <w:numPr>
          <w:ilvl w:val="1"/>
          <w:numId w:val="35"/>
        </w:numPr>
        <w:ind w:left="567" w:hanging="113"/>
      </w:pPr>
      <w:r w:rsidRPr="003A0A30">
        <w:rPr>
          <w:i/>
          <w:iCs/>
        </w:rPr>
        <w:t>Monedas</w:t>
      </w:r>
      <w:r>
        <w:t>: Mejor moneda nacional; si divisas, mejor aquellas que se deprecian frente a la nacional.</w:t>
      </w:r>
    </w:p>
  </w:footnote>
  <w:footnote w:id="37">
    <w:p w14:paraId="490A5799" w14:textId="77777777" w:rsidR="002F3F42" w:rsidRDefault="002F3F42" w:rsidP="002F3F42">
      <w:pPr>
        <w:pStyle w:val="Textonotapie"/>
      </w:pPr>
      <w:r>
        <w:rPr>
          <w:rStyle w:val="Refdenotaalpie"/>
        </w:rPr>
        <w:footnoteRef/>
      </w:r>
      <w:r>
        <w:t xml:space="preserve"> ¿Qué tipo de interés hay que usar? El de corto plazo (pues es el que está bajo el control directo de la autoridad monetaria) y preferiblemente el real (pues es el que afecta a las decisiones de los agentes y la autoridad monetaria conoce la inflación). Sin embargo, en contextos de mucha inflación esto es matizable. Por ejemplo, en el año 2022, Estados Unidos (y otros muchos países) subieron el tipo de interés nominal fuertemente, pero la inflación era tan elevada que el tipo de interés real caía. En este contexto, hablar de política monetaria expansiva no parece lo más adecuado pese a ser más pulcro teóricamente (por lo tanto, en estos contextos nos basaríamos en el tipo de interés nominal).</w:t>
      </w:r>
    </w:p>
    <w:p w14:paraId="2CCF76CE" w14:textId="77777777" w:rsidR="002F3F42" w:rsidRDefault="002F3F42" w:rsidP="002F3F42">
      <w:pPr>
        <w:pStyle w:val="Textonotapie"/>
        <w:keepNext/>
        <w:spacing w:after="0"/>
      </w:pPr>
      <w:r>
        <w:t xml:space="preserve">Posiblemente, la mejor opción sería hacer un </w:t>
      </w:r>
      <w:proofErr w:type="spellStart"/>
      <w:r>
        <w:rPr>
          <w:i/>
          <w:iCs/>
        </w:rPr>
        <w:t>disclaimer</w:t>
      </w:r>
      <w:proofErr w:type="spellEnd"/>
      <w:r>
        <w:t xml:space="preserve"> del siguiente modo:</w:t>
      </w:r>
    </w:p>
    <w:p w14:paraId="2E0D77BB" w14:textId="77777777" w:rsidR="002F3F42" w:rsidRPr="00B970A1" w:rsidRDefault="002F3F42" w:rsidP="002F3F42">
      <w:pPr>
        <w:pStyle w:val="Textonotapie"/>
        <w:rPr>
          <w:i/>
          <w:iCs/>
        </w:rPr>
      </w:pPr>
      <w:r>
        <w:rPr>
          <w:i/>
          <w:iCs/>
        </w:rPr>
        <w:t>“Aunque en puridad los agentes toman sus decisiones basándose en el tipo de interés real, es cierto que se aprecia una subida del tipo de interés nominal al final de la serie, por lo que se puede argumentar que la política monetaria está siendo contractiva.”</w:t>
      </w:r>
    </w:p>
  </w:footnote>
  <w:footnote w:id="38">
    <w:p w14:paraId="69ADAB28" w14:textId="5CFDCBB2" w:rsidR="0042128F" w:rsidRPr="0042128F" w:rsidRDefault="0042128F">
      <w:pPr>
        <w:pStyle w:val="Textonotapie"/>
      </w:pPr>
      <w:r>
        <w:rPr>
          <w:rStyle w:val="Refdenotaalpie"/>
        </w:rPr>
        <w:footnoteRef/>
      </w:r>
      <w:r>
        <w:t xml:space="preserve"> Recuérdese, no obstante, que en presencia de </w:t>
      </w:r>
      <w:r>
        <w:rPr>
          <w:i/>
          <w:iCs/>
          <w:u w:val="single"/>
        </w:rPr>
        <w:t>histéresis</w:t>
      </w:r>
      <w:r>
        <w:t>, una política fiscal expansiva que disminuya el desempleo sí puede afectar a los</w:t>
      </w:r>
      <w:r w:rsidR="00741403">
        <w:t xml:space="preserve"> </w:t>
      </w:r>
      <w:r>
        <w:t>niveles de producción y de empleo de equilibrio.</w:t>
      </w:r>
    </w:p>
  </w:footnote>
  <w:footnote w:id="39">
    <w:p w14:paraId="159259DF" w14:textId="300E6683" w:rsidR="00DF4D55" w:rsidRDefault="00DF4D55">
      <w:pPr>
        <w:pStyle w:val="Textonotapie"/>
      </w:pPr>
      <w:r>
        <w:rPr>
          <w:rStyle w:val="Refdenotaalpie"/>
        </w:rPr>
        <w:footnoteRef/>
      </w:r>
      <w:r>
        <w:t xml:space="preserve"> Por ejemplo, el gasto de 25.000 millones de euros en </w:t>
      </w:r>
      <w:proofErr w:type="spellStart"/>
      <w:r>
        <w:t>ERTEs</w:t>
      </w:r>
      <w:proofErr w:type="spellEnd"/>
      <w:r>
        <w:t xml:space="preserve"> que realizó España en 2020 a raíz de la pandemia por Covid-19 es un </w:t>
      </w:r>
      <w:proofErr w:type="spellStart"/>
      <w:r w:rsidRPr="00DF4D55">
        <w:rPr>
          <w:i/>
          <w:iCs/>
        </w:rPr>
        <w:t>one</w:t>
      </w:r>
      <w:proofErr w:type="spellEnd"/>
      <w:r w:rsidRPr="00DF4D55">
        <w:rPr>
          <w:i/>
          <w:iCs/>
        </w:rPr>
        <w:t>-off</w:t>
      </w:r>
      <w:r>
        <w:t>. Por lo tanto, si estudiamos el saldo estructural de España en 2020, esos 25.000 millones no quedarían incluidos.</w:t>
      </w:r>
    </w:p>
  </w:footnote>
  <w:footnote w:id="40">
    <w:p w14:paraId="36557674" w14:textId="77777777" w:rsidR="000B59E4" w:rsidRDefault="000B59E4" w:rsidP="000B59E4">
      <w:pPr>
        <w:pStyle w:val="Textonotapie"/>
      </w:pPr>
      <w:r>
        <w:rPr>
          <w:rStyle w:val="Refdenotaalpie"/>
        </w:rPr>
        <w:footnoteRef/>
      </w:r>
      <w:r w:rsidRPr="00C93E47">
        <w:rPr>
          <w:lang w:val="en-US"/>
        </w:rPr>
        <w:t xml:space="preserve"> European Fiscal Board (16 </w:t>
      </w:r>
      <w:proofErr w:type="spellStart"/>
      <w:r w:rsidRPr="00C93E47">
        <w:rPr>
          <w:lang w:val="en-US"/>
        </w:rPr>
        <w:t>junio</w:t>
      </w:r>
      <w:proofErr w:type="spellEnd"/>
      <w:r w:rsidRPr="00C93E47">
        <w:rPr>
          <w:lang w:val="en-US"/>
        </w:rPr>
        <w:t xml:space="preserve"> 2021). </w:t>
      </w:r>
      <w:r w:rsidRPr="00692218">
        <w:rPr>
          <w:i/>
          <w:iCs/>
          <w:lang w:val="en-US"/>
        </w:rPr>
        <w:t>Assessment of the fiscal stance appropriate for the euro area in 2022</w:t>
      </w:r>
      <w:r w:rsidRPr="00692218">
        <w:rPr>
          <w:lang w:val="en-US"/>
        </w:rPr>
        <w:t>, Box 1.</w:t>
      </w:r>
      <w:r w:rsidRPr="00692218">
        <w:rPr>
          <w:spacing w:val="-4"/>
          <w:sz w:val="9"/>
          <w:szCs w:val="9"/>
          <w:lang w:val="en-US"/>
        </w:rPr>
        <w:t xml:space="preserve"> </w:t>
      </w:r>
      <w:hyperlink r:id="rId6" w:history="1">
        <w:r w:rsidRPr="00692218">
          <w:rPr>
            <w:rStyle w:val="Hipervnculo"/>
            <w:spacing w:val="-4"/>
            <w:sz w:val="9"/>
            <w:szCs w:val="9"/>
          </w:rPr>
          <w:t>https://ec.europa.eu/info/sites/default/files/2021_06_16_efb_assessment_of_euro_area_fiscal_stance_en.pdf</w:t>
        </w:r>
      </w:hyperlink>
    </w:p>
  </w:footnote>
  <w:footnote w:id="41">
    <w:p w14:paraId="461C6E68" w14:textId="1DB5BCDA" w:rsidR="00035289" w:rsidRDefault="00035289">
      <w:pPr>
        <w:pStyle w:val="Textonotapie"/>
      </w:pPr>
      <w:r>
        <w:rPr>
          <w:rStyle w:val="Refdenotaalpie"/>
        </w:rPr>
        <w:footnoteRef/>
      </w:r>
      <w:r>
        <w:t xml:space="preserve"> </w:t>
      </w:r>
      <w:r w:rsidR="0000616A" w:rsidRPr="0000616A">
        <w:rPr>
          <w:spacing w:val="-2"/>
        </w:rPr>
        <w:t xml:space="preserve">Estrictamente hablando, la primera dosis de la vacuna en España fue administrada el 27 de diciembre de 2020. En la mayoría de países desarrollados </w:t>
      </w:r>
      <w:r w:rsidR="0000616A" w:rsidRPr="002F169D">
        <w:rPr>
          <w:spacing w:val="-2"/>
          <w:sz w:val="12"/>
          <w:szCs w:val="12"/>
        </w:rPr>
        <w:t>(Reino Unido, España, Francia, Estados Unidos</w:t>
      </w:r>
      <w:r w:rsidR="002F169D" w:rsidRPr="002F169D">
        <w:rPr>
          <w:spacing w:val="-2"/>
          <w:sz w:val="12"/>
          <w:szCs w:val="12"/>
        </w:rPr>
        <w:t>…</w:t>
      </w:r>
      <w:r w:rsidR="0000616A" w:rsidRPr="002F169D">
        <w:rPr>
          <w:spacing w:val="-2"/>
          <w:sz w:val="12"/>
          <w:szCs w:val="12"/>
        </w:rPr>
        <w:t>)</w:t>
      </w:r>
      <w:r w:rsidR="0000616A" w:rsidRPr="0000616A">
        <w:rPr>
          <w:spacing w:val="-2"/>
        </w:rPr>
        <w:t xml:space="preserve"> la vacunación comienza en diciembre de 2020 y se generaliza a lo largo de 2021.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11341" w:type="dxa"/>
      <w:tblInd w:w="-142" w:type="dxa"/>
      <w:tblBorders>
        <w:top w:val="none" w:sz="0" w:space="0" w:color="auto"/>
        <w:left w:val="none" w:sz="0" w:space="0" w:color="auto"/>
        <w:bottom w:val="single" w:sz="4" w:space="0" w:color="800000"/>
        <w:right w:val="none" w:sz="0" w:space="0" w:color="auto"/>
        <w:insideH w:val="none" w:sz="0" w:space="0" w:color="auto"/>
        <w:insideV w:val="none" w:sz="0" w:space="0" w:color="auto"/>
      </w:tblBorders>
      <w:tblLook w:val="04A0" w:firstRow="1" w:lastRow="0" w:firstColumn="1" w:lastColumn="0" w:noHBand="0" w:noVBand="1"/>
    </w:tblPr>
    <w:tblGrid>
      <w:gridCol w:w="1986"/>
      <w:gridCol w:w="7512"/>
      <w:gridCol w:w="1843"/>
    </w:tblGrid>
    <w:tr w:rsidR="002A6F50" w:rsidRPr="00FB44CF" w14:paraId="2E9F3342" w14:textId="77777777" w:rsidTr="00587196">
      <w:trPr>
        <w:trHeight w:val="284"/>
      </w:trPr>
      <w:sdt>
        <w:sdtPr>
          <w:rPr>
            <w:i/>
            <w:iCs/>
            <w:color w:val="800000"/>
            <w:spacing w:val="-2"/>
            <w:szCs w:val="16"/>
          </w:rPr>
          <w:alias w:val="Author"/>
          <w:tag w:val=""/>
          <w:id w:val="1185085544"/>
          <w:placeholder>
            <w:docPart w:val="6B45CC43262C4CC9ABEECD0221D18D5E"/>
          </w:placeholder>
          <w:dataBinding w:prefixMappings="xmlns:ns0='http://purl.org/dc/elements/1.1/' xmlns:ns1='http://schemas.openxmlformats.org/package/2006/metadata/core-properties' " w:xpath="/ns1:coreProperties[1]/ns0:creator[1]" w:storeItemID="{6C3C8BC8-F283-45AE-878A-BAB7291924A1}"/>
          <w:text/>
        </w:sdtPr>
        <w:sdtContent>
          <w:tc>
            <w:tcPr>
              <w:tcW w:w="1986" w:type="dxa"/>
              <w:tcBorders>
                <w:bottom w:val="thickThinSmallGap" w:sz="12" w:space="0" w:color="800000"/>
              </w:tcBorders>
              <w:vAlign w:val="center"/>
            </w:tcPr>
            <w:p w14:paraId="7AB08E75" w14:textId="1422D919" w:rsidR="002A6F50" w:rsidRPr="00FB44CF" w:rsidRDefault="002A6F50" w:rsidP="002A6F50">
              <w:pPr>
                <w:pStyle w:val="Encabezado"/>
                <w:tabs>
                  <w:tab w:val="clear" w:pos="4252"/>
                  <w:tab w:val="clear" w:pos="8504"/>
                  <w:tab w:val="right" w:pos="636"/>
                </w:tabs>
                <w:spacing w:after="0"/>
                <w:jc w:val="left"/>
                <w:rPr>
                  <w:i/>
                  <w:iCs/>
                  <w:color w:val="800000"/>
                </w:rPr>
              </w:pPr>
              <w:r w:rsidRPr="00587196">
                <w:rPr>
                  <w:i/>
                  <w:iCs/>
                  <w:color w:val="800000"/>
                  <w:spacing w:val="-2"/>
                  <w:szCs w:val="16"/>
                </w:rPr>
                <w:t>Víctor Gutiérrez Marcos</w:t>
              </w:r>
            </w:p>
          </w:tc>
        </w:sdtContent>
      </w:sdt>
      <w:tc>
        <w:tcPr>
          <w:tcW w:w="7512" w:type="dxa"/>
          <w:tcBorders>
            <w:bottom w:val="thickThinSmallGap" w:sz="12" w:space="0" w:color="800000"/>
          </w:tcBorders>
          <w:vAlign w:val="center"/>
        </w:tcPr>
        <w:p w14:paraId="1902F06F" w14:textId="6CF14BE3" w:rsidR="002A6F50" w:rsidRPr="002A6F50" w:rsidRDefault="00000000" w:rsidP="00A80F76">
          <w:pPr>
            <w:pStyle w:val="Cabecera"/>
          </w:pPr>
          <w:sdt>
            <w:sdtPr>
              <w:rPr>
                <w:b/>
                <w:bCs w:val="0"/>
              </w:rPr>
              <w:alias w:val="Title"/>
              <w:tag w:val=""/>
              <w:id w:val="1669364876"/>
              <w:placeholder>
                <w:docPart w:val="5F5BC4AF46414F9E8A0EEBCAA4AB9B2F"/>
              </w:placeholder>
              <w:dataBinding w:prefixMappings="xmlns:ns0='http://purl.org/dc/elements/1.1/' xmlns:ns1='http://schemas.openxmlformats.org/package/2006/metadata/core-properties' " w:xpath="/ns1:coreProperties[1]/ns0:title[1]" w:storeItemID="{6C3C8BC8-F283-45AE-878A-BAB7291924A1}"/>
              <w:text/>
            </w:sdtPr>
            <w:sdtContent>
              <w:r w:rsidR="00717A38">
                <w:rPr>
                  <w:b/>
                  <w:bCs w:val="0"/>
                </w:rPr>
                <w:t>Esquema para el ejercicio de dictamen económico</w:t>
              </w:r>
            </w:sdtContent>
          </w:sdt>
        </w:p>
      </w:tc>
      <w:tc>
        <w:tcPr>
          <w:tcW w:w="1843" w:type="dxa"/>
          <w:tcBorders>
            <w:bottom w:val="thickThinSmallGap" w:sz="12" w:space="0" w:color="800000"/>
          </w:tcBorders>
          <w:vAlign w:val="center"/>
        </w:tcPr>
        <w:p w14:paraId="20CE8A5F" w14:textId="549C222B" w:rsidR="002A6F50" w:rsidRPr="002A6F50" w:rsidRDefault="002A6F50" w:rsidP="002A6F50">
          <w:pPr>
            <w:pStyle w:val="Encabezado"/>
            <w:spacing w:after="0"/>
            <w:jc w:val="right"/>
            <w:rPr>
              <w:i/>
              <w:iCs/>
              <w:color w:val="800000"/>
              <w:szCs w:val="16"/>
            </w:rPr>
          </w:pPr>
        </w:p>
      </w:tc>
    </w:tr>
  </w:tbl>
  <w:p w14:paraId="1A5A367E" w14:textId="77777777" w:rsidR="00C958C4" w:rsidRPr="00C958C4" w:rsidRDefault="00C958C4" w:rsidP="00C958C4">
    <w:pPr>
      <w:pStyle w:val="Encabezado"/>
      <w:spacing w:after="0"/>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11200" w:type="dxa"/>
      <w:tblBorders>
        <w:top w:val="none" w:sz="0" w:space="0" w:color="auto"/>
        <w:left w:val="none" w:sz="0" w:space="0" w:color="auto"/>
        <w:bottom w:val="single" w:sz="4" w:space="0" w:color="800000"/>
        <w:right w:val="none" w:sz="0" w:space="0" w:color="auto"/>
        <w:insideH w:val="none" w:sz="0" w:space="0" w:color="auto"/>
        <w:insideV w:val="none" w:sz="0" w:space="0" w:color="auto"/>
      </w:tblBorders>
      <w:tblLook w:val="04A0" w:firstRow="1" w:lastRow="0" w:firstColumn="1" w:lastColumn="0" w:noHBand="0" w:noVBand="1"/>
    </w:tblPr>
    <w:tblGrid>
      <w:gridCol w:w="1986"/>
      <w:gridCol w:w="7371"/>
      <w:gridCol w:w="1843"/>
    </w:tblGrid>
    <w:tr w:rsidR="00FB44CF" w:rsidRPr="00D643E3" w14:paraId="0B872C15" w14:textId="77777777" w:rsidTr="00587196">
      <w:trPr>
        <w:trHeight w:val="284"/>
      </w:trPr>
      <w:tc>
        <w:tcPr>
          <w:tcW w:w="1986" w:type="dxa"/>
          <w:tcBorders>
            <w:bottom w:val="thickThinSmallGap" w:sz="12" w:space="0" w:color="800000"/>
          </w:tcBorders>
          <w:vAlign w:val="center"/>
        </w:tcPr>
        <w:p w14:paraId="014D9E86" w14:textId="7759D4C1" w:rsidR="00E14EF3" w:rsidRPr="00FB44CF" w:rsidRDefault="00E14EF3" w:rsidP="00841527">
          <w:pPr>
            <w:pStyle w:val="Encabezado"/>
            <w:tabs>
              <w:tab w:val="clear" w:pos="4252"/>
              <w:tab w:val="clear" w:pos="8504"/>
              <w:tab w:val="right" w:pos="636"/>
            </w:tabs>
            <w:spacing w:after="0"/>
            <w:jc w:val="left"/>
            <w:rPr>
              <w:i/>
              <w:iCs/>
              <w:color w:val="800000"/>
            </w:rPr>
          </w:pPr>
        </w:p>
      </w:tc>
      <w:tc>
        <w:tcPr>
          <w:tcW w:w="7371" w:type="dxa"/>
          <w:tcBorders>
            <w:bottom w:val="thickThinSmallGap" w:sz="12" w:space="0" w:color="800000"/>
          </w:tcBorders>
          <w:vAlign w:val="center"/>
        </w:tcPr>
        <w:p w14:paraId="12B2AF73" w14:textId="161FAF42" w:rsidR="002A1386" w:rsidRPr="002A6F50" w:rsidRDefault="00000000" w:rsidP="00A80F76">
          <w:pPr>
            <w:pStyle w:val="Cabecera"/>
          </w:pPr>
          <w:sdt>
            <w:sdtPr>
              <w:rPr>
                <w:b/>
                <w:bCs w:val="0"/>
              </w:rPr>
              <w:alias w:val="Title"/>
              <w:tag w:val=""/>
              <w:id w:val="-930815829"/>
              <w:placeholder>
                <w:docPart w:val="5380399A303340219CB52D55D8D73287"/>
              </w:placeholder>
              <w:dataBinding w:prefixMappings="xmlns:ns0='http://purl.org/dc/elements/1.1/' xmlns:ns1='http://schemas.openxmlformats.org/package/2006/metadata/core-properties' " w:xpath="/ns1:coreProperties[1]/ns0:title[1]" w:storeItemID="{6C3C8BC8-F283-45AE-878A-BAB7291924A1}"/>
              <w:text/>
            </w:sdtPr>
            <w:sdtContent>
              <w:r w:rsidR="00717A38" w:rsidRPr="00717A38">
                <w:rPr>
                  <w:b/>
                  <w:bCs w:val="0"/>
                </w:rPr>
                <w:t>Esquema para el ejercicio de dictamen económico</w:t>
              </w:r>
            </w:sdtContent>
          </w:sdt>
        </w:p>
      </w:tc>
      <w:sdt>
        <w:sdtPr>
          <w:rPr>
            <w:i/>
            <w:iCs/>
            <w:color w:val="800000"/>
            <w:spacing w:val="-4"/>
            <w:szCs w:val="16"/>
          </w:rPr>
          <w:alias w:val="Author"/>
          <w:tag w:val=""/>
          <w:id w:val="-1581057833"/>
          <w:placeholder>
            <w:docPart w:val="0BF99800C1C6452D9ED1222E928850AF"/>
          </w:placeholder>
          <w:dataBinding w:prefixMappings="xmlns:ns0='http://purl.org/dc/elements/1.1/' xmlns:ns1='http://schemas.openxmlformats.org/package/2006/metadata/core-properties' " w:xpath="/ns1:coreProperties[1]/ns0:creator[1]" w:storeItemID="{6C3C8BC8-F283-45AE-878A-BAB7291924A1}"/>
          <w:text/>
        </w:sdtPr>
        <w:sdtContent>
          <w:tc>
            <w:tcPr>
              <w:tcW w:w="1843" w:type="dxa"/>
              <w:tcBorders>
                <w:bottom w:val="thickThinSmallGap" w:sz="12" w:space="0" w:color="800000"/>
              </w:tcBorders>
              <w:vAlign w:val="center"/>
            </w:tcPr>
            <w:p w14:paraId="19C73D4B" w14:textId="4B224119" w:rsidR="00E14EF3" w:rsidRPr="00D643E3" w:rsidRDefault="00E14EF3" w:rsidP="002A6F50">
              <w:pPr>
                <w:pStyle w:val="Encabezado"/>
                <w:spacing w:after="0"/>
                <w:jc w:val="right"/>
                <w:rPr>
                  <w:i/>
                  <w:iCs/>
                  <w:color w:val="800000"/>
                  <w:spacing w:val="-4"/>
                  <w:szCs w:val="16"/>
                </w:rPr>
              </w:pPr>
              <w:r w:rsidRPr="00D643E3">
                <w:rPr>
                  <w:i/>
                  <w:iCs/>
                  <w:color w:val="800000"/>
                  <w:spacing w:val="-4"/>
                  <w:szCs w:val="16"/>
                </w:rPr>
                <w:t>Víctor Gutiérrez Marcos</w:t>
              </w:r>
            </w:p>
          </w:tc>
        </w:sdtContent>
      </w:sdt>
    </w:tr>
  </w:tbl>
  <w:p w14:paraId="655656A9" w14:textId="77777777" w:rsidR="008274D7" w:rsidRPr="00C958C4" w:rsidRDefault="008274D7" w:rsidP="00C958C4">
    <w:pPr>
      <w:pStyle w:val="Encabezado"/>
      <w:spacing w:after="0"/>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11341" w:type="dxa"/>
      <w:tblInd w:w="-142" w:type="dxa"/>
      <w:tblBorders>
        <w:top w:val="none" w:sz="0" w:space="0" w:color="auto"/>
        <w:left w:val="none" w:sz="0" w:space="0" w:color="auto"/>
        <w:bottom w:val="single" w:sz="4" w:space="0" w:color="800000"/>
        <w:right w:val="none" w:sz="0" w:space="0" w:color="auto"/>
        <w:insideH w:val="none" w:sz="0" w:space="0" w:color="auto"/>
        <w:insideV w:val="none" w:sz="0" w:space="0" w:color="auto"/>
      </w:tblBorders>
      <w:tblLook w:val="04A0" w:firstRow="1" w:lastRow="0" w:firstColumn="1" w:lastColumn="0" w:noHBand="0" w:noVBand="1"/>
    </w:tblPr>
    <w:tblGrid>
      <w:gridCol w:w="2694"/>
      <w:gridCol w:w="6663"/>
      <w:gridCol w:w="1984"/>
    </w:tblGrid>
    <w:tr w:rsidR="002A6F50" w:rsidRPr="00100FDB" w14:paraId="54B12EE5" w14:textId="77777777" w:rsidTr="004B264D">
      <w:trPr>
        <w:trHeight w:val="170"/>
      </w:trPr>
      <w:tc>
        <w:tcPr>
          <w:tcW w:w="2694" w:type="dxa"/>
          <w:tcBorders>
            <w:bottom w:val="thinThickSmallGap" w:sz="12" w:space="0" w:color="800000"/>
          </w:tcBorders>
          <w:vAlign w:val="center"/>
        </w:tcPr>
        <w:p w14:paraId="005A513B" w14:textId="79903B8D" w:rsidR="00100FDB" w:rsidRPr="00100FDB" w:rsidRDefault="002A6F50" w:rsidP="002A6F50">
          <w:pPr>
            <w:pStyle w:val="Encabezado"/>
            <w:tabs>
              <w:tab w:val="clear" w:pos="4252"/>
              <w:tab w:val="clear" w:pos="8504"/>
              <w:tab w:val="right" w:pos="636"/>
            </w:tabs>
            <w:spacing w:after="0"/>
            <w:jc w:val="left"/>
            <w:rPr>
              <w:i/>
              <w:iCs/>
              <w:color w:val="800000"/>
              <w:spacing w:val="-4"/>
              <w:sz w:val="14"/>
              <w:szCs w:val="14"/>
            </w:rPr>
          </w:pPr>
          <w:r w:rsidRPr="00100FDB">
            <w:rPr>
              <w:i/>
              <w:iCs/>
              <w:color w:val="800000"/>
              <w:spacing w:val="-4"/>
              <w:sz w:val="14"/>
              <w:szCs w:val="14"/>
            </w:rPr>
            <w:t xml:space="preserve">Fecha de última actualización: </w:t>
          </w:r>
          <w:r w:rsidR="00346A00" w:rsidRPr="00100FDB">
            <w:rPr>
              <w:i/>
              <w:iCs/>
              <w:color w:val="800000"/>
              <w:spacing w:val="-4"/>
              <w:sz w:val="14"/>
              <w:szCs w:val="14"/>
            </w:rPr>
            <w:fldChar w:fldCharType="begin"/>
          </w:r>
          <w:r w:rsidR="00346A00" w:rsidRPr="00100FDB">
            <w:rPr>
              <w:i/>
              <w:iCs/>
              <w:color w:val="800000"/>
              <w:spacing w:val="-4"/>
              <w:sz w:val="14"/>
              <w:szCs w:val="14"/>
            </w:rPr>
            <w:instrText xml:space="preserve"> SAVEDATE  \@ "dd/MM/yyyy"  \* MERGEFORMAT </w:instrText>
          </w:r>
          <w:r w:rsidR="00346A00" w:rsidRPr="00100FDB">
            <w:rPr>
              <w:i/>
              <w:iCs/>
              <w:color w:val="800000"/>
              <w:spacing w:val="-4"/>
              <w:sz w:val="14"/>
              <w:szCs w:val="14"/>
            </w:rPr>
            <w:fldChar w:fldCharType="separate"/>
          </w:r>
          <w:r w:rsidR="00B2524F">
            <w:rPr>
              <w:i/>
              <w:iCs/>
              <w:noProof/>
              <w:color w:val="800000"/>
              <w:spacing w:val="-4"/>
              <w:sz w:val="14"/>
              <w:szCs w:val="14"/>
            </w:rPr>
            <w:t>01/08/2024</w:t>
          </w:r>
          <w:r w:rsidR="00346A00" w:rsidRPr="00100FDB">
            <w:rPr>
              <w:i/>
              <w:iCs/>
              <w:color w:val="800000"/>
              <w:spacing w:val="-4"/>
              <w:sz w:val="14"/>
              <w:szCs w:val="14"/>
            </w:rPr>
            <w:fldChar w:fldCharType="end"/>
          </w:r>
        </w:p>
      </w:tc>
      <w:tc>
        <w:tcPr>
          <w:tcW w:w="6663" w:type="dxa"/>
          <w:tcBorders>
            <w:bottom w:val="thinThickSmallGap" w:sz="12" w:space="0" w:color="800000"/>
          </w:tcBorders>
          <w:vAlign w:val="center"/>
        </w:tcPr>
        <w:p w14:paraId="23EB0267" w14:textId="076EAAC7" w:rsidR="002A6F50" w:rsidRPr="00100FDB" w:rsidRDefault="002A6F50" w:rsidP="00A80F76">
          <w:pPr>
            <w:pStyle w:val="Cabecera"/>
          </w:pPr>
        </w:p>
      </w:tc>
      <w:sdt>
        <w:sdtPr>
          <w:rPr>
            <w:i/>
            <w:iCs/>
            <w:color w:val="800000"/>
            <w:spacing w:val="-4"/>
            <w:szCs w:val="16"/>
          </w:rPr>
          <w:alias w:val="Author"/>
          <w:tag w:val=""/>
          <w:id w:val="-1486236241"/>
          <w:placeholder>
            <w:docPart w:val="B3990C0A4AE644D8B400EEF4E423A237"/>
          </w:placeholder>
          <w:dataBinding w:prefixMappings="xmlns:ns0='http://purl.org/dc/elements/1.1/' xmlns:ns1='http://schemas.openxmlformats.org/package/2006/metadata/core-properties' " w:xpath="/ns1:coreProperties[1]/ns0:creator[1]" w:storeItemID="{6C3C8BC8-F283-45AE-878A-BAB7291924A1}"/>
          <w:text/>
        </w:sdtPr>
        <w:sdtContent>
          <w:tc>
            <w:tcPr>
              <w:tcW w:w="1984" w:type="dxa"/>
              <w:tcBorders>
                <w:bottom w:val="thinThickSmallGap" w:sz="12" w:space="0" w:color="800000"/>
              </w:tcBorders>
              <w:vAlign w:val="center"/>
            </w:tcPr>
            <w:p w14:paraId="09C7E537" w14:textId="77777777" w:rsidR="002A6F50" w:rsidRPr="00100FDB" w:rsidRDefault="002A6F50" w:rsidP="002A6F50">
              <w:pPr>
                <w:pStyle w:val="Encabezado"/>
                <w:spacing w:after="0"/>
                <w:jc w:val="right"/>
                <w:rPr>
                  <w:i/>
                  <w:iCs/>
                  <w:color w:val="800000"/>
                  <w:spacing w:val="-4"/>
                  <w:szCs w:val="16"/>
                </w:rPr>
              </w:pPr>
              <w:r w:rsidRPr="00100FDB">
                <w:rPr>
                  <w:i/>
                  <w:iCs/>
                  <w:color w:val="800000"/>
                  <w:spacing w:val="-4"/>
                  <w:szCs w:val="16"/>
                </w:rPr>
                <w:t>Víctor Gutiérrez Marcos</w:t>
              </w:r>
            </w:p>
          </w:tc>
        </w:sdtContent>
      </w:sdt>
    </w:tr>
  </w:tbl>
  <w:p w14:paraId="7B93122F" w14:textId="77777777" w:rsidR="002A6F50" w:rsidRPr="00A80F76" w:rsidRDefault="002A6F50" w:rsidP="00A80F76">
    <w:pPr>
      <w:pStyle w:val="Encabezado"/>
      <w:spacing w:after="0"/>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A2E1A2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F9C89E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84738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FD2DB3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61E719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8ACD8C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E9A94A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2C88D2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C78581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9E23F2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2A267C"/>
    <w:multiLevelType w:val="hybridMultilevel"/>
    <w:tmpl w:val="EB3010E2"/>
    <w:lvl w:ilvl="0" w:tplc="EB2A2900">
      <w:start w:val="1"/>
      <w:numFmt w:val="lowerRoman"/>
      <w:lvlText w:val="%1)"/>
      <w:lvlJc w:val="righ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031611C3"/>
    <w:multiLevelType w:val="hybridMultilevel"/>
    <w:tmpl w:val="CB0AF240"/>
    <w:lvl w:ilvl="0" w:tplc="4156CCD2">
      <w:start w:val="1"/>
      <w:numFmt w:val="bullet"/>
      <w:pStyle w:val="Nivel5"/>
      <w:lvlText w:val="▫"/>
      <w:lvlJc w:val="left"/>
      <w:pPr>
        <w:ind w:left="720" w:hanging="360"/>
      </w:pPr>
      <w:rPr>
        <w:rFonts w:ascii="Palatino Linotype" w:hAnsi="Palatino Linotype"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0AAA45E5"/>
    <w:multiLevelType w:val="hybridMultilevel"/>
    <w:tmpl w:val="B25E6952"/>
    <w:lvl w:ilvl="0" w:tplc="B828736C">
      <w:start w:val="1"/>
      <w:numFmt w:val="bullet"/>
      <w:pStyle w:val="Nivel1"/>
      <w:lvlText w:val=""/>
      <w:lvlJc w:val="left"/>
      <w:pPr>
        <w:ind w:left="720" w:hanging="360"/>
      </w:pPr>
      <w:rPr>
        <w:rFonts w:ascii="Wingdings" w:hAnsi="Wingdings" w:hint="default"/>
      </w:rPr>
    </w:lvl>
    <w:lvl w:ilvl="1" w:tplc="ECAE517A">
      <w:numFmt w:val="bullet"/>
      <w:pStyle w:val="Nivel2"/>
      <w:lvlText w:val="-"/>
      <w:lvlJc w:val="left"/>
      <w:pPr>
        <w:ind w:left="1440" w:hanging="360"/>
      </w:pPr>
      <w:rPr>
        <w:rFonts w:ascii="Times New Roman" w:eastAsia="Times New Roman" w:hAnsi="Times New Roman" w:cs="Times New Roman" w:hint="default"/>
      </w:rPr>
    </w:lvl>
    <w:lvl w:ilvl="2" w:tplc="97C6ED28">
      <w:start w:val="1"/>
      <w:numFmt w:val="bullet"/>
      <w:pStyle w:val="Nivel3"/>
      <w:lvlText w:val="o"/>
      <w:lvlJc w:val="left"/>
      <w:pPr>
        <w:ind w:left="2160" w:hanging="360"/>
      </w:pPr>
      <w:rPr>
        <w:rFonts w:ascii="Courier New" w:hAnsi="Courier New" w:cs="Courier New" w:hint="default"/>
      </w:rPr>
    </w:lvl>
    <w:lvl w:ilvl="3" w:tplc="6F5CB396">
      <w:start w:val="1"/>
      <w:numFmt w:val="bullet"/>
      <w:pStyle w:val="Nivel4"/>
      <w:lvlText w:val=""/>
      <w:lvlJc w:val="left"/>
      <w:pPr>
        <w:ind w:left="2880" w:hanging="360"/>
      </w:pPr>
      <w:rPr>
        <w:rFonts w:ascii="Symbol" w:hAnsi="Symbol" w:hint="default"/>
      </w:rPr>
    </w:lvl>
    <w:lvl w:ilvl="4" w:tplc="46E4FB74">
      <w:start w:val="1"/>
      <w:numFmt w:val="bullet"/>
      <w:pStyle w:val="Nivel6"/>
      <w:lvlText w:val=""/>
      <w:lvlJc w:val="left"/>
      <w:pPr>
        <w:ind w:left="3600" w:hanging="360"/>
      </w:pPr>
      <w:rPr>
        <w:rFonts w:ascii="Symbol" w:hAnsi="Symbol" w:hint="default"/>
        <w:sz w:val="14"/>
        <w:szCs w:val="14"/>
      </w:rPr>
    </w:lvl>
    <w:lvl w:ilvl="5" w:tplc="CF0A2A4C">
      <w:start w:val="1"/>
      <w:numFmt w:val="bullet"/>
      <w:pStyle w:val="Nivel7"/>
      <w:lvlText w:val=""/>
      <w:lvlJc w:val="left"/>
      <w:pPr>
        <w:ind w:left="4320" w:hanging="360"/>
      </w:pPr>
      <w:rPr>
        <w:rFonts w:ascii="Palatino Linotype" w:hAnsi="Palatino Linotype" w:hint="default"/>
        <w:b w:val="0"/>
        <w:i w:val="0"/>
        <w:color w:val="auto"/>
        <w:sz w:val="14"/>
        <w:szCs w:val="14"/>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0EF61C97"/>
    <w:multiLevelType w:val="hybridMultilevel"/>
    <w:tmpl w:val="2722B206"/>
    <w:lvl w:ilvl="0" w:tplc="0C0A0015">
      <w:start w:val="1"/>
      <w:numFmt w:val="upperLetter"/>
      <w:lvlText w:val="%1."/>
      <w:lvlJc w:val="left"/>
      <w:pPr>
        <w:ind w:left="862" w:hanging="360"/>
      </w:pPr>
    </w:lvl>
    <w:lvl w:ilvl="1" w:tplc="0C0A0019" w:tentative="1">
      <w:start w:val="1"/>
      <w:numFmt w:val="lowerLetter"/>
      <w:lvlText w:val="%2."/>
      <w:lvlJc w:val="left"/>
      <w:pPr>
        <w:ind w:left="1582" w:hanging="360"/>
      </w:pPr>
    </w:lvl>
    <w:lvl w:ilvl="2" w:tplc="0C0A001B" w:tentative="1">
      <w:start w:val="1"/>
      <w:numFmt w:val="lowerRoman"/>
      <w:lvlText w:val="%3."/>
      <w:lvlJc w:val="right"/>
      <w:pPr>
        <w:ind w:left="2302" w:hanging="180"/>
      </w:pPr>
    </w:lvl>
    <w:lvl w:ilvl="3" w:tplc="0C0A000F" w:tentative="1">
      <w:start w:val="1"/>
      <w:numFmt w:val="decimal"/>
      <w:lvlText w:val="%4."/>
      <w:lvlJc w:val="left"/>
      <w:pPr>
        <w:ind w:left="3022" w:hanging="360"/>
      </w:pPr>
    </w:lvl>
    <w:lvl w:ilvl="4" w:tplc="0C0A0019" w:tentative="1">
      <w:start w:val="1"/>
      <w:numFmt w:val="lowerLetter"/>
      <w:lvlText w:val="%5."/>
      <w:lvlJc w:val="left"/>
      <w:pPr>
        <w:ind w:left="3742" w:hanging="360"/>
      </w:pPr>
    </w:lvl>
    <w:lvl w:ilvl="5" w:tplc="0C0A001B" w:tentative="1">
      <w:start w:val="1"/>
      <w:numFmt w:val="lowerRoman"/>
      <w:lvlText w:val="%6."/>
      <w:lvlJc w:val="right"/>
      <w:pPr>
        <w:ind w:left="4462" w:hanging="180"/>
      </w:pPr>
    </w:lvl>
    <w:lvl w:ilvl="6" w:tplc="0C0A000F" w:tentative="1">
      <w:start w:val="1"/>
      <w:numFmt w:val="decimal"/>
      <w:lvlText w:val="%7."/>
      <w:lvlJc w:val="left"/>
      <w:pPr>
        <w:ind w:left="5182" w:hanging="360"/>
      </w:pPr>
    </w:lvl>
    <w:lvl w:ilvl="7" w:tplc="0C0A0019" w:tentative="1">
      <w:start w:val="1"/>
      <w:numFmt w:val="lowerLetter"/>
      <w:lvlText w:val="%8."/>
      <w:lvlJc w:val="left"/>
      <w:pPr>
        <w:ind w:left="5902" w:hanging="360"/>
      </w:pPr>
    </w:lvl>
    <w:lvl w:ilvl="8" w:tplc="0C0A001B" w:tentative="1">
      <w:start w:val="1"/>
      <w:numFmt w:val="lowerRoman"/>
      <w:lvlText w:val="%9."/>
      <w:lvlJc w:val="right"/>
      <w:pPr>
        <w:ind w:left="6622" w:hanging="180"/>
      </w:pPr>
    </w:lvl>
  </w:abstractNum>
  <w:abstractNum w:abstractNumId="14" w15:restartNumberingAfterBreak="0">
    <w:nsid w:val="0F0D264B"/>
    <w:multiLevelType w:val="hybridMultilevel"/>
    <w:tmpl w:val="A5DC6F2A"/>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1AD63D25"/>
    <w:multiLevelType w:val="hybridMultilevel"/>
    <w:tmpl w:val="BCE665B0"/>
    <w:lvl w:ilvl="0" w:tplc="89FE4008">
      <w:start w:val="1"/>
      <w:numFmt w:val="lowerRoman"/>
      <w:lvlText w:val="%1)"/>
      <w:lvlJc w:val="right"/>
      <w:pPr>
        <w:ind w:left="720" w:hanging="360"/>
      </w:pPr>
      <w:rPr>
        <w:rFonts w:hint="default"/>
        <w:i/>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2169782B"/>
    <w:multiLevelType w:val="hybridMultilevel"/>
    <w:tmpl w:val="F8D82422"/>
    <w:lvl w:ilvl="0" w:tplc="9C6E9B94">
      <w:start w:val="1"/>
      <w:numFmt w:val="decimal"/>
      <w:lvlText w:val="%1."/>
      <w:lvlJc w:val="left"/>
      <w:pPr>
        <w:ind w:left="720" w:hanging="360"/>
      </w:pPr>
      <w:rPr>
        <w:rFonts w:ascii="Palatino Linotype" w:hAnsi="Palatino Linotype" w:hint="default"/>
        <w:i/>
        <w:iCs/>
      </w:rPr>
    </w:lvl>
    <w:lvl w:ilvl="1" w:tplc="485206D2">
      <w:start w:val="1"/>
      <w:numFmt w:val="lowerLetter"/>
      <w:lvlText w:val="%2."/>
      <w:lvlJc w:val="left"/>
      <w:pPr>
        <w:ind w:left="1440" w:hanging="360"/>
      </w:pPr>
      <w:rPr>
        <w:i/>
        <w:iCs/>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22BD70EB"/>
    <w:multiLevelType w:val="hybridMultilevel"/>
    <w:tmpl w:val="A31E41E8"/>
    <w:lvl w:ilvl="0" w:tplc="7EECCC6E">
      <w:start w:val="1"/>
      <w:numFmt w:val="lowerRoman"/>
      <w:lvlText w:val="%1."/>
      <w:lvlJc w:val="right"/>
      <w:pPr>
        <w:ind w:left="720" w:hanging="360"/>
      </w:pPr>
      <w:rPr>
        <w:rFonts w:ascii="Palatino Linotype" w:hAnsi="Palatino Linotype" w:hint="default"/>
        <w:i/>
        <w:iCs/>
        <w:sz w:val="16"/>
        <w:szCs w:val="16"/>
      </w:rPr>
    </w:lvl>
    <w:lvl w:ilvl="1" w:tplc="0C0A0001">
      <w:start w:val="1"/>
      <w:numFmt w:val="bullet"/>
      <w:lvlText w:val=""/>
      <w:lvlJc w:val="left"/>
      <w:pPr>
        <w:ind w:left="720" w:hanging="360"/>
      </w:pPr>
      <w:rPr>
        <w:rFonts w:ascii="Symbol" w:hAnsi="Symbol" w:hint="default"/>
      </w:rPr>
    </w:lvl>
    <w:lvl w:ilvl="2" w:tplc="F23ECD64">
      <w:start w:val="1"/>
      <w:numFmt w:val="bullet"/>
      <w:lvlText w:val="▫"/>
      <w:lvlJc w:val="left"/>
      <w:pPr>
        <w:ind w:left="2340" w:hanging="360"/>
      </w:pPr>
      <w:rPr>
        <w:rFonts w:ascii="Palatino Linotype" w:hAnsi="Palatino Linotype" w:hint="default"/>
      </w:rPr>
    </w:lvl>
    <w:lvl w:ilvl="3" w:tplc="0C0A000F">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26110CBD"/>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rPr>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6350AFC"/>
    <w:multiLevelType w:val="hybridMultilevel"/>
    <w:tmpl w:val="0E226B9A"/>
    <w:lvl w:ilvl="0" w:tplc="A97ED97C">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27227E69"/>
    <w:multiLevelType w:val="multilevel"/>
    <w:tmpl w:val="0809001D"/>
    <w:styleLink w:val="Lista1"/>
    <w:lvl w:ilvl="0">
      <w:start w:val="1"/>
      <w:numFmt w:val="bullet"/>
      <w:lvlText w:val=""/>
      <w:lvlJc w:val="left"/>
      <w:pPr>
        <w:ind w:left="360" w:hanging="360"/>
      </w:pPr>
      <w:rPr>
        <w:rFonts w:ascii="Symbol" w:hAnsi="Symbol" w:hint="default"/>
        <w:color w:val="auto"/>
      </w:rPr>
    </w:lvl>
    <w:lvl w:ilvl="1">
      <w:start w:val="1"/>
      <w:numFmt w:val="bullet"/>
      <w:lvlText w:val=""/>
      <w:lvlJc w:val="left"/>
      <w:pPr>
        <w:ind w:left="720" w:hanging="360"/>
      </w:pPr>
      <w:rPr>
        <w:rFonts w:ascii="Symbol" w:hAnsi="Symbol" w:hint="default"/>
        <w:color w:val="auto"/>
      </w:rPr>
    </w:lvl>
    <w:lvl w:ilvl="2">
      <w:start w:val="1"/>
      <w:numFmt w:val="bullet"/>
      <w:lvlText w:val=""/>
      <w:lvlJc w:val="left"/>
      <w:pPr>
        <w:ind w:left="1080" w:hanging="360"/>
      </w:pPr>
      <w:rPr>
        <w:rFonts w:ascii="Symbol" w:hAnsi="Symbol" w:hint="default"/>
        <w:color w:val="auto"/>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274F40B8"/>
    <w:multiLevelType w:val="hybridMultilevel"/>
    <w:tmpl w:val="3C1EAF7C"/>
    <w:lvl w:ilvl="0" w:tplc="F23ECD64">
      <w:start w:val="1"/>
      <w:numFmt w:val="bullet"/>
      <w:lvlText w:val="▫"/>
      <w:lvlJc w:val="left"/>
      <w:pPr>
        <w:ind w:left="720" w:hanging="360"/>
      </w:pPr>
      <w:rPr>
        <w:rFonts w:ascii="Palatino Linotype" w:hAnsi="Palatino Linotype"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15:restartNumberingAfterBreak="0">
    <w:nsid w:val="27825D9D"/>
    <w:multiLevelType w:val="hybridMultilevel"/>
    <w:tmpl w:val="A5949BF8"/>
    <w:lvl w:ilvl="0" w:tplc="0B1A682E">
      <w:start w:val="1"/>
      <w:numFmt w:val="decimal"/>
      <w:pStyle w:val="Nmero"/>
      <w:lvlText w:val="%1."/>
      <w:lvlJc w:val="left"/>
      <w:pPr>
        <w:ind w:left="1656" w:hanging="360"/>
      </w:pPr>
    </w:lvl>
    <w:lvl w:ilvl="1" w:tplc="08090019">
      <w:start w:val="1"/>
      <w:numFmt w:val="lowerLetter"/>
      <w:lvlText w:val="%2."/>
      <w:lvlJc w:val="left"/>
      <w:pPr>
        <w:ind w:left="2376" w:hanging="360"/>
      </w:pPr>
    </w:lvl>
    <w:lvl w:ilvl="2" w:tplc="0809001B" w:tentative="1">
      <w:start w:val="1"/>
      <w:numFmt w:val="lowerRoman"/>
      <w:lvlText w:val="%3."/>
      <w:lvlJc w:val="right"/>
      <w:pPr>
        <w:ind w:left="3096" w:hanging="180"/>
      </w:pPr>
    </w:lvl>
    <w:lvl w:ilvl="3" w:tplc="0809000F" w:tentative="1">
      <w:start w:val="1"/>
      <w:numFmt w:val="decimal"/>
      <w:lvlText w:val="%4."/>
      <w:lvlJc w:val="left"/>
      <w:pPr>
        <w:ind w:left="3816" w:hanging="360"/>
      </w:pPr>
    </w:lvl>
    <w:lvl w:ilvl="4" w:tplc="08090019" w:tentative="1">
      <w:start w:val="1"/>
      <w:numFmt w:val="lowerLetter"/>
      <w:lvlText w:val="%5."/>
      <w:lvlJc w:val="left"/>
      <w:pPr>
        <w:ind w:left="4536" w:hanging="360"/>
      </w:pPr>
    </w:lvl>
    <w:lvl w:ilvl="5" w:tplc="0809001B" w:tentative="1">
      <w:start w:val="1"/>
      <w:numFmt w:val="lowerRoman"/>
      <w:lvlText w:val="%6."/>
      <w:lvlJc w:val="right"/>
      <w:pPr>
        <w:ind w:left="5256" w:hanging="180"/>
      </w:pPr>
    </w:lvl>
    <w:lvl w:ilvl="6" w:tplc="0809000F" w:tentative="1">
      <w:start w:val="1"/>
      <w:numFmt w:val="decimal"/>
      <w:lvlText w:val="%7."/>
      <w:lvlJc w:val="left"/>
      <w:pPr>
        <w:ind w:left="5976" w:hanging="360"/>
      </w:pPr>
    </w:lvl>
    <w:lvl w:ilvl="7" w:tplc="08090019" w:tentative="1">
      <w:start w:val="1"/>
      <w:numFmt w:val="lowerLetter"/>
      <w:lvlText w:val="%8."/>
      <w:lvlJc w:val="left"/>
      <w:pPr>
        <w:ind w:left="6696" w:hanging="360"/>
      </w:pPr>
    </w:lvl>
    <w:lvl w:ilvl="8" w:tplc="0809001B" w:tentative="1">
      <w:start w:val="1"/>
      <w:numFmt w:val="lowerRoman"/>
      <w:lvlText w:val="%9."/>
      <w:lvlJc w:val="right"/>
      <w:pPr>
        <w:ind w:left="7416" w:hanging="180"/>
      </w:pPr>
    </w:lvl>
  </w:abstractNum>
  <w:abstractNum w:abstractNumId="23" w15:restartNumberingAfterBreak="0">
    <w:nsid w:val="31E719D8"/>
    <w:multiLevelType w:val="hybridMultilevel"/>
    <w:tmpl w:val="54DE2AD4"/>
    <w:lvl w:ilvl="0" w:tplc="F22C1800">
      <w:start w:val="1"/>
      <w:numFmt w:val="lowerRoman"/>
      <w:lvlText w:val="%1)"/>
      <w:lvlJc w:val="right"/>
      <w:pPr>
        <w:ind w:left="947" w:hanging="720"/>
      </w:pPr>
      <w:rPr>
        <w:rFonts w:hint="default"/>
        <w:i/>
      </w:rPr>
    </w:lvl>
    <w:lvl w:ilvl="1" w:tplc="0C0A0019" w:tentative="1">
      <w:start w:val="1"/>
      <w:numFmt w:val="lowerLetter"/>
      <w:lvlText w:val="%2."/>
      <w:lvlJc w:val="left"/>
      <w:pPr>
        <w:ind w:left="1307" w:hanging="360"/>
      </w:pPr>
    </w:lvl>
    <w:lvl w:ilvl="2" w:tplc="0C0A001B" w:tentative="1">
      <w:start w:val="1"/>
      <w:numFmt w:val="lowerRoman"/>
      <w:lvlText w:val="%3."/>
      <w:lvlJc w:val="right"/>
      <w:pPr>
        <w:ind w:left="2027" w:hanging="180"/>
      </w:pPr>
    </w:lvl>
    <w:lvl w:ilvl="3" w:tplc="0C0A000F" w:tentative="1">
      <w:start w:val="1"/>
      <w:numFmt w:val="decimal"/>
      <w:lvlText w:val="%4."/>
      <w:lvlJc w:val="left"/>
      <w:pPr>
        <w:ind w:left="2747" w:hanging="360"/>
      </w:pPr>
    </w:lvl>
    <w:lvl w:ilvl="4" w:tplc="0C0A0019" w:tentative="1">
      <w:start w:val="1"/>
      <w:numFmt w:val="lowerLetter"/>
      <w:lvlText w:val="%5."/>
      <w:lvlJc w:val="left"/>
      <w:pPr>
        <w:ind w:left="3467" w:hanging="360"/>
      </w:pPr>
    </w:lvl>
    <w:lvl w:ilvl="5" w:tplc="0C0A001B" w:tentative="1">
      <w:start w:val="1"/>
      <w:numFmt w:val="lowerRoman"/>
      <w:lvlText w:val="%6."/>
      <w:lvlJc w:val="right"/>
      <w:pPr>
        <w:ind w:left="4187" w:hanging="180"/>
      </w:pPr>
    </w:lvl>
    <w:lvl w:ilvl="6" w:tplc="0C0A000F" w:tentative="1">
      <w:start w:val="1"/>
      <w:numFmt w:val="decimal"/>
      <w:lvlText w:val="%7."/>
      <w:lvlJc w:val="left"/>
      <w:pPr>
        <w:ind w:left="4907" w:hanging="360"/>
      </w:pPr>
    </w:lvl>
    <w:lvl w:ilvl="7" w:tplc="0C0A0019" w:tentative="1">
      <w:start w:val="1"/>
      <w:numFmt w:val="lowerLetter"/>
      <w:lvlText w:val="%8."/>
      <w:lvlJc w:val="left"/>
      <w:pPr>
        <w:ind w:left="5627" w:hanging="360"/>
      </w:pPr>
    </w:lvl>
    <w:lvl w:ilvl="8" w:tplc="0C0A001B" w:tentative="1">
      <w:start w:val="1"/>
      <w:numFmt w:val="lowerRoman"/>
      <w:lvlText w:val="%9."/>
      <w:lvlJc w:val="right"/>
      <w:pPr>
        <w:ind w:left="6347" w:hanging="180"/>
      </w:pPr>
    </w:lvl>
  </w:abstractNum>
  <w:abstractNum w:abstractNumId="24" w15:restartNumberingAfterBreak="0">
    <w:nsid w:val="35345369"/>
    <w:multiLevelType w:val="hybridMultilevel"/>
    <w:tmpl w:val="6F92C39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15:restartNumberingAfterBreak="0">
    <w:nsid w:val="361036C8"/>
    <w:multiLevelType w:val="hybridMultilevel"/>
    <w:tmpl w:val="C7162194"/>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15:restartNumberingAfterBreak="0">
    <w:nsid w:val="38E72983"/>
    <w:multiLevelType w:val="multilevel"/>
    <w:tmpl w:val="46465CB2"/>
    <w:lvl w:ilvl="0">
      <w:start w:val="1"/>
      <w:numFmt w:val="decimal"/>
      <w:lvlText w:val="%1."/>
      <w:lvlJc w:val="left"/>
      <w:pPr>
        <w:ind w:left="360" w:hanging="360"/>
      </w:pPr>
    </w:lvl>
    <w:lvl w:ilvl="1">
      <w:start w:val="1"/>
      <w:numFmt w:val="decimal"/>
      <w:lvlText w:val="%1.%2."/>
      <w:lvlJc w:val="left"/>
      <w:pPr>
        <w:ind w:left="792" w:hanging="432"/>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39842BCF"/>
    <w:multiLevelType w:val="hybridMultilevel"/>
    <w:tmpl w:val="01F80010"/>
    <w:lvl w:ilvl="0" w:tplc="CD5CE842">
      <w:start w:val="1"/>
      <w:numFmt w:val="lowerRoman"/>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15:restartNumberingAfterBreak="0">
    <w:nsid w:val="39C20EA5"/>
    <w:multiLevelType w:val="hybridMultilevel"/>
    <w:tmpl w:val="1F9C13B0"/>
    <w:lvl w:ilvl="0" w:tplc="AC1C24C2">
      <w:start w:val="1"/>
      <w:numFmt w:val="decimal"/>
      <w:lvlText w:val="%1."/>
      <w:lvlJc w:val="left"/>
      <w:pPr>
        <w:ind w:left="720" w:hanging="360"/>
      </w:pPr>
      <w:rPr>
        <w:rFonts w:ascii="Palatino Linotype" w:hAnsi="Palatino Linotype"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9" w15:restartNumberingAfterBreak="0">
    <w:nsid w:val="3A0B72CE"/>
    <w:multiLevelType w:val="hybridMultilevel"/>
    <w:tmpl w:val="C9CC4668"/>
    <w:lvl w:ilvl="0" w:tplc="95F44684">
      <w:numFmt w:val="decimal"/>
      <w:pStyle w:val="Apartado0"/>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0" w15:restartNumberingAfterBreak="0">
    <w:nsid w:val="3CB475E6"/>
    <w:multiLevelType w:val="hybridMultilevel"/>
    <w:tmpl w:val="A1C20C5A"/>
    <w:lvl w:ilvl="0" w:tplc="58ECDAC0">
      <w:start w:val="1"/>
      <w:numFmt w:val="bullet"/>
      <w:pStyle w:val="TDC5"/>
      <w:lvlText w:val="•"/>
      <w:lvlJc w:val="left"/>
      <w:pPr>
        <w:ind w:left="1324" w:hanging="360"/>
      </w:pPr>
      <w:rPr>
        <w:rFonts w:ascii="Times New Roman" w:hAnsi="Times New Roman" w:cs="Times New Roman" w:hint="default"/>
        <w:b w:val="0"/>
        <w:i w:val="0"/>
        <w:color w:val="800000"/>
        <w:sz w:val="13"/>
      </w:rPr>
    </w:lvl>
    <w:lvl w:ilvl="1" w:tplc="0C0A0003" w:tentative="1">
      <w:start w:val="1"/>
      <w:numFmt w:val="bullet"/>
      <w:lvlText w:val="o"/>
      <w:lvlJc w:val="left"/>
      <w:pPr>
        <w:ind w:left="2461" w:hanging="360"/>
      </w:pPr>
      <w:rPr>
        <w:rFonts w:ascii="Courier New" w:hAnsi="Courier New" w:cs="Courier New" w:hint="default"/>
      </w:rPr>
    </w:lvl>
    <w:lvl w:ilvl="2" w:tplc="0C0A0005" w:tentative="1">
      <w:start w:val="1"/>
      <w:numFmt w:val="bullet"/>
      <w:lvlText w:val=""/>
      <w:lvlJc w:val="left"/>
      <w:pPr>
        <w:ind w:left="3181" w:hanging="360"/>
      </w:pPr>
      <w:rPr>
        <w:rFonts w:ascii="Wingdings" w:hAnsi="Wingdings" w:hint="default"/>
      </w:rPr>
    </w:lvl>
    <w:lvl w:ilvl="3" w:tplc="0C0A0001" w:tentative="1">
      <w:start w:val="1"/>
      <w:numFmt w:val="bullet"/>
      <w:lvlText w:val=""/>
      <w:lvlJc w:val="left"/>
      <w:pPr>
        <w:ind w:left="3901" w:hanging="360"/>
      </w:pPr>
      <w:rPr>
        <w:rFonts w:ascii="Symbol" w:hAnsi="Symbol" w:hint="default"/>
      </w:rPr>
    </w:lvl>
    <w:lvl w:ilvl="4" w:tplc="0C0A0003" w:tentative="1">
      <w:start w:val="1"/>
      <w:numFmt w:val="bullet"/>
      <w:lvlText w:val="o"/>
      <w:lvlJc w:val="left"/>
      <w:pPr>
        <w:ind w:left="4621" w:hanging="360"/>
      </w:pPr>
      <w:rPr>
        <w:rFonts w:ascii="Courier New" w:hAnsi="Courier New" w:cs="Courier New" w:hint="default"/>
      </w:rPr>
    </w:lvl>
    <w:lvl w:ilvl="5" w:tplc="0C0A0005" w:tentative="1">
      <w:start w:val="1"/>
      <w:numFmt w:val="bullet"/>
      <w:lvlText w:val=""/>
      <w:lvlJc w:val="left"/>
      <w:pPr>
        <w:ind w:left="5341" w:hanging="360"/>
      </w:pPr>
      <w:rPr>
        <w:rFonts w:ascii="Wingdings" w:hAnsi="Wingdings" w:hint="default"/>
      </w:rPr>
    </w:lvl>
    <w:lvl w:ilvl="6" w:tplc="0C0A0001" w:tentative="1">
      <w:start w:val="1"/>
      <w:numFmt w:val="bullet"/>
      <w:lvlText w:val=""/>
      <w:lvlJc w:val="left"/>
      <w:pPr>
        <w:ind w:left="6061" w:hanging="360"/>
      </w:pPr>
      <w:rPr>
        <w:rFonts w:ascii="Symbol" w:hAnsi="Symbol" w:hint="default"/>
      </w:rPr>
    </w:lvl>
    <w:lvl w:ilvl="7" w:tplc="0C0A0003" w:tentative="1">
      <w:start w:val="1"/>
      <w:numFmt w:val="bullet"/>
      <w:lvlText w:val="o"/>
      <w:lvlJc w:val="left"/>
      <w:pPr>
        <w:ind w:left="6781" w:hanging="360"/>
      </w:pPr>
      <w:rPr>
        <w:rFonts w:ascii="Courier New" w:hAnsi="Courier New" w:cs="Courier New" w:hint="default"/>
      </w:rPr>
    </w:lvl>
    <w:lvl w:ilvl="8" w:tplc="0C0A0005" w:tentative="1">
      <w:start w:val="1"/>
      <w:numFmt w:val="bullet"/>
      <w:lvlText w:val=""/>
      <w:lvlJc w:val="left"/>
      <w:pPr>
        <w:ind w:left="7501" w:hanging="360"/>
      </w:pPr>
      <w:rPr>
        <w:rFonts w:ascii="Wingdings" w:hAnsi="Wingdings" w:hint="default"/>
      </w:rPr>
    </w:lvl>
  </w:abstractNum>
  <w:abstractNum w:abstractNumId="31" w15:restartNumberingAfterBreak="0">
    <w:nsid w:val="3E381D36"/>
    <w:multiLevelType w:val="hybridMultilevel"/>
    <w:tmpl w:val="40162152"/>
    <w:lvl w:ilvl="0" w:tplc="40DCBCF8">
      <w:start w:val="1"/>
      <w:numFmt w:val="lowerLetter"/>
      <w:lvlText w:val="%1)"/>
      <w:lvlJc w:val="right"/>
      <w:pPr>
        <w:ind w:left="502" w:hanging="360"/>
      </w:pPr>
      <w:rPr>
        <w:rFonts w:hint="default"/>
      </w:rPr>
    </w:lvl>
    <w:lvl w:ilvl="1" w:tplc="0C0A0019" w:tentative="1">
      <w:start w:val="1"/>
      <w:numFmt w:val="lowerLetter"/>
      <w:lvlText w:val="%2."/>
      <w:lvlJc w:val="left"/>
      <w:pPr>
        <w:ind w:left="1222" w:hanging="360"/>
      </w:pPr>
    </w:lvl>
    <w:lvl w:ilvl="2" w:tplc="0C0A001B" w:tentative="1">
      <w:start w:val="1"/>
      <w:numFmt w:val="lowerRoman"/>
      <w:lvlText w:val="%3."/>
      <w:lvlJc w:val="right"/>
      <w:pPr>
        <w:ind w:left="1942" w:hanging="180"/>
      </w:pPr>
    </w:lvl>
    <w:lvl w:ilvl="3" w:tplc="0C0A000F" w:tentative="1">
      <w:start w:val="1"/>
      <w:numFmt w:val="decimal"/>
      <w:lvlText w:val="%4."/>
      <w:lvlJc w:val="left"/>
      <w:pPr>
        <w:ind w:left="2662" w:hanging="360"/>
      </w:pPr>
    </w:lvl>
    <w:lvl w:ilvl="4" w:tplc="0C0A0019" w:tentative="1">
      <w:start w:val="1"/>
      <w:numFmt w:val="lowerLetter"/>
      <w:lvlText w:val="%5."/>
      <w:lvlJc w:val="left"/>
      <w:pPr>
        <w:ind w:left="3382" w:hanging="360"/>
      </w:pPr>
    </w:lvl>
    <w:lvl w:ilvl="5" w:tplc="0C0A001B" w:tentative="1">
      <w:start w:val="1"/>
      <w:numFmt w:val="lowerRoman"/>
      <w:lvlText w:val="%6."/>
      <w:lvlJc w:val="right"/>
      <w:pPr>
        <w:ind w:left="4102" w:hanging="180"/>
      </w:pPr>
    </w:lvl>
    <w:lvl w:ilvl="6" w:tplc="0C0A000F" w:tentative="1">
      <w:start w:val="1"/>
      <w:numFmt w:val="decimal"/>
      <w:lvlText w:val="%7."/>
      <w:lvlJc w:val="left"/>
      <w:pPr>
        <w:ind w:left="4822" w:hanging="360"/>
      </w:pPr>
    </w:lvl>
    <w:lvl w:ilvl="7" w:tplc="0C0A0019" w:tentative="1">
      <w:start w:val="1"/>
      <w:numFmt w:val="lowerLetter"/>
      <w:lvlText w:val="%8."/>
      <w:lvlJc w:val="left"/>
      <w:pPr>
        <w:ind w:left="5542" w:hanging="360"/>
      </w:pPr>
    </w:lvl>
    <w:lvl w:ilvl="8" w:tplc="0C0A001B" w:tentative="1">
      <w:start w:val="1"/>
      <w:numFmt w:val="lowerRoman"/>
      <w:lvlText w:val="%9."/>
      <w:lvlJc w:val="right"/>
      <w:pPr>
        <w:ind w:left="6262" w:hanging="180"/>
      </w:pPr>
    </w:lvl>
  </w:abstractNum>
  <w:abstractNum w:abstractNumId="32" w15:restartNumberingAfterBreak="0">
    <w:nsid w:val="43D327B7"/>
    <w:multiLevelType w:val="multilevel"/>
    <w:tmpl w:val="3B0E063C"/>
    <w:lvl w:ilvl="0">
      <w:start w:val="1"/>
      <w:numFmt w:val="decimal"/>
      <w:pStyle w:val="Ttulo1"/>
      <w:lvlText w:val="%1."/>
      <w:lvlJc w:val="left"/>
      <w:pPr>
        <w:ind w:left="360" w:hanging="360"/>
      </w:pPr>
      <w:rPr>
        <w:rFonts w:hint="default"/>
      </w:rPr>
    </w:lvl>
    <w:lvl w:ilvl="1">
      <w:start w:val="1"/>
      <w:numFmt w:val="decimal"/>
      <w:pStyle w:val="Ttulo2"/>
      <w:lvlText w:val="%1.%2."/>
      <w:lvlJc w:val="left"/>
      <w:pPr>
        <w:ind w:left="792" w:hanging="432"/>
      </w:pPr>
      <w:rPr>
        <w:rFonts w:hint="default"/>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lang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452F659B"/>
    <w:multiLevelType w:val="hybridMultilevel"/>
    <w:tmpl w:val="5AC00CEA"/>
    <w:lvl w:ilvl="0" w:tplc="B678A488">
      <w:start w:val="1"/>
      <w:numFmt w:val="lowerRoman"/>
      <w:lvlText w:val="%1)"/>
      <w:lvlJc w:val="right"/>
      <w:pPr>
        <w:ind w:left="720" w:hanging="36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4" w15:restartNumberingAfterBreak="0">
    <w:nsid w:val="50FB7C1A"/>
    <w:multiLevelType w:val="multilevel"/>
    <w:tmpl w:val="0809001D"/>
    <w:numStyleLink w:val="Lista1"/>
  </w:abstractNum>
  <w:abstractNum w:abstractNumId="35" w15:restartNumberingAfterBreak="0">
    <w:nsid w:val="59AA13DB"/>
    <w:multiLevelType w:val="hybridMultilevel"/>
    <w:tmpl w:val="D666C8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01E1DFA"/>
    <w:multiLevelType w:val="hybridMultilevel"/>
    <w:tmpl w:val="87E4D8A0"/>
    <w:lvl w:ilvl="0" w:tplc="1BDAF292">
      <w:start w:val="1"/>
      <w:numFmt w:val="lowerRoman"/>
      <w:lvlText w:val="%1."/>
      <w:lvlJc w:val="right"/>
      <w:pPr>
        <w:ind w:left="1146" w:hanging="360"/>
      </w:pPr>
      <w:rPr>
        <w:i/>
        <w:iCs/>
      </w:rPr>
    </w:lvl>
    <w:lvl w:ilvl="1" w:tplc="0C0A0019">
      <w:start w:val="1"/>
      <w:numFmt w:val="lowerLetter"/>
      <w:lvlText w:val="%2."/>
      <w:lvlJc w:val="left"/>
      <w:pPr>
        <w:ind w:left="1866" w:hanging="360"/>
      </w:pPr>
    </w:lvl>
    <w:lvl w:ilvl="2" w:tplc="0C0A001B" w:tentative="1">
      <w:start w:val="1"/>
      <w:numFmt w:val="lowerRoman"/>
      <w:lvlText w:val="%3."/>
      <w:lvlJc w:val="right"/>
      <w:pPr>
        <w:ind w:left="2586" w:hanging="180"/>
      </w:pPr>
    </w:lvl>
    <w:lvl w:ilvl="3" w:tplc="0C0A000F" w:tentative="1">
      <w:start w:val="1"/>
      <w:numFmt w:val="decimal"/>
      <w:lvlText w:val="%4."/>
      <w:lvlJc w:val="left"/>
      <w:pPr>
        <w:ind w:left="3306" w:hanging="360"/>
      </w:pPr>
    </w:lvl>
    <w:lvl w:ilvl="4" w:tplc="0C0A0019" w:tentative="1">
      <w:start w:val="1"/>
      <w:numFmt w:val="lowerLetter"/>
      <w:lvlText w:val="%5."/>
      <w:lvlJc w:val="left"/>
      <w:pPr>
        <w:ind w:left="4026" w:hanging="360"/>
      </w:pPr>
    </w:lvl>
    <w:lvl w:ilvl="5" w:tplc="0C0A001B" w:tentative="1">
      <w:start w:val="1"/>
      <w:numFmt w:val="lowerRoman"/>
      <w:lvlText w:val="%6."/>
      <w:lvlJc w:val="right"/>
      <w:pPr>
        <w:ind w:left="4746" w:hanging="180"/>
      </w:pPr>
    </w:lvl>
    <w:lvl w:ilvl="6" w:tplc="0C0A000F" w:tentative="1">
      <w:start w:val="1"/>
      <w:numFmt w:val="decimal"/>
      <w:lvlText w:val="%7."/>
      <w:lvlJc w:val="left"/>
      <w:pPr>
        <w:ind w:left="5466" w:hanging="360"/>
      </w:pPr>
    </w:lvl>
    <w:lvl w:ilvl="7" w:tplc="0C0A0019" w:tentative="1">
      <w:start w:val="1"/>
      <w:numFmt w:val="lowerLetter"/>
      <w:lvlText w:val="%8."/>
      <w:lvlJc w:val="left"/>
      <w:pPr>
        <w:ind w:left="6186" w:hanging="360"/>
      </w:pPr>
    </w:lvl>
    <w:lvl w:ilvl="8" w:tplc="0C0A001B" w:tentative="1">
      <w:start w:val="1"/>
      <w:numFmt w:val="lowerRoman"/>
      <w:lvlText w:val="%9."/>
      <w:lvlJc w:val="right"/>
      <w:pPr>
        <w:ind w:left="6906" w:hanging="180"/>
      </w:pPr>
    </w:lvl>
  </w:abstractNum>
  <w:abstractNum w:abstractNumId="37" w15:restartNumberingAfterBreak="0">
    <w:nsid w:val="69122A6A"/>
    <w:multiLevelType w:val="hybridMultilevel"/>
    <w:tmpl w:val="CCCE9E08"/>
    <w:lvl w:ilvl="0" w:tplc="3B4C55AC">
      <w:start w:val="1"/>
      <w:numFmt w:val="lowerLetter"/>
      <w:pStyle w:val="Letra"/>
      <w:lvlText w:val="%1."/>
      <w:lvlJc w:val="left"/>
      <w:pPr>
        <w:ind w:left="1146" w:hanging="360"/>
      </w:pPr>
      <w:rPr>
        <w:i/>
        <w:iCs/>
      </w:r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38" w15:restartNumberingAfterBreak="0">
    <w:nsid w:val="6A2720C3"/>
    <w:multiLevelType w:val="hybridMultilevel"/>
    <w:tmpl w:val="03481CF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9" w15:restartNumberingAfterBreak="0">
    <w:nsid w:val="6C1A7D23"/>
    <w:multiLevelType w:val="hybridMultilevel"/>
    <w:tmpl w:val="E3B0615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0" w15:restartNumberingAfterBreak="0">
    <w:nsid w:val="6EAD23DE"/>
    <w:multiLevelType w:val="hybridMultilevel"/>
    <w:tmpl w:val="486A805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1" w15:restartNumberingAfterBreak="0">
    <w:nsid w:val="6ED70B60"/>
    <w:multiLevelType w:val="multilevel"/>
    <w:tmpl w:val="7CCC0F10"/>
    <w:lvl w:ilvl="0">
      <w:numFmt w:val="decimal"/>
      <w:lvlText w:val="%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isLgl/>
      <w:lvlText w:val="%1.%2."/>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isLgl/>
      <w:lvlText w:val="%1.%2.%3."/>
      <w:lvlJc w:val="left"/>
      <w:pPr>
        <w:ind w:left="1080" w:hanging="720"/>
      </w:pPr>
      <w:rPr>
        <w:rFonts w:hint="default"/>
        <w:b w:val="0"/>
        <w:bCs w:val="0"/>
        <w:i/>
        <w:iC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2" w15:restartNumberingAfterBreak="0">
    <w:nsid w:val="7289520D"/>
    <w:multiLevelType w:val="hybridMultilevel"/>
    <w:tmpl w:val="306AA340"/>
    <w:lvl w:ilvl="0" w:tplc="4B5EB152">
      <w:start w:val="1"/>
      <w:numFmt w:val="decimal"/>
      <w:lvlText w:val="A.%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730133A9"/>
    <w:multiLevelType w:val="hybridMultilevel"/>
    <w:tmpl w:val="C0E83A96"/>
    <w:lvl w:ilvl="0" w:tplc="15C4859A">
      <w:start w:val="1"/>
      <w:numFmt w:val="bullet"/>
      <w:lvlText w:val=""/>
      <w:lvlJc w:val="left"/>
      <w:pPr>
        <w:ind w:left="720" w:hanging="360"/>
      </w:pPr>
      <w:rPr>
        <w:rFonts w:ascii="Symbol" w:hAnsi="Symbol" w:hint="default"/>
        <w:sz w:val="12"/>
        <w:szCs w:val="12"/>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4" w15:restartNumberingAfterBreak="0">
    <w:nsid w:val="73D8783F"/>
    <w:multiLevelType w:val="hybridMultilevel"/>
    <w:tmpl w:val="766A5AC4"/>
    <w:lvl w:ilvl="0" w:tplc="8926DC98">
      <w:start w:val="1"/>
      <w:numFmt w:val="lowerRoman"/>
      <w:pStyle w:val="Nmeroromano"/>
      <w:lvlText w:val="%1."/>
      <w:lvlJc w:val="right"/>
      <w:pPr>
        <w:ind w:left="720" w:hanging="360"/>
      </w:pPr>
      <w:rPr>
        <w:rFonts w:ascii="Palatino Linotype" w:hAnsi="Palatino Linotype" w:hint="default"/>
        <w:i/>
        <w:iCs/>
        <w:sz w:val="16"/>
        <w:szCs w:val="16"/>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5" w15:restartNumberingAfterBreak="0">
    <w:nsid w:val="7676500F"/>
    <w:multiLevelType w:val="hybridMultilevel"/>
    <w:tmpl w:val="AF26E63A"/>
    <w:lvl w:ilvl="0" w:tplc="A912B61A">
      <w:start w:val="1"/>
      <w:numFmt w:val="upperLetter"/>
      <w:pStyle w:val="Letramayscula"/>
      <w:lvlText w:val="%1."/>
      <w:lvlJc w:val="left"/>
      <w:pPr>
        <w:ind w:left="720" w:hanging="360"/>
      </w:pPr>
      <w:rPr>
        <w:rFonts w:ascii="Palatino Linotype" w:hAnsi="Palatino Linotype" w:hint="default"/>
        <w:i/>
        <w:iCs/>
        <w:sz w:val="16"/>
        <w:szCs w:val="16"/>
      </w:rPr>
    </w:lvl>
    <w:lvl w:ilvl="1" w:tplc="F23ECD64">
      <w:start w:val="1"/>
      <w:numFmt w:val="bullet"/>
      <w:lvlText w:val="▫"/>
      <w:lvlJc w:val="left"/>
      <w:pPr>
        <w:ind w:left="2340" w:hanging="360"/>
      </w:pPr>
      <w:rPr>
        <w:rFonts w:ascii="Palatino Linotype" w:hAnsi="Palatino Linotype" w:hint="default"/>
      </w:rPr>
    </w:lvl>
    <w:lvl w:ilvl="2" w:tplc="08090001">
      <w:start w:val="1"/>
      <w:numFmt w:val="bullet"/>
      <w:lvlText w:val=""/>
      <w:lvlJc w:val="left"/>
      <w:pPr>
        <w:ind w:left="5040" w:hanging="360"/>
      </w:pPr>
      <w:rPr>
        <w:rFonts w:ascii="Symbol" w:hAnsi="Symbol" w:hint="default"/>
      </w:r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6" w15:restartNumberingAfterBreak="0">
    <w:nsid w:val="782B6838"/>
    <w:multiLevelType w:val="hybridMultilevel"/>
    <w:tmpl w:val="FDC0415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7" w15:restartNumberingAfterBreak="0">
    <w:nsid w:val="798B16D6"/>
    <w:multiLevelType w:val="multilevel"/>
    <w:tmpl w:val="C2B87E12"/>
    <w:lvl w:ilvl="0">
      <w:start w:val="1"/>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644" w:hanging="36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288" w:hanging="720"/>
      </w:pPr>
      <w:rPr>
        <w:rFonts w:hint="default"/>
      </w:rPr>
    </w:lvl>
    <w:lvl w:ilvl="5">
      <w:start w:val="1"/>
      <w:numFmt w:val="decimal"/>
      <w:lvlText w:val="%1.%2.%3.%4.%5.%6."/>
      <w:lvlJc w:val="left"/>
      <w:pPr>
        <w:ind w:left="1430" w:hanging="720"/>
      </w:pPr>
      <w:rPr>
        <w:rFonts w:hint="default"/>
      </w:rPr>
    </w:lvl>
    <w:lvl w:ilvl="6">
      <w:start w:val="1"/>
      <w:numFmt w:val="decimal"/>
      <w:lvlText w:val="%1.%2.%3.%4.%5.%6.%7."/>
      <w:lvlJc w:val="left"/>
      <w:pPr>
        <w:ind w:left="1932" w:hanging="1080"/>
      </w:pPr>
      <w:rPr>
        <w:rFonts w:hint="default"/>
      </w:rPr>
    </w:lvl>
    <w:lvl w:ilvl="7">
      <w:start w:val="1"/>
      <w:numFmt w:val="decimal"/>
      <w:lvlText w:val="%1.%2.%3.%4.%5.%6.%7.%8."/>
      <w:lvlJc w:val="left"/>
      <w:pPr>
        <w:ind w:left="2074" w:hanging="1080"/>
      </w:pPr>
      <w:rPr>
        <w:rFonts w:hint="default"/>
      </w:rPr>
    </w:lvl>
    <w:lvl w:ilvl="8">
      <w:start w:val="1"/>
      <w:numFmt w:val="decimal"/>
      <w:lvlText w:val="%1.%2.%3.%4.%5.%6.%7.%8.%9."/>
      <w:lvlJc w:val="left"/>
      <w:pPr>
        <w:ind w:left="2216" w:hanging="1080"/>
      </w:pPr>
      <w:rPr>
        <w:rFonts w:hint="default"/>
      </w:rPr>
    </w:lvl>
  </w:abstractNum>
  <w:abstractNum w:abstractNumId="48" w15:restartNumberingAfterBreak="0">
    <w:nsid w:val="79AD32D2"/>
    <w:multiLevelType w:val="hybridMultilevel"/>
    <w:tmpl w:val="7DA6C69A"/>
    <w:lvl w:ilvl="0" w:tplc="79844AE0">
      <w:start w:val="1"/>
      <w:numFmt w:val="decimal"/>
      <w:pStyle w:val="Ttulo5"/>
      <w:lvlText w:val="A.%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9" w15:restartNumberingAfterBreak="0">
    <w:nsid w:val="79CA1A32"/>
    <w:multiLevelType w:val="multilevel"/>
    <w:tmpl w:val="52669C50"/>
    <w:lvl w:ilvl="0">
      <w:numFmt w:val="decimal"/>
      <w:lvlText w:val="%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FFFFFF" w:themeColor="background1"/>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isLgl/>
      <w:lvlText w:val="%1.%2."/>
      <w:lvlJc w:val="left"/>
      <w:pPr>
        <w:ind w:left="1134" w:hanging="360"/>
      </w:pPr>
      <w:rPr>
        <w:rFonts w:hint="default"/>
      </w:rPr>
    </w:lvl>
    <w:lvl w:ilvl="2">
      <w:start w:val="1"/>
      <w:numFmt w:val="decimal"/>
      <w:isLgl/>
      <w:lvlText w:val="%1.%2.%3."/>
      <w:lvlJc w:val="left"/>
      <w:pPr>
        <w:ind w:left="1908" w:hanging="720"/>
      </w:pPr>
      <w:rPr>
        <w:rFonts w:hint="default"/>
      </w:rPr>
    </w:lvl>
    <w:lvl w:ilvl="3">
      <w:start w:val="1"/>
      <w:numFmt w:val="decimal"/>
      <w:isLgl/>
      <w:lvlText w:val="%1.%2.%3.%4."/>
      <w:lvlJc w:val="left"/>
      <w:pPr>
        <w:ind w:left="2322" w:hanging="720"/>
      </w:pPr>
      <w:rPr>
        <w:rFonts w:hint="default"/>
      </w:rPr>
    </w:lvl>
    <w:lvl w:ilvl="4">
      <w:start w:val="1"/>
      <w:numFmt w:val="decimal"/>
      <w:isLgl/>
      <w:lvlText w:val="%1.%2.%3.%4.%5."/>
      <w:lvlJc w:val="left"/>
      <w:pPr>
        <w:ind w:left="3096" w:hanging="1080"/>
      </w:pPr>
      <w:rPr>
        <w:rFonts w:hint="default"/>
      </w:rPr>
    </w:lvl>
    <w:lvl w:ilvl="5">
      <w:start w:val="1"/>
      <w:numFmt w:val="decimal"/>
      <w:isLgl/>
      <w:lvlText w:val="%1.%2.%3.%4.%5.%6."/>
      <w:lvlJc w:val="left"/>
      <w:pPr>
        <w:ind w:left="3510" w:hanging="1080"/>
      </w:pPr>
      <w:rPr>
        <w:rFonts w:hint="default"/>
      </w:rPr>
    </w:lvl>
    <w:lvl w:ilvl="6">
      <w:start w:val="1"/>
      <w:numFmt w:val="decimal"/>
      <w:isLgl/>
      <w:lvlText w:val="%1.%2.%3.%4.%5.%6.%7."/>
      <w:lvlJc w:val="left"/>
      <w:pPr>
        <w:ind w:left="4284" w:hanging="1440"/>
      </w:pPr>
      <w:rPr>
        <w:rFonts w:hint="default"/>
      </w:rPr>
    </w:lvl>
    <w:lvl w:ilvl="7">
      <w:start w:val="1"/>
      <w:numFmt w:val="decimal"/>
      <w:isLgl/>
      <w:lvlText w:val="%1.%2.%3.%4.%5.%6.%7.%8."/>
      <w:lvlJc w:val="left"/>
      <w:pPr>
        <w:ind w:left="4698" w:hanging="1440"/>
      </w:pPr>
      <w:rPr>
        <w:rFonts w:hint="default"/>
      </w:rPr>
    </w:lvl>
    <w:lvl w:ilvl="8">
      <w:start w:val="1"/>
      <w:numFmt w:val="decimal"/>
      <w:isLgl/>
      <w:lvlText w:val="%1.%2.%3.%4.%5.%6.%7.%8.%9."/>
      <w:lvlJc w:val="left"/>
      <w:pPr>
        <w:ind w:left="5472" w:hanging="1800"/>
      </w:pPr>
      <w:rPr>
        <w:rFonts w:hint="default"/>
      </w:rPr>
    </w:lvl>
  </w:abstractNum>
  <w:abstractNum w:abstractNumId="50" w15:restartNumberingAfterBreak="0">
    <w:nsid w:val="7C260337"/>
    <w:multiLevelType w:val="hybridMultilevel"/>
    <w:tmpl w:val="1A30088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766345816">
    <w:abstractNumId w:val="12"/>
  </w:num>
  <w:num w:numId="2" w16cid:durableId="1397783683">
    <w:abstractNumId w:val="48"/>
  </w:num>
  <w:num w:numId="3" w16cid:durableId="2013797917">
    <w:abstractNumId w:val="20"/>
  </w:num>
  <w:num w:numId="4" w16cid:durableId="948316172">
    <w:abstractNumId w:val="37"/>
  </w:num>
  <w:num w:numId="5" w16cid:durableId="1261328937">
    <w:abstractNumId w:val="22"/>
  </w:num>
  <w:num w:numId="6" w16cid:durableId="382676517">
    <w:abstractNumId w:val="45"/>
  </w:num>
  <w:num w:numId="7" w16cid:durableId="1197086113">
    <w:abstractNumId w:val="36"/>
  </w:num>
  <w:num w:numId="8" w16cid:durableId="225649315">
    <w:abstractNumId w:val="14"/>
  </w:num>
  <w:num w:numId="9" w16cid:durableId="1173644828">
    <w:abstractNumId w:val="17"/>
  </w:num>
  <w:num w:numId="10" w16cid:durableId="1888444282">
    <w:abstractNumId w:val="37"/>
    <w:lvlOverride w:ilvl="0">
      <w:startOverride w:val="1"/>
    </w:lvlOverride>
  </w:num>
  <w:num w:numId="11" w16cid:durableId="893194688">
    <w:abstractNumId w:val="30"/>
  </w:num>
  <w:num w:numId="12" w16cid:durableId="1067151432">
    <w:abstractNumId w:val="39"/>
  </w:num>
  <w:num w:numId="13" w16cid:durableId="814293410">
    <w:abstractNumId w:val="44"/>
  </w:num>
  <w:num w:numId="14" w16cid:durableId="1817257723">
    <w:abstractNumId w:val="29"/>
  </w:num>
  <w:num w:numId="15" w16cid:durableId="506408406">
    <w:abstractNumId w:val="21"/>
  </w:num>
  <w:num w:numId="16" w16cid:durableId="1072701139">
    <w:abstractNumId w:val="44"/>
    <w:lvlOverride w:ilvl="0">
      <w:startOverride w:val="1"/>
    </w:lvlOverride>
  </w:num>
  <w:num w:numId="17" w16cid:durableId="128519343">
    <w:abstractNumId w:val="43"/>
  </w:num>
  <w:num w:numId="18" w16cid:durableId="914709160">
    <w:abstractNumId w:val="13"/>
  </w:num>
  <w:num w:numId="19" w16cid:durableId="976446697">
    <w:abstractNumId w:val="11"/>
  </w:num>
  <w:num w:numId="20" w16cid:durableId="1110658700">
    <w:abstractNumId w:val="16"/>
  </w:num>
  <w:num w:numId="21" w16cid:durableId="708920011">
    <w:abstractNumId w:val="28"/>
  </w:num>
  <w:num w:numId="22" w16cid:durableId="1031996980">
    <w:abstractNumId w:val="19"/>
  </w:num>
  <w:num w:numId="23" w16cid:durableId="532429336">
    <w:abstractNumId w:val="38"/>
  </w:num>
  <w:num w:numId="24" w16cid:durableId="8021701">
    <w:abstractNumId w:val="40"/>
  </w:num>
  <w:num w:numId="25" w16cid:durableId="1178735406">
    <w:abstractNumId w:val="50"/>
  </w:num>
  <w:num w:numId="26" w16cid:durableId="1437863982">
    <w:abstractNumId w:val="44"/>
    <w:lvlOverride w:ilvl="0">
      <w:startOverride w:val="1"/>
    </w:lvlOverride>
  </w:num>
  <w:num w:numId="27" w16cid:durableId="2002074814">
    <w:abstractNumId w:val="23"/>
  </w:num>
  <w:num w:numId="28" w16cid:durableId="657997280">
    <w:abstractNumId w:val="46"/>
  </w:num>
  <w:num w:numId="29" w16cid:durableId="611518627">
    <w:abstractNumId w:val="32"/>
  </w:num>
  <w:num w:numId="30" w16cid:durableId="939872331">
    <w:abstractNumId w:val="15"/>
  </w:num>
  <w:num w:numId="31" w16cid:durableId="1057821029">
    <w:abstractNumId w:val="27"/>
  </w:num>
  <w:num w:numId="32" w16cid:durableId="565141468">
    <w:abstractNumId w:val="33"/>
  </w:num>
  <w:num w:numId="33" w16cid:durableId="1557934497">
    <w:abstractNumId w:val="10"/>
  </w:num>
  <w:num w:numId="34" w16cid:durableId="849031202">
    <w:abstractNumId w:val="24"/>
  </w:num>
  <w:num w:numId="35" w16cid:durableId="941034240">
    <w:abstractNumId w:val="25"/>
  </w:num>
  <w:num w:numId="36" w16cid:durableId="1204826280">
    <w:abstractNumId w:val="31"/>
  </w:num>
  <w:num w:numId="37" w16cid:durableId="1645113347">
    <w:abstractNumId w:val="41"/>
  </w:num>
  <w:num w:numId="38" w16cid:durableId="1177038595">
    <w:abstractNumId w:val="42"/>
  </w:num>
  <w:num w:numId="39" w16cid:durableId="408163132">
    <w:abstractNumId w:val="49"/>
  </w:num>
  <w:num w:numId="40" w16cid:durableId="327099591">
    <w:abstractNumId w:val="18"/>
  </w:num>
  <w:num w:numId="41" w16cid:durableId="2042318061">
    <w:abstractNumId w:val="35"/>
  </w:num>
  <w:num w:numId="42" w16cid:durableId="1985771199">
    <w:abstractNumId w:val="34"/>
  </w:num>
  <w:num w:numId="43" w16cid:durableId="2029404254">
    <w:abstractNumId w:val="9"/>
  </w:num>
  <w:num w:numId="44" w16cid:durableId="1993290738">
    <w:abstractNumId w:val="7"/>
  </w:num>
  <w:num w:numId="45" w16cid:durableId="1571386103">
    <w:abstractNumId w:val="6"/>
  </w:num>
  <w:num w:numId="46" w16cid:durableId="362247877">
    <w:abstractNumId w:val="5"/>
  </w:num>
  <w:num w:numId="47" w16cid:durableId="1333335971">
    <w:abstractNumId w:val="4"/>
  </w:num>
  <w:num w:numId="48" w16cid:durableId="1539201278">
    <w:abstractNumId w:val="8"/>
  </w:num>
  <w:num w:numId="49" w16cid:durableId="1289973886">
    <w:abstractNumId w:val="3"/>
  </w:num>
  <w:num w:numId="50" w16cid:durableId="90440431">
    <w:abstractNumId w:val="2"/>
  </w:num>
  <w:num w:numId="51" w16cid:durableId="1548760028">
    <w:abstractNumId w:val="1"/>
  </w:num>
  <w:num w:numId="52" w16cid:durableId="809176538">
    <w:abstractNumId w:val="0"/>
  </w:num>
  <w:num w:numId="53" w16cid:durableId="484467829">
    <w:abstractNumId w:val="47"/>
  </w:num>
  <w:num w:numId="54" w16cid:durableId="943803860">
    <w:abstractNumId w:val="26"/>
  </w:num>
  <w:num w:numId="55" w16cid:durableId="34506240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attachedTemplate r:id="rId1"/>
  <w:linkStyle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57CC"/>
    <w:rsid w:val="000002B3"/>
    <w:rsid w:val="00000669"/>
    <w:rsid w:val="00000BEE"/>
    <w:rsid w:val="00000C00"/>
    <w:rsid w:val="000032B1"/>
    <w:rsid w:val="0000616A"/>
    <w:rsid w:val="00006644"/>
    <w:rsid w:val="000077F2"/>
    <w:rsid w:val="00011C67"/>
    <w:rsid w:val="000134D4"/>
    <w:rsid w:val="00014B0A"/>
    <w:rsid w:val="00015B9D"/>
    <w:rsid w:val="000168AE"/>
    <w:rsid w:val="00016D6D"/>
    <w:rsid w:val="00017D4E"/>
    <w:rsid w:val="0002549F"/>
    <w:rsid w:val="00025A56"/>
    <w:rsid w:val="00025F23"/>
    <w:rsid w:val="000275E3"/>
    <w:rsid w:val="00031D43"/>
    <w:rsid w:val="00035289"/>
    <w:rsid w:val="0004074D"/>
    <w:rsid w:val="00041D0E"/>
    <w:rsid w:val="00041D43"/>
    <w:rsid w:val="000423E1"/>
    <w:rsid w:val="00046198"/>
    <w:rsid w:val="0004771D"/>
    <w:rsid w:val="00052176"/>
    <w:rsid w:val="000548FB"/>
    <w:rsid w:val="00054A3C"/>
    <w:rsid w:val="0005581A"/>
    <w:rsid w:val="00060593"/>
    <w:rsid w:val="00060F2D"/>
    <w:rsid w:val="000649EB"/>
    <w:rsid w:val="0006694E"/>
    <w:rsid w:val="00067F08"/>
    <w:rsid w:val="00073428"/>
    <w:rsid w:val="00083A56"/>
    <w:rsid w:val="00084D4D"/>
    <w:rsid w:val="000858F7"/>
    <w:rsid w:val="000872E4"/>
    <w:rsid w:val="00090215"/>
    <w:rsid w:val="000A3137"/>
    <w:rsid w:val="000A617E"/>
    <w:rsid w:val="000A6E0C"/>
    <w:rsid w:val="000B201D"/>
    <w:rsid w:val="000B514B"/>
    <w:rsid w:val="000B59E4"/>
    <w:rsid w:val="000B74E7"/>
    <w:rsid w:val="000B787F"/>
    <w:rsid w:val="000B7F8C"/>
    <w:rsid w:val="000C14E4"/>
    <w:rsid w:val="000C190B"/>
    <w:rsid w:val="000C23FD"/>
    <w:rsid w:val="000C2D6C"/>
    <w:rsid w:val="000C57BF"/>
    <w:rsid w:val="000C5D63"/>
    <w:rsid w:val="000C5D72"/>
    <w:rsid w:val="000C6453"/>
    <w:rsid w:val="000D1B3A"/>
    <w:rsid w:val="000D48FB"/>
    <w:rsid w:val="000D594B"/>
    <w:rsid w:val="000D638F"/>
    <w:rsid w:val="000D7663"/>
    <w:rsid w:val="000E3517"/>
    <w:rsid w:val="000E595D"/>
    <w:rsid w:val="000E6782"/>
    <w:rsid w:val="000F26AA"/>
    <w:rsid w:val="000F2B5D"/>
    <w:rsid w:val="000F4EE8"/>
    <w:rsid w:val="00100AB5"/>
    <w:rsid w:val="00100FDB"/>
    <w:rsid w:val="0010121C"/>
    <w:rsid w:val="001044B3"/>
    <w:rsid w:val="00106577"/>
    <w:rsid w:val="00106EF9"/>
    <w:rsid w:val="0011056F"/>
    <w:rsid w:val="00112767"/>
    <w:rsid w:val="00113C66"/>
    <w:rsid w:val="0011607B"/>
    <w:rsid w:val="00116E18"/>
    <w:rsid w:val="00117399"/>
    <w:rsid w:val="0012042A"/>
    <w:rsid w:val="001229A3"/>
    <w:rsid w:val="00123712"/>
    <w:rsid w:val="00123793"/>
    <w:rsid w:val="00123BBA"/>
    <w:rsid w:val="00124991"/>
    <w:rsid w:val="00126EAD"/>
    <w:rsid w:val="00131363"/>
    <w:rsid w:val="0013139A"/>
    <w:rsid w:val="00131FFB"/>
    <w:rsid w:val="00146E95"/>
    <w:rsid w:val="0014730B"/>
    <w:rsid w:val="00147446"/>
    <w:rsid w:val="0015013E"/>
    <w:rsid w:val="00150D48"/>
    <w:rsid w:val="001521F3"/>
    <w:rsid w:val="00154136"/>
    <w:rsid w:val="0015563E"/>
    <w:rsid w:val="00157427"/>
    <w:rsid w:val="00160C77"/>
    <w:rsid w:val="00164340"/>
    <w:rsid w:val="001644F4"/>
    <w:rsid w:val="00170D2E"/>
    <w:rsid w:val="0017261E"/>
    <w:rsid w:val="00174906"/>
    <w:rsid w:val="00175377"/>
    <w:rsid w:val="001766D8"/>
    <w:rsid w:val="00184A5E"/>
    <w:rsid w:val="001850F5"/>
    <w:rsid w:val="001869B6"/>
    <w:rsid w:val="00186DF2"/>
    <w:rsid w:val="001939C9"/>
    <w:rsid w:val="001957CC"/>
    <w:rsid w:val="001A0FD3"/>
    <w:rsid w:val="001A1123"/>
    <w:rsid w:val="001A2AFC"/>
    <w:rsid w:val="001A2BBC"/>
    <w:rsid w:val="001A3C20"/>
    <w:rsid w:val="001A427E"/>
    <w:rsid w:val="001A56F7"/>
    <w:rsid w:val="001A575F"/>
    <w:rsid w:val="001A7206"/>
    <w:rsid w:val="001B10BA"/>
    <w:rsid w:val="001C4A9D"/>
    <w:rsid w:val="001C6AB8"/>
    <w:rsid w:val="001D7426"/>
    <w:rsid w:val="001D751E"/>
    <w:rsid w:val="001E05AE"/>
    <w:rsid w:val="001F2D3A"/>
    <w:rsid w:val="001F4C0E"/>
    <w:rsid w:val="001F65F1"/>
    <w:rsid w:val="001F765C"/>
    <w:rsid w:val="001F77A6"/>
    <w:rsid w:val="00203058"/>
    <w:rsid w:val="002049B8"/>
    <w:rsid w:val="002049D6"/>
    <w:rsid w:val="00204AB8"/>
    <w:rsid w:val="00207912"/>
    <w:rsid w:val="00210991"/>
    <w:rsid w:val="0021774E"/>
    <w:rsid w:val="00217E58"/>
    <w:rsid w:val="00220935"/>
    <w:rsid w:val="00221521"/>
    <w:rsid w:val="002218CE"/>
    <w:rsid w:val="00224699"/>
    <w:rsid w:val="002257F0"/>
    <w:rsid w:val="0023057C"/>
    <w:rsid w:val="002320ED"/>
    <w:rsid w:val="002353CA"/>
    <w:rsid w:val="00237EB7"/>
    <w:rsid w:val="00240E0F"/>
    <w:rsid w:val="00241098"/>
    <w:rsid w:val="00243D44"/>
    <w:rsid w:val="00244ADF"/>
    <w:rsid w:val="0025009E"/>
    <w:rsid w:val="00252ECE"/>
    <w:rsid w:val="00253027"/>
    <w:rsid w:val="002539B9"/>
    <w:rsid w:val="00254F96"/>
    <w:rsid w:val="00255C6F"/>
    <w:rsid w:val="0025626A"/>
    <w:rsid w:val="00257230"/>
    <w:rsid w:val="00260454"/>
    <w:rsid w:val="00260B07"/>
    <w:rsid w:val="00261D74"/>
    <w:rsid w:val="00265DAD"/>
    <w:rsid w:val="0027055B"/>
    <w:rsid w:val="002735F4"/>
    <w:rsid w:val="0027519C"/>
    <w:rsid w:val="002751AE"/>
    <w:rsid w:val="00275887"/>
    <w:rsid w:val="002767C6"/>
    <w:rsid w:val="002807FE"/>
    <w:rsid w:val="0028127B"/>
    <w:rsid w:val="00283623"/>
    <w:rsid w:val="00284A0F"/>
    <w:rsid w:val="00284B54"/>
    <w:rsid w:val="00284E9F"/>
    <w:rsid w:val="00285366"/>
    <w:rsid w:val="002856CE"/>
    <w:rsid w:val="00286692"/>
    <w:rsid w:val="0029172E"/>
    <w:rsid w:val="00294AC5"/>
    <w:rsid w:val="00294AD7"/>
    <w:rsid w:val="002958A9"/>
    <w:rsid w:val="00297499"/>
    <w:rsid w:val="00297A05"/>
    <w:rsid w:val="002A1386"/>
    <w:rsid w:val="002A17D0"/>
    <w:rsid w:val="002A2CFB"/>
    <w:rsid w:val="002A3679"/>
    <w:rsid w:val="002A672E"/>
    <w:rsid w:val="002A6F50"/>
    <w:rsid w:val="002A7603"/>
    <w:rsid w:val="002A7A83"/>
    <w:rsid w:val="002B3863"/>
    <w:rsid w:val="002B483A"/>
    <w:rsid w:val="002B567C"/>
    <w:rsid w:val="002C03B9"/>
    <w:rsid w:val="002C1478"/>
    <w:rsid w:val="002C2D42"/>
    <w:rsid w:val="002C42F6"/>
    <w:rsid w:val="002C67A7"/>
    <w:rsid w:val="002C6FC8"/>
    <w:rsid w:val="002C7496"/>
    <w:rsid w:val="002D1B8A"/>
    <w:rsid w:val="002D28EA"/>
    <w:rsid w:val="002D47C4"/>
    <w:rsid w:val="002D5BD1"/>
    <w:rsid w:val="002D7CA7"/>
    <w:rsid w:val="002E02C3"/>
    <w:rsid w:val="002E0C48"/>
    <w:rsid w:val="002E2B92"/>
    <w:rsid w:val="002E2DCB"/>
    <w:rsid w:val="002E30D4"/>
    <w:rsid w:val="002E5F5F"/>
    <w:rsid w:val="002E7721"/>
    <w:rsid w:val="002F169D"/>
    <w:rsid w:val="002F3D67"/>
    <w:rsid w:val="002F3F42"/>
    <w:rsid w:val="002F42FC"/>
    <w:rsid w:val="002F437A"/>
    <w:rsid w:val="002F49CB"/>
    <w:rsid w:val="002F4BC1"/>
    <w:rsid w:val="002F608C"/>
    <w:rsid w:val="00300D83"/>
    <w:rsid w:val="00302A0E"/>
    <w:rsid w:val="003078F8"/>
    <w:rsid w:val="00307C23"/>
    <w:rsid w:val="003121A2"/>
    <w:rsid w:val="00312C4F"/>
    <w:rsid w:val="00315011"/>
    <w:rsid w:val="0031762E"/>
    <w:rsid w:val="00336450"/>
    <w:rsid w:val="00342648"/>
    <w:rsid w:val="00342F8B"/>
    <w:rsid w:val="00342F9B"/>
    <w:rsid w:val="003469DF"/>
    <w:rsid w:val="00346A00"/>
    <w:rsid w:val="00346F96"/>
    <w:rsid w:val="0034735D"/>
    <w:rsid w:val="00347964"/>
    <w:rsid w:val="003522F3"/>
    <w:rsid w:val="00360D96"/>
    <w:rsid w:val="00362DCB"/>
    <w:rsid w:val="00362F7D"/>
    <w:rsid w:val="00363AC3"/>
    <w:rsid w:val="00363C7D"/>
    <w:rsid w:val="0036468C"/>
    <w:rsid w:val="003656F7"/>
    <w:rsid w:val="0036660A"/>
    <w:rsid w:val="00366AFF"/>
    <w:rsid w:val="00366DB9"/>
    <w:rsid w:val="00372F88"/>
    <w:rsid w:val="00373EDB"/>
    <w:rsid w:val="00376ADB"/>
    <w:rsid w:val="00376B21"/>
    <w:rsid w:val="003771AA"/>
    <w:rsid w:val="0038051E"/>
    <w:rsid w:val="00380807"/>
    <w:rsid w:val="0038131E"/>
    <w:rsid w:val="00382492"/>
    <w:rsid w:val="00385008"/>
    <w:rsid w:val="00390461"/>
    <w:rsid w:val="00396CAF"/>
    <w:rsid w:val="003977B7"/>
    <w:rsid w:val="003A0A30"/>
    <w:rsid w:val="003A18AD"/>
    <w:rsid w:val="003A1A55"/>
    <w:rsid w:val="003A5271"/>
    <w:rsid w:val="003A5C81"/>
    <w:rsid w:val="003A72DC"/>
    <w:rsid w:val="003B16C2"/>
    <w:rsid w:val="003B4F7B"/>
    <w:rsid w:val="003B584D"/>
    <w:rsid w:val="003B6519"/>
    <w:rsid w:val="003B652B"/>
    <w:rsid w:val="003B700E"/>
    <w:rsid w:val="003C03C4"/>
    <w:rsid w:val="003C29B6"/>
    <w:rsid w:val="003C5481"/>
    <w:rsid w:val="003C5798"/>
    <w:rsid w:val="003D0479"/>
    <w:rsid w:val="003D2FD8"/>
    <w:rsid w:val="003D379D"/>
    <w:rsid w:val="003E4869"/>
    <w:rsid w:val="003E7C8C"/>
    <w:rsid w:val="003F05B5"/>
    <w:rsid w:val="003F50C8"/>
    <w:rsid w:val="003F529B"/>
    <w:rsid w:val="003F67CC"/>
    <w:rsid w:val="004005AD"/>
    <w:rsid w:val="00402FE1"/>
    <w:rsid w:val="0040524C"/>
    <w:rsid w:val="00406A18"/>
    <w:rsid w:val="004129D8"/>
    <w:rsid w:val="00413CA5"/>
    <w:rsid w:val="0042028F"/>
    <w:rsid w:val="00420CED"/>
    <w:rsid w:val="0042128F"/>
    <w:rsid w:val="00422DB2"/>
    <w:rsid w:val="00422F74"/>
    <w:rsid w:val="00423575"/>
    <w:rsid w:val="00426ED8"/>
    <w:rsid w:val="00431AE3"/>
    <w:rsid w:val="0043656E"/>
    <w:rsid w:val="00440017"/>
    <w:rsid w:val="00440315"/>
    <w:rsid w:val="004406B5"/>
    <w:rsid w:val="004409B7"/>
    <w:rsid w:val="00444389"/>
    <w:rsid w:val="00445205"/>
    <w:rsid w:val="004464AC"/>
    <w:rsid w:val="00447376"/>
    <w:rsid w:val="00450C38"/>
    <w:rsid w:val="004551A0"/>
    <w:rsid w:val="00455339"/>
    <w:rsid w:val="004567F5"/>
    <w:rsid w:val="00456B24"/>
    <w:rsid w:val="004611DA"/>
    <w:rsid w:val="004627A3"/>
    <w:rsid w:val="0046628C"/>
    <w:rsid w:val="004670AE"/>
    <w:rsid w:val="00467BB3"/>
    <w:rsid w:val="004720FD"/>
    <w:rsid w:val="00472FE0"/>
    <w:rsid w:val="00474859"/>
    <w:rsid w:val="00476AB3"/>
    <w:rsid w:val="00481E21"/>
    <w:rsid w:val="00483E03"/>
    <w:rsid w:val="00490DD5"/>
    <w:rsid w:val="004A0FB7"/>
    <w:rsid w:val="004A1B1B"/>
    <w:rsid w:val="004A1E54"/>
    <w:rsid w:val="004A34C7"/>
    <w:rsid w:val="004A3D17"/>
    <w:rsid w:val="004A6BE1"/>
    <w:rsid w:val="004A6D11"/>
    <w:rsid w:val="004B0504"/>
    <w:rsid w:val="004B264D"/>
    <w:rsid w:val="004B652A"/>
    <w:rsid w:val="004B7DBF"/>
    <w:rsid w:val="004C0C34"/>
    <w:rsid w:val="004C0F86"/>
    <w:rsid w:val="004C2103"/>
    <w:rsid w:val="004C255B"/>
    <w:rsid w:val="004C4845"/>
    <w:rsid w:val="004C5DE5"/>
    <w:rsid w:val="004D2D71"/>
    <w:rsid w:val="004D5064"/>
    <w:rsid w:val="004D649D"/>
    <w:rsid w:val="004E3C85"/>
    <w:rsid w:val="004E6D9C"/>
    <w:rsid w:val="004F07EB"/>
    <w:rsid w:val="005010A7"/>
    <w:rsid w:val="0050244F"/>
    <w:rsid w:val="00502A72"/>
    <w:rsid w:val="00505014"/>
    <w:rsid w:val="00505189"/>
    <w:rsid w:val="005143C2"/>
    <w:rsid w:val="00515E75"/>
    <w:rsid w:val="005209FC"/>
    <w:rsid w:val="00522AEC"/>
    <w:rsid w:val="0052706E"/>
    <w:rsid w:val="005275D8"/>
    <w:rsid w:val="00527E78"/>
    <w:rsid w:val="0053168B"/>
    <w:rsid w:val="005326A8"/>
    <w:rsid w:val="005328AD"/>
    <w:rsid w:val="00534F89"/>
    <w:rsid w:val="0053571B"/>
    <w:rsid w:val="00535B86"/>
    <w:rsid w:val="00536194"/>
    <w:rsid w:val="0053667E"/>
    <w:rsid w:val="00536838"/>
    <w:rsid w:val="00536EFA"/>
    <w:rsid w:val="00537DCF"/>
    <w:rsid w:val="00544C8A"/>
    <w:rsid w:val="005477BE"/>
    <w:rsid w:val="005502FF"/>
    <w:rsid w:val="00552422"/>
    <w:rsid w:val="00553735"/>
    <w:rsid w:val="00554E7A"/>
    <w:rsid w:val="00555917"/>
    <w:rsid w:val="00556F6E"/>
    <w:rsid w:val="00562795"/>
    <w:rsid w:val="00563AD6"/>
    <w:rsid w:val="00564B0D"/>
    <w:rsid w:val="00564C1D"/>
    <w:rsid w:val="005735EC"/>
    <w:rsid w:val="00573D8A"/>
    <w:rsid w:val="005745D8"/>
    <w:rsid w:val="00575673"/>
    <w:rsid w:val="00575D38"/>
    <w:rsid w:val="00580808"/>
    <w:rsid w:val="00581D83"/>
    <w:rsid w:val="00582DB2"/>
    <w:rsid w:val="00584B28"/>
    <w:rsid w:val="0058567F"/>
    <w:rsid w:val="00587196"/>
    <w:rsid w:val="00587380"/>
    <w:rsid w:val="005911A0"/>
    <w:rsid w:val="00591DBC"/>
    <w:rsid w:val="00592E7A"/>
    <w:rsid w:val="005951B0"/>
    <w:rsid w:val="00595D8C"/>
    <w:rsid w:val="00596DA6"/>
    <w:rsid w:val="00597972"/>
    <w:rsid w:val="005A0192"/>
    <w:rsid w:val="005A2D43"/>
    <w:rsid w:val="005A439A"/>
    <w:rsid w:val="005A4981"/>
    <w:rsid w:val="005A4DB6"/>
    <w:rsid w:val="005A7BED"/>
    <w:rsid w:val="005B118A"/>
    <w:rsid w:val="005B1C65"/>
    <w:rsid w:val="005B36F1"/>
    <w:rsid w:val="005B52A1"/>
    <w:rsid w:val="005B7486"/>
    <w:rsid w:val="005C01D3"/>
    <w:rsid w:val="005C131B"/>
    <w:rsid w:val="005C1D85"/>
    <w:rsid w:val="005C2000"/>
    <w:rsid w:val="005C233B"/>
    <w:rsid w:val="005C5AA8"/>
    <w:rsid w:val="005C6964"/>
    <w:rsid w:val="005C77EF"/>
    <w:rsid w:val="005D0FC8"/>
    <w:rsid w:val="005D1A74"/>
    <w:rsid w:val="005D28A9"/>
    <w:rsid w:val="005D40D8"/>
    <w:rsid w:val="005D50B8"/>
    <w:rsid w:val="005E01BE"/>
    <w:rsid w:val="005E2367"/>
    <w:rsid w:val="005E2BAC"/>
    <w:rsid w:val="005E2E6A"/>
    <w:rsid w:val="005E4DA3"/>
    <w:rsid w:val="005E5159"/>
    <w:rsid w:val="005E53B9"/>
    <w:rsid w:val="005E790A"/>
    <w:rsid w:val="005F48B9"/>
    <w:rsid w:val="005F5398"/>
    <w:rsid w:val="005F568B"/>
    <w:rsid w:val="005F6273"/>
    <w:rsid w:val="00601F6D"/>
    <w:rsid w:val="00602888"/>
    <w:rsid w:val="00603C27"/>
    <w:rsid w:val="00604DCD"/>
    <w:rsid w:val="00606E13"/>
    <w:rsid w:val="006111A1"/>
    <w:rsid w:val="00613D70"/>
    <w:rsid w:val="0061676E"/>
    <w:rsid w:val="00617E40"/>
    <w:rsid w:val="00620D30"/>
    <w:rsid w:val="00621C68"/>
    <w:rsid w:val="006220EE"/>
    <w:rsid w:val="0062214F"/>
    <w:rsid w:val="006225DE"/>
    <w:rsid w:val="006233E7"/>
    <w:rsid w:val="00623E56"/>
    <w:rsid w:val="006243C2"/>
    <w:rsid w:val="00624FB8"/>
    <w:rsid w:val="00634CFA"/>
    <w:rsid w:val="00636938"/>
    <w:rsid w:val="00640D4C"/>
    <w:rsid w:val="0064400E"/>
    <w:rsid w:val="00650502"/>
    <w:rsid w:val="00652EE3"/>
    <w:rsid w:val="006554A6"/>
    <w:rsid w:val="00656DC7"/>
    <w:rsid w:val="00663AA0"/>
    <w:rsid w:val="00666BD2"/>
    <w:rsid w:val="006706C6"/>
    <w:rsid w:val="00671227"/>
    <w:rsid w:val="00674899"/>
    <w:rsid w:val="00675078"/>
    <w:rsid w:val="0067526B"/>
    <w:rsid w:val="00675C9D"/>
    <w:rsid w:val="0068459A"/>
    <w:rsid w:val="00686618"/>
    <w:rsid w:val="00686B25"/>
    <w:rsid w:val="00692218"/>
    <w:rsid w:val="00692913"/>
    <w:rsid w:val="00693B21"/>
    <w:rsid w:val="00693E74"/>
    <w:rsid w:val="006962D7"/>
    <w:rsid w:val="006A0199"/>
    <w:rsid w:val="006A10CB"/>
    <w:rsid w:val="006A1D23"/>
    <w:rsid w:val="006A2CB2"/>
    <w:rsid w:val="006A6DE9"/>
    <w:rsid w:val="006B07D7"/>
    <w:rsid w:val="006B114C"/>
    <w:rsid w:val="006B33DD"/>
    <w:rsid w:val="006B4A95"/>
    <w:rsid w:val="006B5358"/>
    <w:rsid w:val="006B78B0"/>
    <w:rsid w:val="006C2140"/>
    <w:rsid w:val="006C4890"/>
    <w:rsid w:val="006C6346"/>
    <w:rsid w:val="006C69B3"/>
    <w:rsid w:val="006D19CE"/>
    <w:rsid w:val="006D1B9D"/>
    <w:rsid w:val="006D301C"/>
    <w:rsid w:val="006D7444"/>
    <w:rsid w:val="006D7C0F"/>
    <w:rsid w:val="006E1780"/>
    <w:rsid w:val="006E1CC7"/>
    <w:rsid w:val="006F086C"/>
    <w:rsid w:val="006F0A51"/>
    <w:rsid w:val="006F2A1A"/>
    <w:rsid w:val="006F3925"/>
    <w:rsid w:val="006F4C56"/>
    <w:rsid w:val="006F7343"/>
    <w:rsid w:val="006F7554"/>
    <w:rsid w:val="0070611E"/>
    <w:rsid w:val="00706B72"/>
    <w:rsid w:val="00706F1E"/>
    <w:rsid w:val="00707657"/>
    <w:rsid w:val="00707C80"/>
    <w:rsid w:val="007108B6"/>
    <w:rsid w:val="00711A26"/>
    <w:rsid w:val="0071249D"/>
    <w:rsid w:val="00714C62"/>
    <w:rsid w:val="00715EE1"/>
    <w:rsid w:val="00716273"/>
    <w:rsid w:val="007162BD"/>
    <w:rsid w:val="00716CB2"/>
    <w:rsid w:val="0071727E"/>
    <w:rsid w:val="00717A38"/>
    <w:rsid w:val="0072130D"/>
    <w:rsid w:val="00725893"/>
    <w:rsid w:val="00725E6C"/>
    <w:rsid w:val="007269E7"/>
    <w:rsid w:val="00730872"/>
    <w:rsid w:val="00731777"/>
    <w:rsid w:val="00733A39"/>
    <w:rsid w:val="0073402E"/>
    <w:rsid w:val="007350E1"/>
    <w:rsid w:val="0073549A"/>
    <w:rsid w:val="00735D30"/>
    <w:rsid w:val="0073715E"/>
    <w:rsid w:val="00741403"/>
    <w:rsid w:val="00741B8A"/>
    <w:rsid w:val="00744406"/>
    <w:rsid w:val="00744C94"/>
    <w:rsid w:val="00744FDE"/>
    <w:rsid w:val="007460A9"/>
    <w:rsid w:val="007502D9"/>
    <w:rsid w:val="0075272D"/>
    <w:rsid w:val="00753580"/>
    <w:rsid w:val="00755198"/>
    <w:rsid w:val="00761238"/>
    <w:rsid w:val="007624A7"/>
    <w:rsid w:val="00763259"/>
    <w:rsid w:val="007633E7"/>
    <w:rsid w:val="00764BE8"/>
    <w:rsid w:val="00776984"/>
    <w:rsid w:val="00780E3E"/>
    <w:rsid w:val="007812A8"/>
    <w:rsid w:val="00782BE7"/>
    <w:rsid w:val="007840A0"/>
    <w:rsid w:val="007865F6"/>
    <w:rsid w:val="007868B4"/>
    <w:rsid w:val="0078755E"/>
    <w:rsid w:val="00790F24"/>
    <w:rsid w:val="00791A89"/>
    <w:rsid w:val="00792AC5"/>
    <w:rsid w:val="00794131"/>
    <w:rsid w:val="007947E7"/>
    <w:rsid w:val="00797620"/>
    <w:rsid w:val="00797797"/>
    <w:rsid w:val="007A108F"/>
    <w:rsid w:val="007A19F9"/>
    <w:rsid w:val="007A5299"/>
    <w:rsid w:val="007A52E1"/>
    <w:rsid w:val="007B06BA"/>
    <w:rsid w:val="007B091A"/>
    <w:rsid w:val="007B3D8E"/>
    <w:rsid w:val="007B4958"/>
    <w:rsid w:val="007B4B56"/>
    <w:rsid w:val="007B4DDE"/>
    <w:rsid w:val="007C2EE6"/>
    <w:rsid w:val="007C4E30"/>
    <w:rsid w:val="007C5E0D"/>
    <w:rsid w:val="007C6F79"/>
    <w:rsid w:val="007D131F"/>
    <w:rsid w:val="007D2A3D"/>
    <w:rsid w:val="007D3BB3"/>
    <w:rsid w:val="007E0D8B"/>
    <w:rsid w:val="007E2778"/>
    <w:rsid w:val="007E2E34"/>
    <w:rsid w:val="007E4A7C"/>
    <w:rsid w:val="007E4EE4"/>
    <w:rsid w:val="007E53BB"/>
    <w:rsid w:val="007E7562"/>
    <w:rsid w:val="007F0327"/>
    <w:rsid w:val="007F0B0E"/>
    <w:rsid w:val="007F11AA"/>
    <w:rsid w:val="007F2B1E"/>
    <w:rsid w:val="007F6C23"/>
    <w:rsid w:val="007F7F9E"/>
    <w:rsid w:val="00800122"/>
    <w:rsid w:val="0080062C"/>
    <w:rsid w:val="00800AD0"/>
    <w:rsid w:val="00811301"/>
    <w:rsid w:val="00812700"/>
    <w:rsid w:val="008143ED"/>
    <w:rsid w:val="0081544B"/>
    <w:rsid w:val="00817B83"/>
    <w:rsid w:val="008201C2"/>
    <w:rsid w:val="00821D36"/>
    <w:rsid w:val="008251C5"/>
    <w:rsid w:val="0082628E"/>
    <w:rsid w:val="00826CAD"/>
    <w:rsid w:val="008274D7"/>
    <w:rsid w:val="00832BC1"/>
    <w:rsid w:val="00833453"/>
    <w:rsid w:val="00834463"/>
    <w:rsid w:val="00841527"/>
    <w:rsid w:val="00841BD5"/>
    <w:rsid w:val="008449EC"/>
    <w:rsid w:val="0084513B"/>
    <w:rsid w:val="008538A1"/>
    <w:rsid w:val="00856C38"/>
    <w:rsid w:val="00862C16"/>
    <w:rsid w:val="0086381F"/>
    <w:rsid w:val="008645D3"/>
    <w:rsid w:val="00871652"/>
    <w:rsid w:val="00871675"/>
    <w:rsid w:val="00871C0A"/>
    <w:rsid w:val="008728AA"/>
    <w:rsid w:val="008764F9"/>
    <w:rsid w:val="00876B1A"/>
    <w:rsid w:val="008800FE"/>
    <w:rsid w:val="00880683"/>
    <w:rsid w:val="00884E78"/>
    <w:rsid w:val="00886932"/>
    <w:rsid w:val="00886B2A"/>
    <w:rsid w:val="008877D5"/>
    <w:rsid w:val="00893A8F"/>
    <w:rsid w:val="008949AE"/>
    <w:rsid w:val="00896062"/>
    <w:rsid w:val="008A44A5"/>
    <w:rsid w:val="008A5749"/>
    <w:rsid w:val="008B1616"/>
    <w:rsid w:val="008B6649"/>
    <w:rsid w:val="008C0DBF"/>
    <w:rsid w:val="008C7A7D"/>
    <w:rsid w:val="008D36A4"/>
    <w:rsid w:val="008D3BCB"/>
    <w:rsid w:val="008D4C91"/>
    <w:rsid w:val="008E1CED"/>
    <w:rsid w:val="008E2DA4"/>
    <w:rsid w:val="008E5500"/>
    <w:rsid w:val="008F055C"/>
    <w:rsid w:val="00900D26"/>
    <w:rsid w:val="009012E5"/>
    <w:rsid w:val="00901302"/>
    <w:rsid w:val="00902B1B"/>
    <w:rsid w:val="00903E0C"/>
    <w:rsid w:val="00903E88"/>
    <w:rsid w:val="00905757"/>
    <w:rsid w:val="00913C62"/>
    <w:rsid w:val="00913CBB"/>
    <w:rsid w:val="0091727F"/>
    <w:rsid w:val="009175DF"/>
    <w:rsid w:val="00921496"/>
    <w:rsid w:val="00921A6E"/>
    <w:rsid w:val="00922A2B"/>
    <w:rsid w:val="00922C37"/>
    <w:rsid w:val="00922E3A"/>
    <w:rsid w:val="0092339E"/>
    <w:rsid w:val="009252E1"/>
    <w:rsid w:val="00926B1A"/>
    <w:rsid w:val="00927626"/>
    <w:rsid w:val="00932FCF"/>
    <w:rsid w:val="00933C47"/>
    <w:rsid w:val="0093593F"/>
    <w:rsid w:val="00937B37"/>
    <w:rsid w:val="009409E9"/>
    <w:rsid w:val="009418F4"/>
    <w:rsid w:val="00944B7D"/>
    <w:rsid w:val="00944C28"/>
    <w:rsid w:val="009454CB"/>
    <w:rsid w:val="00951CBC"/>
    <w:rsid w:val="00960EF2"/>
    <w:rsid w:val="00963272"/>
    <w:rsid w:val="0096481D"/>
    <w:rsid w:val="00964CB4"/>
    <w:rsid w:val="00965C9E"/>
    <w:rsid w:val="00966673"/>
    <w:rsid w:val="00966C08"/>
    <w:rsid w:val="0097016E"/>
    <w:rsid w:val="00971031"/>
    <w:rsid w:val="00973422"/>
    <w:rsid w:val="00976191"/>
    <w:rsid w:val="009775AB"/>
    <w:rsid w:val="00981F57"/>
    <w:rsid w:val="009822A5"/>
    <w:rsid w:val="00990E73"/>
    <w:rsid w:val="009917E7"/>
    <w:rsid w:val="009937E0"/>
    <w:rsid w:val="009A066A"/>
    <w:rsid w:val="009A47FA"/>
    <w:rsid w:val="009A6696"/>
    <w:rsid w:val="009A7D92"/>
    <w:rsid w:val="009B21C4"/>
    <w:rsid w:val="009B72F5"/>
    <w:rsid w:val="009C0A99"/>
    <w:rsid w:val="009C57C8"/>
    <w:rsid w:val="009C630E"/>
    <w:rsid w:val="009C69E8"/>
    <w:rsid w:val="009D3671"/>
    <w:rsid w:val="009D590C"/>
    <w:rsid w:val="009E0FC3"/>
    <w:rsid w:val="009E25C7"/>
    <w:rsid w:val="009E31A0"/>
    <w:rsid w:val="009E5B28"/>
    <w:rsid w:val="009E5C0F"/>
    <w:rsid w:val="009E6339"/>
    <w:rsid w:val="009F0084"/>
    <w:rsid w:val="009F1B89"/>
    <w:rsid w:val="009F6513"/>
    <w:rsid w:val="00A01A88"/>
    <w:rsid w:val="00A029CC"/>
    <w:rsid w:val="00A04C2F"/>
    <w:rsid w:val="00A04E1D"/>
    <w:rsid w:val="00A05370"/>
    <w:rsid w:val="00A07020"/>
    <w:rsid w:val="00A07211"/>
    <w:rsid w:val="00A1004A"/>
    <w:rsid w:val="00A11027"/>
    <w:rsid w:val="00A1660E"/>
    <w:rsid w:val="00A16F43"/>
    <w:rsid w:val="00A16FDD"/>
    <w:rsid w:val="00A205F4"/>
    <w:rsid w:val="00A21C01"/>
    <w:rsid w:val="00A21D1A"/>
    <w:rsid w:val="00A224AD"/>
    <w:rsid w:val="00A234D9"/>
    <w:rsid w:val="00A26FB6"/>
    <w:rsid w:val="00A27ECC"/>
    <w:rsid w:val="00A30187"/>
    <w:rsid w:val="00A31B9B"/>
    <w:rsid w:val="00A335F9"/>
    <w:rsid w:val="00A406E0"/>
    <w:rsid w:val="00A42628"/>
    <w:rsid w:val="00A43C9C"/>
    <w:rsid w:val="00A443E0"/>
    <w:rsid w:val="00A459DD"/>
    <w:rsid w:val="00A469C1"/>
    <w:rsid w:val="00A47E9C"/>
    <w:rsid w:val="00A51B24"/>
    <w:rsid w:val="00A537F1"/>
    <w:rsid w:val="00A54398"/>
    <w:rsid w:val="00A579F1"/>
    <w:rsid w:val="00A622DD"/>
    <w:rsid w:val="00A63FFD"/>
    <w:rsid w:val="00A6505E"/>
    <w:rsid w:val="00A67446"/>
    <w:rsid w:val="00A67B40"/>
    <w:rsid w:val="00A70682"/>
    <w:rsid w:val="00A71D0E"/>
    <w:rsid w:val="00A73A52"/>
    <w:rsid w:val="00A80F76"/>
    <w:rsid w:val="00A8268B"/>
    <w:rsid w:val="00A84083"/>
    <w:rsid w:val="00A84525"/>
    <w:rsid w:val="00A851BA"/>
    <w:rsid w:val="00A8579B"/>
    <w:rsid w:val="00A86499"/>
    <w:rsid w:val="00A87F3A"/>
    <w:rsid w:val="00A92095"/>
    <w:rsid w:val="00A95955"/>
    <w:rsid w:val="00A96F29"/>
    <w:rsid w:val="00AA1392"/>
    <w:rsid w:val="00AA15AD"/>
    <w:rsid w:val="00AA5477"/>
    <w:rsid w:val="00AB4D5F"/>
    <w:rsid w:val="00AB76B4"/>
    <w:rsid w:val="00AC0A14"/>
    <w:rsid w:val="00AC0B20"/>
    <w:rsid w:val="00AC0DB4"/>
    <w:rsid w:val="00AC13BE"/>
    <w:rsid w:val="00AC16AC"/>
    <w:rsid w:val="00AC2803"/>
    <w:rsid w:val="00AC3E15"/>
    <w:rsid w:val="00AD13B3"/>
    <w:rsid w:val="00AD1AFB"/>
    <w:rsid w:val="00AD2E52"/>
    <w:rsid w:val="00AD45FC"/>
    <w:rsid w:val="00AD4688"/>
    <w:rsid w:val="00AD4D32"/>
    <w:rsid w:val="00AD5A8C"/>
    <w:rsid w:val="00AD6116"/>
    <w:rsid w:val="00AD655A"/>
    <w:rsid w:val="00AD6E18"/>
    <w:rsid w:val="00AE0A26"/>
    <w:rsid w:val="00AE10F3"/>
    <w:rsid w:val="00AE291B"/>
    <w:rsid w:val="00AE2CFD"/>
    <w:rsid w:val="00AE315E"/>
    <w:rsid w:val="00AE3F83"/>
    <w:rsid w:val="00AF2B6D"/>
    <w:rsid w:val="00AF41EA"/>
    <w:rsid w:val="00AF4460"/>
    <w:rsid w:val="00AF4F87"/>
    <w:rsid w:val="00AF5888"/>
    <w:rsid w:val="00B00030"/>
    <w:rsid w:val="00B004B2"/>
    <w:rsid w:val="00B0080A"/>
    <w:rsid w:val="00B0237F"/>
    <w:rsid w:val="00B0244C"/>
    <w:rsid w:val="00B028E2"/>
    <w:rsid w:val="00B039B2"/>
    <w:rsid w:val="00B04BFC"/>
    <w:rsid w:val="00B104A9"/>
    <w:rsid w:val="00B125C9"/>
    <w:rsid w:val="00B15F34"/>
    <w:rsid w:val="00B15FD3"/>
    <w:rsid w:val="00B24DD4"/>
    <w:rsid w:val="00B2524F"/>
    <w:rsid w:val="00B26106"/>
    <w:rsid w:val="00B265B9"/>
    <w:rsid w:val="00B272BE"/>
    <w:rsid w:val="00B33E0E"/>
    <w:rsid w:val="00B345AE"/>
    <w:rsid w:val="00B34E8F"/>
    <w:rsid w:val="00B3666D"/>
    <w:rsid w:val="00B37698"/>
    <w:rsid w:val="00B414ED"/>
    <w:rsid w:val="00B42DCF"/>
    <w:rsid w:val="00B44712"/>
    <w:rsid w:val="00B467C5"/>
    <w:rsid w:val="00B47500"/>
    <w:rsid w:val="00B5073B"/>
    <w:rsid w:val="00B50D06"/>
    <w:rsid w:val="00B526C5"/>
    <w:rsid w:val="00B577D5"/>
    <w:rsid w:val="00B6065C"/>
    <w:rsid w:val="00B62AEA"/>
    <w:rsid w:val="00B6305F"/>
    <w:rsid w:val="00B6316F"/>
    <w:rsid w:val="00B63A24"/>
    <w:rsid w:val="00B705C1"/>
    <w:rsid w:val="00B742B9"/>
    <w:rsid w:val="00B75046"/>
    <w:rsid w:val="00B77084"/>
    <w:rsid w:val="00B77C0F"/>
    <w:rsid w:val="00B77C3E"/>
    <w:rsid w:val="00B814C1"/>
    <w:rsid w:val="00B8161E"/>
    <w:rsid w:val="00B821EB"/>
    <w:rsid w:val="00B83521"/>
    <w:rsid w:val="00B84C21"/>
    <w:rsid w:val="00B9022F"/>
    <w:rsid w:val="00B90306"/>
    <w:rsid w:val="00B905A1"/>
    <w:rsid w:val="00B91852"/>
    <w:rsid w:val="00B91FC1"/>
    <w:rsid w:val="00B939A3"/>
    <w:rsid w:val="00B95185"/>
    <w:rsid w:val="00B970A1"/>
    <w:rsid w:val="00BA0AF5"/>
    <w:rsid w:val="00BA0EE6"/>
    <w:rsid w:val="00BA6AE3"/>
    <w:rsid w:val="00BB2680"/>
    <w:rsid w:val="00BB49C2"/>
    <w:rsid w:val="00BB4E52"/>
    <w:rsid w:val="00BB5DBC"/>
    <w:rsid w:val="00BB6017"/>
    <w:rsid w:val="00BB7D10"/>
    <w:rsid w:val="00BC0053"/>
    <w:rsid w:val="00BC1B07"/>
    <w:rsid w:val="00BC435D"/>
    <w:rsid w:val="00BD39E4"/>
    <w:rsid w:val="00BE0342"/>
    <w:rsid w:val="00BE257D"/>
    <w:rsid w:val="00BE351A"/>
    <w:rsid w:val="00BE6E4E"/>
    <w:rsid w:val="00BF1E75"/>
    <w:rsid w:val="00BF21C5"/>
    <w:rsid w:val="00BF3FDC"/>
    <w:rsid w:val="00BF4333"/>
    <w:rsid w:val="00BF79DD"/>
    <w:rsid w:val="00C00403"/>
    <w:rsid w:val="00C03406"/>
    <w:rsid w:val="00C03A39"/>
    <w:rsid w:val="00C04B6B"/>
    <w:rsid w:val="00C06292"/>
    <w:rsid w:val="00C11FA4"/>
    <w:rsid w:val="00C166AD"/>
    <w:rsid w:val="00C20C1A"/>
    <w:rsid w:val="00C215E2"/>
    <w:rsid w:val="00C231C0"/>
    <w:rsid w:val="00C340B0"/>
    <w:rsid w:val="00C371D7"/>
    <w:rsid w:val="00C379DF"/>
    <w:rsid w:val="00C41A35"/>
    <w:rsid w:val="00C43A4F"/>
    <w:rsid w:val="00C43BAD"/>
    <w:rsid w:val="00C452DD"/>
    <w:rsid w:val="00C52A39"/>
    <w:rsid w:val="00C575DA"/>
    <w:rsid w:val="00C57EA2"/>
    <w:rsid w:val="00C61D6A"/>
    <w:rsid w:val="00C64861"/>
    <w:rsid w:val="00C6498B"/>
    <w:rsid w:val="00C66727"/>
    <w:rsid w:val="00C73466"/>
    <w:rsid w:val="00C74929"/>
    <w:rsid w:val="00C81078"/>
    <w:rsid w:val="00C81830"/>
    <w:rsid w:val="00C82590"/>
    <w:rsid w:val="00C83131"/>
    <w:rsid w:val="00C83C97"/>
    <w:rsid w:val="00C83CCB"/>
    <w:rsid w:val="00C87DA1"/>
    <w:rsid w:val="00C923B0"/>
    <w:rsid w:val="00C93E47"/>
    <w:rsid w:val="00C941AF"/>
    <w:rsid w:val="00C958C4"/>
    <w:rsid w:val="00C966E2"/>
    <w:rsid w:val="00C97A87"/>
    <w:rsid w:val="00CA0856"/>
    <w:rsid w:val="00CA15FF"/>
    <w:rsid w:val="00CA17A0"/>
    <w:rsid w:val="00CA4063"/>
    <w:rsid w:val="00CA49EF"/>
    <w:rsid w:val="00CA6553"/>
    <w:rsid w:val="00CA6A8D"/>
    <w:rsid w:val="00CA72BF"/>
    <w:rsid w:val="00CB180D"/>
    <w:rsid w:val="00CB1FA1"/>
    <w:rsid w:val="00CB2D91"/>
    <w:rsid w:val="00CB6DE0"/>
    <w:rsid w:val="00CB7666"/>
    <w:rsid w:val="00CC0306"/>
    <w:rsid w:val="00CC1F79"/>
    <w:rsid w:val="00CC2132"/>
    <w:rsid w:val="00CC65D4"/>
    <w:rsid w:val="00CC7158"/>
    <w:rsid w:val="00CC722F"/>
    <w:rsid w:val="00CC7669"/>
    <w:rsid w:val="00CC7B80"/>
    <w:rsid w:val="00CD6EDF"/>
    <w:rsid w:val="00CE0A9F"/>
    <w:rsid w:val="00CE2F86"/>
    <w:rsid w:val="00CE5E4F"/>
    <w:rsid w:val="00CE6897"/>
    <w:rsid w:val="00CF498F"/>
    <w:rsid w:val="00CF6BBD"/>
    <w:rsid w:val="00CF6FE1"/>
    <w:rsid w:val="00D002E0"/>
    <w:rsid w:val="00D0114C"/>
    <w:rsid w:val="00D0213D"/>
    <w:rsid w:val="00D05D2C"/>
    <w:rsid w:val="00D0645A"/>
    <w:rsid w:val="00D07302"/>
    <w:rsid w:val="00D12823"/>
    <w:rsid w:val="00D12DFA"/>
    <w:rsid w:val="00D15EE5"/>
    <w:rsid w:val="00D16775"/>
    <w:rsid w:val="00D17814"/>
    <w:rsid w:val="00D25F61"/>
    <w:rsid w:val="00D30FB6"/>
    <w:rsid w:val="00D343DD"/>
    <w:rsid w:val="00D34916"/>
    <w:rsid w:val="00D35583"/>
    <w:rsid w:val="00D35723"/>
    <w:rsid w:val="00D41B98"/>
    <w:rsid w:val="00D4222B"/>
    <w:rsid w:val="00D4457C"/>
    <w:rsid w:val="00D455D2"/>
    <w:rsid w:val="00D51DB8"/>
    <w:rsid w:val="00D531ED"/>
    <w:rsid w:val="00D564BC"/>
    <w:rsid w:val="00D56D82"/>
    <w:rsid w:val="00D57007"/>
    <w:rsid w:val="00D62638"/>
    <w:rsid w:val="00D643E3"/>
    <w:rsid w:val="00D64568"/>
    <w:rsid w:val="00D64BA1"/>
    <w:rsid w:val="00D66CEF"/>
    <w:rsid w:val="00D676F7"/>
    <w:rsid w:val="00D7124C"/>
    <w:rsid w:val="00D71FA6"/>
    <w:rsid w:val="00D726E9"/>
    <w:rsid w:val="00D72A48"/>
    <w:rsid w:val="00D84C6C"/>
    <w:rsid w:val="00D85CA3"/>
    <w:rsid w:val="00D900DA"/>
    <w:rsid w:val="00DA524B"/>
    <w:rsid w:val="00DA723A"/>
    <w:rsid w:val="00DA75E7"/>
    <w:rsid w:val="00DA77EA"/>
    <w:rsid w:val="00DB3942"/>
    <w:rsid w:val="00DB5593"/>
    <w:rsid w:val="00DB7236"/>
    <w:rsid w:val="00DC117D"/>
    <w:rsid w:val="00DC13E9"/>
    <w:rsid w:val="00DC5273"/>
    <w:rsid w:val="00DD3E5C"/>
    <w:rsid w:val="00DD4087"/>
    <w:rsid w:val="00DD564F"/>
    <w:rsid w:val="00DE04D1"/>
    <w:rsid w:val="00DE1819"/>
    <w:rsid w:val="00DE3605"/>
    <w:rsid w:val="00DE39C0"/>
    <w:rsid w:val="00DE664B"/>
    <w:rsid w:val="00DF0261"/>
    <w:rsid w:val="00DF0C7F"/>
    <w:rsid w:val="00DF1CE9"/>
    <w:rsid w:val="00DF3A91"/>
    <w:rsid w:val="00DF3D99"/>
    <w:rsid w:val="00DF4D55"/>
    <w:rsid w:val="00DF587A"/>
    <w:rsid w:val="00DF67AC"/>
    <w:rsid w:val="00E01A11"/>
    <w:rsid w:val="00E03E1B"/>
    <w:rsid w:val="00E04F7E"/>
    <w:rsid w:val="00E04FC8"/>
    <w:rsid w:val="00E05DEB"/>
    <w:rsid w:val="00E0606A"/>
    <w:rsid w:val="00E10333"/>
    <w:rsid w:val="00E11958"/>
    <w:rsid w:val="00E124A2"/>
    <w:rsid w:val="00E13C81"/>
    <w:rsid w:val="00E149A7"/>
    <w:rsid w:val="00E14EF3"/>
    <w:rsid w:val="00E16481"/>
    <w:rsid w:val="00E16DC6"/>
    <w:rsid w:val="00E17732"/>
    <w:rsid w:val="00E20007"/>
    <w:rsid w:val="00E264F3"/>
    <w:rsid w:val="00E264F4"/>
    <w:rsid w:val="00E26A97"/>
    <w:rsid w:val="00E30A5D"/>
    <w:rsid w:val="00E32349"/>
    <w:rsid w:val="00E33909"/>
    <w:rsid w:val="00E339F3"/>
    <w:rsid w:val="00E345DE"/>
    <w:rsid w:val="00E43F52"/>
    <w:rsid w:val="00E4773F"/>
    <w:rsid w:val="00E51839"/>
    <w:rsid w:val="00E5213A"/>
    <w:rsid w:val="00E5269F"/>
    <w:rsid w:val="00E52CC6"/>
    <w:rsid w:val="00E536BC"/>
    <w:rsid w:val="00E549BE"/>
    <w:rsid w:val="00E61637"/>
    <w:rsid w:val="00E61B4F"/>
    <w:rsid w:val="00E63115"/>
    <w:rsid w:val="00E6544F"/>
    <w:rsid w:val="00E76002"/>
    <w:rsid w:val="00E76CFE"/>
    <w:rsid w:val="00E83A12"/>
    <w:rsid w:val="00E842A2"/>
    <w:rsid w:val="00E8512E"/>
    <w:rsid w:val="00E932F0"/>
    <w:rsid w:val="00E95D39"/>
    <w:rsid w:val="00EA0F50"/>
    <w:rsid w:val="00EA1D11"/>
    <w:rsid w:val="00EA49D7"/>
    <w:rsid w:val="00EA5B9F"/>
    <w:rsid w:val="00EA6679"/>
    <w:rsid w:val="00EA7BBA"/>
    <w:rsid w:val="00EB1566"/>
    <w:rsid w:val="00EB22DF"/>
    <w:rsid w:val="00EB35D3"/>
    <w:rsid w:val="00EB707E"/>
    <w:rsid w:val="00EB791B"/>
    <w:rsid w:val="00EB7AA3"/>
    <w:rsid w:val="00EC351E"/>
    <w:rsid w:val="00ED191C"/>
    <w:rsid w:val="00ED2922"/>
    <w:rsid w:val="00ED3D82"/>
    <w:rsid w:val="00ED461D"/>
    <w:rsid w:val="00ED4A7E"/>
    <w:rsid w:val="00ED646B"/>
    <w:rsid w:val="00EE07AD"/>
    <w:rsid w:val="00EE17A5"/>
    <w:rsid w:val="00EE4B3A"/>
    <w:rsid w:val="00EE58E7"/>
    <w:rsid w:val="00EE5C16"/>
    <w:rsid w:val="00EF03A7"/>
    <w:rsid w:val="00EF3E59"/>
    <w:rsid w:val="00F02263"/>
    <w:rsid w:val="00F02D33"/>
    <w:rsid w:val="00F037B9"/>
    <w:rsid w:val="00F03FCC"/>
    <w:rsid w:val="00F04C81"/>
    <w:rsid w:val="00F06E74"/>
    <w:rsid w:val="00F100FE"/>
    <w:rsid w:val="00F10DB2"/>
    <w:rsid w:val="00F118DF"/>
    <w:rsid w:val="00F123C1"/>
    <w:rsid w:val="00F14DBA"/>
    <w:rsid w:val="00F16BCC"/>
    <w:rsid w:val="00F17F8F"/>
    <w:rsid w:val="00F2424D"/>
    <w:rsid w:val="00F2467B"/>
    <w:rsid w:val="00F253E0"/>
    <w:rsid w:val="00F262DF"/>
    <w:rsid w:val="00F26F4E"/>
    <w:rsid w:val="00F26F8B"/>
    <w:rsid w:val="00F30E78"/>
    <w:rsid w:val="00F31AF4"/>
    <w:rsid w:val="00F31E37"/>
    <w:rsid w:val="00F33857"/>
    <w:rsid w:val="00F33A6A"/>
    <w:rsid w:val="00F33FA7"/>
    <w:rsid w:val="00F36017"/>
    <w:rsid w:val="00F36707"/>
    <w:rsid w:val="00F41D89"/>
    <w:rsid w:val="00F43619"/>
    <w:rsid w:val="00F46EED"/>
    <w:rsid w:val="00F5184A"/>
    <w:rsid w:val="00F5285C"/>
    <w:rsid w:val="00F54F10"/>
    <w:rsid w:val="00F55360"/>
    <w:rsid w:val="00F575F5"/>
    <w:rsid w:val="00F619B9"/>
    <w:rsid w:val="00F65616"/>
    <w:rsid w:val="00F65DB7"/>
    <w:rsid w:val="00F67AAA"/>
    <w:rsid w:val="00F7110B"/>
    <w:rsid w:val="00F71544"/>
    <w:rsid w:val="00F733F1"/>
    <w:rsid w:val="00F77CF8"/>
    <w:rsid w:val="00F810B2"/>
    <w:rsid w:val="00F81184"/>
    <w:rsid w:val="00F84330"/>
    <w:rsid w:val="00F84F2B"/>
    <w:rsid w:val="00F8608B"/>
    <w:rsid w:val="00F87AD1"/>
    <w:rsid w:val="00F90C2E"/>
    <w:rsid w:val="00F92249"/>
    <w:rsid w:val="00F94687"/>
    <w:rsid w:val="00F976D1"/>
    <w:rsid w:val="00FA2847"/>
    <w:rsid w:val="00FA3E5F"/>
    <w:rsid w:val="00FA6F07"/>
    <w:rsid w:val="00FA711C"/>
    <w:rsid w:val="00FA735F"/>
    <w:rsid w:val="00FB33FA"/>
    <w:rsid w:val="00FB379F"/>
    <w:rsid w:val="00FB44CF"/>
    <w:rsid w:val="00FB4CF4"/>
    <w:rsid w:val="00FB56CB"/>
    <w:rsid w:val="00FB5C19"/>
    <w:rsid w:val="00FC1085"/>
    <w:rsid w:val="00FC3C44"/>
    <w:rsid w:val="00FD0CC2"/>
    <w:rsid w:val="00FD0F11"/>
    <w:rsid w:val="00FD25A0"/>
    <w:rsid w:val="00FD5702"/>
    <w:rsid w:val="00FE0280"/>
    <w:rsid w:val="00FE0542"/>
    <w:rsid w:val="00FE0DA0"/>
    <w:rsid w:val="00FE2C35"/>
    <w:rsid w:val="00FF0219"/>
    <w:rsid w:val="00FF0353"/>
    <w:rsid w:val="00FF0852"/>
    <w:rsid w:val="00FF1585"/>
    <w:rsid w:val="00FF2131"/>
    <w:rsid w:val="00FF331B"/>
    <w:rsid w:val="00FF4267"/>
    <w:rsid w:val="00FF7FE3"/>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33D4DF4"/>
  <w15:docId w15:val="{096D49B8-7CE6-4AA3-A258-C6D260E482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524F"/>
    <w:pPr>
      <w:spacing w:after="40" w:line="240" w:lineRule="auto"/>
      <w:jc w:val="both"/>
    </w:pPr>
    <w:rPr>
      <w:rFonts w:ascii="Book Antiqua" w:hAnsi="Book Antiqua"/>
      <w:sz w:val="16"/>
      <w:lang w:val="es-ES"/>
    </w:rPr>
  </w:style>
  <w:style w:type="paragraph" w:styleId="Ttulo1">
    <w:name w:val="heading 1"/>
    <w:basedOn w:val="Normal"/>
    <w:next w:val="Normal"/>
    <w:link w:val="Ttulo1Car"/>
    <w:uiPriority w:val="9"/>
    <w:qFormat/>
    <w:rsid w:val="00B2524F"/>
    <w:pPr>
      <w:keepNext/>
      <w:keepLines/>
      <w:numPr>
        <w:numId w:val="29"/>
      </w:numPr>
      <w:shd w:val="clear" w:color="auto" w:fill="800000"/>
      <w:spacing w:before="60"/>
      <w:ind w:left="227" w:hanging="227"/>
      <w:contextualSpacing/>
      <w:jc w:val="left"/>
      <w:textboxTightWrap w:val="allLines"/>
      <w:outlineLvl w:val="0"/>
    </w:pPr>
    <w:rPr>
      <w:b/>
      <w:bCs/>
      <w:caps/>
      <w:color w:val="FFF2CC" w:themeColor="accent4" w:themeTint="33"/>
      <w:sz w:val="18"/>
    </w:rPr>
  </w:style>
  <w:style w:type="paragraph" w:styleId="Ttulo2">
    <w:name w:val="heading 2"/>
    <w:basedOn w:val="Ttulo1"/>
    <w:next w:val="Normal"/>
    <w:link w:val="Ttulo2Car"/>
    <w:uiPriority w:val="9"/>
    <w:unhideWhenUsed/>
    <w:qFormat/>
    <w:rsid w:val="00B2524F"/>
    <w:pPr>
      <w:numPr>
        <w:ilvl w:val="1"/>
      </w:numPr>
      <w:shd w:val="clear" w:color="auto" w:fill="FFF2CC" w:themeFill="accent4" w:themeFillTint="33"/>
      <w:spacing w:before="40" w:after="20"/>
      <w:ind w:left="527" w:hanging="170"/>
      <w:outlineLvl w:val="1"/>
    </w:pPr>
    <w:rPr>
      <w:caps w:val="0"/>
      <w:color w:val="800000"/>
    </w:rPr>
  </w:style>
  <w:style w:type="paragraph" w:styleId="Ttulo3">
    <w:name w:val="heading 3"/>
    <w:basedOn w:val="Ttulo2"/>
    <w:next w:val="Normal"/>
    <w:link w:val="Ttulo3Car"/>
    <w:uiPriority w:val="9"/>
    <w:unhideWhenUsed/>
    <w:qFormat/>
    <w:rsid w:val="00B2524F"/>
    <w:pPr>
      <w:numPr>
        <w:ilvl w:val="0"/>
        <w:numId w:val="0"/>
      </w:numPr>
      <w:shd w:val="clear" w:color="auto" w:fill="auto"/>
      <w:outlineLvl w:val="2"/>
    </w:pPr>
    <w:rPr>
      <w:bCs w:val="0"/>
      <w:i/>
      <w:iCs/>
      <w:u w:val="single"/>
    </w:rPr>
  </w:style>
  <w:style w:type="paragraph" w:styleId="Ttulo4">
    <w:name w:val="heading 4"/>
    <w:basedOn w:val="Normal"/>
    <w:next w:val="Normal"/>
    <w:link w:val="Ttulo4Car"/>
    <w:uiPriority w:val="9"/>
    <w:unhideWhenUsed/>
    <w:qFormat/>
    <w:rsid w:val="00B2524F"/>
    <w:pPr>
      <w:keepNext/>
      <w:keepLines/>
      <w:spacing w:before="40" w:after="0"/>
      <w:jc w:val="center"/>
      <w:outlineLvl w:val="3"/>
    </w:pPr>
    <w:rPr>
      <w:rFonts w:eastAsiaTheme="majorEastAsia" w:cstheme="majorBidi"/>
      <w:b/>
      <w:i/>
      <w:iCs/>
      <w:color w:val="800000"/>
      <w:spacing w:val="-4"/>
    </w:rPr>
  </w:style>
  <w:style w:type="paragraph" w:styleId="Ttulo5">
    <w:name w:val="heading 5"/>
    <w:basedOn w:val="Normal"/>
    <w:next w:val="Normal"/>
    <w:link w:val="Ttulo5Car"/>
    <w:uiPriority w:val="9"/>
    <w:unhideWhenUsed/>
    <w:qFormat/>
    <w:rsid w:val="00B2524F"/>
    <w:pPr>
      <w:keepNext/>
      <w:numPr>
        <w:numId w:val="2"/>
      </w:numPr>
      <w:shd w:val="clear" w:color="auto" w:fill="FFF2CC" w:themeFill="accent4" w:themeFillTint="33"/>
      <w:spacing w:before="40" w:after="0"/>
      <w:ind w:left="170" w:hanging="312"/>
      <w:contextualSpacing/>
      <w:outlineLvl w:val="4"/>
    </w:pPr>
    <w:rPr>
      <w:i/>
      <w:iCs/>
      <w:color w:val="800000"/>
      <w:spacing w:val="-4"/>
      <w:u w:val="single"/>
    </w:rPr>
  </w:style>
  <w:style w:type="paragraph" w:styleId="Ttulo6">
    <w:name w:val="heading 6"/>
    <w:basedOn w:val="Normal"/>
    <w:next w:val="Normal"/>
    <w:link w:val="Ttulo6Car"/>
    <w:uiPriority w:val="9"/>
    <w:unhideWhenUsed/>
    <w:qFormat/>
    <w:rsid w:val="00B2524F"/>
    <w:pPr>
      <w:keepNext/>
      <w:keepLines/>
      <w:spacing w:before="60"/>
      <w:ind w:left="142"/>
      <w:outlineLvl w:val="5"/>
    </w:pPr>
    <w:rPr>
      <w:rFonts w:eastAsiaTheme="majorEastAsia" w:cstheme="majorBidi"/>
      <w:b/>
      <w:u w:val="single"/>
    </w:rPr>
  </w:style>
  <w:style w:type="paragraph" w:styleId="Ttulo7">
    <w:name w:val="heading 7"/>
    <w:basedOn w:val="Normal"/>
    <w:next w:val="Normal"/>
    <w:link w:val="Ttulo7Car"/>
    <w:uiPriority w:val="9"/>
    <w:unhideWhenUsed/>
    <w:qFormat/>
    <w:rsid w:val="00B2524F"/>
    <w:pPr>
      <w:keepNext/>
      <w:keepLines/>
      <w:spacing w:before="40" w:after="0"/>
      <w:ind w:left="284"/>
      <w:outlineLvl w:val="6"/>
    </w:pPr>
    <w:rPr>
      <w:rFonts w:eastAsiaTheme="majorEastAsia" w:cstheme="majorBidi"/>
      <w:i/>
      <w:iCs/>
      <w:u w:val="dotDash"/>
    </w:rPr>
  </w:style>
  <w:style w:type="character" w:default="1" w:styleId="Fuentedeprrafopredeter">
    <w:name w:val="Default Paragraph Font"/>
    <w:uiPriority w:val="1"/>
    <w:unhideWhenUsed/>
    <w:rsid w:val="00B2524F"/>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rsid w:val="00B2524F"/>
  </w:style>
  <w:style w:type="paragraph" w:styleId="Encabezado">
    <w:name w:val="header"/>
    <w:basedOn w:val="Normal"/>
    <w:link w:val="EncabezadoCar"/>
    <w:uiPriority w:val="99"/>
    <w:unhideWhenUsed/>
    <w:rsid w:val="00B2524F"/>
    <w:pPr>
      <w:tabs>
        <w:tab w:val="center" w:pos="4252"/>
        <w:tab w:val="right" w:pos="8504"/>
      </w:tabs>
    </w:pPr>
  </w:style>
  <w:style w:type="character" w:customStyle="1" w:styleId="EncabezadoCar">
    <w:name w:val="Encabezado Car"/>
    <w:basedOn w:val="Fuentedeprrafopredeter"/>
    <w:link w:val="Encabezado"/>
    <w:uiPriority w:val="99"/>
    <w:rsid w:val="00B2524F"/>
    <w:rPr>
      <w:rFonts w:ascii="Book Antiqua" w:hAnsi="Book Antiqua"/>
      <w:sz w:val="16"/>
      <w:lang w:val="es-ES"/>
    </w:rPr>
  </w:style>
  <w:style w:type="paragraph" w:styleId="Piedepgina">
    <w:name w:val="footer"/>
    <w:basedOn w:val="Normal"/>
    <w:link w:val="PiedepginaCar"/>
    <w:uiPriority w:val="99"/>
    <w:unhideWhenUsed/>
    <w:rsid w:val="00B2524F"/>
    <w:pPr>
      <w:tabs>
        <w:tab w:val="center" w:pos="4252"/>
        <w:tab w:val="right" w:pos="8504"/>
      </w:tabs>
    </w:pPr>
  </w:style>
  <w:style w:type="character" w:customStyle="1" w:styleId="PiedepginaCar">
    <w:name w:val="Pie de página Car"/>
    <w:basedOn w:val="Fuentedeprrafopredeter"/>
    <w:link w:val="Piedepgina"/>
    <w:uiPriority w:val="99"/>
    <w:rsid w:val="00B2524F"/>
    <w:rPr>
      <w:rFonts w:ascii="Book Antiqua" w:hAnsi="Book Antiqua"/>
      <w:sz w:val="16"/>
      <w:lang w:val="es-ES"/>
    </w:rPr>
  </w:style>
  <w:style w:type="table" w:styleId="Tablaconcuadrcula">
    <w:name w:val="Table Grid"/>
    <w:basedOn w:val="Tablanormal"/>
    <w:uiPriority w:val="39"/>
    <w:rsid w:val="00B252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delmarcadordeposicin">
    <w:name w:val="Placeholder Text"/>
    <w:basedOn w:val="Fuentedeprrafopredeter"/>
    <w:uiPriority w:val="99"/>
    <w:semiHidden/>
    <w:rsid w:val="00B2524F"/>
    <w:rPr>
      <w:color w:val="808080"/>
    </w:rPr>
  </w:style>
  <w:style w:type="paragraph" w:styleId="Ttulo">
    <w:name w:val="Title"/>
    <w:basedOn w:val="Normal"/>
    <w:next w:val="Normal"/>
    <w:link w:val="TtuloCar"/>
    <w:uiPriority w:val="10"/>
    <w:qFormat/>
    <w:rsid w:val="00B2524F"/>
    <w:pPr>
      <w:spacing w:after="120"/>
      <w:ind w:left="-426" w:right="-449"/>
      <w:contextualSpacing/>
      <w:jc w:val="center"/>
    </w:pPr>
    <w:rPr>
      <w:rFonts w:eastAsiaTheme="majorEastAsia" w:cstheme="majorBidi"/>
      <w:b/>
      <w:iCs/>
      <w:caps/>
      <w:color w:val="800000"/>
      <w:spacing w:val="-4"/>
      <w:kern w:val="28"/>
      <w:sz w:val="22"/>
      <w:szCs w:val="56"/>
    </w:rPr>
  </w:style>
  <w:style w:type="character" w:customStyle="1" w:styleId="TtuloCar">
    <w:name w:val="Título Car"/>
    <w:basedOn w:val="Fuentedeprrafopredeter"/>
    <w:link w:val="Ttulo"/>
    <w:uiPriority w:val="10"/>
    <w:rsid w:val="00B2524F"/>
    <w:rPr>
      <w:rFonts w:ascii="Book Antiqua" w:eastAsiaTheme="majorEastAsia" w:hAnsi="Book Antiqua" w:cstheme="majorBidi"/>
      <w:b/>
      <w:iCs/>
      <w:caps/>
      <w:color w:val="800000"/>
      <w:spacing w:val="-4"/>
      <w:kern w:val="28"/>
      <w:szCs w:val="56"/>
      <w:lang w:val="es-ES"/>
    </w:rPr>
  </w:style>
  <w:style w:type="character" w:customStyle="1" w:styleId="Ttulo1Car">
    <w:name w:val="Título 1 Car"/>
    <w:basedOn w:val="Fuentedeprrafopredeter"/>
    <w:link w:val="Ttulo1"/>
    <w:uiPriority w:val="9"/>
    <w:rsid w:val="00B2524F"/>
    <w:rPr>
      <w:rFonts w:ascii="Book Antiqua" w:hAnsi="Book Antiqua"/>
      <w:b/>
      <w:bCs/>
      <w:caps/>
      <w:color w:val="FFF2CC" w:themeColor="accent4" w:themeTint="33"/>
      <w:sz w:val="18"/>
      <w:shd w:val="clear" w:color="auto" w:fill="800000"/>
      <w:lang w:val="es-ES"/>
    </w:rPr>
  </w:style>
  <w:style w:type="paragraph" w:customStyle="1" w:styleId="Nivel2">
    <w:name w:val="Nivel 2"/>
    <w:basedOn w:val="Normal"/>
    <w:link w:val="Nivel2Char"/>
    <w:qFormat/>
    <w:rsid w:val="00B2524F"/>
    <w:pPr>
      <w:numPr>
        <w:ilvl w:val="1"/>
        <w:numId w:val="1"/>
      </w:numPr>
      <w:ind w:left="482" w:hanging="85"/>
      <w:contextualSpacing/>
    </w:pPr>
  </w:style>
  <w:style w:type="character" w:customStyle="1" w:styleId="Ttulo2Car">
    <w:name w:val="Título 2 Car"/>
    <w:basedOn w:val="Fuentedeprrafopredeter"/>
    <w:link w:val="Ttulo2"/>
    <w:uiPriority w:val="9"/>
    <w:rsid w:val="00B2524F"/>
    <w:rPr>
      <w:rFonts w:ascii="Book Antiqua" w:hAnsi="Book Antiqua"/>
      <w:b/>
      <w:bCs/>
      <w:color w:val="800000"/>
      <w:sz w:val="18"/>
      <w:shd w:val="clear" w:color="auto" w:fill="FFF2CC" w:themeFill="accent4" w:themeFillTint="33"/>
      <w:lang w:val="es-ES"/>
    </w:rPr>
  </w:style>
  <w:style w:type="paragraph" w:styleId="TtuloTDC">
    <w:name w:val="TOC Heading"/>
    <w:basedOn w:val="Ttulo1"/>
    <w:next w:val="Normal"/>
    <w:uiPriority w:val="39"/>
    <w:unhideWhenUsed/>
    <w:rsid w:val="00B2524F"/>
    <w:pPr>
      <w:numPr>
        <w:numId w:val="0"/>
      </w:numPr>
      <w:spacing w:before="240" w:line="259" w:lineRule="auto"/>
      <w:contextualSpacing w:val="0"/>
      <w:outlineLvl w:val="9"/>
    </w:pPr>
    <w:rPr>
      <w:rFonts w:asciiTheme="majorHAnsi" w:eastAsiaTheme="majorEastAsia" w:hAnsiTheme="majorHAnsi" w:cstheme="majorBidi"/>
      <w:b w:val="0"/>
      <w:bCs w:val="0"/>
      <w:caps w:val="0"/>
      <w:color w:val="2F5496" w:themeColor="accent1" w:themeShade="BF"/>
      <w:sz w:val="32"/>
      <w:szCs w:val="32"/>
      <w:lang w:val="en-US"/>
    </w:rPr>
  </w:style>
  <w:style w:type="paragraph" w:styleId="TDC1">
    <w:name w:val="toc 1"/>
    <w:basedOn w:val="Normal"/>
    <w:next w:val="Normal"/>
    <w:autoRedefine/>
    <w:uiPriority w:val="39"/>
    <w:unhideWhenUsed/>
    <w:rsid w:val="00B2524F"/>
    <w:pPr>
      <w:keepNext/>
      <w:tabs>
        <w:tab w:val="left" w:pos="176"/>
        <w:tab w:val="left" w:pos="601"/>
        <w:tab w:val="left" w:pos="4004"/>
      </w:tabs>
      <w:spacing w:after="0"/>
      <w:contextualSpacing/>
      <w:jc w:val="left"/>
    </w:pPr>
    <w:rPr>
      <w:b/>
      <w:caps/>
      <w:noProof/>
      <w:color w:val="800000"/>
      <w:spacing w:val="-3"/>
    </w:rPr>
  </w:style>
  <w:style w:type="paragraph" w:styleId="TDC2">
    <w:name w:val="toc 2"/>
    <w:basedOn w:val="Normal"/>
    <w:next w:val="Normal"/>
    <w:autoRedefine/>
    <w:uiPriority w:val="39"/>
    <w:unhideWhenUsed/>
    <w:rsid w:val="00B2524F"/>
    <w:pPr>
      <w:keepNext/>
      <w:tabs>
        <w:tab w:val="left" w:pos="454"/>
        <w:tab w:val="left" w:pos="482"/>
      </w:tabs>
      <w:spacing w:after="0"/>
      <w:ind w:left="176"/>
      <w:contextualSpacing/>
      <w:jc w:val="left"/>
    </w:pPr>
    <w:rPr>
      <w:i/>
      <w:noProof/>
      <w:color w:val="800000"/>
      <w:spacing w:val="-3"/>
    </w:rPr>
  </w:style>
  <w:style w:type="character" w:styleId="Hipervnculo">
    <w:name w:val="Hyperlink"/>
    <w:basedOn w:val="Fuentedeprrafopredeter"/>
    <w:uiPriority w:val="99"/>
    <w:unhideWhenUsed/>
    <w:rsid w:val="00B2524F"/>
    <w:rPr>
      <w:color w:val="0563C1" w:themeColor="hyperlink"/>
      <w:u w:val="single"/>
    </w:rPr>
  </w:style>
  <w:style w:type="character" w:customStyle="1" w:styleId="Ttulo3Car">
    <w:name w:val="Título 3 Car"/>
    <w:basedOn w:val="Fuentedeprrafopredeter"/>
    <w:link w:val="Ttulo3"/>
    <w:uiPriority w:val="9"/>
    <w:rsid w:val="00B2524F"/>
    <w:rPr>
      <w:rFonts w:ascii="Book Antiqua" w:hAnsi="Book Antiqua"/>
      <w:b/>
      <w:i/>
      <w:iCs/>
      <w:color w:val="800000"/>
      <w:sz w:val="18"/>
      <w:u w:val="single"/>
      <w:lang w:val="es-ES"/>
    </w:rPr>
  </w:style>
  <w:style w:type="paragraph" w:styleId="TDC3">
    <w:name w:val="toc 3"/>
    <w:basedOn w:val="Normal"/>
    <w:next w:val="Normal"/>
    <w:autoRedefine/>
    <w:uiPriority w:val="39"/>
    <w:unhideWhenUsed/>
    <w:rsid w:val="00B2524F"/>
    <w:pPr>
      <w:keepNext/>
      <w:tabs>
        <w:tab w:val="right" w:pos="4868"/>
      </w:tabs>
      <w:spacing w:after="0"/>
      <w:ind w:left="567"/>
      <w:contextualSpacing/>
      <w:jc w:val="left"/>
    </w:pPr>
    <w:rPr>
      <w:noProof/>
      <w:color w:val="800000"/>
      <w:spacing w:val="-3"/>
      <w:sz w:val="15"/>
    </w:rPr>
  </w:style>
  <w:style w:type="character" w:customStyle="1" w:styleId="Ttulo4Car">
    <w:name w:val="Título 4 Car"/>
    <w:basedOn w:val="Fuentedeprrafopredeter"/>
    <w:link w:val="Ttulo4"/>
    <w:uiPriority w:val="9"/>
    <w:rsid w:val="00B2524F"/>
    <w:rPr>
      <w:rFonts w:ascii="Book Antiqua" w:eastAsiaTheme="majorEastAsia" w:hAnsi="Book Antiqua" w:cstheme="majorBidi"/>
      <w:b/>
      <w:i/>
      <w:iCs/>
      <w:color w:val="800000"/>
      <w:spacing w:val="-4"/>
      <w:sz w:val="16"/>
      <w:lang w:val="es-ES"/>
    </w:rPr>
  </w:style>
  <w:style w:type="character" w:customStyle="1" w:styleId="Ttulo5Car">
    <w:name w:val="Título 5 Car"/>
    <w:basedOn w:val="Fuentedeprrafopredeter"/>
    <w:link w:val="Ttulo5"/>
    <w:uiPriority w:val="9"/>
    <w:rsid w:val="00B2524F"/>
    <w:rPr>
      <w:rFonts w:ascii="Book Antiqua" w:hAnsi="Book Antiqua"/>
      <w:i/>
      <w:iCs/>
      <w:color w:val="800000"/>
      <w:spacing w:val="-4"/>
      <w:sz w:val="16"/>
      <w:u w:val="single"/>
      <w:shd w:val="clear" w:color="auto" w:fill="FFF2CC" w:themeFill="accent4" w:themeFillTint="33"/>
      <w:lang w:val="es-ES"/>
    </w:rPr>
  </w:style>
  <w:style w:type="paragraph" w:customStyle="1" w:styleId="Nocantar">
    <w:name w:val="No cantar"/>
    <w:basedOn w:val="Normal"/>
    <w:link w:val="NocantarChar"/>
    <w:qFormat/>
    <w:rsid w:val="00B2524F"/>
    <w:rPr>
      <w:color w:val="7F7F7F" w:themeColor="text1" w:themeTint="80"/>
    </w:rPr>
  </w:style>
  <w:style w:type="character" w:customStyle="1" w:styleId="NocantarChar">
    <w:name w:val="No cantar Char"/>
    <w:basedOn w:val="Fuentedeprrafopredeter"/>
    <w:link w:val="Nocantar"/>
    <w:rsid w:val="00B2524F"/>
    <w:rPr>
      <w:rFonts w:ascii="Book Antiqua" w:hAnsi="Book Antiqua"/>
      <w:color w:val="7F7F7F" w:themeColor="text1" w:themeTint="80"/>
      <w:sz w:val="16"/>
      <w:lang w:val="es-ES"/>
    </w:rPr>
  </w:style>
  <w:style w:type="paragraph" w:customStyle="1" w:styleId="Introduccinyconclusin">
    <w:name w:val="Introducción y conclusión"/>
    <w:basedOn w:val="Ttulo1"/>
    <w:next w:val="Normal"/>
    <w:link w:val="IntroduccinyconclusinChar"/>
    <w:qFormat/>
    <w:rsid w:val="00B2524F"/>
    <w:pPr>
      <w:numPr>
        <w:numId w:val="0"/>
      </w:numPr>
      <w:ind w:firstLine="142"/>
    </w:pPr>
  </w:style>
  <w:style w:type="character" w:customStyle="1" w:styleId="IntroduccinyconclusinChar">
    <w:name w:val="Introducción y conclusión Char"/>
    <w:basedOn w:val="Ttulo1Car"/>
    <w:link w:val="Introduccinyconclusin"/>
    <w:rsid w:val="00B2524F"/>
    <w:rPr>
      <w:rFonts w:ascii="Book Antiqua" w:hAnsi="Book Antiqua"/>
      <w:b/>
      <w:bCs/>
      <w:caps/>
      <w:color w:val="FFF2CC" w:themeColor="accent4" w:themeTint="33"/>
      <w:sz w:val="18"/>
      <w:shd w:val="clear" w:color="auto" w:fill="800000"/>
      <w:lang w:val="es-ES"/>
    </w:rPr>
  </w:style>
  <w:style w:type="numbering" w:customStyle="1" w:styleId="Lista1">
    <w:name w:val="Lista1"/>
    <w:basedOn w:val="Sinlista"/>
    <w:uiPriority w:val="99"/>
    <w:rsid w:val="00B2524F"/>
    <w:pPr>
      <w:numPr>
        <w:numId w:val="3"/>
      </w:numPr>
    </w:pPr>
  </w:style>
  <w:style w:type="paragraph" w:customStyle="1" w:styleId="Nivel1">
    <w:name w:val="Nivel 1"/>
    <w:basedOn w:val="Normal"/>
    <w:qFormat/>
    <w:rsid w:val="00B2524F"/>
    <w:pPr>
      <w:numPr>
        <w:numId w:val="1"/>
      </w:numPr>
      <w:spacing w:before="40"/>
      <w:ind w:left="227" w:hanging="85"/>
    </w:pPr>
    <w:rPr>
      <w:iCs/>
    </w:rPr>
  </w:style>
  <w:style w:type="paragraph" w:customStyle="1" w:styleId="Nivel3">
    <w:name w:val="Nivel 3"/>
    <w:basedOn w:val="Nivel2"/>
    <w:link w:val="Nivel3Char"/>
    <w:qFormat/>
    <w:rsid w:val="00B2524F"/>
    <w:pPr>
      <w:numPr>
        <w:ilvl w:val="2"/>
      </w:numPr>
      <w:spacing w:after="0"/>
      <w:ind w:left="680" w:hanging="113"/>
    </w:pPr>
  </w:style>
  <w:style w:type="paragraph" w:customStyle="1" w:styleId="Letra">
    <w:name w:val="Letra"/>
    <w:basedOn w:val="Nivel1"/>
    <w:qFormat/>
    <w:rsid w:val="00B2524F"/>
    <w:pPr>
      <w:numPr>
        <w:numId w:val="4"/>
      </w:numPr>
      <w:ind w:left="936" w:hanging="227"/>
    </w:pPr>
  </w:style>
  <w:style w:type="paragraph" w:customStyle="1" w:styleId="Nmero">
    <w:name w:val="Número"/>
    <w:basedOn w:val="Normal"/>
    <w:qFormat/>
    <w:rsid w:val="00B2524F"/>
    <w:pPr>
      <w:numPr>
        <w:numId w:val="5"/>
      </w:numPr>
      <w:ind w:left="936" w:hanging="227"/>
    </w:pPr>
  </w:style>
  <w:style w:type="paragraph" w:styleId="Textodeglobo">
    <w:name w:val="Balloon Text"/>
    <w:basedOn w:val="Normal"/>
    <w:link w:val="TextodegloboCar"/>
    <w:uiPriority w:val="99"/>
    <w:semiHidden/>
    <w:unhideWhenUsed/>
    <w:rsid w:val="00B2524F"/>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2524F"/>
    <w:rPr>
      <w:rFonts w:ascii="Segoe UI" w:hAnsi="Segoe UI" w:cs="Segoe UI"/>
      <w:sz w:val="18"/>
      <w:szCs w:val="18"/>
      <w:lang w:val="es-ES"/>
    </w:rPr>
  </w:style>
  <w:style w:type="paragraph" w:customStyle="1" w:styleId="Notaalopositor">
    <w:name w:val="Nota al opositor"/>
    <w:basedOn w:val="Normal"/>
    <w:link w:val="NotaalopositorChar"/>
    <w:qFormat/>
    <w:rsid w:val="00B2524F"/>
    <w:pPr>
      <w:keepNext/>
      <w:keepLines/>
      <w:pBdr>
        <w:top w:val="single" w:sz="2" w:space="1" w:color="800000" w:shadow="1"/>
        <w:left w:val="single" w:sz="2" w:space="4" w:color="800000" w:shadow="1"/>
        <w:bottom w:val="single" w:sz="2" w:space="1" w:color="800000" w:shadow="1"/>
        <w:right w:val="single" w:sz="2" w:space="4" w:color="800000" w:shadow="1"/>
      </w:pBdr>
      <w:shd w:val="solid" w:color="FFF2CC" w:themeColor="accent4" w:themeTint="33" w:fill="auto"/>
    </w:pPr>
    <w:rPr>
      <w:color w:val="800000"/>
      <w:sz w:val="18"/>
    </w:rPr>
  </w:style>
  <w:style w:type="character" w:customStyle="1" w:styleId="NotaalopositorChar">
    <w:name w:val="Nota al opositor Char"/>
    <w:basedOn w:val="Fuentedeprrafopredeter"/>
    <w:link w:val="Notaalopositor"/>
    <w:rsid w:val="00B2524F"/>
    <w:rPr>
      <w:rFonts w:ascii="Book Antiqua" w:hAnsi="Book Antiqua"/>
      <w:color w:val="800000"/>
      <w:sz w:val="18"/>
      <w:shd w:val="solid" w:color="FFF2CC" w:themeColor="accent4" w:themeTint="33" w:fill="auto"/>
      <w:lang w:val="es-ES"/>
    </w:rPr>
  </w:style>
  <w:style w:type="paragraph" w:styleId="Textonotapie">
    <w:name w:val="footnote text"/>
    <w:aliases w:val="Nota a pie de página"/>
    <w:basedOn w:val="Normal"/>
    <w:link w:val="TextonotapieCar"/>
    <w:uiPriority w:val="99"/>
    <w:unhideWhenUsed/>
    <w:qFormat/>
    <w:rsid w:val="00B2524F"/>
    <w:pPr>
      <w:keepLines/>
      <w:spacing w:after="20"/>
    </w:pPr>
    <w:rPr>
      <w:sz w:val="13"/>
      <w:szCs w:val="20"/>
    </w:rPr>
  </w:style>
  <w:style w:type="character" w:customStyle="1" w:styleId="TextonotapieCar">
    <w:name w:val="Texto nota pie Car"/>
    <w:aliases w:val="Nota a pie de página Car"/>
    <w:basedOn w:val="Fuentedeprrafopredeter"/>
    <w:link w:val="Textonotapie"/>
    <w:uiPriority w:val="99"/>
    <w:rsid w:val="00B2524F"/>
    <w:rPr>
      <w:rFonts w:ascii="Book Antiqua" w:hAnsi="Book Antiqua"/>
      <w:sz w:val="13"/>
      <w:szCs w:val="20"/>
      <w:lang w:val="es-ES"/>
    </w:rPr>
  </w:style>
  <w:style w:type="character" w:styleId="Refdenotaalpie">
    <w:name w:val="footnote reference"/>
    <w:basedOn w:val="Fuentedeprrafopredeter"/>
    <w:uiPriority w:val="99"/>
    <w:semiHidden/>
    <w:unhideWhenUsed/>
    <w:rsid w:val="00B2524F"/>
    <w:rPr>
      <w:b w:val="0"/>
      <w:i w:val="0"/>
      <w:strike w:val="0"/>
      <w:dstrike w:val="0"/>
      <w:u w:val="none"/>
      <w:vertAlign w:val="superscript"/>
    </w:rPr>
  </w:style>
  <w:style w:type="character" w:customStyle="1" w:styleId="Ttulo6Car">
    <w:name w:val="Título 6 Car"/>
    <w:basedOn w:val="Fuentedeprrafopredeter"/>
    <w:link w:val="Ttulo6"/>
    <w:uiPriority w:val="9"/>
    <w:rsid w:val="00B2524F"/>
    <w:rPr>
      <w:rFonts w:ascii="Book Antiqua" w:eastAsiaTheme="majorEastAsia" w:hAnsi="Book Antiqua" w:cstheme="majorBidi"/>
      <w:b/>
      <w:sz w:val="16"/>
      <w:u w:val="single"/>
      <w:lang w:val="es-ES"/>
    </w:rPr>
  </w:style>
  <w:style w:type="paragraph" w:styleId="Subttulo">
    <w:name w:val="Subtitle"/>
    <w:basedOn w:val="Normal"/>
    <w:next w:val="Normal"/>
    <w:link w:val="SubttuloCar"/>
    <w:uiPriority w:val="11"/>
    <w:qFormat/>
    <w:rsid w:val="00B2524F"/>
    <w:pPr>
      <w:numPr>
        <w:ilvl w:val="1"/>
      </w:numPr>
      <w:spacing w:after="160"/>
    </w:pPr>
    <w:rPr>
      <w:rFonts w:eastAsiaTheme="minorEastAsia"/>
      <w:smallCaps/>
      <w:color w:val="5A5A5A" w:themeColor="text1" w:themeTint="A5"/>
      <w:sz w:val="22"/>
    </w:rPr>
  </w:style>
  <w:style w:type="character" w:customStyle="1" w:styleId="SubttuloCar">
    <w:name w:val="Subtítulo Car"/>
    <w:basedOn w:val="Fuentedeprrafopredeter"/>
    <w:link w:val="Subttulo"/>
    <w:uiPriority w:val="11"/>
    <w:rsid w:val="00B2524F"/>
    <w:rPr>
      <w:rFonts w:ascii="Book Antiqua" w:eastAsiaTheme="minorEastAsia" w:hAnsi="Book Antiqua"/>
      <w:smallCaps/>
      <w:color w:val="5A5A5A" w:themeColor="text1" w:themeTint="A5"/>
      <w:lang w:val="es-ES"/>
    </w:rPr>
  </w:style>
  <w:style w:type="paragraph" w:customStyle="1" w:styleId="Nivel1SM">
    <w:name w:val="Nivel 1 SM"/>
    <w:basedOn w:val="Nivel1"/>
    <w:qFormat/>
    <w:rsid w:val="00B2524F"/>
    <w:pPr>
      <w:ind w:left="85"/>
    </w:pPr>
  </w:style>
  <w:style w:type="paragraph" w:customStyle="1" w:styleId="Nivel2SM">
    <w:name w:val="Nivel 2 SM"/>
    <w:basedOn w:val="Nivel2"/>
    <w:qFormat/>
    <w:rsid w:val="00B2524F"/>
    <w:pPr>
      <w:ind w:left="170"/>
    </w:pPr>
  </w:style>
  <w:style w:type="paragraph" w:customStyle="1" w:styleId="Nivel3SM">
    <w:name w:val="Nivel 3 SM"/>
    <w:basedOn w:val="Nivel3"/>
    <w:qFormat/>
    <w:rsid w:val="00B2524F"/>
    <w:pPr>
      <w:ind w:left="255"/>
    </w:pPr>
  </w:style>
  <w:style w:type="paragraph" w:styleId="Encabezadodelista">
    <w:name w:val="toa heading"/>
    <w:basedOn w:val="Normal"/>
    <w:next w:val="Normal"/>
    <w:uiPriority w:val="99"/>
    <w:semiHidden/>
    <w:unhideWhenUsed/>
    <w:rsid w:val="00B2524F"/>
    <w:pPr>
      <w:spacing w:before="120"/>
    </w:pPr>
    <w:rPr>
      <w:rFonts w:eastAsiaTheme="majorEastAsia" w:cstheme="majorBidi"/>
      <w:b/>
      <w:bCs/>
      <w:color w:val="7030A0"/>
      <w:sz w:val="24"/>
      <w:szCs w:val="24"/>
    </w:rPr>
  </w:style>
  <w:style w:type="paragraph" w:styleId="TDC4">
    <w:name w:val="toc 4"/>
    <w:basedOn w:val="TDC3"/>
    <w:next w:val="Normal"/>
    <w:autoRedefine/>
    <w:uiPriority w:val="39"/>
    <w:unhideWhenUsed/>
    <w:rsid w:val="00B2524F"/>
    <w:pPr>
      <w:keepNext w:val="0"/>
      <w:tabs>
        <w:tab w:val="clear" w:pos="4868"/>
      </w:tabs>
      <w:ind w:left="1021" w:hanging="227"/>
    </w:pPr>
    <w:rPr>
      <w:i/>
      <w:sz w:val="13"/>
    </w:rPr>
  </w:style>
  <w:style w:type="paragraph" w:customStyle="1" w:styleId="Nivel4">
    <w:name w:val="Nivel 4"/>
    <w:basedOn w:val="Nivel3"/>
    <w:link w:val="Nivel4Char"/>
    <w:qFormat/>
    <w:rsid w:val="00B2524F"/>
    <w:pPr>
      <w:numPr>
        <w:ilvl w:val="3"/>
      </w:numPr>
      <w:ind w:left="850" w:hanging="113"/>
    </w:pPr>
  </w:style>
  <w:style w:type="character" w:customStyle="1" w:styleId="Nivel2Char">
    <w:name w:val="Nivel 2 Char"/>
    <w:basedOn w:val="Fuentedeprrafopredeter"/>
    <w:link w:val="Nivel2"/>
    <w:rsid w:val="00B2524F"/>
    <w:rPr>
      <w:rFonts w:ascii="Book Antiqua" w:hAnsi="Book Antiqua"/>
      <w:sz w:val="16"/>
      <w:lang w:val="es-ES"/>
    </w:rPr>
  </w:style>
  <w:style w:type="character" w:customStyle="1" w:styleId="Nivel3Char">
    <w:name w:val="Nivel 3 Char"/>
    <w:basedOn w:val="Nivel2Char"/>
    <w:link w:val="Nivel3"/>
    <w:rsid w:val="00B2524F"/>
    <w:rPr>
      <w:rFonts w:ascii="Book Antiqua" w:hAnsi="Book Antiqua"/>
      <w:sz w:val="16"/>
      <w:lang w:val="es-ES"/>
    </w:rPr>
  </w:style>
  <w:style w:type="character" w:customStyle="1" w:styleId="Nivel4Char">
    <w:name w:val="Nivel 4 Char"/>
    <w:basedOn w:val="Nivel3Char"/>
    <w:link w:val="Nivel4"/>
    <w:rsid w:val="00B2524F"/>
    <w:rPr>
      <w:rFonts w:ascii="Book Antiqua" w:hAnsi="Book Antiqua"/>
      <w:sz w:val="16"/>
      <w:lang w:val="es-ES"/>
    </w:rPr>
  </w:style>
  <w:style w:type="paragraph" w:customStyle="1" w:styleId="Cajadeanotaciones">
    <w:name w:val="Caja de anotaciones"/>
    <w:basedOn w:val="Normal"/>
    <w:link w:val="CajadeanotacionesChar"/>
    <w:qFormat/>
    <w:rsid w:val="00B2524F"/>
    <w:pPr>
      <w:pBdr>
        <w:top w:val="single" w:sz="4" w:space="1" w:color="auto" w:shadow="1"/>
        <w:left w:val="single" w:sz="4" w:space="4" w:color="auto" w:shadow="1"/>
        <w:bottom w:val="single" w:sz="4" w:space="1" w:color="auto" w:shadow="1"/>
        <w:right w:val="single" w:sz="4" w:space="4" w:color="auto" w:shadow="1"/>
      </w:pBdr>
      <w:shd w:val="clear" w:color="auto" w:fill="E7E6E6" w:themeFill="background2"/>
      <w:spacing w:after="0"/>
    </w:pPr>
    <w:rPr>
      <w:szCs w:val="16"/>
    </w:rPr>
  </w:style>
  <w:style w:type="character" w:customStyle="1" w:styleId="CajadeanotacionesChar">
    <w:name w:val="Caja de anotaciones Char"/>
    <w:basedOn w:val="Fuentedeprrafopredeter"/>
    <w:link w:val="Cajadeanotaciones"/>
    <w:rsid w:val="00B2524F"/>
    <w:rPr>
      <w:rFonts w:ascii="Book Antiqua" w:hAnsi="Book Antiqua"/>
      <w:sz w:val="16"/>
      <w:szCs w:val="16"/>
      <w:shd w:val="clear" w:color="auto" w:fill="E7E6E6" w:themeFill="background2"/>
      <w:lang w:val="es-ES"/>
    </w:rPr>
  </w:style>
  <w:style w:type="paragraph" w:customStyle="1" w:styleId="Imagen">
    <w:name w:val="Imagen"/>
    <w:basedOn w:val="Normal"/>
    <w:next w:val="Piedeimagen"/>
    <w:link w:val="ImagenCar"/>
    <w:qFormat/>
    <w:rsid w:val="00B2524F"/>
    <w:pPr>
      <w:spacing w:after="0"/>
      <w:jc w:val="center"/>
    </w:pPr>
    <w:rPr>
      <w:noProof/>
    </w:rPr>
  </w:style>
  <w:style w:type="paragraph" w:customStyle="1" w:styleId="Piedeimagen">
    <w:name w:val="Pie de imagen"/>
    <w:basedOn w:val="Imagen"/>
    <w:next w:val="Normal"/>
    <w:qFormat/>
    <w:rsid w:val="00B2524F"/>
    <w:rPr>
      <w:i/>
      <w:color w:val="3B3838" w:themeColor="background2" w:themeShade="40"/>
      <w:sz w:val="12"/>
    </w:rPr>
  </w:style>
  <w:style w:type="character" w:customStyle="1" w:styleId="ImagenCar">
    <w:name w:val="Imagen Car"/>
    <w:basedOn w:val="Fuentedeprrafopredeter"/>
    <w:link w:val="Imagen"/>
    <w:rsid w:val="00B2524F"/>
    <w:rPr>
      <w:rFonts w:ascii="Book Antiqua" w:hAnsi="Book Antiqua"/>
      <w:noProof/>
      <w:sz w:val="16"/>
      <w:lang w:val="es-ES"/>
    </w:rPr>
  </w:style>
  <w:style w:type="character" w:styleId="Mencinsinresolver">
    <w:name w:val="Unresolved Mention"/>
    <w:basedOn w:val="Fuentedeprrafopredeter"/>
    <w:uiPriority w:val="99"/>
    <w:semiHidden/>
    <w:unhideWhenUsed/>
    <w:rsid w:val="00B2524F"/>
    <w:rPr>
      <w:color w:val="605E5C"/>
      <w:shd w:val="clear" w:color="auto" w:fill="E1DFDD"/>
    </w:rPr>
  </w:style>
  <w:style w:type="paragraph" w:styleId="Bibliografa">
    <w:name w:val="Bibliography"/>
    <w:basedOn w:val="Normal"/>
    <w:next w:val="Normal"/>
    <w:uiPriority w:val="37"/>
    <w:unhideWhenUsed/>
    <w:rsid w:val="00B2524F"/>
    <w:pPr>
      <w:ind w:left="284" w:hanging="284"/>
    </w:pPr>
  </w:style>
  <w:style w:type="paragraph" w:customStyle="1" w:styleId="Cabecera">
    <w:name w:val="Cabecera"/>
    <w:basedOn w:val="Ttulo"/>
    <w:qFormat/>
    <w:rsid w:val="00A80F76"/>
    <w:pPr>
      <w:spacing w:after="0"/>
    </w:pPr>
    <w:rPr>
      <w:b w:val="0"/>
      <w:bCs/>
      <w:i/>
      <w:iCs w:val="0"/>
      <w:caps w:val="0"/>
      <w:sz w:val="16"/>
      <w:szCs w:val="16"/>
    </w:rPr>
  </w:style>
  <w:style w:type="character" w:styleId="Hipervnculovisitado">
    <w:name w:val="FollowedHyperlink"/>
    <w:basedOn w:val="Fuentedeprrafopredeter"/>
    <w:uiPriority w:val="99"/>
    <w:semiHidden/>
    <w:unhideWhenUsed/>
    <w:rsid w:val="00F36017"/>
    <w:rPr>
      <w:color w:val="954F72" w:themeColor="followedHyperlink"/>
      <w:u w:val="single"/>
    </w:rPr>
  </w:style>
  <w:style w:type="paragraph" w:styleId="Prrafodelista">
    <w:name w:val="List Paragraph"/>
    <w:basedOn w:val="Normal"/>
    <w:link w:val="PrrafodelistaCar"/>
    <w:uiPriority w:val="34"/>
    <w:rsid w:val="00B2524F"/>
    <w:pPr>
      <w:ind w:left="720"/>
      <w:contextualSpacing/>
    </w:pPr>
  </w:style>
  <w:style w:type="character" w:customStyle="1" w:styleId="Ttulo7Car">
    <w:name w:val="Título 7 Car"/>
    <w:basedOn w:val="Fuentedeprrafopredeter"/>
    <w:link w:val="Ttulo7"/>
    <w:uiPriority w:val="9"/>
    <w:rsid w:val="00B2524F"/>
    <w:rPr>
      <w:rFonts w:ascii="Book Antiqua" w:eastAsiaTheme="majorEastAsia" w:hAnsi="Book Antiqua" w:cstheme="majorBidi"/>
      <w:i/>
      <w:iCs/>
      <w:sz w:val="16"/>
      <w:u w:val="dotDash"/>
      <w:lang w:val="es-ES"/>
    </w:rPr>
  </w:style>
  <w:style w:type="paragraph" w:customStyle="1" w:styleId="Desarrollocoyuntura">
    <w:name w:val="Desarrollo coyuntura"/>
    <w:basedOn w:val="Cajadeanotaciones"/>
    <w:qFormat/>
    <w:rsid w:val="003A18AD"/>
    <w:pPr>
      <w:shd w:val="clear" w:color="auto" w:fill="auto"/>
      <w:spacing w:after="40"/>
    </w:pPr>
    <w:rPr>
      <w:i/>
    </w:rPr>
  </w:style>
  <w:style w:type="paragraph" w:styleId="TDC5">
    <w:name w:val="toc 5"/>
    <w:basedOn w:val="TDC4"/>
    <w:next w:val="TDC6"/>
    <w:autoRedefine/>
    <w:uiPriority w:val="39"/>
    <w:unhideWhenUsed/>
    <w:rsid w:val="00B2524F"/>
    <w:pPr>
      <w:numPr>
        <w:numId w:val="11"/>
      </w:numPr>
      <w:tabs>
        <w:tab w:val="right" w:pos="5021"/>
      </w:tabs>
      <w:ind w:left="1049" w:hanging="85"/>
    </w:pPr>
    <w:rPr>
      <w:i w:val="0"/>
    </w:rPr>
  </w:style>
  <w:style w:type="paragraph" w:customStyle="1" w:styleId="Letramayscula">
    <w:name w:val="Letra mayúscula"/>
    <w:basedOn w:val="Prrafodelista"/>
    <w:qFormat/>
    <w:rsid w:val="00011C67"/>
    <w:pPr>
      <w:numPr>
        <w:numId w:val="6"/>
      </w:numPr>
      <w:ind w:left="426" w:hanging="284"/>
    </w:pPr>
    <w:rPr>
      <w:i/>
      <w:iCs/>
      <w:szCs w:val="16"/>
      <w:u w:val="single"/>
    </w:rPr>
  </w:style>
  <w:style w:type="character" w:styleId="Refdecomentario">
    <w:name w:val="annotation reference"/>
    <w:basedOn w:val="Fuentedeprrafopredeter"/>
    <w:uiPriority w:val="99"/>
    <w:semiHidden/>
    <w:unhideWhenUsed/>
    <w:rsid w:val="00564C1D"/>
    <w:rPr>
      <w:sz w:val="16"/>
      <w:szCs w:val="16"/>
    </w:rPr>
  </w:style>
  <w:style w:type="paragraph" w:styleId="Textocomentario">
    <w:name w:val="annotation text"/>
    <w:basedOn w:val="Normal"/>
    <w:link w:val="TextocomentarioCar"/>
    <w:uiPriority w:val="99"/>
    <w:unhideWhenUsed/>
    <w:rsid w:val="00564C1D"/>
    <w:rPr>
      <w:sz w:val="20"/>
      <w:szCs w:val="20"/>
    </w:rPr>
  </w:style>
  <w:style w:type="character" w:customStyle="1" w:styleId="TextocomentarioCar">
    <w:name w:val="Texto comentario Car"/>
    <w:basedOn w:val="Fuentedeprrafopredeter"/>
    <w:link w:val="Textocomentario"/>
    <w:uiPriority w:val="99"/>
    <w:rsid w:val="00564C1D"/>
    <w:rPr>
      <w:rFonts w:ascii="Palatino Linotype" w:hAnsi="Palatino Linotype"/>
      <w:sz w:val="20"/>
      <w:szCs w:val="20"/>
      <w:lang w:val="es-ES"/>
    </w:rPr>
  </w:style>
  <w:style w:type="paragraph" w:styleId="Asuntodelcomentario">
    <w:name w:val="annotation subject"/>
    <w:basedOn w:val="Textocomentario"/>
    <w:next w:val="Textocomentario"/>
    <w:link w:val="AsuntodelcomentarioCar"/>
    <w:uiPriority w:val="99"/>
    <w:semiHidden/>
    <w:unhideWhenUsed/>
    <w:rsid w:val="00564C1D"/>
    <w:rPr>
      <w:b/>
      <w:bCs/>
    </w:rPr>
  </w:style>
  <w:style w:type="character" w:customStyle="1" w:styleId="AsuntodelcomentarioCar">
    <w:name w:val="Asunto del comentario Car"/>
    <w:basedOn w:val="TextocomentarioCar"/>
    <w:link w:val="Asuntodelcomentario"/>
    <w:uiPriority w:val="99"/>
    <w:semiHidden/>
    <w:rsid w:val="00564C1D"/>
    <w:rPr>
      <w:rFonts w:ascii="Palatino Linotype" w:hAnsi="Palatino Linotype"/>
      <w:b/>
      <w:bCs/>
      <w:sz w:val="20"/>
      <w:szCs w:val="20"/>
      <w:lang w:val="es-ES"/>
    </w:rPr>
  </w:style>
  <w:style w:type="paragraph" w:styleId="TDC6">
    <w:name w:val="toc 6"/>
    <w:basedOn w:val="Normal"/>
    <w:next w:val="Normal"/>
    <w:autoRedefine/>
    <w:uiPriority w:val="39"/>
    <w:unhideWhenUsed/>
    <w:rsid w:val="00B2524F"/>
    <w:pPr>
      <w:spacing w:after="0"/>
      <w:ind w:left="284"/>
      <w:jc w:val="left"/>
    </w:pPr>
    <w:rPr>
      <w:i/>
      <w:sz w:val="13"/>
    </w:rPr>
  </w:style>
  <w:style w:type="paragraph" w:customStyle="1" w:styleId="Piesdepgina">
    <w:name w:val="Pies de página"/>
    <w:basedOn w:val="Normal"/>
    <w:rsid w:val="00B2524F"/>
    <w:pPr>
      <w:keepLines/>
    </w:pPr>
    <w:rPr>
      <w:sz w:val="14"/>
    </w:rPr>
  </w:style>
  <w:style w:type="paragraph" w:customStyle="1" w:styleId="Nmeroromano">
    <w:name w:val="Número romano"/>
    <w:basedOn w:val="Prrafodelista"/>
    <w:link w:val="NmeroromanoCar"/>
    <w:qFormat/>
    <w:rsid w:val="00B2524F"/>
    <w:pPr>
      <w:numPr>
        <w:numId w:val="13"/>
      </w:numPr>
      <w:ind w:left="567" w:hanging="113"/>
    </w:pPr>
  </w:style>
  <w:style w:type="character" w:customStyle="1" w:styleId="PrrafodelistaCar">
    <w:name w:val="Párrafo de lista Car"/>
    <w:basedOn w:val="Fuentedeprrafopredeter"/>
    <w:link w:val="Prrafodelista"/>
    <w:uiPriority w:val="34"/>
    <w:rsid w:val="00B2524F"/>
    <w:rPr>
      <w:rFonts w:ascii="Book Antiqua" w:hAnsi="Book Antiqua"/>
      <w:sz w:val="16"/>
      <w:lang w:val="es-ES"/>
    </w:rPr>
  </w:style>
  <w:style w:type="character" w:customStyle="1" w:styleId="NmeroromanoCar">
    <w:name w:val="Número romano Car"/>
    <w:basedOn w:val="PrrafodelistaCar"/>
    <w:link w:val="Nmeroromano"/>
    <w:rsid w:val="00B2524F"/>
    <w:rPr>
      <w:rFonts w:ascii="Book Antiqua" w:hAnsi="Book Antiqua"/>
      <w:sz w:val="16"/>
      <w:lang w:val="es-ES"/>
    </w:rPr>
  </w:style>
  <w:style w:type="character" w:styleId="Textoennegrita">
    <w:name w:val="Strong"/>
    <w:basedOn w:val="Fuentedeprrafopredeter"/>
    <w:uiPriority w:val="22"/>
    <w:qFormat/>
    <w:rsid w:val="00B2524F"/>
    <w:rPr>
      <w:b/>
      <w:bCs/>
    </w:rPr>
  </w:style>
  <w:style w:type="character" w:styleId="Nmerodelnea">
    <w:name w:val="line number"/>
    <w:basedOn w:val="Fuentedeprrafopredeter"/>
    <w:uiPriority w:val="99"/>
    <w:semiHidden/>
    <w:unhideWhenUsed/>
    <w:rsid w:val="00B2524F"/>
  </w:style>
  <w:style w:type="paragraph" w:styleId="TDC9">
    <w:name w:val="toc 9"/>
    <w:basedOn w:val="Normal"/>
    <w:next w:val="Normal"/>
    <w:autoRedefine/>
    <w:uiPriority w:val="39"/>
    <w:unhideWhenUsed/>
    <w:rsid w:val="00B2524F"/>
    <w:pPr>
      <w:spacing w:after="100"/>
      <w:ind w:left="1280"/>
      <w:jc w:val="left"/>
    </w:pPr>
  </w:style>
  <w:style w:type="paragraph" w:customStyle="1" w:styleId="Apartado0">
    <w:name w:val="Apartado 0"/>
    <w:basedOn w:val="Ttulo1"/>
    <w:next w:val="Normal"/>
    <w:link w:val="Apartado0Car"/>
    <w:qFormat/>
    <w:rsid w:val="00B2524F"/>
    <w:pPr>
      <w:numPr>
        <w:numId w:val="14"/>
      </w:numPr>
      <w:ind w:left="227" w:hanging="227"/>
    </w:pPr>
  </w:style>
  <w:style w:type="paragraph" w:customStyle="1" w:styleId="FinTDC">
    <w:name w:val="FinTDC"/>
    <w:basedOn w:val="Normal"/>
    <w:link w:val="FinTDCCar"/>
    <w:qFormat/>
    <w:rsid w:val="00B2524F"/>
    <w:pPr>
      <w:keepLines/>
      <w:spacing w:after="0"/>
      <w:jc w:val="center"/>
    </w:pPr>
    <w:rPr>
      <w:vanish/>
      <w:sz w:val="2"/>
      <w:szCs w:val="2"/>
    </w:rPr>
  </w:style>
  <w:style w:type="character" w:customStyle="1" w:styleId="Apartado0Car">
    <w:name w:val="Apartado 0 Car"/>
    <w:basedOn w:val="Ttulo1Car"/>
    <w:link w:val="Apartado0"/>
    <w:rsid w:val="00B2524F"/>
    <w:rPr>
      <w:rFonts w:ascii="Book Antiqua" w:hAnsi="Book Antiqua"/>
      <w:b/>
      <w:bCs/>
      <w:caps/>
      <w:color w:val="FFF2CC" w:themeColor="accent4" w:themeTint="33"/>
      <w:sz w:val="18"/>
      <w:shd w:val="clear" w:color="auto" w:fill="800000"/>
      <w:lang w:val="es-ES"/>
    </w:rPr>
  </w:style>
  <w:style w:type="character" w:customStyle="1" w:styleId="FinTDCCar">
    <w:name w:val="FinTDC Car"/>
    <w:basedOn w:val="Fuentedeprrafopredeter"/>
    <w:link w:val="FinTDC"/>
    <w:rsid w:val="00B2524F"/>
    <w:rPr>
      <w:rFonts w:ascii="Book Antiqua" w:hAnsi="Book Antiqua"/>
      <w:vanish/>
      <w:sz w:val="2"/>
      <w:szCs w:val="2"/>
      <w:lang w:val="es-ES"/>
    </w:rPr>
  </w:style>
  <w:style w:type="paragraph" w:styleId="TDC7">
    <w:name w:val="toc 7"/>
    <w:basedOn w:val="Normal"/>
    <w:next w:val="Normal"/>
    <w:autoRedefine/>
    <w:uiPriority w:val="39"/>
    <w:unhideWhenUsed/>
    <w:rsid w:val="00B2524F"/>
    <w:pPr>
      <w:spacing w:after="100"/>
      <w:ind w:left="960"/>
      <w:jc w:val="left"/>
    </w:pPr>
  </w:style>
  <w:style w:type="paragraph" w:styleId="TDC8">
    <w:name w:val="toc 8"/>
    <w:basedOn w:val="Normal"/>
    <w:next w:val="Normal"/>
    <w:autoRedefine/>
    <w:uiPriority w:val="39"/>
    <w:unhideWhenUsed/>
    <w:rsid w:val="00B2524F"/>
    <w:pPr>
      <w:spacing w:after="100"/>
      <w:ind w:left="1120"/>
      <w:jc w:val="left"/>
    </w:pPr>
  </w:style>
  <w:style w:type="character" w:customStyle="1" w:styleId="normaltextrun">
    <w:name w:val="normaltextrun"/>
    <w:basedOn w:val="Fuentedeprrafopredeter"/>
    <w:rsid w:val="00EB7AA3"/>
  </w:style>
  <w:style w:type="character" w:customStyle="1" w:styleId="eop">
    <w:name w:val="eop"/>
    <w:basedOn w:val="Fuentedeprrafopredeter"/>
    <w:rsid w:val="00EB7AA3"/>
  </w:style>
  <w:style w:type="paragraph" w:customStyle="1" w:styleId="Nivel6">
    <w:name w:val="Nivel 6"/>
    <w:basedOn w:val="Nivel5"/>
    <w:link w:val="Nivel6Car"/>
    <w:qFormat/>
    <w:rsid w:val="00B2524F"/>
    <w:pPr>
      <w:numPr>
        <w:ilvl w:val="4"/>
        <w:numId w:val="1"/>
      </w:numPr>
      <w:ind w:left="1247" w:hanging="170"/>
    </w:pPr>
  </w:style>
  <w:style w:type="paragraph" w:customStyle="1" w:styleId="Nivel7">
    <w:name w:val="Nivel 7"/>
    <w:basedOn w:val="Nivel6"/>
    <w:link w:val="Nivel7Car"/>
    <w:qFormat/>
    <w:rsid w:val="00B2524F"/>
    <w:pPr>
      <w:numPr>
        <w:ilvl w:val="5"/>
      </w:numPr>
      <w:ind w:left="1360" w:hanging="113"/>
    </w:pPr>
  </w:style>
  <w:style w:type="character" w:customStyle="1" w:styleId="Nivel6Car">
    <w:name w:val="Nivel 6 Car"/>
    <w:basedOn w:val="Nivel4Char"/>
    <w:link w:val="Nivel6"/>
    <w:rsid w:val="00B2524F"/>
    <w:rPr>
      <w:rFonts w:ascii="Book Antiqua" w:hAnsi="Book Antiqua"/>
      <w:sz w:val="16"/>
      <w:lang w:val="es-ES"/>
    </w:rPr>
  </w:style>
  <w:style w:type="paragraph" w:customStyle="1" w:styleId="Nivel5">
    <w:name w:val="Nivel 5"/>
    <w:basedOn w:val="Nivel4"/>
    <w:link w:val="Nivel5Car"/>
    <w:qFormat/>
    <w:rsid w:val="00B2524F"/>
    <w:pPr>
      <w:numPr>
        <w:ilvl w:val="0"/>
        <w:numId w:val="19"/>
      </w:numPr>
      <w:ind w:left="1077" w:hanging="113"/>
    </w:pPr>
  </w:style>
  <w:style w:type="character" w:customStyle="1" w:styleId="Nivel7Car">
    <w:name w:val="Nivel 7 Car"/>
    <w:basedOn w:val="Nivel6Car"/>
    <w:link w:val="Nivel7"/>
    <w:rsid w:val="00B2524F"/>
    <w:rPr>
      <w:rFonts w:ascii="Book Antiqua" w:hAnsi="Book Antiqua"/>
      <w:sz w:val="16"/>
      <w:lang w:val="es-ES"/>
    </w:rPr>
  </w:style>
  <w:style w:type="character" w:customStyle="1" w:styleId="Nivel5Car">
    <w:name w:val="Nivel 5 Car"/>
    <w:basedOn w:val="PrrafodelistaCar"/>
    <w:link w:val="Nivel5"/>
    <w:rsid w:val="00B2524F"/>
    <w:rPr>
      <w:rFonts w:ascii="Book Antiqua" w:hAnsi="Book Antiqua"/>
      <w:sz w:val="16"/>
      <w:lang w:val="es-ES"/>
    </w:rPr>
  </w:style>
  <w:style w:type="paragraph" w:customStyle="1" w:styleId="Ttuloimagen">
    <w:name w:val="Título imagen"/>
    <w:basedOn w:val="Normal"/>
    <w:next w:val="Imagen"/>
    <w:link w:val="TtuloimagenCar"/>
    <w:qFormat/>
    <w:rsid w:val="00B2524F"/>
    <w:pPr>
      <w:keepNext/>
      <w:keepLines/>
      <w:spacing w:after="0"/>
      <w:contextualSpacing/>
      <w:jc w:val="center"/>
    </w:pPr>
    <w:rPr>
      <w:rFonts w:ascii="Palatino Linotype" w:hAnsi="Palatino Linotype"/>
      <w:smallCaps/>
      <w:noProof/>
      <w:color w:val="3B3838" w:themeColor="background2" w:themeShade="40"/>
      <w:sz w:val="14"/>
      <w:szCs w:val="20"/>
    </w:rPr>
  </w:style>
  <w:style w:type="character" w:customStyle="1" w:styleId="TtuloimagenCar">
    <w:name w:val="Título imagen Car"/>
    <w:basedOn w:val="Fuentedeprrafopredeter"/>
    <w:link w:val="Ttuloimagen"/>
    <w:rsid w:val="00B2524F"/>
    <w:rPr>
      <w:rFonts w:ascii="Palatino Linotype" w:hAnsi="Palatino Linotype"/>
      <w:smallCaps/>
      <w:noProof/>
      <w:color w:val="3B3838" w:themeColor="background2" w:themeShade="40"/>
      <w:sz w:val="14"/>
      <w:szCs w:val="20"/>
      <w:lang w:val="es-ES"/>
    </w:rPr>
  </w:style>
  <w:style w:type="paragraph" w:styleId="Descripcin">
    <w:name w:val="caption"/>
    <w:basedOn w:val="Normal"/>
    <w:next w:val="Normal"/>
    <w:uiPriority w:val="35"/>
    <w:unhideWhenUsed/>
    <w:qFormat/>
    <w:rsid w:val="00B2524F"/>
    <w:pPr>
      <w:spacing w:after="200"/>
    </w:pPr>
    <w:rPr>
      <w:i/>
      <w:iCs/>
      <w:color w:val="44546A" w:themeColor="text2"/>
      <w:sz w:val="18"/>
      <w:szCs w:val="18"/>
    </w:rPr>
  </w:style>
  <w:style w:type="paragraph" w:customStyle="1" w:styleId="Comentario">
    <w:name w:val="Comentario"/>
    <w:basedOn w:val="Notaalopositor"/>
    <w:link w:val="ComentarioCar"/>
    <w:qFormat/>
    <w:rsid w:val="00B2524F"/>
    <w:pPr>
      <w:shd w:val="solid" w:color="FBE4D5" w:themeColor="accent2" w:themeTint="33" w:fill="auto"/>
    </w:pPr>
    <w:rPr>
      <w:vanish/>
      <w:sz w:val="16"/>
    </w:rPr>
  </w:style>
  <w:style w:type="character" w:customStyle="1" w:styleId="ComentarioCar">
    <w:name w:val="Comentario Car"/>
    <w:basedOn w:val="NotaalopositorChar"/>
    <w:link w:val="Comentario"/>
    <w:rsid w:val="00B2524F"/>
    <w:rPr>
      <w:rFonts w:ascii="Book Antiqua" w:hAnsi="Book Antiqua"/>
      <w:vanish/>
      <w:color w:val="800000"/>
      <w:sz w:val="16"/>
      <w:shd w:val="solid" w:color="FBE4D5" w:themeColor="accent2" w:themeTint="33" w:fill="auto"/>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87033">
      <w:bodyDiv w:val="1"/>
      <w:marLeft w:val="0"/>
      <w:marRight w:val="0"/>
      <w:marTop w:val="0"/>
      <w:marBottom w:val="0"/>
      <w:divBdr>
        <w:top w:val="none" w:sz="0" w:space="0" w:color="auto"/>
        <w:left w:val="none" w:sz="0" w:space="0" w:color="auto"/>
        <w:bottom w:val="none" w:sz="0" w:space="0" w:color="auto"/>
        <w:right w:val="none" w:sz="0" w:space="0" w:color="auto"/>
      </w:divBdr>
      <w:divsChild>
        <w:div w:id="1320230077">
          <w:marLeft w:val="480"/>
          <w:marRight w:val="0"/>
          <w:marTop w:val="0"/>
          <w:marBottom w:val="0"/>
          <w:divBdr>
            <w:top w:val="none" w:sz="0" w:space="0" w:color="auto"/>
            <w:left w:val="none" w:sz="0" w:space="0" w:color="auto"/>
            <w:bottom w:val="none" w:sz="0" w:space="0" w:color="auto"/>
            <w:right w:val="none" w:sz="0" w:space="0" w:color="auto"/>
          </w:divBdr>
          <w:divsChild>
            <w:div w:id="1946693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312130">
      <w:bodyDiv w:val="1"/>
      <w:marLeft w:val="0"/>
      <w:marRight w:val="0"/>
      <w:marTop w:val="0"/>
      <w:marBottom w:val="0"/>
      <w:divBdr>
        <w:top w:val="none" w:sz="0" w:space="0" w:color="auto"/>
        <w:left w:val="none" w:sz="0" w:space="0" w:color="auto"/>
        <w:bottom w:val="none" w:sz="0" w:space="0" w:color="auto"/>
        <w:right w:val="none" w:sz="0" w:space="0" w:color="auto"/>
      </w:divBdr>
    </w:div>
    <w:div w:id="229778715">
      <w:bodyDiv w:val="1"/>
      <w:marLeft w:val="0"/>
      <w:marRight w:val="0"/>
      <w:marTop w:val="0"/>
      <w:marBottom w:val="0"/>
      <w:divBdr>
        <w:top w:val="none" w:sz="0" w:space="0" w:color="auto"/>
        <w:left w:val="none" w:sz="0" w:space="0" w:color="auto"/>
        <w:bottom w:val="none" w:sz="0" w:space="0" w:color="auto"/>
        <w:right w:val="none" w:sz="0" w:space="0" w:color="auto"/>
      </w:divBdr>
    </w:div>
    <w:div w:id="233783736">
      <w:bodyDiv w:val="1"/>
      <w:marLeft w:val="0"/>
      <w:marRight w:val="0"/>
      <w:marTop w:val="0"/>
      <w:marBottom w:val="0"/>
      <w:divBdr>
        <w:top w:val="none" w:sz="0" w:space="0" w:color="auto"/>
        <w:left w:val="none" w:sz="0" w:space="0" w:color="auto"/>
        <w:bottom w:val="none" w:sz="0" w:space="0" w:color="auto"/>
        <w:right w:val="none" w:sz="0" w:space="0" w:color="auto"/>
      </w:divBdr>
    </w:div>
    <w:div w:id="249438000">
      <w:bodyDiv w:val="1"/>
      <w:marLeft w:val="0"/>
      <w:marRight w:val="0"/>
      <w:marTop w:val="0"/>
      <w:marBottom w:val="0"/>
      <w:divBdr>
        <w:top w:val="none" w:sz="0" w:space="0" w:color="auto"/>
        <w:left w:val="none" w:sz="0" w:space="0" w:color="auto"/>
        <w:bottom w:val="none" w:sz="0" w:space="0" w:color="auto"/>
        <w:right w:val="none" w:sz="0" w:space="0" w:color="auto"/>
      </w:divBdr>
    </w:div>
    <w:div w:id="396325967">
      <w:bodyDiv w:val="1"/>
      <w:marLeft w:val="0"/>
      <w:marRight w:val="0"/>
      <w:marTop w:val="0"/>
      <w:marBottom w:val="0"/>
      <w:divBdr>
        <w:top w:val="none" w:sz="0" w:space="0" w:color="auto"/>
        <w:left w:val="none" w:sz="0" w:space="0" w:color="auto"/>
        <w:bottom w:val="none" w:sz="0" w:space="0" w:color="auto"/>
        <w:right w:val="none" w:sz="0" w:space="0" w:color="auto"/>
      </w:divBdr>
    </w:div>
    <w:div w:id="457842456">
      <w:bodyDiv w:val="1"/>
      <w:marLeft w:val="0"/>
      <w:marRight w:val="0"/>
      <w:marTop w:val="0"/>
      <w:marBottom w:val="0"/>
      <w:divBdr>
        <w:top w:val="none" w:sz="0" w:space="0" w:color="auto"/>
        <w:left w:val="none" w:sz="0" w:space="0" w:color="auto"/>
        <w:bottom w:val="none" w:sz="0" w:space="0" w:color="auto"/>
        <w:right w:val="none" w:sz="0" w:space="0" w:color="auto"/>
      </w:divBdr>
      <w:divsChild>
        <w:div w:id="1274363168">
          <w:marLeft w:val="480"/>
          <w:marRight w:val="0"/>
          <w:marTop w:val="0"/>
          <w:marBottom w:val="0"/>
          <w:divBdr>
            <w:top w:val="none" w:sz="0" w:space="0" w:color="auto"/>
            <w:left w:val="none" w:sz="0" w:space="0" w:color="auto"/>
            <w:bottom w:val="none" w:sz="0" w:space="0" w:color="auto"/>
            <w:right w:val="none" w:sz="0" w:space="0" w:color="auto"/>
          </w:divBdr>
          <w:divsChild>
            <w:div w:id="643631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5073356">
      <w:bodyDiv w:val="1"/>
      <w:marLeft w:val="0"/>
      <w:marRight w:val="0"/>
      <w:marTop w:val="0"/>
      <w:marBottom w:val="0"/>
      <w:divBdr>
        <w:top w:val="none" w:sz="0" w:space="0" w:color="auto"/>
        <w:left w:val="none" w:sz="0" w:space="0" w:color="auto"/>
        <w:bottom w:val="none" w:sz="0" w:space="0" w:color="auto"/>
        <w:right w:val="none" w:sz="0" w:space="0" w:color="auto"/>
      </w:divBdr>
    </w:div>
    <w:div w:id="499777740">
      <w:bodyDiv w:val="1"/>
      <w:marLeft w:val="0"/>
      <w:marRight w:val="0"/>
      <w:marTop w:val="0"/>
      <w:marBottom w:val="0"/>
      <w:divBdr>
        <w:top w:val="none" w:sz="0" w:space="0" w:color="auto"/>
        <w:left w:val="none" w:sz="0" w:space="0" w:color="auto"/>
        <w:bottom w:val="none" w:sz="0" w:space="0" w:color="auto"/>
        <w:right w:val="none" w:sz="0" w:space="0" w:color="auto"/>
      </w:divBdr>
    </w:div>
    <w:div w:id="617758830">
      <w:bodyDiv w:val="1"/>
      <w:marLeft w:val="0"/>
      <w:marRight w:val="0"/>
      <w:marTop w:val="0"/>
      <w:marBottom w:val="0"/>
      <w:divBdr>
        <w:top w:val="none" w:sz="0" w:space="0" w:color="auto"/>
        <w:left w:val="none" w:sz="0" w:space="0" w:color="auto"/>
        <w:bottom w:val="none" w:sz="0" w:space="0" w:color="auto"/>
        <w:right w:val="none" w:sz="0" w:space="0" w:color="auto"/>
      </w:divBdr>
    </w:div>
    <w:div w:id="693194212">
      <w:bodyDiv w:val="1"/>
      <w:marLeft w:val="0"/>
      <w:marRight w:val="0"/>
      <w:marTop w:val="0"/>
      <w:marBottom w:val="0"/>
      <w:divBdr>
        <w:top w:val="none" w:sz="0" w:space="0" w:color="auto"/>
        <w:left w:val="none" w:sz="0" w:space="0" w:color="auto"/>
        <w:bottom w:val="none" w:sz="0" w:space="0" w:color="auto"/>
        <w:right w:val="none" w:sz="0" w:space="0" w:color="auto"/>
      </w:divBdr>
      <w:divsChild>
        <w:div w:id="1725444534">
          <w:marLeft w:val="480"/>
          <w:marRight w:val="0"/>
          <w:marTop w:val="0"/>
          <w:marBottom w:val="0"/>
          <w:divBdr>
            <w:top w:val="none" w:sz="0" w:space="0" w:color="auto"/>
            <w:left w:val="none" w:sz="0" w:space="0" w:color="auto"/>
            <w:bottom w:val="none" w:sz="0" w:space="0" w:color="auto"/>
            <w:right w:val="none" w:sz="0" w:space="0" w:color="auto"/>
          </w:divBdr>
          <w:divsChild>
            <w:div w:id="980884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269636">
      <w:bodyDiv w:val="1"/>
      <w:marLeft w:val="0"/>
      <w:marRight w:val="0"/>
      <w:marTop w:val="0"/>
      <w:marBottom w:val="0"/>
      <w:divBdr>
        <w:top w:val="none" w:sz="0" w:space="0" w:color="auto"/>
        <w:left w:val="none" w:sz="0" w:space="0" w:color="auto"/>
        <w:bottom w:val="none" w:sz="0" w:space="0" w:color="auto"/>
        <w:right w:val="none" w:sz="0" w:space="0" w:color="auto"/>
      </w:divBdr>
      <w:divsChild>
        <w:div w:id="1713069557">
          <w:marLeft w:val="480"/>
          <w:marRight w:val="0"/>
          <w:marTop w:val="0"/>
          <w:marBottom w:val="0"/>
          <w:divBdr>
            <w:top w:val="none" w:sz="0" w:space="0" w:color="auto"/>
            <w:left w:val="none" w:sz="0" w:space="0" w:color="auto"/>
            <w:bottom w:val="none" w:sz="0" w:space="0" w:color="auto"/>
            <w:right w:val="none" w:sz="0" w:space="0" w:color="auto"/>
          </w:divBdr>
          <w:divsChild>
            <w:div w:id="86315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2562106">
      <w:bodyDiv w:val="1"/>
      <w:marLeft w:val="0"/>
      <w:marRight w:val="0"/>
      <w:marTop w:val="0"/>
      <w:marBottom w:val="0"/>
      <w:divBdr>
        <w:top w:val="none" w:sz="0" w:space="0" w:color="auto"/>
        <w:left w:val="none" w:sz="0" w:space="0" w:color="auto"/>
        <w:bottom w:val="none" w:sz="0" w:space="0" w:color="auto"/>
        <w:right w:val="none" w:sz="0" w:space="0" w:color="auto"/>
      </w:divBdr>
    </w:div>
    <w:div w:id="1023214937">
      <w:bodyDiv w:val="1"/>
      <w:marLeft w:val="0"/>
      <w:marRight w:val="0"/>
      <w:marTop w:val="0"/>
      <w:marBottom w:val="0"/>
      <w:divBdr>
        <w:top w:val="none" w:sz="0" w:space="0" w:color="auto"/>
        <w:left w:val="none" w:sz="0" w:space="0" w:color="auto"/>
        <w:bottom w:val="none" w:sz="0" w:space="0" w:color="auto"/>
        <w:right w:val="none" w:sz="0" w:space="0" w:color="auto"/>
      </w:divBdr>
      <w:divsChild>
        <w:div w:id="1494374241">
          <w:marLeft w:val="480"/>
          <w:marRight w:val="0"/>
          <w:marTop w:val="0"/>
          <w:marBottom w:val="0"/>
          <w:divBdr>
            <w:top w:val="none" w:sz="0" w:space="0" w:color="auto"/>
            <w:left w:val="none" w:sz="0" w:space="0" w:color="auto"/>
            <w:bottom w:val="none" w:sz="0" w:space="0" w:color="auto"/>
            <w:right w:val="none" w:sz="0" w:space="0" w:color="auto"/>
          </w:divBdr>
          <w:divsChild>
            <w:div w:id="1004746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7124455">
      <w:bodyDiv w:val="1"/>
      <w:marLeft w:val="0"/>
      <w:marRight w:val="0"/>
      <w:marTop w:val="0"/>
      <w:marBottom w:val="0"/>
      <w:divBdr>
        <w:top w:val="none" w:sz="0" w:space="0" w:color="auto"/>
        <w:left w:val="none" w:sz="0" w:space="0" w:color="auto"/>
        <w:bottom w:val="none" w:sz="0" w:space="0" w:color="auto"/>
        <w:right w:val="none" w:sz="0" w:space="0" w:color="auto"/>
      </w:divBdr>
    </w:div>
    <w:div w:id="1038359663">
      <w:bodyDiv w:val="1"/>
      <w:marLeft w:val="0"/>
      <w:marRight w:val="0"/>
      <w:marTop w:val="0"/>
      <w:marBottom w:val="0"/>
      <w:divBdr>
        <w:top w:val="none" w:sz="0" w:space="0" w:color="auto"/>
        <w:left w:val="none" w:sz="0" w:space="0" w:color="auto"/>
        <w:bottom w:val="none" w:sz="0" w:space="0" w:color="auto"/>
        <w:right w:val="none" w:sz="0" w:space="0" w:color="auto"/>
      </w:divBdr>
    </w:div>
    <w:div w:id="1183982725">
      <w:bodyDiv w:val="1"/>
      <w:marLeft w:val="0"/>
      <w:marRight w:val="0"/>
      <w:marTop w:val="0"/>
      <w:marBottom w:val="0"/>
      <w:divBdr>
        <w:top w:val="none" w:sz="0" w:space="0" w:color="auto"/>
        <w:left w:val="none" w:sz="0" w:space="0" w:color="auto"/>
        <w:bottom w:val="none" w:sz="0" w:space="0" w:color="auto"/>
        <w:right w:val="none" w:sz="0" w:space="0" w:color="auto"/>
      </w:divBdr>
      <w:divsChild>
        <w:div w:id="2115787244">
          <w:marLeft w:val="480"/>
          <w:marRight w:val="0"/>
          <w:marTop w:val="0"/>
          <w:marBottom w:val="0"/>
          <w:divBdr>
            <w:top w:val="none" w:sz="0" w:space="0" w:color="auto"/>
            <w:left w:val="none" w:sz="0" w:space="0" w:color="auto"/>
            <w:bottom w:val="none" w:sz="0" w:space="0" w:color="auto"/>
            <w:right w:val="none" w:sz="0" w:space="0" w:color="auto"/>
          </w:divBdr>
          <w:divsChild>
            <w:div w:id="837617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6994908">
      <w:bodyDiv w:val="1"/>
      <w:marLeft w:val="0"/>
      <w:marRight w:val="0"/>
      <w:marTop w:val="0"/>
      <w:marBottom w:val="0"/>
      <w:divBdr>
        <w:top w:val="none" w:sz="0" w:space="0" w:color="auto"/>
        <w:left w:val="none" w:sz="0" w:space="0" w:color="auto"/>
        <w:bottom w:val="none" w:sz="0" w:space="0" w:color="auto"/>
        <w:right w:val="none" w:sz="0" w:space="0" w:color="auto"/>
      </w:divBdr>
    </w:div>
    <w:div w:id="1633246572">
      <w:bodyDiv w:val="1"/>
      <w:marLeft w:val="0"/>
      <w:marRight w:val="0"/>
      <w:marTop w:val="0"/>
      <w:marBottom w:val="0"/>
      <w:divBdr>
        <w:top w:val="none" w:sz="0" w:space="0" w:color="auto"/>
        <w:left w:val="none" w:sz="0" w:space="0" w:color="auto"/>
        <w:bottom w:val="none" w:sz="0" w:space="0" w:color="auto"/>
        <w:right w:val="none" w:sz="0" w:space="0" w:color="auto"/>
      </w:divBdr>
    </w:div>
    <w:div w:id="1671442934">
      <w:bodyDiv w:val="1"/>
      <w:marLeft w:val="0"/>
      <w:marRight w:val="0"/>
      <w:marTop w:val="0"/>
      <w:marBottom w:val="0"/>
      <w:divBdr>
        <w:top w:val="none" w:sz="0" w:space="0" w:color="auto"/>
        <w:left w:val="none" w:sz="0" w:space="0" w:color="auto"/>
        <w:bottom w:val="none" w:sz="0" w:space="0" w:color="auto"/>
        <w:right w:val="none" w:sz="0" w:space="0" w:color="auto"/>
      </w:divBdr>
      <w:divsChild>
        <w:div w:id="1501193783">
          <w:marLeft w:val="480"/>
          <w:marRight w:val="0"/>
          <w:marTop w:val="0"/>
          <w:marBottom w:val="0"/>
          <w:divBdr>
            <w:top w:val="none" w:sz="0" w:space="0" w:color="auto"/>
            <w:left w:val="none" w:sz="0" w:space="0" w:color="auto"/>
            <w:bottom w:val="none" w:sz="0" w:space="0" w:color="auto"/>
            <w:right w:val="none" w:sz="0" w:space="0" w:color="auto"/>
          </w:divBdr>
          <w:divsChild>
            <w:div w:id="1460956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773835">
      <w:bodyDiv w:val="1"/>
      <w:marLeft w:val="0"/>
      <w:marRight w:val="0"/>
      <w:marTop w:val="0"/>
      <w:marBottom w:val="0"/>
      <w:divBdr>
        <w:top w:val="none" w:sz="0" w:space="0" w:color="auto"/>
        <w:left w:val="none" w:sz="0" w:space="0" w:color="auto"/>
        <w:bottom w:val="none" w:sz="0" w:space="0" w:color="auto"/>
        <w:right w:val="none" w:sz="0" w:space="0" w:color="auto"/>
      </w:divBdr>
      <w:divsChild>
        <w:div w:id="568271514">
          <w:marLeft w:val="480"/>
          <w:marRight w:val="0"/>
          <w:marTop w:val="0"/>
          <w:marBottom w:val="0"/>
          <w:divBdr>
            <w:top w:val="none" w:sz="0" w:space="0" w:color="auto"/>
            <w:left w:val="none" w:sz="0" w:space="0" w:color="auto"/>
            <w:bottom w:val="none" w:sz="0" w:space="0" w:color="auto"/>
            <w:right w:val="none" w:sz="0" w:space="0" w:color="auto"/>
          </w:divBdr>
          <w:divsChild>
            <w:div w:id="1873569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8177328">
      <w:bodyDiv w:val="1"/>
      <w:marLeft w:val="0"/>
      <w:marRight w:val="0"/>
      <w:marTop w:val="0"/>
      <w:marBottom w:val="0"/>
      <w:divBdr>
        <w:top w:val="none" w:sz="0" w:space="0" w:color="auto"/>
        <w:left w:val="none" w:sz="0" w:space="0" w:color="auto"/>
        <w:bottom w:val="none" w:sz="0" w:space="0" w:color="auto"/>
        <w:right w:val="none" w:sz="0" w:space="0" w:color="auto"/>
      </w:divBdr>
    </w:div>
    <w:div w:id="1928418843">
      <w:bodyDiv w:val="1"/>
      <w:marLeft w:val="0"/>
      <w:marRight w:val="0"/>
      <w:marTop w:val="0"/>
      <w:marBottom w:val="0"/>
      <w:divBdr>
        <w:top w:val="none" w:sz="0" w:space="0" w:color="auto"/>
        <w:left w:val="none" w:sz="0" w:space="0" w:color="auto"/>
        <w:bottom w:val="none" w:sz="0" w:space="0" w:color="auto"/>
        <w:right w:val="none" w:sz="0" w:space="0" w:color="auto"/>
      </w:divBdr>
    </w:div>
    <w:div w:id="1956716278">
      <w:bodyDiv w:val="1"/>
      <w:marLeft w:val="0"/>
      <w:marRight w:val="0"/>
      <w:marTop w:val="0"/>
      <w:marBottom w:val="0"/>
      <w:divBdr>
        <w:top w:val="none" w:sz="0" w:space="0" w:color="auto"/>
        <w:left w:val="none" w:sz="0" w:space="0" w:color="auto"/>
        <w:bottom w:val="none" w:sz="0" w:space="0" w:color="auto"/>
        <w:right w:val="none" w:sz="0" w:space="0" w:color="auto"/>
      </w:divBdr>
    </w:div>
    <w:div w:id="1997538587">
      <w:bodyDiv w:val="1"/>
      <w:marLeft w:val="0"/>
      <w:marRight w:val="0"/>
      <w:marTop w:val="0"/>
      <w:marBottom w:val="0"/>
      <w:divBdr>
        <w:top w:val="none" w:sz="0" w:space="0" w:color="auto"/>
        <w:left w:val="none" w:sz="0" w:space="0" w:color="auto"/>
        <w:bottom w:val="none" w:sz="0" w:space="0" w:color="auto"/>
        <w:right w:val="none" w:sz="0" w:space="0" w:color="auto"/>
      </w:divBdr>
    </w:div>
    <w:div w:id="2055734080">
      <w:bodyDiv w:val="1"/>
      <w:marLeft w:val="0"/>
      <w:marRight w:val="0"/>
      <w:marTop w:val="0"/>
      <w:marBottom w:val="0"/>
      <w:divBdr>
        <w:top w:val="none" w:sz="0" w:space="0" w:color="auto"/>
        <w:left w:val="none" w:sz="0" w:space="0" w:color="auto"/>
        <w:bottom w:val="none" w:sz="0" w:space="0" w:color="auto"/>
        <w:right w:val="none" w:sz="0" w:space="0" w:color="auto"/>
      </w:divBdr>
      <w:divsChild>
        <w:div w:id="216936311">
          <w:marLeft w:val="-13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doi.org/10.5089/9798400230622.002.A001" TargetMode="External"/><Relationship Id="rId21" Type="http://schemas.openxmlformats.org/officeDocument/2006/relationships/image" Target="media/image6.png"/><Relationship Id="rId34" Type="http://schemas.openxmlformats.org/officeDocument/2006/relationships/image" Target="media/image14.png"/><Relationship Id="rId42" Type="http://schemas.openxmlformats.org/officeDocument/2006/relationships/hyperlink" Target="https://www.imf.org/es/Publications/FM/Issues/2023/04/03/fiscal-monitor-april-2023" TargetMode="External"/><Relationship Id="rId47" Type="http://schemas.openxmlformats.org/officeDocument/2006/relationships/image" Target="media/image20.png"/><Relationship Id="rId50" Type="http://schemas.openxmlformats.org/officeDocument/2006/relationships/hyperlink" Target="https://youtu.be/gJoQz2CiHBI" TargetMode="External"/><Relationship Id="rId55" Type="http://schemas.openxmlformats.org/officeDocument/2006/relationships/hyperlink" Target="https://atcee.es/la-oposicion-tcee/examenes-anteriores/" TargetMode="External"/><Relationship Id="rId63"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ecb.europa.eu/pub/annual/html/ecb.ar2022~8ae51d163b.es.html" TargetMode="External"/><Relationship Id="rId29" Type="http://schemas.openxmlformats.org/officeDocument/2006/relationships/hyperlink" Target="https://uniblog.unicajabanco.es/8-indicadores-bancarios-para-no-iniciados" TargetMode="External"/><Relationship Id="rId11" Type="http://schemas.openxmlformats.org/officeDocument/2006/relationships/footer" Target="footer2.xml"/><Relationship Id="rId24" Type="http://schemas.openxmlformats.org/officeDocument/2006/relationships/image" Target="media/image8.png"/><Relationship Id="rId32" Type="http://schemas.openxmlformats.org/officeDocument/2006/relationships/image" Target="media/image13.png"/><Relationship Id="rId37" Type="http://schemas.openxmlformats.org/officeDocument/2006/relationships/hyperlink" Target="https://www.eleconomista.es/economia/noticias/10161849/10/19/El-indicador-de-inflacion-que-rebate-al-IPC-y-muestra-que-los-precios-podrian-estar-subiendo-mucho-mas-rapido.html" TargetMode="External"/><Relationship Id="rId40" Type="http://schemas.openxmlformats.org/officeDocument/2006/relationships/hyperlink" Target="https://www.ecb.europa.eu/pub/annual/html/ecb.ar2022~8ae51d163b.es.html" TargetMode="External"/><Relationship Id="rId45" Type="http://schemas.openxmlformats.org/officeDocument/2006/relationships/image" Target="media/image19.png"/><Relationship Id="rId53" Type="http://schemas.openxmlformats.org/officeDocument/2006/relationships/hyperlink" Target="https://www.edx.org/es/course/financial-programming-and-policies-part-1-macroeco" TargetMode="External"/><Relationship Id="rId58" Type="http://schemas.openxmlformats.org/officeDocument/2006/relationships/image" Target="media/image21.png"/><Relationship Id="rId5" Type="http://schemas.openxmlformats.org/officeDocument/2006/relationships/webSettings" Target="webSettings.xml"/><Relationship Id="rId61" Type="http://schemas.openxmlformats.org/officeDocument/2006/relationships/hyperlink" Target="https://youtu.be/Y4FN5guVtGM" TargetMode="External"/><Relationship Id="rId19" Type="http://schemas.openxmlformats.org/officeDocument/2006/relationships/image" Target="media/image4.png"/><Relationship Id="rId14" Type="http://schemas.openxmlformats.org/officeDocument/2006/relationships/image" Target="media/image1.png"/><Relationship Id="rId22" Type="http://schemas.openxmlformats.org/officeDocument/2006/relationships/hyperlink" Target="https://www.ecb.europa.eu/press/annual-reports-financial-statements/annual/html/ecb.ar2023~d033c21ac2.es.html" TargetMode="External"/><Relationship Id="rId27" Type="http://schemas.openxmlformats.org/officeDocument/2006/relationships/hyperlink" Target="https://www.bbvaresearch.com/publicaciones/espana-la-economia-espanola-en-el-primer-ano-de-la-guerra-de-ucrania/" TargetMode="External"/><Relationship Id="rId30" Type="http://schemas.openxmlformats.org/officeDocument/2006/relationships/image" Target="media/image11.jpeg"/><Relationship Id="rId35" Type="http://schemas.openxmlformats.org/officeDocument/2006/relationships/hyperlink" Target="https://datosmacro.expansion.com/materias-primas/brent" TargetMode="External"/><Relationship Id="rId43" Type="http://schemas.openxmlformats.org/officeDocument/2006/relationships/image" Target="media/image18.png"/><Relationship Id="rId48" Type="http://schemas.openxmlformats.org/officeDocument/2006/relationships/hyperlink" Target="https://www.imf.org/es/Publications/FM/Issues/2023/04/03/fiscal-monitor-april-2023" TargetMode="External"/><Relationship Id="rId56" Type="http://schemas.openxmlformats.org/officeDocument/2006/relationships/hyperlink" Target="https://www.imf.org/en/About/executive-board/Article-IV" TargetMode="External"/><Relationship Id="rId64" Type="http://schemas.openxmlformats.org/officeDocument/2006/relationships/glossaryDocument" Target="glossary/document.xml"/><Relationship Id="rId8" Type="http://schemas.openxmlformats.org/officeDocument/2006/relationships/header" Target="header1.xml"/><Relationship Id="rId51" Type="http://schemas.openxmlformats.org/officeDocument/2006/relationships/hyperlink" Target="https://www.imf.org/en/Publications/WEO" TargetMode="Externa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image" Target="media/image3.png"/><Relationship Id="rId25" Type="http://schemas.openxmlformats.org/officeDocument/2006/relationships/image" Target="media/image9.png"/><Relationship Id="rId33" Type="http://schemas.openxmlformats.org/officeDocument/2006/relationships/hyperlink" Target="https://www.ecb.europa.eu/pub/annual/html/ecb.ar2022~8ae51d163b.es.html" TargetMode="External"/><Relationship Id="rId38" Type="http://schemas.openxmlformats.org/officeDocument/2006/relationships/image" Target="media/image15.png"/><Relationship Id="rId46" Type="http://schemas.openxmlformats.org/officeDocument/2006/relationships/hyperlink" Target="https://www.bankinter.com/blog/economia/leer-rating-agencias-calificacion-financiera" TargetMode="External"/><Relationship Id="rId59" Type="http://schemas.openxmlformats.org/officeDocument/2006/relationships/image" Target="media/image22.jpeg"/><Relationship Id="rId20" Type="http://schemas.openxmlformats.org/officeDocument/2006/relationships/hyperlink" Target="https://www.ecb.europa.eu/pub/annual/html/ecb.ar2022~8ae51d163b.es.html" TargetMode="External"/><Relationship Id="rId41" Type="http://schemas.openxmlformats.org/officeDocument/2006/relationships/image" Target="media/image17.png"/><Relationship Id="rId54" Type="http://schemas.openxmlformats.org/officeDocument/2006/relationships/hyperlink" Target="https://www.edx.org/es/course/programacion-y-politicas-financieras-parte-1-cue-2?index=spanish_product&amp;queryID=f2030%203e0020840b3a6e98cc7fbb05deb&amp;position=1" TargetMode="External"/><Relationship Id="rId62" Type="http://schemas.openxmlformats.org/officeDocument/2006/relationships/hyperlink" Target="https://youtu.be/uLitq_EK_IQ"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2.png"/><Relationship Id="rId23" Type="http://schemas.openxmlformats.org/officeDocument/2006/relationships/image" Target="media/image7.png"/><Relationship Id="rId28" Type="http://schemas.openxmlformats.org/officeDocument/2006/relationships/image" Target="media/image10.jpeg"/><Relationship Id="rId36" Type="http://schemas.openxmlformats.org/officeDocument/2006/relationships/hyperlink" Target="https://en.wikipedia.org/wiki/Triangle_model" TargetMode="External"/><Relationship Id="rId49" Type="http://schemas.openxmlformats.org/officeDocument/2006/relationships/hyperlink" Target="https://www.bde.es/wbe/es/publicaciones/informes-memorias-anuales/informe-anual/informe-anual-2023.html" TargetMode="External"/><Relationship Id="rId57" Type="http://schemas.openxmlformats.org/officeDocument/2006/relationships/hyperlink" Target="https://www.oecd.org/economic-outlook/" TargetMode="External"/><Relationship Id="rId10" Type="http://schemas.openxmlformats.org/officeDocument/2006/relationships/footer" Target="footer1.xml"/><Relationship Id="rId31" Type="http://schemas.openxmlformats.org/officeDocument/2006/relationships/image" Target="media/image12.png"/><Relationship Id="rId44" Type="http://schemas.openxmlformats.org/officeDocument/2006/relationships/hyperlink" Target="https://www.imf.org/es/Publications/FM/Issues/2023/04/03/fiscal-monitor-april-2023" TargetMode="External"/><Relationship Id="rId52" Type="http://schemas.openxmlformats.org/officeDocument/2006/relationships/hyperlink" Target="https://www.ecb.europa.eu/press/annual-reports-financial-statements/annual/html/ecb.ar2023~d033c21ac2.es.html" TargetMode="External"/><Relationship Id="rId60" Type="http://schemas.openxmlformats.org/officeDocument/2006/relationships/hyperlink" Target="https://twitter.com/MichaelKantro/status/1540673222043226112?s=20&amp;t=FxLrkmN87Z2OcPDbL2xG3Q" TargetMode="External"/><Relationship Id="rId65"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footer" Target="footer3.xml"/><Relationship Id="rId18" Type="http://schemas.openxmlformats.org/officeDocument/2006/relationships/hyperlink" Target="https://www.ecb.europa.eu/pub/annual/html/ecb.ar2022~8ae51d163b.es.html" TargetMode="External"/><Relationship Id="rId39" Type="http://schemas.openxmlformats.org/officeDocument/2006/relationships/image" Target="media/image16.png"/></Relationships>
</file>

<file path=word/_rels/footnotes.xml.rels><?xml version="1.0" encoding="UTF-8" standalone="yes"?>
<Relationships xmlns="http://schemas.openxmlformats.org/package/2006/relationships"><Relationship Id="rId3" Type="http://schemas.openxmlformats.org/officeDocument/2006/relationships/hyperlink" Target="https://www.ucm.es/data/cont/docs/518-2015-04-29-COSTE%20LABORAL%20UNITARIO.pdf" TargetMode="External"/><Relationship Id="rId2" Type="http://schemas.openxmlformats.org/officeDocument/2006/relationships/image" Target="media/image5.png"/><Relationship Id="rId1" Type="http://schemas.openxmlformats.org/officeDocument/2006/relationships/hyperlink" Target="https://www.economist.com/finance-and-economics/2008/12/30/diagnosing-depression" TargetMode="External"/><Relationship Id="rId6" Type="http://schemas.openxmlformats.org/officeDocument/2006/relationships/hyperlink" Target="https://ec.europa.eu/info/sites/default/files/2021_06_16_efb_assessment_of_euro_area_fiscal_stance_en.pdf" TargetMode="External"/><Relationship Id="rId5" Type="http://schemas.openxmlformats.org/officeDocument/2006/relationships/hyperlink" Target="https://www.ilo.org/employment/Informationresources/Publicinformation/articles/WCMS_730021/lang--en/index.htm" TargetMode="External"/><Relationship Id="rId4" Type="http://schemas.openxmlformats.org/officeDocument/2006/relationships/hyperlink" Target="http://www.levyinstitute.org/pubs/wp_651.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X533FD\Documents\Plantillas%20personalizadas%20de%20Office\2.%20Plantilla%20temas%20cortos.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8D7DA95A738479EB3A47185AA3258D8"/>
        <w:category>
          <w:name w:val="General"/>
          <w:gallery w:val="placeholder"/>
        </w:category>
        <w:types>
          <w:type w:val="bbPlcHdr"/>
        </w:types>
        <w:behaviors>
          <w:behavior w:val="content"/>
        </w:behaviors>
        <w:guid w:val="{F7058AFB-F30E-4AA3-9C10-1C89B8F39545}"/>
      </w:docPartPr>
      <w:docPartBody>
        <w:p w:rsidR="00C91B83" w:rsidRDefault="006D7D74">
          <w:r w:rsidRPr="001B5103">
            <w:rPr>
              <w:rStyle w:val="Textodelmarcadordeposicin"/>
            </w:rPr>
            <w:t>[Title]</w:t>
          </w:r>
        </w:p>
      </w:docPartBody>
    </w:docPart>
    <w:docPart>
      <w:docPartPr>
        <w:name w:val="0BF99800C1C6452D9ED1222E928850AF"/>
        <w:category>
          <w:name w:val="General"/>
          <w:gallery w:val="placeholder"/>
        </w:category>
        <w:types>
          <w:type w:val="bbPlcHdr"/>
        </w:types>
        <w:behaviors>
          <w:behavior w:val="content"/>
        </w:behaviors>
        <w:guid w:val="{FC30C68E-D1F4-46DB-8725-895A2696F738}"/>
      </w:docPartPr>
      <w:docPartBody>
        <w:p w:rsidR="003058B3" w:rsidRDefault="00797959" w:rsidP="00797959">
          <w:pPr>
            <w:pStyle w:val="0BF99800C1C6452D9ED1222E928850AF"/>
          </w:pPr>
          <w:r w:rsidRPr="00AA5B37">
            <w:rPr>
              <w:rStyle w:val="Textodelmarcadordeposicin"/>
            </w:rPr>
            <w:t>[Author]</w:t>
          </w:r>
        </w:p>
      </w:docPartBody>
    </w:docPart>
    <w:docPart>
      <w:docPartPr>
        <w:name w:val="5380399A303340219CB52D55D8D73287"/>
        <w:category>
          <w:name w:val="General"/>
          <w:gallery w:val="placeholder"/>
        </w:category>
        <w:types>
          <w:type w:val="bbPlcHdr"/>
        </w:types>
        <w:behaviors>
          <w:behavior w:val="content"/>
        </w:behaviors>
        <w:guid w:val="{B0850023-C96F-4D7E-A783-F9AC3B500242}"/>
      </w:docPartPr>
      <w:docPartBody>
        <w:p w:rsidR="00A6655A" w:rsidRDefault="00650BF0" w:rsidP="00650BF0">
          <w:pPr>
            <w:pStyle w:val="5380399A303340219CB52D55D8D73287"/>
          </w:pPr>
          <w:r w:rsidRPr="001B5103">
            <w:rPr>
              <w:rStyle w:val="Textodelmarcadordeposicin"/>
            </w:rPr>
            <w:t>[Title]</w:t>
          </w:r>
        </w:p>
      </w:docPartBody>
    </w:docPart>
    <w:docPart>
      <w:docPartPr>
        <w:name w:val="6B45CC43262C4CC9ABEECD0221D18D5E"/>
        <w:category>
          <w:name w:val="General"/>
          <w:gallery w:val="placeholder"/>
        </w:category>
        <w:types>
          <w:type w:val="bbPlcHdr"/>
        </w:types>
        <w:behaviors>
          <w:behavior w:val="content"/>
        </w:behaviors>
        <w:guid w:val="{A516AE73-02B2-4E28-BB15-31EE51C3D7CB}"/>
      </w:docPartPr>
      <w:docPartBody>
        <w:p w:rsidR="00A6655A" w:rsidRDefault="00650BF0" w:rsidP="00650BF0">
          <w:pPr>
            <w:pStyle w:val="6B45CC43262C4CC9ABEECD0221D18D5E"/>
          </w:pPr>
          <w:r w:rsidRPr="00AA5B37">
            <w:rPr>
              <w:rStyle w:val="Textodelmarcadordeposicin"/>
            </w:rPr>
            <w:t>[Author]</w:t>
          </w:r>
        </w:p>
      </w:docPartBody>
    </w:docPart>
    <w:docPart>
      <w:docPartPr>
        <w:name w:val="5F5BC4AF46414F9E8A0EEBCAA4AB9B2F"/>
        <w:category>
          <w:name w:val="General"/>
          <w:gallery w:val="placeholder"/>
        </w:category>
        <w:types>
          <w:type w:val="bbPlcHdr"/>
        </w:types>
        <w:behaviors>
          <w:behavior w:val="content"/>
        </w:behaviors>
        <w:guid w:val="{ABD953BA-49BB-4D6E-ADE8-0581A7ACF1C1}"/>
      </w:docPartPr>
      <w:docPartBody>
        <w:p w:rsidR="00A6655A" w:rsidRDefault="00650BF0" w:rsidP="00650BF0">
          <w:pPr>
            <w:pStyle w:val="5F5BC4AF46414F9E8A0EEBCAA4AB9B2F"/>
          </w:pPr>
          <w:r w:rsidRPr="001B5103">
            <w:rPr>
              <w:rStyle w:val="Textodelmarcadordeposicin"/>
            </w:rPr>
            <w:t>[Title]</w:t>
          </w:r>
        </w:p>
      </w:docPartBody>
    </w:docPart>
    <w:docPart>
      <w:docPartPr>
        <w:name w:val="B3990C0A4AE644D8B400EEF4E423A237"/>
        <w:category>
          <w:name w:val="General"/>
          <w:gallery w:val="placeholder"/>
        </w:category>
        <w:types>
          <w:type w:val="bbPlcHdr"/>
        </w:types>
        <w:behaviors>
          <w:behavior w:val="content"/>
        </w:behaviors>
        <w:guid w:val="{BFAC0274-B0C7-4809-B1D3-709425AA4962}"/>
      </w:docPartPr>
      <w:docPartBody>
        <w:p w:rsidR="00A6655A" w:rsidRDefault="00650BF0" w:rsidP="00650BF0">
          <w:pPr>
            <w:pStyle w:val="B3990C0A4AE644D8B400EEF4E423A237"/>
          </w:pPr>
          <w:r w:rsidRPr="00AA5B37">
            <w:rPr>
              <w:rStyle w:val="Textodelmarcadordeposicin"/>
            </w:rPr>
            <w:t>[Author]</w:t>
          </w:r>
        </w:p>
      </w:docPartBody>
    </w:docPart>
    <w:docPart>
      <w:docPartPr>
        <w:name w:val="F232D3E067704B75AE1A36B336C4D5EE"/>
        <w:category>
          <w:name w:val="General"/>
          <w:gallery w:val="placeholder"/>
        </w:category>
        <w:types>
          <w:type w:val="bbPlcHdr"/>
        </w:types>
        <w:behaviors>
          <w:behavior w:val="content"/>
        </w:behaviors>
        <w:guid w:val="{B242FFC4-163F-4A80-92F9-2A5B4C2A5F6A}"/>
      </w:docPartPr>
      <w:docPartBody>
        <w:p w:rsidR="00290484" w:rsidRDefault="000B07E6" w:rsidP="000B07E6">
          <w:pPr>
            <w:pStyle w:val="F232D3E067704B75AE1A36B336C4D5EE"/>
          </w:pPr>
          <w:r w:rsidRPr="001B5103">
            <w:rPr>
              <w:rStyle w:val="Textodelmarcadordeposicin"/>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Baskerville Old Face">
    <w:panose1 w:val="02020602080505020303"/>
    <w:charset w:val="00"/>
    <w:family w:val="roman"/>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7D74"/>
    <w:rsid w:val="000071C0"/>
    <w:rsid w:val="00023CD8"/>
    <w:rsid w:val="00046C11"/>
    <w:rsid w:val="000622BA"/>
    <w:rsid w:val="000B07E6"/>
    <w:rsid w:val="000C2FF3"/>
    <w:rsid w:val="000C3C60"/>
    <w:rsid w:val="000D4FA1"/>
    <w:rsid w:val="000F4A61"/>
    <w:rsid w:val="000F7CE5"/>
    <w:rsid w:val="00127544"/>
    <w:rsid w:val="00131B11"/>
    <w:rsid w:val="001410FF"/>
    <w:rsid w:val="00183A30"/>
    <w:rsid w:val="001870EE"/>
    <w:rsid w:val="00191DD4"/>
    <w:rsid w:val="001A152F"/>
    <w:rsid w:val="001C57CB"/>
    <w:rsid w:val="001F4983"/>
    <w:rsid w:val="001F7D10"/>
    <w:rsid w:val="002331FD"/>
    <w:rsid w:val="00240870"/>
    <w:rsid w:val="00253ACE"/>
    <w:rsid w:val="0028359B"/>
    <w:rsid w:val="00290484"/>
    <w:rsid w:val="002F74EB"/>
    <w:rsid w:val="003058B3"/>
    <w:rsid w:val="003338C6"/>
    <w:rsid w:val="003378D4"/>
    <w:rsid w:val="00387722"/>
    <w:rsid w:val="003A52FA"/>
    <w:rsid w:val="003B0EE4"/>
    <w:rsid w:val="003B6930"/>
    <w:rsid w:val="003E5DDB"/>
    <w:rsid w:val="00401FE8"/>
    <w:rsid w:val="004121BF"/>
    <w:rsid w:val="00442A10"/>
    <w:rsid w:val="0046264D"/>
    <w:rsid w:val="004638F3"/>
    <w:rsid w:val="00470E53"/>
    <w:rsid w:val="004711AA"/>
    <w:rsid w:val="004A6CBE"/>
    <w:rsid w:val="004B2D97"/>
    <w:rsid w:val="004D025D"/>
    <w:rsid w:val="004E2A7E"/>
    <w:rsid w:val="004F4E82"/>
    <w:rsid w:val="00533C65"/>
    <w:rsid w:val="00562A95"/>
    <w:rsid w:val="00582A80"/>
    <w:rsid w:val="00591DBF"/>
    <w:rsid w:val="005B46B9"/>
    <w:rsid w:val="005D1EA5"/>
    <w:rsid w:val="005F7286"/>
    <w:rsid w:val="006243C2"/>
    <w:rsid w:val="00625545"/>
    <w:rsid w:val="006325AF"/>
    <w:rsid w:val="00636929"/>
    <w:rsid w:val="00650BF0"/>
    <w:rsid w:val="006540A5"/>
    <w:rsid w:val="006706C6"/>
    <w:rsid w:val="00676B64"/>
    <w:rsid w:val="00683EC0"/>
    <w:rsid w:val="006A2E7C"/>
    <w:rsid w:val="006D13B0"/>
    <w:rsid w:val="006D7D74"/>
    <w:rsid w:val="007026D8"/>
    <w:rsid w:val="00741D4A"/>
    <w:rsid w:val="00750609"/>
    <w:rsid w:val="00752C88"/>
    <w:rsid w:val="00785758"/>
    <w:rsid w:val="00792CB9"/>
    <w:rsid w:val="00797959"/>
    <w:rsid w:val="007A1BF7"/>
    <w:rsid w:val="007F43B7"/>
    <w:rsid w:val="00805C23"/>
    <w:rsid w:val="008114AA"/>
    <w:rsid w:val="008174EA"/>
    <w:rsid w:val="00820623"/>
    <w:rsid w:val="008645D3"/>
    <w:rsid w:val="00866F53"/>
    <w:rsid w:val="00892FD5"/>
    <w:rsid w:val="008E08F7"/>
    <w:rsid w:val="00900BF3"/>
    <w:rsid w:val="009118C2"/>
    <w:rsid w:val="00934FBF"/>
    <w:rsid w:val="009516D5"/>
    <w:rsid w:val="00974605"/>
    <w:rsid w:val="00976CA3"/>
    <w:rsid w:val="00985908"/>
    <w:rsid w:val="009E570A"/>
    <w:rsid w:val="009F6EF3"/>
    <w:rsid w:val="00A01B77"/>
    <w:rsid w:val="00A06836"/>
    <w:rsid w:val="00A13390"/>
    <w:rsid w:val="00A204A1"/>
    <w:rsid w:val="00A23A43"/>
    <w:rsid w:val="00A42C16"/>
    <w:rsid w:val="00A4730D"/>
    <w:rsid w:val="00A63A36"/>
    <w:rsid w:val="00A6655A"/>
    <w:rsid w:val="00AA54D3"/>
    <w:rsid w:val="00AB035A"/>
    <w:rsid w:val="00AC32E2"/>
    <w:rsid w:val="00AE0D50"/>
    <w:rsid w:val="00AE470D"/>
    <w:rsid w:val="00B004B2"/>
    <w:rsid w:val="00B07B7A"/>
    <w:rsid w:val="00B20F3E"/>
    <w:rsid w:val="00B25D18"/>
    <w:rsid w:val="00B3785E"/>
    <w:rsid w:val="00B500EE"/>
    <w:rsid w:val="00B561E5"/>
    <w:rsid w:val="00B61DA1"/>
    <w:rsid w:val="00BB3E08"/>
    <w:rsid w:val="00BD3D91"/>
    <w:rsid w:val="00BE4AF8"/>
    <w:rsid w:val="00BF5F0A"/>
    <w:rsid w:val="00C04450"/>
    <w:rsid w:val="00C41BA1"/>
    <w:rsid w:val="00C67F76"/>
    <w:rsid w:val="00C825A6"/>
    <w:rsid w:val="00C91B83"/>
    <w:rsid w:val="00CB7542"/>
    <w:rsid w:val="00CC0926"/>
    <w:rsid w:val="00CD6E06"/>
    <w:rsid w:val="00D1778A"/>
    <w:rsid w:val="00D26CD3"/>
    <w:rsid w:val="00D270B3"/>
    <w:rsid w:val="00D35AD7"/>
    <w:rsid w:val="00D43FA8"/>
    <w:rsid w:val="00D5116C"/>
    <w:rsid w:val="00D62BEF"/>
    <w:rsid w:val="00D730D0"/>
    <w:rsid w:val="00D7397A"/>
    <w:rsid w:val="00DA2C5D"/>
    <w:rsid w:val="00DA4940"/>
    <w:rsid w:val="00DA5C76"/>
    <w:rsid w:val="00DB3718"/>
    <w:rsid w:val="00DB75C4"/>
    <w:rsid w:val="00DD7680"/>
    <w:rsid w:val="00DE7C55"/>
    <w:rsid w:val="00E706D2"/>
    <w:rsid w:val="00E90E5A"/>
    <w:rsid w:val="00E91F32"/>
    <w:rsid w:val="00EA5EBF"/>
    <w:rsid w:val="00EA73F8"/>
    <w:rsid w:val="00EB254C"/>
    <w:rsid w:val="00EE1342"/>
    <w:rsid w:val="00F2663D"/>
    <w:rsid w:val="00F47441"/>
    <w:rsid w:val="00F557EC"/>
    <w:rsid w:val="00F61223"/>
    <w:rsid w:val="00F645CD"/>
    <w:rsid w:val="00F66E77"/>
    <w:rsid w:val="00F70D4F"/>
    <w:rsid w:val="00F775F3"/>
    <w:rsid w:val="00F92E9B"/>
    <w:rsid w:val="00F96805"/>
    <w:rsid w:val="00FE05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7D74"/>
    <w:rPr>
      <w:rFonts w:cs="Times New Roman"/>
      <w:sz w:val="3276"/>
      <w:szCs w:val="327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8174EA"/>
    <w:rPr>
      <w:color w:val="808080"/>
    </w:rPr>
  </w:style>
  <w:style w:type="paragraph" w:customStyle="1" w:styleId="0BF99800C1C6452D9ED1222E928850AF">
    <w:name w:val="0BF99800C1C6452D9ED1222E928850AF"/>
    <w:rsid w:val="00797959"/>
  </w:style>
  <w:style w:type="paragraph" w:customStyle="1" w:styleId="5380399A303340219CB52D55D8D73287">
    <w:name w:val="5380399A303340219CB52D55D8D73287"/>
    <w:rsid w:val="00650BF0"/>
    <w:rPr>
      <w:lang w:val="es-ES" w:eastAsia="es-ES"/>
    </w:rPr>
  </w:style>
  <w:style w:type="paragraph" w:customStyle="1" w:styleId="6B45CC43262C4CC9ABEECD0221D18D5E">
    <w:name w:val="6B45CC43262C4CC9ABEECD0221D18D5E"/>
    <w:rsid w:val="00650BF0"/>
    <w:rPr>
      <w:lang w:val="es-ES" w:eastAsia="es-ES"/>
    </w:rPr>
  </w:style>
  <w:style w:type="paragraph" w:customStyle="1" w:styleId="5F5BC4AF46414F9E8A0EEBCAA4AB9B2F">
    <w:name w:val="5F5BC4AF46414F9E8A0EEBCAA4AB9B2F"/>
    <w:rsid w:val="00650BF0"/>
    <w:rPr>
      <w:lang w:val="es-ES" w:eastAsia="es-ES"/>
    </w:rPr>
  </w:style>
  <w:style w:type="paragraph" w:customStyle="1" w:styleId="B3990C0A4AE644D8B400EEF4E423A237">
    <w:name w:val="B3990C0A4AE644D8B400EEF4E423A237"/>
    <w:rsid w:val="00650BF0"/>
    <w:rPr>
      <w:lang w:val="es-ES" w:eastAsia="es-ES"/>
    </w:rPr>
  </w:style>
  <w:style w:type="paragraph" w:customStyle="1" w:styleId="F232D3E067704B75AE1A36B336C4D5EE">
    <w:name w:val="F232D3E067704B75AE1A36B336C4D5EE"/>
    <w:rsid w:val="000B07E6"/>
    <w:rPr>
      <w:lang w:val="es-ES" w:eastAsia="es-E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9C94C2-E3CB-40F1-93B0-EC8D268952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 Plantilla temas cortos</Template>
  <TotalTime>45460</TotalTime>
  <Pages>25</Pages>
  <Words>26633</Words>
  <Characters>146487</Characters>
  <Application>Microsoft Office Word</Application>
  <DocSecurity>0</DocSecurity>
  <Lines>1220</Lines>
  <Paragraphs>345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Esquema para el ejercicio de dictamen económico</vt:lpstr>
      <vt:lpstr>TEMA E.P.NN</vt:lpstr>
    </vt:vector>
  </TitlesOfParts>
  <Company/>
  <LinksUpToDate>false</LinksUpToDate>
  <CharactersWithSpaces>172775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Esquema para el ejercicio de dictamen económico</dc:title>
  <dc:subject/>
  <dc:creator>Víctor Gutiérrez Marcos</dc:creator>
  <cp:keywords/>
  <dc:description/>
  <cp:lastModifiedBy>Víctor Gutiérrez Marcos</cp:lastModifiedBy>
  <dcterms:created xsi:type="dcterms:W3CDTF">2020-11-20T08:30:00Z</dcterms:created>
  <dcterms:modified xsi:type="dcterms:W3CDTF">2025-01-29T22:48:00Z</dcterms:modified>
</cp:coreProperties>
</file>