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889144"/>
    <w:bookmarkStart w:id="1" w:name="_Hlk146182646"/>
    <w:bookmarkStart w:id="2" w:name="_Hlk146897767"/>
    <w:p w14:paraId="60D091D1" w14:textId="63384A94" w:rsidR="00F94CE1" w:rsidRDefault="00000000" w:rsidP="00F94CE1">
      <w:pPr>
        <w:pStyle w:val="Ttulo"/>
      </w:pPr>
      <w:sdt>
        <w:sdtPr>
          <w:rPr>
            <w:i/>
            <w:u w:val="single"/>
          </w:rPr>
          <w:alias w:val="Title"/>
          <w:tag w:val=""/>
          <w:id w:val="-780801520"/>
          <w:placeholder>
            <w:docPart w:val="67FB884E31DD41B3B910732B9358A4BD"/>
          </w:placeholder>
          <w:dataBinding w:prefixMappings="xmlns:ns0='http://purl.org/dc/elements/1.1/' xmlns:ns1='http://schemas.openxmlformats.org/package/2006/metadata/core-properties' " w:xpath="/ns1:coreProperties[1]/ns0:title[1]" w:storeItemID="{6C3C8BC8-F283-45AE-878A-BAB7291924A1}"/>
          <w:text/>
        </w:sdtPr>
        <w:sdtContent>
          <w:r w:rsidR="00F94CE1">
            <w:rPr>
              <w:i/>
              <w:u w:val="single"/>
            </w:rPr>
            <w:t>4.B.13</w:t>
          </w:r>
        </w:sdtContent>
      </w:sdt>
      <w:r w:rsidR="00F94CE1">
        <w:t xml:space="preserve"> :</w:t>
      </w:r>
      <w:r w:rsidR="00F94CE1" w:rsidRPr="004C0C34">
        <w:t xml:space="preserve"> </w:t>
      </w:r>
      <w:sdt>
        <w:sdtPr>
          <w:alias w:val="Subject"/>
          <w:tag w:val=""/>
          <w:id w:val="-1903059896"/>
          <w:placeholder>
            <w:docPart w:val="BF323F72084A4B3A98E380526D1904A8"/>
          </w:placeholder>
          <w:dataBinding w:prefixMappings="xmlns:ns0='http://purl.org/dc/elements/1.1/' xmlns:ns1='http://schemas.openxmlformats.org/package/2006/metadata/core-properties' " w:xpath="/ns1:coreProperties[1]/ns0:subject[1]" w:storeItemID="{6C3C8BC8-F283-45AE-878A-BAB7291924A1}"/>
          <w:text/>
        </w:sdtPr>
        <w:sdtContent>
          <w:r w:rsidR="00F94CE1">
            <w:t>Teoría de la imposición directa. Comparaciones internacionales</w:t>
          </w:r>
        </w:sdtContent>
      </w:sdt>
    </w:p>
    <w:bookmarkEnd w:id="0"/>
    <w:bookmarkEnd w:id="1"/>
    <w:p w14:paraId="7AF5E9BD" w14:textId="5CF51646" w:rsidR="00F94CE1" w:rsidRDefault="00F94CE1" w:rsidP="00F94CE1">
      <w:pPr>
        <w:pStyle w:val="Introduccinyconclusin"/>
      </w:pPr>
      <w:r>
        <w:t>INTRODUCCI</w:t>
      </w:r>
      <w:r w:rsidR="006072A5">
        <w:t>Ó</w:t>
      </w:r>
      <w:r>
        <w:t>N</w:t>
      </w:r>
    </w:p>
    <w:p w14:paraId="4714E01C" w14:textId="77777777" w:rsidR="00F94CE1" w:rsidRDefault="00F94CE1" w:rsidP="00F94CE1">
      <w:pPr>
        <w:pStyle w:val="Nivel1"/>
        <w:keepNext/>
        <w:spacing w:before="0" w:after="0"/>
      </w:pPr>
      <w:bookmarkStart w:id="3" w:name="_Hlk147820317"/>
      <w:bookmarkStart w:id="4" w:name="_Hlk146444314"/>
      <w:r>
        <w:rPr>
          <w:b/>
          <w:bCs/>
          <w:i/>
          <w:iCs/>
        </w:rPr>
        <w:t>Enganche</w:t>
      </w:r>
      <w:r>
        <w:t>:</w:t>
      </w:r>
    </w:p>
    <w:p w14:paraId="06E6741B" w14:textId="77777777" w:rsidR="00F94CE1" w:rsidRPr="008D01A5" w:rsidRDefault="00F94CE1" w:rsidP="00F94CE1">
      <w:pPr>
        <w:pStyle w:val="Nivel2"/>
        <w:keepNext/>
        <w:spacing w:after="0"/>
        <w:rPr>
          <w:rStyle w:val="Hipervnculo"/>
          <w:color w:val="auto"/>
        </w:rPr>
      </w:pPr>
      <w:bookmarkStart w:id="5"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5200F2CB" w14:textId="77777777" w:rsidR="00F94CE1" w:rsidRPr="008D01A5" w:rsidRDefault="00F94CE1" w:rsidP="00F94CE1">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6" w:name="_Hlk99365893"/>
      <w:r w:rsidRPr="008D01A5">
        <w:rPr>
          <w:rStyle w:val="Refdenotaalpie"/>
        </w:rPr>
        <w:footnoteReference w:id="2"/>
      </w:r>
      <w:bookmarkEnd w:id="6"/>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5"/>
    <w:p w14:paraId="096F3E6D" w14:textId="77777777" w:rsidR="00F94CE1" w:rsidRPr="00492C10" w:rsidRDefault="00F94CE1" w:rsidP="00F94CE1">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0BBA8590" w14:textId="77777777" w:rsidR="00F94CE1" w:rsidRPr="002A08C4" w:rsidRDefault="00F94CE1" w:rsidP="00F94CE1">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0DA28E01" w14:textId="77777777" w:rsidR="00F94CE1" w:rsidRDefault="00F94CE1" w:rsidP="00F94CE1">
      <w:pPr>
        <w:pStyle w:val="Nivel2"/>
        <w:keepNext/>
        <w:spacing w:after="0"/>
      </w:pPr>
      <w:r>
        <w:t xml:space="preserve">La </w:t>
      </w:r>
      <w:r>
        <w:rPr>
          <w:b/>
          <w:bCs/>
        </w:rPr>
        <w:t>economía del bienestar</w:t>
      </w:r>
      <w:r>
        <w:t xml:space="preserve"> está ligada a este enfoque normativo.</w:t>
      </w:r>
    </w:p>
    <w:p w14:paraId="302E61AE" w14:textId="77777777" w:rsidR="00F94CE1" w:rsidRDefault="00F94CE1" w:rsidP="00F94CE1">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7E661537" w14:textId="77777777" w:rsidR="00F94CE1" w:rsidRDefault="00F94CE1" w:rsidP="00F94CE1">
      <w:pPr>
        <w:pStyle w:val="Letra"/>
        <w:spacing w:after="0"/>
        <w:ind w:left="1843"/>
      </w:pPr>
      <w:r w:rsidRPr="00176868">
        <w:rPr>
          <w:i/>
        </w:rPr>
        <w:t>Proporcionar</w:t>
      </w:r>
      <w:r>
        <w:t xml:space="preserve"> </w:t>
      </w:r>
      <w:r w:rsidRPr="00176868">
        <w:rPr>
          <w:i/>
        </w:rPr>
        <w:t>instrumentos para valorar</w:t>
      </w:r>
      <w:r w:rsidRPr="00176868">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2D48EA59" w14:textId="77777777" w:rsidR="00F94CE1" w:rsidRDefault="00F94CE1" w:rsidP="00F94CE1">
      <w:pPr>
        <w:pStyle w:val="Letra"/>
        <w:spacing w:after="0"/>
        <w:ind w:left="1843"/>
      </w:pPr>
      <w:r w:rsidRPr="00176868">
        <w:rPr>
          <w:i/>
          <w:iCs/>
        </w:rPr>
        <w:t>Proporcionar normas de política económica</w:t>
      </w:r>
      <w:r w:rsidRPr="00176868">
        <w:rPr>
          <w:i/>
        </w:rPr>
        <w:t xml:space="preserve"> </w:t>
      </w:r>
      <w:r w:rsidRPr="00176868">
        <w:rPr>
          <w:iCs/>
        </w:rPr>
        <w:t>que permitan</w:t>
      </w:r>
      <w:r w:rsidRPr="00AB25E7">
        <w:t xml:space="preserve"> maximizar</w:t>
      </w:r>
      <w:r>
        <w:t xml:space="preserve"> el bienestar social (alcanzar el estado o estados realizables socialmente más preferidos).</w:t>
      </w:r>
    </w:p>
    <w:p w14:paraId="61532C7A" w14:textId="77777777" w:rsidR="00F94CE1" w:rsidRDefault="00F94CE1" w:rsidP="00F94CE1">
      <w:pPr>
        <w:pStyle w:val="Nivel1"/>
        <w:keepNext/>
        <w:spacing w:after="0"/>
      </w:pPr>
      <w:r>
        <w:rPr>
          <w:b/>
          <w:bCs/>
          <w:i/>
          <w:iCs/>
        </w:rPr>
        <w:t>Relevancia</w:t>
      </w:r>
      <w:r>
        <w:t>:</w:t>
      </w:r>
    </w:p>
    <w:p w14:paraId="4EDE1D7C" w14:textId="77777777" w:rsidR="00F94CE1" w:rsidRDefault="00F94CE1" w:rsidP="00F94CE1">
      <w:pPr>
        <w:pStyle w:val="Nivel2"/>
        <w:keepNext/>
        <w:spacing w:after="0"/>
      </w:pPr>
      <w:r w:rsidRPr="00516674">
        <w:t>La comparación de diferentes alternativas es algo vital, ya que nos permite</w:t>
      </w:r>
      <w:r>
        <w:t>:</w:t>
      </w:r>
    </w:p>
    <w:p w14:paraId="3A1DFDBB" w14:textId="77777777" w:rsidR="00F94CE1" w:rsidRPr="002A08C4" w:rsidRDefault="00F94CE1" w:rsidP="00F94CE1">
      <w:pPr>
        <w:pStyle w:val="Nivel3"/>
        <w:rPr>
          <w:spacing w:val="-1"/>
        </w:rPr>
      </w:pPr>
      <w:r w:rsidRPr="002A08C4">
        <w:rPr>
          <w:spacing w:val="-1"/>
        </w:rPr>
        <w:t>Por un lado, valorar si el resultado al que conduce un sistema económico es apropiado o mejorable.</w:t>
      </w:r>
    </w:p>
    <w:p w14:paraId="2B9BC70D" w14:textId="77777777" w:rsidR="00F94CE1" w:rsidRPr="002A08C4" w:rsidRDefault="00F94CE1" w:rsidP="00F94CE1">
      <w:pPr>
        <w:pStyle w:val="Nivel3"/>
        <w:rPr>
          <w:spacing w:val="-5"/>
        </w:rPr>
      </w:pPr>
      <w:r w:rsidRPr="002A08C4">
        <w:rPr>
          <w:spacing w:val="-5"/>
        </w:rPr>
        <w:t>Por otro lado, valorar si una política económica que cambie la situación inicial es deseable.</w:t>
      </w:r>
    </w:p>
    <w:p w14:paraId="12300894" w14:textId="77777777" w:rsidR="00F94CE1" w:rsidRDefault="00F94CE1" w:rsidP="00F94CE1">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57C5DAD9" w14:textId="77777777" w:rsidR="00F94CE1" w:rsidRDefault="00F94CE1" w:rsidP="00F94CE1">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p w14:paraId="5C69A2CD" w14:textId="77777777" w:rsidR="00F94CE1" w:rsidRDefault="00F94CE1" w:rsidP="00F94CE1">
      <w:pPr>
        <w:pStyle w:val="Nivel1"/>
        <w:keepNext/>
        <w:spacing w:after="0"/>
      </w:pPr>
      <w:r>
        <w:rPr>
          <w:b/>
          <w:bCs/>
          <w:i/>
          <w:iCs/>
        </w:rPr>
        <w:t>Contextualización</w:t>
      </w:r>
      <w:r>
        <w:t>:</w:t>
      </w:r>
    </w:p>
    <w:p w14:paraId="7CF055EC" w14:textId="77777777" w:rsidR="00CF555A" w:rsidRDefault="00CF555A" w:rsidP="00CF555A">
      <w:pPr>
        <w:pStyle w:val="Nivel2"/>
        <w:keepNext/>
        <w:spacing w:after="0"/>
      </w:pPr>
      <w:r>
        <w:rPr>
          <w:lang w:eastAsia="zh-CN" w:bidi="hi-IN"/>
        </w:rPr>
        <w:t>Y es que las economías actuales son de carácter mixto, no sólo rige el principio de mercado sino también una intervención pública cuya magnitud varía entre los distintos países.</w:t>
      </w:r>
    </w:p>
    <w:p w14:paraId="5B9788DC" w14:textId="7F00D3E4" w:rsidR="00F94CE1" w:rsidRDefault="00F94CE1" w:rsidP="00CF555A">
      <w:pPr>
        <w:pStyle w:val="Nivel3"/>
      </w:pPr>
      <w:r w:rsidRPr="00FE0B31">
        <w:rPr>
          <w:lang w:eastAsia="zh-CN" w:bidi="hi-IN"/>
        </w:rPr>
        <w:t xml:space="preserve">La rama de la teoría económica que estudia </w:t>
      </w:r>
      <w:r w:rsidRPr="009477A5">
        <w:rPr>
          <w:lang w:eastAsia="zh-CN" w:bidi="hi-IN"/>
        </w:rPr>
        <w:t xml:space="preserve">la intervención del </w:t>
      </w:r>
      <w:r w:rsidR="00CF555A">
        <w:rPr>
          <w:lang w:eastAsia="zh-CN" w:bidi="hi-IN"/>
        </w:rPr>
        <w:t>sector público</w:t>
      </w:r>
      <w:r w:rsidRPr="009477A5">
        <w:rPr>
          <w:lang w:eastAsia="zh-CN" w:bidi="hi-IN"/>
        </w:rPr>
        <w:t xml:space="preserve"> en la economía</w:t>
      </w:r>
      <w:r w:rsidR="003C5787">
        <w:rPr>
          <w:lang w:eastAsia="zh-CN" w:bidi="hi-IN"/>
        </w:rPr>
        <w:t xml:space="preserve"> y</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5F6A3976" w14:textId="7CB5BB10" w:rsidR="00F94CE1" w:rsidRDefault="003C5787" w:rsidP="00F94CE1">
      <w:pPr>
        <w:pStyle w:val="Nivel2"/>
        <w:keepNext/>
        <w:spacing w:after="0"/>
      </w:pPr>
      <w:r>
        <w:rPr>
          <w:rFonts w:eastAsia="SimSun"/>
          <w:kern w:val="3"/>
          <w:lang w:eastAsia="zh-CN" w:bidi="hi-IN"/>
        </w:rPr>
        <w:t>Y es que, f</w:t>
      </w:r>
      <w:r w:rsidR="00F94CE1" w:rsidRPr="00FE0B31">
        <w:rPr>
          <w:rFonts w:eastAsia="SimSun"/>
          <w:kern w:val="3"/>
          <w:lang w:eastAsia="zh-CN" w:bidi="hi-IN"/>
        </w:rPr>
        <w:t xml:space="preserve">rente al </w:t>
      </w:r>
      <w:r w:rsidR="00F94CE1" w:rsidRPr="003C5787">
        <w:rPr>
          <w:rFonts w:eastAsia="SimSun"/>
          <w:i/>
          <w:iCs/>
          <w:kern w:val="3"/>
          <w:lang w:eastAsia="zh-CN" w:bidi="hi-IN"/>
        </w:rPr>
        <w:t>laissez faire</w:t>
      </w:r>
      <w:r w:rsidR="00F94CE1" w:rsidRPr="00FE0B31">
        <w:rPr>
          <w:rFonts w:eastAsia="SimSun"/>
          <w:kern w:val="3"/>
          <w:lang w:eastAsia="zh-CN" w:bidi="hi-IN"/>
        </w:rPr>
        <w:t xml:space="preserve"> propugnado por los clásicos, la Economía del Bienestar abre la puerta a la intervención pública en la economía para corregir aquellas situaciones en las que el mercado no funciona de forma adecuada.</w:t>
      </w:r>
      <w:r w:rsidR="00F94CE1">
        <w:rPr>
          <w:rFonts w:eastAsia="SimSun"/>
          <w:kern w:val="3"/>
          <w:lang w:eastAsia="zh-CN" w:bidi="hi-IN"/>
        </w:rPr>
        <w:t xml:space="preserve"> </w:t>
      </w:r>
      <w:r>
        <w:rPr>
          <w:rFonts w:eastAsia="SimSun"/>
          <w:kern w:val="3"/>
          <w:lang w:eastAsia="zh-CN" w:bidi="hi-IN"/>
        </w:rPr>
        <w:t xml:space="preserve">Así, podemos entender el </w:t>
      </w:r>
      <w:r w:rsidRPr="008C3B65">
        <w:rPr>
          <w:rFonts w:eastAsia="SimSun"/>
          <w:b/>
          <w:bCs/>
          <w:kern w:val="3"/>
          <w:lang w:eastAsia="zh-CN" w:bidi="hi-IN"/>
        </w:rPr>
        <w:t>sector público</w:t>
      </w:r>
      <w:r>
        <w:rPr>
          <w:rFonts w:eastAsia="SimSun"/>
          <w:kern w:val="3"/>
          <w:lang w:eastAsia="zh-CN" w:bidi="hi-IN"/>
        </w:rPr>
        <w:t xml:space="preserve"> como un agente económico cuya intervención en una sociedad de mercado, además de proveer un </w:t>
      </w:r>
      <w:r w:rsidRPr="008C3B65">
        <w:rPr>
          <w:rFonts w:eastAsia="SimSun"/>
          <w:i/>
          <w:iCs/>
          <w:kern w:val="3"/>
          <w:lang w:eastAsia="zh-CN" w:bidi="hi-IN"/>
        </w:rPr>
        <w:t>marco básico donde tiene lugar la actividad económica</w:t>
      </w:r>
      <w:r>
        <w:rPr>
          <w:rFonts w:eastAsia="SimSun"/>
          <w:kern w:val="3"/>
          <w:lang w:eastAsia="zh-CN" w:bidi="hi-IN"/>
        </w:rPr>
        <w:t xml:space="preserve">, se justifica, </w:t>
      </w:r>
      <w:r>
        <w:t xml:space="preserve">siguiendo a </w:t>
      </w:r>
      <w:r w:rsidR="00F94CE1" w:rsidRPr="006B58CD">
        <w:rPr>
          <w:smallCaps/>
        </w:rPr>
        <w:t>Musgrave</w:t>
      </w:r>
      <w:r w:rsidR="00F94CE1">
        <w:t xml:space="preserve"> en base a </w:t>
      </w:r>
      <w:r>
        <w:t>3 </w:t>
      </w:r>
      <w:r w:rsidR="00F94CE1">
        <w:t xml:space="preserve">motivos principales que originan a su vez las </w:t>
      </w:r>
      <w:r w:rsidR="00F94CE1" w:rsidRPr="00487BD2">
        <w:rPr>
          <w:b/>
          <w:bCs/>
        </w:rPr>
        <w:t>3 principales funciones del sector público</w:t>
      </w:r>
      <w:r w:rsidR="00F94CE1">
        <w:t>:</w:t>
      </w:r>
    </w:p>
    <w:p w14:paraId="092B4008" w14:textId="77777777" w:rsidR="00F94CE1" w:rsidRDefault="00F94CE1" w:rsidP="00734DC7">
      <w:pPr>
        <w:pStyle w:val="Prrafodelista"/>
        <w:keepNext/>
        <w:numPr>
          <w:ilvl w:val="0"/>
          <w:numId w:val="11"/>
        </w:numPr>
        <w:spacing w:after="0"/>
        <w:ind w:left="1702" w:hanging="284"/>
      </w:pPr>
      <w:r w:rsidRPr="00A31374">
        <w:rPr>
          <w:i/>
          <w:iCs/>
          <w:u w:val="single"/>
        </w:rPr>
        <w:t>Motivos de eficiencia</w:t>
      </w:r>
      <w:r>
        <w:t>: P</w:t>
      </w:r>
      <w:r w:rsidRPr="00FE0B31">
        <w:t xml:space="preserve">ara corregir fallos de mercado como la existencia de externalidades, bienes públicos, </w:t>
      </w:r>
      <w:proofErr w:type="gramStart"/>
      <w:r w:rsidRPr="00FE0B31">
        <w:t>información imperfecta o competencia imperfecta</w:t>
      </w:r>
      <w:proofErr w:type="gramEnd"/>
      <w:r>
        <w:t xml:space="preserve">. Es decir, en ejercicio de la </w:t>
      </w:r>
      <w:r>
        <w:rPr>
          <w:i/>
          <w:iCs/>
        </w:rPr>
        <w:t>función asignativa</w:t>
      </w:r>
      <w:r>
        <w:t>.</w:t>
      </w:r>
    </w:p>
    <w:p w14:paraId="5B44366A" w14:textId="77777777" w:rsidR="00F94CE1" w:rsidRPr="00FE0B31" w:rsidRDefault="00F94CE1" w:rsidP="00734DC7">
      <w:pPr>
        <w:pStyle w:val="Prrafodelista"/>
        <w:keepNext/>
        <w:numPr>
          <w:ilvl w:val="0"/>
          <w:numId w:val="11"/>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62E87399" w14:textId="77777777" w:rsidR="00F94CE1" w:rsidRPr="006072A5" w:rsidRDefault="00F94CE1" w:rsidP="00734DC7">
      <w:pPr>
        <w:pStyle w:val="Prrafodelista"/>
        <w:keepNext/>
        <w:numPr>
          <w:ilvl w:val="0"/>
          <w:numId w:val="11"/>
        </w:numPr>
        <w:spacing w:after="0"/>
        <w:ind w:left="1702" w:hanging="284"/>
        <w:rPr>
          <w:spacing w:val="-4"/>
        </w:rPr>
      </w:pPr>
      <w:r w:rsidRPr="006072A5">
        <w:rPr>
          <w:i/>
          <w:iCs/>
          <w:spacing w:val="-4"/>
          <w:u w:val="single"/>
        </w:rPr>
        <w:t>Motivos de estabilización</w:t>
      </w:r>
      <w:r w:rsidRPr="006072A5">
        <w:rPr>
          <w:spacing w:val="-4"/>
        </w:rPr>
        <w:t>: Para conseguir una senda de crecimiento estable y reducir las fluctuaciones cíclicas de la economía. Es decir, en ejercicio de la función estabilizadora.</w:t>
      </w:r>
    </w:p>
    <w:p w14:paraId="0AA78E6D" w14:textId="77777777" w:rsidR="00F94CE1" w:rsidRDefault="00F94CE1" w:rsidP="00F94CE1">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590F96E8" w14:textId="77777777" w:rsidR="00F94CE1" w:rsidRDefault="00F94CE1" w:rsidP="00F94CE1">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461D1BAC" w14:textId="77777777" w:rsidR="00F94CE1" w:rsidRDefault="00F94CE1" w:rsidP="00F94CE1">
      <w:pPr>
        <w:pStyle w:val="Nivel2"/>
        <w:keepNext/>
        <w:spacing w:after="0"/>
      </w:pPr>
      <w:r>
        <w:t>Para conseguir sus objetivos de eficiencia, equidad y estabilización el sector público actúa básicamente de 2 formas:</w:t>
      </w:r>
    </w:p>
    <w:p w14:paraId="65BB63B5" w14:textId="77777777" w:rsidR="00F94CE1" w:rsidRDefault="00F94CE1" w:rsidP="00F94CE1">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60ED08DE" w14:textId="77777777" w:rsidR="00F94CE1" w:rsidRPr="001742A5" w:rsidRDefault="00F94CE1" w:rsidP="00F94CE1">
      <w:pPr>
        <w:pStyle w:val="Nivel3"/>
        <w:keepNext/>
      </w:pPr>
      <w:r w:rsidRPr="000A6812">
        <w:rPr>
          <w:i/>
          <w:iCs/>
        </w:rPr>
        <w:t>Actividades financieras</w:t>
      </w:r>
      <w:r>
        <w:t>:</w:t>
      </w:r>
    </w:p>
    <w:p w14:paraId="007A1EFE" w14:textId="77777777" w:rsidR="00F94CE1" w:rsidRDefault="00F94CE1" w:rsidP="00F94CE1">
      <w:pPr>
        <w:pStyle w:val="Nivel4"/>
      </w:pPr>
      <w:r>
        <w:t>La realización de gastos asociados a las funciones del sector público.</w:t>
      </w:r>
    </w:p>
    <w:p w14:paraId="6803B0CA" w14:textId="77777777" w:rsidR="00F94CE1" w:rsidRDefault="00F94CE1" w:rsidP="00F94CE1">
      <w:pPr>
        <w:pStyle w:val="Nivel4"/>
      </w:pPr>
      <w:r>
        <w:t>La obtención de los ingresos necesarios para hacer frente a esos gastos.</w:t>
      </w:r>
    </w:p>
    <w:bookmarkEnd w:id="3"/>
    <w:p w14:paraId="7252AF88" w14:textId="23FC25EA" w:rsidR="00734DC7" w:rsidRDefault="00944DAF" w:rsidP="00944DAF">
      <w:pPr>
        <w:pStyle w:val="Nivel2"/>
      </w:pPr>
      <w:r>
        <w:t>En</w:t>
      </w:r>
      <w:r w:rsidR="00734DC7">
        <w:t xml:space="preserve"> esta exposición nos vamos a centrar en una de las 2 caras del presupuesto: los </w:t>
      </w:r>
      <w:r w:rsidR="00734DC7">
        <w:rPr>
          <w:b/>
          <w:bCs/>
        </w:rPr>
        <w:t>ingresos públicos</w:t>
      </w:r>
      <w:r w:rsidR="00734DC7">
        <w:t xml:space="preserve">. En particular, los ingresos públicos pueden ser de muy variado tipo </w:t>
      </w:r>
      <w:r w:rsidR="00734DC7" w:rsidRPr="00734DC7">
        <w:rPr>
          <w:color w:val="767171" w:themeColor="background2" w:themeShade="80"/>
          <w:sz w:val="19"/>
          <w:szCs w:val="19"/>
        </w:rPr>
        <w:t>[</w:t>
      </w:r>
      <w:r w:rsidR="00734DC7">
        <w:rPr>
          <w:color w:val="767171" w:themeColor="background2" w:themeShade="80"/>
          <w:sz w:val="19"/>
          <w:szCs w:val="19"/>
        </w:rPr>
        <w:t>ver tema 4.B.8</w:t>
      </w:r>
      <w:r w:rsidR="00734DC7" w:rsidRPr="00734DC7">
        <w:rPr>
          <w:color w:val="767171" w:themeColor="background2" w:themeShade="80"/>
          <w:sz w:val="19"/>
          <w:szCs w:val="19"/>
        </w:rPr>
        <w:t>]</w:t>
      </w:r>
      <w:r w:rsidR="00734DC7">
        <w:t xml:space="preserve">. No obstante, una categoría resalta por encima de todas las demás: los </w:t>
      </w:r>
      <w:r w:rsidR="00734DC7">
        <w:rPr>
          <w:b/>
          <w:bCs/>
        </w:rPr>
        <w:t>impuestos</w:t>
      </w:r>
      <w:r w:rsidR="00734DC7">
        <w:t>.</w:t>
      </w:r>
    </w:p>
    <w:p w14:paraId="70A23044" w14:textId="77777777" w:rsidR="00F94CE1" w:rsidRDefault="00F94CE1" w:rsidP="00F94CE1">
      <w:pPr>
        <w:pStyle w:val="Nivel1"/>
        <w:keepNext/>
        <w:spacing w:after="0"/>
      </w:pPr>
      <w:r>
        <w:rPr>
          <w:b/>
          <w:bCs/>
          <w:i/>
          <w:iCs/>
        </w:rPr>
        <w:t>Problemática</w:t>
      </w:r>
      <w:r>
        <w:t>:</w:t>
      </w:r>
    </w:p>
    <w:p w14:paraId="192281D0" w14:textId="5B109995" w:rsidR="00F94CE1" w:rsidRDefault="00F94CE1" w:rsidP="00F94CE1">
      <w:pPr>
        <w:pStyle w:val="Nivel2"/>
      </w:pPr>
      <w:r>
        <w:t xml:space="preserve">El objetivo de esta exposición será llevar a cabo un análisis algo más en profundidad de los impuestos </w:t>
      </w:r>
      <w:r w:rsidRPr="00AF672D">
        <w:rPr>
          <w:sz w:val="19"/>
          <w:szCs w:val="19"/>
        </w:rPr>
        <w:t>(cuya relevancia se refleja en un dato: suponen entorno al 90 % de los ingresos para países de la OCDE)</w:t>
      </w:r>
      <w:r>
        <w:t xml:space="preserve"> y concretamente la imposición directa, que incluye aquellos instrumentos que gravan la capacidad económica del sujeto pasivo.</w:t>
      </w:r>
    </w:p>
    <w:p w14:paraId="5BDACB9F" w14:textId="77777777" w:rsidR="00F94CE1" w:rsidRDefault="00F94CE1" w:rsidP="00F94CE1">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F94CE1" w14:paraId="0E600B3F" w14:textId="77777777" w:rsidTr="009049D0">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cPr>
          <w:p w14:paraId="15EFC3E3" w14:textId="77777777" w:rsidR="006072A5" w:rsidRDefault="006072A5">
            <w:pPr>
              <w:pStyle w:val="TDC1"/>
              <w:rPr>
                <w:rFonts w:asciiTheme="minorHAnsi" w:eastAsiaTheme="minorEastAsia" w:hAnsiTheme="minorHAnsi"/>
                <w:b w:val="0"/>
                <w:caps w:val="0"/>
                <w:color w:val="auto"/>
                <w:kern w:val="2"/>
                <w:sz w:val="24"/>
                <w:szCs w:val="24"/>
                <w:lang w:eastAsia="es-ES"/>
                <w14:ligatures w14:val="standardContextual"/>
              </w:rPr>
            </w:pPr>
            <w:hyperlink w:anchor="_Toc219417468" w:history="1">
              <w:r w:rsidRPr="00870E0C">
                <w:rPr>
                  <w:rStyle w:val="Hipervnculo"/>
                </w:rPr>
                <w:t>0.</w:t>
              </w:r>
              <w:r>
                <w:rPr>
                  <w:rFonts w:asciiTheme="minorHAnsi" w:eastAsiaTheme="minorEastAsia" w:hAnsiTheme="minorHAnsi"/>
                  <w:b w:val="0"/>
                  <w:caps w:val="0"/>
                  <w:color w:val="auto"/>
                  <w:kern w:val="2"/>
                  <w:sz w:val="24"/>
                  <w:szCs w:val="24"/>
                  <w:lang w:eastAsia="es-ES"/>
                  <w14:ligatures w14:val="standardContextual"/>
                </w:rPr>
                <w:tab/>
              </w:r>
              <w:r w:rsidRPr="00870E0C">
                <w:rPr>
                  <w:rStyle w:val="Hipervnculo"/>
                </w:rPr>
                <w:t>RASGOS GENERALES DE LA IMPOSICIÓN DIRECTA</w:t>
              </w:r>
            </w:hyperlink>
          </w:p>
          <w:p w14:paraId="2A3A9AB5"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69" w:history="1">
              <w:r w:rsidRPr="00870E0C">
                <w:rPr>
                  <w:rStyle w:val="Hipervnculo"/>
                </w:rPr>
                <w:t>0.1.</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Clasificación de los tributos</w:t>
              </w:r>
            </w:hyperlink>
          </w:p>
          <w:p w14:paraId="254DD0EC"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70" w:history="1">
              <w:r w:rsidRPr="00870E0C">
                <w:rPr>
                  <w:rStyle w:val="Hipervnculo"/>
                </w:rPr>
                <w:t>0.2.</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Características de los impuestos directos</w:t>
              </w:r>
            </w:hyperlink>
          </w:p>
          <w:p w14:paraId="3554A5EE"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71" w:history="1">
              <w:r w:rsidRPr="00870E0C">
                <w:rPr>
                  <w:rStyle w:val="Hipervnculo"/>
                </w:rPr>
                <w:t>0.3.</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Clasificación de los impuestos directos en el SEC-2010</w:t>
              </w:r>
            </w:hyperlink>
          </w:p>
          <w:p w14:paraId="0B6E7E25"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72" w:history="1">
              <w:r w:rsidRPr="00870E0C">
                <w:rPr>
                  <w:rStyle w:val="Hipervnculo"/>
                </w:rPr>
                <w:t>0.4.</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Teoría de la imposición directa</w:t>
              </w:r>
            </w:hyperlink>
          </w:p>
          <w:p w14:paraId="28EA0D63" w14:textId="77777777" w:rsidR="006072A5" w:rsidRDefault="006072A5">
            <w:pPr>
              <w:pStyle w:val="TDC1"/>
              <w:rPr>
                <w:rFonts w:asciiTheme="minorHAnsi" w:eastAsiaTheme="minorEastAsia" w:hAnsiTheme="minorHAnsi"/>
                <w:b w:val="0"/>
                <w:caps w:val="0"/>
                <w:color w:val="auto"/>
                <w:kern w:val="2"/>
                <w:sz w:val="24"/>
                <w:szCs w:val="24"/>
                <w:lang w:eastAsia="es-ES"/>
                <w14:ligatures w14:val="standardContextual"/>
              </w:rPr>
            </w:pPr>
            <w:hyperlink w:anchor="_Toc219417473" w:history="1">
              <w:r w:rsidRPr="00870E0C">
                <w:rPr>
                  <w:rStyle w:val="Hipervnculo"/>
                </w:rPr>
                <w:t>1.</w:t>
              </w:r>
              <w:r>
                <w:rPr>
                  <w:rFonts w:asciiTheme="minorHAnsi" w:eastAsiaTheme="minorEastAsia" w:hAnsiTheme="minorHAnsi"/>
                  <w:b w:val="0"/>
                  <w:caps w:val="0"/>
                  <w:color w:val="auto"/>
                  <w:kern w:val="2"/>
                  <w:sz w:val="24"/>
                  <w:szCs w:val="24"/>
                  <w:lang w:eastAsia="es-ES"/>
                  <w14:ligatures w14:val="standardContextual"/>
                </w:rPr>
                <w:tab/>
              </w:r>
              <w:r w:rsidRPr="00870E0C">
                <w:rPr>
                  <w:rStyle w:val="Hipervnculo"/>
                </w:rPr>
                <w:t>IMPUESTO SOBRE LA RENTA DE LOS HOGARES: IMPUESTO SOBRE LA RENTA DE PERSONAS FÍSICAS (IRPF)</w:t>
              </w:r>
            </w:hyperlink>
          </w:p>
          <w:p w14:paraId="36104E6E"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74" w:history="1">
              <w:r w:rsidRPr="00870E0C">
                <w:rPr>
                  <w:rStyle w:val="Hipervnculo"/>
                </w:rPr>
                <w:t>1.1.</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Aspectos generales</w:t>
              </w:r>
            </w:hyperlink>
          </w:p>
          <w:p w14:paraId="2A9DA608"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75" w:history="1">
              <w:r w:rsidRPr="00870E0C">
                <w:rPr>
                  <w:rStyle w:val="Hipervnculo"/>
                </w:rPr>
                <w:t>1.2.</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Liquidación del IRPF</w:t>
              </w:r>
            </w:hyperlink>
          </w:p>
          <w:p w14:paraId="7CF75319"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76" w:history="1">
              <w:r w:rsidRPr="00870E0C">
                <w:rPr>
                  <w:rStyle w:val="Hipervnculo"/>
                  <w:noProof/>
                </w:rPr>
                <w:t>1.2.0.</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Esquema básico de liquidación del IRPF</w:t>
              </w:r>
            </w:hyperlink>
          </w:p>
          <w:p w14:paraId="373BF040"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77" w:history="1">
              <w:r w:rsidRPr="00870E0C">
                <w:rPr>
                  <w:rStyle w:val="Hipervnculo"/>
                  <w:noProof/>
                </w:rPr>
                <w:t>1.2.1.</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Base imponible</w:t>
              </w:r>
            </w:hyperlink>
          </w:p>
          <w:p w14:paraId="117C9EFF"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78" w:history="1">
              <w:r w:rsidRPr="00870E0C">
                <w:rPr>
                  <w:rStyle w:val="Hipervnculo"/>
                  <w:noProof/>
                </w:rPr>
                <w:t>1.2.2.</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Base liquidable</w:t>
              </w:r>
            </w:hyperlink>
          </w:p>
          <w:p w14:paraId="74EC44A5"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79" w:history="1">
              <w:r w:rsidRPr="00870E0C">
                <w:rPr>
                  <w:rStyle w:val="Hipervnculo"/>
                  <w:noProof/>
                </w:rPr>
                <w:t>1.2.3.</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Tipo impositivo</w:t>
              </w:r>
            </w:hyperlink>
          </w:p>
          <w:p w14:paraId="27126DFF"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80" w:history="1">
              <w:r w:rsidRPr="00870E0C">
                <w:rPr>
                  <w:rStyle w:val="Hipervnculo"/>
                  <w:noProof/>
                </w:rPr>
                <w:t>1.2.4.</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Cuota íntegra</w:t>
              </w:r>
            </w:hyperlink>
          </w:p>
          <w:p w14:paraId="09129373"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81" w:history="1">
              <w:r w:rsidRPr="00870E0C">
                <w:rPr>
                  <w:rStyle w:val="Hipervnculo"/>
                  <w:noProof/>
                </w:rPr>
                <w:t>1.2.5.</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Cuota líquida</w:t>
              </w:r>
            </w:hyperlink>
          </w:p>
          <w:p w14:paraId="28AF6504"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82" w:history="1">
              <w:r w:rsidRPr="00870E0C">
                <w:rPr>
                  <w:rStyle w:val="Hipervnculo"/>
                  <w:noProof/>
                  <w:highlight w:val="yellow"/>
                </w:rPr>
                <w:t>1.2.6.</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highlight w:val="yellow"/>
                </w:rPr>
                <w:t>Resultado de la liquidación</w:t>
              </w:r>
            </w:hyperlink>
          </w:p>
          <w:p w14:paraId="6BC313CE"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83" w:history="1">
              <w:r w:rsidRPr="00870E0C">
                <w:rPr>
                  <w:rStyle w:val="Hipervnculo"/>
                </w:rPr>
                <w:t>1.3.</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Otros debates acerca del IRPF</w:t>
              </w:r>
            </w:hyperlink>
          </w:p>
          <w:p w14:paraId="35DBBF5F"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84" w:history="1">
              <w:r w:rsidRPr="00870E0C">
                <w:rPr>
                  <w:rStyle w:val="Hipervnculo"/>
                  <w:noProof/>
                </w:rPr>
                <w:t>1.3.1.</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Base imponible general vs. base imponible del ahorro</w:t>
              </w:r>
            </w:hyperlink>
          </w:p>
          <w:p w14:paraId="4A496AF7"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85" w:history="1">
              <w:r w:rsidRPr="00870E0C">
                <w:rPr>
                  <w:rStyle w:val="Hipervnculo"/>
                  <w:noProof/>
                </w:rPr>
                <w:t>1.3.2.</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Unidad del contribuyente: Tributación conjunta o individual</w:t>
              </w:r>
            </w:hyperlink>
          </w:p>
          <w:p w14:paraId="7D995C32"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86" w:history="1">
              <w:r w:rsidRPr="00870E0C">
                <w:rPr>
                  <w:rStyle w:val="Hipervnculo"/>
                  <w:noProof/>
                </w:rPr>
                <w:t>1.3.3.</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Efectos de la inflación</w:t>
              </w:r>
            </w:hyperlink>
          </w:p>
          <w:p w14:paraId="7F72DB87" w14:textId="77777777" w:rsidR="006072A5" w:rsidRDefault="006072A5">
            <w:pPr>
              <w:pStyle w:val="TDC1"/>
              <w:rPr>
                <w:rFonts w:asciiTheme="minorHAnsi" w:eastAsiaTheme="minorEastAsia" w:hAnsiTheme="minorHAnsi"/>
                <w:b w:val="0"/>
                <w:caps w:val="0"/>
                <w:color w:val="auto"/>
                <w:kern w:val="2"/>
                <w:sz w:val="24"/>
                <w:szCs w:val="24"/>
                <w:lang w:eastAsia="es-ES"/>
                <w14:ligatures w14:val="standardContextual"/>
              </w:rPr>
            </w:pPr>
            <w:hyperlink w:anchor="_Toc219417487" w:history="1">
              <w:r w:rsidRPr="00870E0C">
                <w:rPr>
                  <w:rStyle w:val="Hipervnculo"/>
                </w:rPr>
                <w:t>2.</w:t>
              </w:r>
              <w:r>
                <w:rPr>
                  <w:rFonts w:asciiTheme="minorHAnsi" w:eastAsiaTheme="minorEastAsia" w:hAnsiTheme="minorHAnsi"/>
                  <w:b w:val="0"/>
                  <w:caps w:val="0"/>
                  <w:color w:val="auto"/>
                  <w:kern w:val="2"/>
                  <w:sz w:val="24"/>
                  <w:szCs w:val="24"/>
                  <w:lang w:eastAsia="es-ES"/>
                  <w14:ligatures w14:val="standardContextual"/>
                </w:rPr>
                <w:tab/>
              </w:r>
              <w:r w:rsidRPr="00870E0C">
                <w:rPr>
                  <w:rStyle w:val="Hipervnculo"/>
                </w:rPr>
                <w:t>IMPUESTO SOBRE LA RENTA DE LAS EMPRESAS: IMPUESTO DE SOCIEDADES (IS)</w:t>
              </w:r>
            </w:hyperlink>
          </w:p>
          <w:p w14:paraId="745CC380"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88" w:history="1">
              <w:r w:rsidRPr="00870E0C">
                <w:rPr>
                  <w:rStyle w:val="Hipervnculo"/>
                </w:rPr>
                <w:t>2.1.</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Aspectos generales</w:t>
              </w:r>
            </w:hyperlink>
          </w:p>
          <w:p w14:paraId="25C4F046"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89" w:history="1">
              <w:r w:rsidRPr="00870E0C">
                <w:rPr>
                  <w:rStyle w:val="Hipervnculo"/>
                </w:rPr>
                <w:t>2.2.</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Esquema de liquidación</w:t>
              </w:r>
            </w:hyperlink>
          </w:p>
          <w:p w14:paraId="0F428121"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90" w:history="1">
              <w:r w:rsidRPr="00870E0C">
                <w:rPr>
                  <w:rStyle w:val="Hipervnculo"/>
                  <w:noProof/>
                </w:rPr>
                <w:t>2.2.1.</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Base imponible</w:t>
              </w:r>
            </w:hyperlink>
          </w:p>
          <w:p w14:paraId="05607E59"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91" w:history="1">
              <w:r w:rsidRPr="00870E0C">
                <w:rPr>
                  <w:rStyle w:val="Hipervnculo"/>
                  <w:noProof/>
                </w:rPr>
                <w:t>2.2.2.</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Tipo impositivo</w:t>
              </w:r>
            </w:hyperlink>
          </w:p>
          <w:p w14:paraId="61DBC803"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92" w:history="1">
              <w:r w:rsidRPr="00870E0C">
                <w:rPr>
                  <w:rStyle w:val="Hipervnculo"/>
                  <w:noProof/>
                </w:rPr>
                <w:t>2.2.3.</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Cuota íntegra</w:t>
              </w:r>
            </w:hyperlink>
          </w:p>
          <w:p w14:paraId="47951752"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93" w:history="1">
              <w:r w:rsidRPr="00870E0C">
                <w:rPr>
                  <w:rStyle w:val="Hipervnculo"/>
                  <w:noProof/>
                </w:rPr>
                <w:t>2.2.4.</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Cuota líquida</w:t>
              </w:r>
            </w:hyperlink>
          </w:p>
          <w:p w14:paraId="3DAC84C6"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94" w:history="1">
              <w:r w:rsidRPr="00870E0C">
                <w:rPr>
                  <w:rStyle w:val="Hipervnculo"/>
                </w:rPr>
                <w:t>2.3.</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Otros debates acerca del IS</w:t>
              </w:r>
            </w:hyperlink>
          </w:p>
          <w:p w14:paraId="1E6E6D8F"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95" w:history="1">
              <w:r w:rsidRPr="00870E0C">
                <w:rPr>
                  <w:rStyle w:val="Hipervnculo"/>
                  <w:noProof/>
                </w:rPr>
                <w:t>2.3.1.</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Efectos del IS sobre las decisiones empresariales</w:t>
              </w:r>
            </w:hyperlink>
          </w:p>
          <w:p w14:paraId="0D6DC152" w14:textId="77777777" w:rsidR="006072A5" w:rsidRDefault="006072A5">
            <w:pPr>
              <w:pStyle w:val="TDC3"/>
              <w:tabs>
                <w:tab w:val="left" w:pos="1100"/>
              </w:tabs>
              <w:rPr>
                <w:rFonts w:asciiTheme="minorHAnsi" w:eastAsiaTheme="minorEastAsia" w:hAnsiTheme="minorHAnsi"/>
                <w:noProof/>
                <w:color w:val="auto"/>
                <w:kern w:val="2"/>
                <w:sz w:val="24"/>
                <w:szCs w:val="24"/>
                <w:lang w:eastAsia="es-ES"/>
                <w14:ligatures w14:val="standardContextual"/>
              </w:rPr>
            </w:pPr>
            <w:hyperlink w:anchor="_Toc219417496" w:history="1">
              <w:r w:rsidRPr="00870E0C">
                <w:rPr>
                  <w:rStyle w:val="Hipervnculo"/>
                  <w:noProof/>
                </w:rPr>
                <w:t>2.3.2.</w:t>
              </w:r>
              <w:r>
                <w:rPr>
                  <w:rFonts w:asciiTheme="minorHAnsi" w:eastAsiaTheme="minorEastAsia" w:hAnsiTheme="minorHAnsi"/>
                  <w:noProof/>
                  <w:color w:val="auto"/>
                  <w:kern w:val="2"/>
                  <w:sz w:val="24"/>
                  <w:szCs w:val="24"/>
                  <w:lang w:eastAsia="es-ES"/>
                  <w14:ligatures w14:val="standardContextual"/>
                </w:rPr>
                <w:tab/>
              </w:r>
              <w:r w:rsidRPr="00870E0C">
                <w:rPr>
                  <w:rStyle w:val="Hipervnculo"/>
                  <w:noProof/>
                </w:rPr>
                <w:t>Efectos de la inflación</w:t>
              </w:r>
            </w:hyperlink>
          </w:p>
          <w:p w14:paraId="469E2D5F" w14:textId="77777777" w:rsidR="006072A5" w:rsidRDefault="006072A5">
            <w:pPr>
              <w:pStyle w:val="TDC1"/>
              <w:rPr>
                <w:rFonts w:asciiTheme="minorHAnsi" w:eastAsiaTheme="minorEastAsia" w:hAnsiTheme="minorHAnsi"/>
                <w:b w:val="0"/>
                <w:caps w:val="0"/>
                <w:color w:val="auto"/>
                <w:kern w:val="2"/>
                <w:sz w:val="24"/>
                <w:szCs w:val="24"/>
                <w:lang w:eastAsia="es-ES"/>
                <w14:ligatures w14:val="standardContextual"/>
              </w:rPr>
            </w:pPr>
            <w:hyperlink w:anchor="_Toc219417497" w:history="1">
              <w:r w:rsidRPr="00870E0C">
                <w:rPr>
                  <w:rStyle w:val="Hipervnculo"/>
                </w:rPr>
                <w:t>3.</w:t>
              </w:r>
              <w:r>
                <w:rPr>
                  <w:rFonts w:asciiTheme="minorHAnsi" w:eastAsiaTheme="minorEastAsia" w:hAnsiTheme="minorHAnsi"/>
                  <w:b w:val="0"/>
                  <w:caps w:val="0"/>
                  <w:color w:val="auto"/>
                  <w:kern w:val="2"/>
                  <w:sz w:val="24"/>
                  <w:szCs w:val="24"/>
                  <w:lang w:eastAsia="es-ES"/>
                  <w14:ligatures w14:val="standardContextual"/>
                </w:rPr>
                <w:tab/>
              </w:r>
              <w:r w:rsidRPr="00870E0C">
                <w:rPr>
                  <w:rStyle w:val="Hipervnculo"/>
                </w:rPr>
                <w:t>IMPUESTOS SOBRE LA RIQUEZA</w:t>
              </w:r>
            </w:hyperlink>
          </w:p>
          <w:p w14:paraId="3D3F7366"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98" w:history="1">
              <w:r w:rsidRPr="00870E0C">
                <w:rPr>
                  <w:rStyle w:val="Hipervnculo"/>
                </w:rPr>
                <w:t>3.1.</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Impuesto sobre el patrimonio (IP)</w:t>
              </w:r>
            </w:hyperlink>
          </w:p>
          <w:p w14:paraId="463ADA62"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499" w:history="1">
              <w:r w:rsidRPr="00870E0C">
                <w:rPr>
                  <w:rStyle w:val="Hipervnculo"/>
                </w:rPr>
                <w:t>3.2.</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Impuesto de Sucesiones y Donaciones (ISD)</w:t>
              </w:r>
            </w:hyperlink>
          </w:p>
          <w:p w14:paraId="5AD8C2A2" w14:textId="77777777" w:rsidR="006072A5" w:rsidRDefault="006072A5">
            <w:pPr>
              <w:pStyle w:val="TDC2"/>
              <w:tabs>
                <w:tab w:val="left" w:pos="822"/>
              </w:tabs>
              <w:rPr>
                <w:rFonts w:asciiTheme="minorHAnsi" w:eastAsiaTheme="minorEastAsia" w:hAnsiTheme="minorHAnsi"/>
                <w:i w:val="0"/>
                <w:color w:val="auto"/>
                <w:kern w:val="2"/>
                <w:sz w:val="24"/>
                <w:szCs w:val="24"/>
                <w:lang w:eastAsia="es-ES"/>
                <w14:ligatures w14:val="standardContextual"/>
              </w:rPr>
            </w:pPr>
            <w:hyperlink w:anchor="_Toc219417500" w:history="1">
              <w:r w:rsidRPr="00870E0C">
                <w:rPr>
                  <w:rStyle w:val="Hipervnculo"/>
                </w:rPr>
                <w:t>3.3.</w:t>
              </w:r>
              <w:r>
                <w:rPr>
                  <w:rFonts w:asciiTheme="minorHAnsi" w:eastAsiaTheme="minorEastAsia" w:hAnsiTheme="minorHAnsi"/>
                  <w:i w:val="0"/>
                  <w:color w:val="auto"/>
                  <w:kern w:val="2"/>
                  <w:sz w:val="24"/>
                  <w:szCs w:val="24"/>
                  <w:lang w:eastAsia="es-ES"/>
                  <w14:ligatures w14:val="standardContextual"/>
                </w:rPr>
                <w:tab/>
              </w:r>
              <w:r w:rsidRPr="00870E0C">
                <w:rPr>
                  <w:rStyle w:val="Hipervnculo"/>
                </w:rPr>
                <w:t>Impuesto sobre bienes inmuebles (IBI)</w:t>
              </w:r>
            </w:hyperlink>
          </w:p>
        </w:tc>
      </w:tr>
    </w:tbl>
    <w:p w14:paraId="477EC201" w14:textId="0C330872" w:rsidR="00F94CE1" w:rsidRPr="007E25D0" w:rsidRDefault="00F94CE1" w:rsidP="007E25D0">
      <w:pPr>
        <w:spacing w:after="0"/>
        <w:rPr>
          <w:sz w:val="2"/>
          <w:szCs w:val="2"/>
        </w:rPr>
      </w:pPr>
      <w:r w:rsidRPr="007E25D0">
        <w:rPr>
          <w:sz w:val="2"/>
          <w:szCs w:val="2"/>
        </w:rPr>
        <w:br w:type="page"/>
      </w:r>
      <w:bookmarkEnd w:id="2"/>
      <w:bookmarkEnd w:id="4"/>
    </w:p>
    <w:p w14:paraId="7E8FF05C" w14:textId="44A9848A" w:rsidR="007B2150" w:rsidRDefault="007B2150" w:rsidP="007B2150">
      <w:pPr>
        <w:pStyle w:val="Apartado0"/>
      </w:pPr>
      <w:bookmarkStart w:id="7" w:name="_Toc219417468"/>
      <w:r>
        <w:lastRenderedPageBreak/>
        <w:t>RAS</w:t>
      </w:r>
      <w:r w:rsidR="007705C2">
        <w:t>G</w:t>
      </w:r>
      <w:r>
        <w:t>OS GENERALES DE LA IMPOSICIÓN DIRECTA</w:t>
      </w:r>
      <w:bookmarkEnd w:id="7"/>
    </w:p>
    <w:p w14:paraId="0765759B" w14:textId="3C4C9019" w:rsidR="007705C2" w:rsidRPr="007705C2" w:rsidRDefault="007705C2" w:rsidP="007E25D0">
      <w:pPr>
        <w:pStyle w:val="Ttulo2"/>
        <w:numPr>
          <w:ilvl w:val="1"/>
          <w:numId w:val="46"/>
        </w:numPr>
        <w:ind w:left="790" w:hanging="433"/>
      </w:pPr>
      <w:bookmarkStart w:id="8" w:name="_Toc219417469"/>
      <w:r>
        <w:t>Clasificación de los tributos</w:t>
      </w:r>
      <w:bookmarkEnd w:id="8"/>
    </w:p>
    <w:p w14:paraId="600A7E48" w14:textId="04BC5E71" w:rsidR="007B2150" w:rsidRPr="00DC76BE" w:rsidRDefault="007B2150" w:rsidP="007B2150">
      <w:pPr>
        <w:pStyle w:val="Nivel1SM"/>
        <w:keepNext/>
        <w:spacing w:after="0"/>
      </w:pPr>
      <w:r w:rsidRPr="0032416D">
        <w:rPr>
          <w:b/>
          <w:bCs/>
        </w:rPr>
        <w:t>Según el hecho imponible</w:t>
      </w:r>
      <w:r w:rsidRPr="007B2150">
        <w:t xml:space="preserve"> </w:t>
      </w:r>
      <w:r>
        <w:t xml:space="preserve">(i.e. aquella </w:t>
      </w:r>
      <w:r w:rsidRPr="00EC189B">
        <w:rPr>
          <w:bCs/>
          <w:i/>
          <w:iCs/>
        </w:rPr>
        <w:t>acción</w:t>
      </w:r>
      <w:r>
        <w:t xml:space="preserve"> cuya realización da lugar a la obligación tributaria)</w:t>
      </w:r>
      <w:r w:rsidRPr="00296CE5">
        <w:t xml:space="preserve"> </w:t>
      </w:r>
      <w:r>
        <w:t xml:space="preserve">podemos </w:t>
      </w:r>
      <w:r w:rsidRPr="00944DAF">
        <w:rPr>
          <w:b/>
          <w:bCs/>
        </w:rPr>
        <w:t>clasificar los tributos</w:t>
      </w:r>
      <w:r>
        <w:t xml:space="preserve"> de la siguiente manera </w:t>
      </w:r>
      <w:r w:rsidRPr="007B2150">
        <w:rPr>
          <w:color w:val="767171" w:themeColor="background2" w:themeShade="80"/>
          <w:sz w:val="19"/>
          <w:szCs w:val="19"/>
        </w:rPr>
        <w:t>[</w:t>
      </w:r>
      <w:r>
        <w:rPr>
          <w:color w:val="767171" w:themeColor="background2" w:themeShade="80"/>
          <w:sz w:val="19"/>
          <w:szCs w:val="19"/>
        </w:rPr>
        <w:t>ver tema 4.B.8</w:t>
      </w:r>
      <w:r w:rsidRPr="007B2150">
        <w:rPr>
          <w:color w:val="767171" w:themeColor="background2" w:themeShade="80"/>
          <w:sz w:val="19"/>
          <w:szCs w:val="19"/>
        </w:rPr>
        <w:t>]</w:t>
      </w:r>
      <w:r>
        <w:t>:</w:t>
      </w:r>
    </w:p>
    <w:p w14:paraId="0D9B76D0" w14:textId="77777777" w:rsidR="007B2150" w:rsidRDefault="007B2150" w:rsidP="007B2150">
      <w:pPr>
        <w:pStyle w:val="Nivel2SM"/>
      </w:pPr>
      <w:r w:rsidRPr="00944DAF">
        <w:rPr>
          <w:i/>
          <w:iCs/>
          <w:u w:val="single"/>
        </w:rPr>
        <w:t>Impuestos directos</w:t>
      </w:r>
      <w:r w:rsidRPr="001D7526">
        <w:t xml:space="preserve">: </w:t>
      </w:r>
      <w:r>
        <w:t>G</w:t>
      </w:r>
      <w:r w:rsidRPr="001D7526">
        <w:t>ravan manifestaciones directas de la capacidad económica. Es decir, gravan la obtención de renta</w:t>
      </w:r>
      <w:r>
        <w:t xml:space="preserve"> (p.ej. </w:t>
      </w:r>
      <w:r w:rsidRPr="001D7526">
        <w:t>IRPF</w:t>
      </w:r>
      <w:r>
        <w:t xml:space="preserve"> o IS)</w:t>
      </w:r>
      <w:r w:rsidRPr="001D7526">
        <w:t xml:space="preserve"> o la mera tenencia de la riqueza</w:t>
      </w:r>
      <w:r>
        <w:t xml:space="preserve"> (p.ej. IBI)</w:t>
      </w:r>
      <w:r w:rsidRPr="001D7526">
        <w:t>.</w:t>
      </w:r>
    </w:p>
    <w:p w14:paraId="2029B732" w14:textId="77777777" w:rsidR="007B2150" w:rsidRDefault="007B2150" w:rsidP="007B2150">
      <w:pPr>
        <w:pStyle w:val="Nivel2SM"/>
        <w:keepNext/>
        <w:spacing w:after="0"/>
      </w:pPr>
      <w:r w:rsidRPr="00944DAF">
        <w:rPr>
          <w:i/>
          <w:iCs/>
          <w:u w:val="single"/>
        </w:rPr>
        <w:t>Impuestos indirectos</w:t>
      </w:r>
      <w:r w:rsidRPr="001D7526">
        <w:t>:</w:t>
      </w:r>
      <w:r>
        <w:t xml:space="preserve"> G</w:t>
      </w:r>
      <w:r w:rsidRPr="001D7526">
        <w:t>ravan manifestaciones indirectas de la capacidad económica (</w:t>
      </w:r>
      <w:r>
        <w:t xml:space="preserve">p.ej. </w:t>
      </w:r>
      <w:r w:rsidRPr="001D7526">
        <w:t>IVA</w:t>
      </w:r>
      <w:r>
        <w:t>, aranceles</w:t>
      </w:r>
      <w:r>
        <w:rPr>
          <w:rStyle w:val="Refdenotaalpie"/>
        </w:rPr>
        <w:footnoteReference w:id="6"/>
      </w:r>
      <w:r w:rsidRPr="001D7526">
        <w:t xml:space="preserve"> o IIEE). Es decir, gravan los usos de la renta.</w:t>
      </w:r>
    </w:p>
    <w:p w14:paraId="7B65C464" w14:textId="77777777" w:rsidR="007B2150" w:rsidRPr="001D7526" w:rsidRDefault="007B2150" w:rsidP="007B2150">
      <w:pPr>
        <w:pStyle w:val="Nivel3SM"/>
      </w:pPr>
      <w:r>
        <w:t>Los impuestos directos suelen establecerse para períodos regulares y de forma reiterada, mientras que los indirectos se recaudan con ocasión de determinados actos originados por la iniciativa privada (consumo, transmisiones patrimoniales, etc.).</w:t>
      </w:r>
    </w:p>
    <w:p w14:paraId="0A2C1842" w14:textId="77777777" w:rsidR="007B2150" w:rsidRPr="007705C2" w:rsidRDefault="007B2150" w:rsidP="007B2150">
      <w:pPr>
        <w:pStyle w:val="Nivel2SM"/>
        <w:rPr>
          <w:b/>
        </w:rPr>
      </w:pPr>
      <w:r w:rsidRPr="00944DAF">
        <w:rPr>
          <w:i/>
          <w:iCs/>
          <w:u w:val="single"/>
        </w:rPr>
        <w:t>Cotizaciones sociales</w:t>
      </w:r>
      <w:r w:rsidRPr="001D7526">
        <w:t>: Gravan exclusivamente las rentas del trabajo, cuya recaudación está destinada exclusivamente a gastos de cobertura social.</w:t>
      </w:r>
    </w:p>
    <w:p w14:paraId="2FA2C6EC" w14:textId="756A39A5" w:rsidR="007705C2" w:rsidRDefault="007705C2" w:rsidP="007E25D0">
      <w:pPr>
        <w:pStyle w:val="Ttulo2"/>
        <w:numPr>
          <w:ilvl w:val="1"/>
          <w:numId w:val="46"/>
        </w:numPr>
        <w:ind w:left="790" w:hanging="433"/>
      </w:pPr>
      <w:bookmarkStart w:id="9" w:name="_Toc219417470"/>
      <w:r>
        <w:t>Características de los impuestos directos</w:t>
      </w:r>
      <w:bookmarkEnd w:id="9"/>
    </w:p>
    <w:p w14:paraId="1A78FCEB" w14:textId="77777777" w:rsidR="00944DAF" w:rsidRDefault="00944DAF" w:rsidP="007705C2">
      <w:pPr>
        <w:pStyle w:val="Nivel1SM"/>
        <w:keepNext/>
        <w:spacing w:before="0" w:after="0"/>
      </w:pPr>
      <w:r>
        <w:t xml:space="preserve">En esta exposición vamos a centrarnos concretamente en los </w:t>
      </w:r>
      <w:r>
        <w:rPr>
          <w:b/>
          <w:bCs/>
        </w:rPr>
        <w:t>impuestos directos</w:t>
      </w:r>
      <w:r>
        <w:t xml:space="preserve">, que incluyen </w:t>
      </w:r>
      <w:r w:rsidRPr="00734DC7">
        <w:t>todos aquellos cuyos hechos imponibles son una medida directa de la capacidad de pago (i.e. de la renta y de la riqueza)</w:t>
      </w:r>
      <w:r>
        <w:t>.</w:t>
      </w:r>
    </w:p>
    <w:p w14:paraId="2E8B7EF1" w14:textId="77777777" w:rsidR="00944DAF" w:rsidRDefault="00944DAF" w:rsidP="00944DAF">
      <w:pPr>
        <w:pStyle w:val="Nivel2SM"/>
        <w:keepNext/>
        <w:spacing w:after="0"/>
      </w:pPr>
      <w:r>
        <w:t xml:space="preserve">La imposición directa juega un </w:t>
      </w:r>
      <w:r w:rsidRPr="00734DC7">
        <w:rPr>
          <w:b/>
          <w:bCs/>
        </w:rPr>
        <w:t>papel fundamental</w:t>
      </w:r>
      <w:r>
        <w:t xml:space="preserve"> en los sistemas fiscales de los países desarrollados, por 3 motivos:</w:t>
      </w:r>
    </w:p>
    <w:p w14:paraId="3891A68A" w14:textId="2D1EBA09" w:rsidR="00944DAF" w:rsidRDefault="00944DAF" w:rsidP="00944DAF">
      <w:pPr>
        <w:pStyle w:val="Prrafodelista"/>
        <w:numPr>
          <w:ilvl w:val="0"/>
          <w:numId w:val="13"/>
        </w:numPr>
        <w:spacing w:after="0"/>
        <w:ind w:left="1135" w:hanging="284"/>
      </w:pPr>
      <w:r>
        <w:t xml:space="preserve">Su capacidad </w:t>
      </w:r>
      <w:r>
        <w:rPr>
          <w:i/>
          <w:iCs/>
          <w:u w:val="single"/>
        </w:rPr>
        <w:t>recaudatoria</w:t>
      </w:r>
      <w:r>
        <w:t xml:space="preserve"> </w:t>
      </w:r>
      <w:r w:rsidRPr="00944DAF">
        <w:rPr>
          <w:sz w:val="19"/>
          <w:szCs w:val="19"/>
        </w:rPr>
        <w:t>(suponen casi la mitad de los ingresos no financieros en España)</w:t>
      </w:r>
      <w:r>
        <w:t>.</w:t>
      </w:r>
    </w:p>
    <w:p w14:paraId="46AEBE72" w14:textId="77777777" w:rsidR="00944DAF" w:rsidRPr="00734DC7" w:rsidRDefault="00944DAF" w:rsidP="00944DAF">
      <w:pPr>
        <w:pStyle w:val="Prrafodelista"/>
        <w:numPr>
          <w:ilvl w:val="0"/>
          <w:numId w:val="13"/>
        </w:numPr>
        <w:spacing w:after="0"/>
        <w:ind w:left="1135" w:hanging="284"/>
        <w:rPr>
          <w:spacing w:val="-6"/>
        </w:rPr>
      </w:pPr>
      <w:r w:rsidRPr="00734DC7">
        <w:rPr>
          <w:spacing w:val="-6"/>
        </w:rPr>
        <w:t xml:space="preserve">Es uno de los principales </w:t>
      </w:r>
      <w:r w:rsidRPr="00734DC7">
        <w:rPr>
          <w:i/>
          <w:iCs/>
          <w:spacing w:val="-6"/>
          <w:u w:val="single"/>
        </w:rPr>
        <w:t>mecanismos de redistribución</w:t>
      </w:r>
      <w:r w:rsidRPr="00734DC7">
        <w:rPr>
          <w:spacing w:val="-6"/>
        </w:rPr>
        <w:t xml:space="preserve"> del sector público </w:t>
      </w:r>
      <w:r w:rsidRPr="00734DC7">
        <w:rPr>
          <w:color w:val="767171" w:themeColor="background2" w:themeShade="80"/>
          <w:spacing w:val="-6"/>
          <w:sz w:val="19"/>
          <w:szCs w:val="19"/>
        </w:rPr>
        <w:t>[ver tema 4.B.4]</w:t>
      </w:r>
      <w:r w:rsidRPr="00734DC7">
        <w:rPr>
          <w:spacing w:val="-6"/>
        </w:rPr>
        <w:t>.</w:t>
      </w:r>
    </w:p>
    <w:p w14:paraId="38CCEBBD" w14:textId="77777777" w:rsidR="00944DAF" w:rsidRDefault="00944DAF" w:rsidP="00944DAF">
      <w:pPr>
        <w:pStyle w:val="Prrafodelista"/>
        <w:numPr>
          <w:ilvl w:val="0"/>
          <w:numId w:val="13"/>
        </w:numPr>
        <w:spacing w:after="0"/>
        <w:ind w:left="1135" w:hanging="284"/>
      </w:pPr>
      <w:r>
        <w:t xml:space="preserve">Es un importante </w:t>
      </w:r>
      <w:r w:rsidRPr="00734DC7">
        <w:rPr>
          <w:i/>
          <w:iCs/>
          <w:u w:val="single"/>
        </w:rPr>
        <w:t>estabilizador automático</w:t>
      </w:r>
      <w:r>
        <w:t xml:space="preserve"> </w:t>
      </w:r>
      <w:r w:rsidRPr="00734DC7">
        <w:rPr>
          <w:color w:val="767171" w:themeColor="background2" w:themeShade="80"/>
          <w:sz w:val="19"/>
          <w:szCs w:val="19"/>
        </w:rPr>
        <w:t>[</w:t>
      </w:r>
      <w:r>
        <w:rPr>
          <w:color w:val="767171" w:themeColor="background2" w:themeShade="80"/>
          <w:sz w:val="19"/>
          <w:szCs w:val="19"/>
        </w:rPr>
        <w:t>ver tema 4.B.5</w:t>
      </w:r>
      <w:r w:rsidRPr="00734DC7">
        <w:rPr>
          <w:color w:val="767171" w:themeColor="background2" w:themeShade="80"/>
          <w:sz w:val="19"/>
          <w:szCs w:val="19"/>
        </w:rPr>
        <w:t>]</w:t>
      </w:r>
      <w:r>
        <w:t>.</w:t>
      </w:r>
    </w:p>
    <w:tbl>
      <w:tblPr>
        <w:tblStyle w:val="Tablaconcuadrcula"/>
        <w:tblW w:w="0" w:type="auto"/>
        <w:jc w:val="center"/>
        <w:tblBorders>
          <w:top w:val="single" w:sz="4" w:space="0" w:color="5F2987"/>
          <w:left w:val="single" w:sz="4" w:space="0" w:color="5F2987"/>
          <w:bottom w:val="single" w:sz="4" w:space="0" w:color="5F2987"/>
          <w:right w:val="single" w:sz="4" w:space="0" w:color="5F2987"/>
          <w:insideH w:val="none" w:sz="0" w:space="0" w:color="auto"/>
          <w:insideV w:val="single" w:sz="4" w:space="0" w:color="5F2987"/>
        </w:tblBorders>
        <w:tblLook w:val="04A0" w:firstRow="1" w:lastRow="0" w:firstColumn="1" w:lastColumn="0" w:noHBand="0" w:noVBand="1"/>
      </w:tblPr>
      <w:tblGrid>
        <w:gridCol w:w="3685"/>
        <w:gridCol w:w="1134"/>
        <w:gridCol w:w="1134"/>
      </w:tblGrid>
      <w:tr w:rsidR="00944DAF" w:rsidRPr="009507B1" w14:paraId="69EC8E59" w14:textId="77777777" w:rsidTr="00D90C3C">
        <w:trPr>
          <w:jc w:val="center"/>
        </w:trPr>
        <w:tc>
          <w:tcPr>
            <w:tcW w:w="5953" w:type="dxa"/>
            <w:gridSpan w:val="3"/>
            <w:tcBorders>
              <w:bottom w:val="nil"/>
            </w:tcBorders>
            <w:shd w:val="clear" w:color="auto" w:fill="5F2987"/>
          </w:tcPr>
          <w:p w14:paraId="3C537CEE" w14:textId="77777777" w:rsidR="00944DAF" w:rsidRPr="009507B1" w:rsidRDefault="00944DAF" w:rsidP="00D90C3C">
            <w:pPr>
              <w:spacing w:after="0"/>
              <w:jc w:val="center"/>
              <w:rPr>
                <w:lang w:val="es-ES"/>
              </w:rPr>
            </w:pPr>
            <w:r w:rsidRPr="009507B1">
              <w:rPr>
                <w:b/>
                <w:bCs/>
                <w:color w:val="E2EFD9" w:themeColor="accent6" w:themeTint="33"/>
                <w:lang w:val="es-ES"/>
              </w:rPr>
              <w:t>TOTAL AAPP, 2023 (presupuestado), M€</w:t>
            </w:r>
            <w:r w:rsidRPr="009507B1">
              <w:rPr>
                <w:rStyle w:val="Refdenotaalpie"/>
                <w:b/>
                <w:bCs/>
                <w:color w:val="E2EFD9" w:themeColor="accent6" w:themeTint="33"/>
                <w:lang w:val="es-ES"/>
              </w:rPr>
              <w:footnoteReference w:id="7"/>
            </w:r>
          </w:p>
        </w:tc>
      </w:tr>
      <w:tr w:rsidR="00944DAF" w:rsidRPr="009507B1" w14:paraId="044F38F9" w14:textId="77777777" w:rsidTr="00D90C3C">
        <w:trPr>
          <w:jc w:val="center"/>
        </w:trPr>
        <w:tc>
          <w:tcPr>
            <w:tcW w:w="3685" w:type="dxa"/>
            <w:tcBorders>
              <w:top w:val="nil"/>
              <w:bottom w:val="single" w:sz="4" w:space="0" w:color="5F2987"/>
              <w:right w:val="nil"/>
            </w:tcBorders>
            <w:shd w:val="clear" w:color="auto" w:fill="E2EFD9" w:themeFill="accent6" w:themeFillTint="33"/>
          </w:tcPr>
          <w:p w14:paraId="331DEF02" w14:textId="77777777" w:rsidR="00944DAF" w:rsidRPr="009507B1" w:rsidRDefault="00944DAF" w:rsidP="00D90C3C">
            <w:pPr>
              <w:spacing w:after="0"/>
              <w:rPr>
                <w:b/>
                <w:bCs/>
                <w:lang w:val="es-ES"/>
              </w:rPr>
            </w:pPr>
            <w:r w:rsidRPr="009507B1">
              <w:rPr>
                <w:b/>
                <w:bCs/>
                <w:color w:val="5F2987"/>
                <w:lang w:val="es-ES"/>
              </w:rPr>
              <w:t>INGRESOS</w:t>
            </w:r>
            <w:r>
              <w:rPr>
                <w:b/>
                <w:bCs/>
                <w:color w:val="5F2987"/>
                <w:lang w:val="es-ES"/>
              </w:rPr>
              <w:t xml:space="preserve"> NO FINANCIEROS</w:t>
            </w:r>
          </w:p>
        </w:tc>
        <w:tc>
          <w:tcPr>
            <w:tcW w:w="1134" w:type="dxa"/>
            <w:tcBorders>
              <w:top w:val="nil"/>
              <w:left w:val="nil"/>
              <w:bottom w:val="single" w:sz="4" w:space="0" w:color="5F2987"/>
              <w:right w:val="nil"/>
            </w:tcBorders>
            <w:shd w:val="clear" w:color="auto" w:fill="E2EFD9" w:themeFill="accent6" w:themeFillTint="33"/>
            <w:vAlign w:val="center"/>
          </w:tcPr>
          <w:p w14:paraId="1E66F12D" w14:textId="77777777" w:rsidR="00944DAF" w:rsidRPr="00953982" w:rsidRDefault="00944DAF" w:rsidP="00D90C3C">
            <w:pPr>
              <w:spacing w:after="0"/>
              <w:jc w:val="right"/>
              <w:rPr>
                <w:b/>
                <w:bCs/>
                <w:color w:val="5F2987"/>
                <w:lang w:val="es-ES"/>
              </w:rPr>
            </w:pPr>
            <w:r w:rsidRPr="00953982">
              <w:rPr>
                <w:b/>
                <w:bCs/>
                <w:color w:val="5F2987"/>
                <w:lang w:val="es-ES"/>
              </w:rPr>
              <w:t>307.445</w:t>
            </w:r>
            <w:r>
              <w:rPr>
                <w:rStyle w:val="Refdenotaalpie"/>
                <w:b/>
                <w:bCs/>
                <w:color w:val="5F2987"/>
                <w:lang w:val="es-ES"/>
              </w:rPr>
              <w:footnoteReference w:id="8"/>
            </w:r>
          </w:p>
        </w:tc>
        <w:tc>
          <w:tcPr>
            <w:tcW w:w="1134" w:type="dxa"/>
            <w:tcBorders>
              <w:top w:val="nil"/>
              <w:left w:val="nil"/>
              <w:bottom w:val="single" w:sz="4" w:space="0" w:color="5F2987"/>
            </w:tcBorders>
            <w:shd w:val="clear" w:color="auto" w:fill="E2EFD9" w:themeFill="accent6" w:themeFillTint="33"/>
            <w:vAlign w:val="center"/>
          </w:tcPr>
          <w:p w14:paraId="6E3F0FD4" w14:textId="77777777" w:rsidR="00944DAF" w:rsidRPr="00953982" w:rsidRDefault="00944DAF" w:rsidP="00D90C3C">
            <w:pPr>
              <w:spacing w:after="0"/>
              <w:jc w:val="right"/>
              <w:rPr>
                <w:b/>
                <w:bCs/>
                <w:color w:val="5F2987"/>
                <w:lang w:val="es-ES"/>
              </w:rPr>
            </w:pPr>
            <w:r w:rsidRPr="00953982">
              <w:rPr>
                <w:b/>
                <w:bCs/>
                <w:color w:val="5F2987"/>
                <w:lang w:val="es-ES"/>
              </w:rPr>
              <w:t>100 %</w:t>
            </w:r>
          </w:p>
        </w:tc>
      </w:tr>
      <w:tr w:rsidR="00944DAF" w:rsidRPr="009507B1" w14:paraId="2D347650" w14:textId="77777777" w:rsidTr="00D90C3C">
        <w:trPr>
          <w:jc w:val="center"/>
        </w:trPr>
        <w:tc>
          <w:tcPr>
            <w:tcW w:w="3685" w:type="dxa"/>
            <w:tcBorders>
              <w:top w:val="single" w:sz="4" w:space="0" w:color="5F2987"/>
              <w:bottom w:val="single" w:sz="4" w:space="0" w:color="5F2987"/>
              <w:right w:val="nil"/>
            </w:tcBorders>
          </w:tcPr>
          <w:p w14:paraId="6E494CCB" w14:textId="77777777" w:rsidR="00944DAF" w:rsidRPr="009507B1" w:rsidRDefault="00944DAF" w:rsidP="00D90C3C">
            <w:pPr>
              <w:spacing w:after="0"/>
              <w:ind w:left="284"/>
              <w:rPr>
                <w:b/>
                <w:bCs/>
                <w:lang w:val="es-ES"/>
              </w:rPr>
            </w:pPr>
            <w:r>
              <w:rPr>
                <w:b/>
                <w:bCs/>
                <w:lang w:val="es-ES"/>
              </w:rPr>
              <w:t>Ingresos tributarios</w:t>
            </w:r>
          </w:p>
        </w:tc>
        <w:tc>
          <w:tcPr>
            <w:tcW w:w="1134" w:type="dxa"/>
            <w:tcBorders>
              <w:top w:val="single" w:sz="4" w:space="0" w:color="5F2987"/>
              <w:left w:val="nil"/>
              <w:bottom w:val="single" w:sz="4" w:space="0" w:color="5F2987"/>
              <w:right w:val="nil"/>
            </w:tcBorders>
            <w:vAlign w:val="center"/>
          </w:tcPr>
          <w:p w14:paraId="0D140BA0" w14:textId="77777777" w:rsidR="00944DAF" w:rsidRPr="009507B1" w:rsidRDefault="00944DAF" w:rsidP="00D90C3C">
            <w:pPr>
              <w:spacing w:after="0"/>
              <w:jc w:val="right"/>
              <w:rPr>
                <w:lang w:val="es-ES"/>
              </w:rPr>
            </w:pPr>
            <w:r>
              <w:rPr>
                <w:lang w:val="es-ES"/>
              </w:rPr>
              <w:t>262.781</w:t>
            </w:r>
          </w:p>
        </w:tc>
        <w:tc>
          <w:tcPr>
            <w:tcW w:w="1134" w:type="dxa"/>
            <w:tcBorders>
              <w:top w:val="single" w:sz="4" w:space="0" w:color="5F2987"/>
              <w:left w:val="nil"/>
              <w:bottom w:val="single" w:sz="4" w:space="0" w:color="5F2987"/>
            </w:tcBorders>
            <w:vAlign w:val="center"/>
          </w:tcPr>
          <w:p w14:paraId="550EA09C" w14:textId="77777777" w:rsidR="00944DAF" w:rsidRPr="009507B1" w:rsidRDefault="00944DAF" w:rsidP="00D90C3C">
            <w:pPr>
              <w:spacing w:after="0"/>
              <w:jc w:val="right"/>
              <w:rPr>
                <w:lang w:val="es-ES"/>
              </w:rPr>
            </w:pPr>
            <w:r>
              <w:rPr>
                <w:lang w:val="es-ES"/>
              </w:rPr>
              <w:t>85,47</w:t>
            </w:r>
            <w:r w:rsidRPr="009507B1">
              <w:rPr>
                <w:lang w:val="es-ES"/>
              </w:rPr>
              <w:t> %</w:t>
            </w:r>
          </w:p>
        </w:tc>
      </w:tr>
      <w:tr w:rsidR="00944DAF" w:rsidRPr="009507B1" w14:paraId="0D75068C" w14:textId="77777777" w:rsidTr="00D90C3C">
        <w:trPr>
          <w:jc w:val="center"/>
        </w:trPr>
        <w:tc>
          <w:tcPr>
            <w:tcW w:w="3685" w:type="dxa"/>
            <w:tcBorders>
              <w:top w:val="single" w:sz="4" w:space="0" w:color="5F2987"/>
              <w:right w:val="nil"/>
            </w:tcBorders>
          </w:tcPr>
          <w:p w14:paraId="50AB9548" w14:textId="77777777" w:rsidR="00944DAF" w:rsidRPr="009507B1" w:rsidRDefault="00944DAF" w:rsidP="00D90C3C">
            <w:pPr>
              <w:tabs>
                <w:tab w:val="left" w:pos="1886"/>
              </w:tabs>
              <w:spacing w:after="0"/>
              <w:ind w:left="567"/>
              <w:rPr>
                <w:i/>
                <w:iCs/>
                <w:lang w:val="es-ES"/>
              </w:rPr>
            </w:pPr>
            <w:r>
              <w:rPr>
                <w:i/>
                <w:iCs/>
                <w:lang w:val="es-ES"/>
              </w:rPr>
              <w:t>Impuestos d</w:t>
            </w:r>
            <w:r w:rsidRPr="009507B1">
              <w:rPr>
                <w:i/>
                <w:iCs/>
                <w:lang w:val="es-ES"/>
              </w:rPr>
              <w:t>irectos</w:t>
            </w:r>
          </w:p>
        </w:tc>
        <w:tc>
          <w:tcPr>
            <w:tcW w:w="1134" w:type="dxa"/>
            <w:tcBorders>
              <w:top w:val="single" w:sz="4" w:space="0" w:color="5F2987"/>
              <w:left w:val="nil"/>
              <w:right w:val="nil"/>
            </w:tcBorders>
            <w:vAlign w:val="center"/>
          </w:tcPr>
          <w:p w14:paraId="618ACA2A" w14:textId="77777777" w:rsidR="00944DAF" w:rsidRPr="009507B1" w:rsidRDefault="00944DAF" w:rsidP="00D90C3C">
            <w:pPr>
              <w:spacing w:after="0"/>
              <w:jc w:val="right"/>
              <w:rPr>
                <w:lang w:val="es-ES"/>
              </w:rPr>
            </w:pPr>
            <w:r w:rsidRPr="009507B1">
              <w:rPr>
                <w:lang w:val="es-ES"/>
              </w:rPr>
              <w:t>145.</w:t>
            </w:r>
            <w:r>
              <w:rPr>
                <w:lang w:val="es-ES"/>
              </w:rPr>
              <w:t>972</w:t>
            </w:r>
          </w:p>
        </w:tc>
        <w:tc>
          <w:tcPr>
            <w:tcW w:w="1134" w:type="dxa"/>
            <w:tcBorders>
              <w:top w:val="single" w:sz="4" w:space="0" w:color="5F2987"/>
              <w:left w:val="nil"/>
            </w:tcBorders>
            <w:vAlign w:val="center"/>
          </w:tcPr>
          <w:p w14:paraId="247A9363" w14:textId="77777777" w:rsidR="00944DAF" w:rsidRPr="009507B1" w:rsidRDefault="00944DAF" w:rsidP="00D90C3C">
            <w:pPr>
              <w:spacing w:after="0"/>
              <w:jc w:val="right"/>
              <w:rPr>
                <w:lang w:val="es-ES"/>
              </w:rPr>
            </w:pPr>
            <w:r>
              <w:rPr>
                <w:lang w:val="es-ES"/>
              </w:rPr>
              <w:t>47,48</w:t>
            </w:r>
            <w:r w:rsidRPr="009507B1">
              <w:rPr>
                <w:lang w:val="es-ES"/>
              </w:rPr>
              <w:t> %</w:t>
            </w:r>
          </w:p>
        </w:tc>
      </w:tr>
      <w:tr w:rsidR="00944DAF" w:rsidRPr="009507B1" w14:paraId="2B823FCF" w14:textId="77777777" w:rsidTr="00D90C3C">
        <w:trPr>
          <w:jc w:val="center"/>
        </w:trPr>
        <w:tc>
          <w:tcPr>
            <w:tcW w:w="3685" w:type="dxa"/>
            <w:tcBorders>
              <w:right w:val="nil"/>
            </w:tcBorders>
          </w:tcPr>
          <w:p w14:paraId="5D88EA92" w14:textId="77777777" w:rsidR="00944DAF" w:rsidRPr="009507B1" w:rsidRDefault="00944DAF" w:rsidP="00D90C3C">
            <w:pPr>
              <w:spacing w:after="0"/>
              <w:ind w:left="851"/>
              <w:rPr>
                <w:sz w:val="19"/>
                <w:szCs w:val="19"/>
                <w:lang w:val="es-ES"/>
              </w:rPr>
            </w:pPr>
            <w:r w:rsidRPr="009507B1">
              <w:rPr>
                <w:sz w:val="19"/>
                <w:szCs w:val="19"/>
                <w:lang w:val="es-ES"/>
              </w:rPr>
              <w:t>IRPF</w:t>
            </w:r>
          </w:p>
        </w:tc>
        <w:tc>
          <w:tcPr>
            <w:tcW w:w="1134" w:type="dxa"/>
            <w:tcBorders>
              <w:left w:val="nil"/>
              <w:right w:val="nil"/>
            </w:tcBorders>
            <w:vAlign w:val="center"/>
          </w:tcPr>
          <w:p w14:paraId="689BC857" w14:textId="77777777" w:rsidR="00944DAF" w:rsidRPr="009507B1" w:rsidRDefault="00944DAF" w:rsidP="00D90C3C">
            <w:pPr>
              <w:spacing w:after="0"/>
              <w:jc w:val="right"/>
              <w:rPr>
                <w:sz w:val="19"/>
                <w:szCs w:val="19"/>
                <w:lang w:val="es-ES"/>
              </w:rPr>
            </w:pPr>
            <w:r w:rsidRPr="009507B1">
              <w:rPr>
                <w:sz w:val="19"/>
                <w:szCs w:val="19"/>
                <w:lang w:val="es-ES"/>
              </w:rPr>
              <w:t>1</w:t>
            </w:r>
            <w:r>
              <w:rPr>
                <w:sz w:val="19"/>
                <w:szCs w:val="19"/>
                <w:lang w:val="es-ES"/>
              </w:rPr>
              <w:t>13</w:t>
            </w:r>
            <w:r w:rsidRPr="009507B1">
              <w:rPr>
                <w:sz w:val="19"/>
                <w:szCs w:val="19"/>
                <w:lang w:val="es-ES"/>
              </w:rPr>
              <w:t>.</w:t>
            </w:r>
            <w:r>
              <w:rPr>
                <w:sz w:val="19"/>
                <w:szCs w:val="19"/>
                <w:lang w:val="es-ES"/>
              </w:rPr>
              <w:t>123</w:t>
            </w:r>
          </w:p>
        </w:tc>
        <w:tc>
          <w:tcPr>
            <w:tcW w:w="1134" w:type="dxa"/>
            <w:tcBorders>
              <w:left w:val="nil"/>
            </w:tcBorders>
            <w:vAlign w:val="center"/>
          </w:tcPr>
          <w:p w14:paraId="3B61A1A0" w14:textId="77777777" w:rsidR="00944DAF" w:rsidRPr="009507B1" w:rsidRDefault="00944DAF" w:rsidP="00D90C3C">
            <w:pPr>
              <w:spacing w:after="0"/>
              <w:jc w:val="right"/>
              <w:rPr>
                <w:sz w:val="19"/>
                <w:szCs w:val="19"/>
                <w:lang w:val="es-ES"/>
              </w:rPr>
            </w:pPr>
            <w:r>
              <w:rPr>
                <w:sz w:val="19"/>
                <w:szCs w:val="19"/>
                <w:lang w:val="es-ES"/>
              </w:rPr>
              <w:t>36,79</w:t>
            </w:r>
            <w:r w:rsidRPr="009507B1">
              <w:rPr>
                <w:sz w:val="19"/>
                <w:szCs w:val="19"/>
                <w:lang w:val="es-ES"/>
              </w:rPr>
              <w:t> %</w:t>
            </w:r>
          </w:p>
        </w:tc>
      </w:tr>
      <w:tr w:rsidR="00944DAF" w:rsidRPr="009507B1" w14:paraId="68CB21D9" w14:textId="77777777" w:rsidTr="00D90C3C">
        <w:trPr>
          <w:jc w:val="center"/>
        </w:trPr>
        <w:tc>
          <w:tcPr>
            <w:tcW w:w="3685" w:type="dxa"/>
            <w:tcBorders>
              <w:right w:val="nil"/>
            </w:tcBorders>
          </w:tcPr>
          <w:p w14:paraId="3ED6A305" w14:textId="77777777" w:rsidR="00944DAF" w:rsidRPr="009507B1" w:rsidRDefault="00944DAF" w:rsidP="00D90C3C">
            <w:pPr>
              <w:spacing w:after="0"/>
              <w:ind w:left="851"/>
              <w:rPr>
                <w:sz w:val="19"/>
                <w:szCs w:val="19"/>
                <w:lang w:val="es-ES"/>
              </w:rPr>
            </w:pPr>
            <w:r w:rsidRPr="009507B1">
              <w:rPr>
                <w:sz w:val="19"/>
                <w:szCs w:val="19"/>
                <w:lang w:val="es-ES"/>
              </w:rPr>
              <w:t>IS</w:t>
            </w:r>
          </w:p>
        </w:tc>
        <w:tc>
          <w:tcPr>
            <w:tcW w:w="1134" w:type="dxa"/>
            <w:tcBorders>
              <w:left w:val="nil"/>
              <w:right w:val="nil"/>
            </w:tcBorders>
            <w:vAlign w:val="center"/>
          </w:tcPr>
          <w:p w14:paraId="4B38C0D8" w14:textId="77777777" w:rsidR="00944DAF" w:rsidRPr="009507B1" w:rsidRDefault="00944DAF" w:rsidP="00D90C3C">
            <w:pPr>
              <w:spacing w:after="0"/>
              <w:jc w:val="right"/>
              <w:rPr>
                <w:sz w:val="19"/>
                <w:szCs w:val="19"/>
                <w:lang w:val="es-ES"/>
              </w:rPr>
            </w:pPr>
            <w:r>
              <w:rPr>
                <w:sz w:val="19"/>
                <w:szCs w:val="19"/>
                <w:lang w:val="es-ES"/>
              </w:rPr>
              <w:t>28</w:t>
            </w:r>
            <w:r w:rsidRPr="009507B1">
              <w:rPr>
                <w:sz w:val="19"/>
                <w:szCs w:val="19"/>
                <w:lang w:val="es-ES"/>
              </w:rPr>
              <w:t>.</w:t>
            </w:r>
            <w:r>
              <w:rPr>
                <w:sz w:val="19"/>
                <w:szCs w:val="19"/>
                <w:lang w:val="es-ES"/>
              </w:rPr>
              <w:t>519</w:t>
            </w:r>
          </w:p>
        </w:tc>
        <w:tc>
          <w:tcPr>
            <w:tcW w:w="1134" w:type="dxa"/>
            <w:tcBorders>
              <w:left w:val="nil"/>
            </w:tcBorders>
            <w:vAlign w:val="center"/>
          </w:tcPr>
          <w:p w14:paraId="5B4B09FD" w14:textId="77777777" w:rsidR="00944DAF" w:rsidRPr="009507B1" w:rsidRDefault="00944DAF" w:rsidP="00D90C3C">
            <w:pPr>
              <w:spacing w:after="0"/>
              <w:jc w:val="right"/>
              <w:rPr>
                <w:sz w:val="19"/>
                <w:szCs w:val="19"/>
                <w:lang w:val="es-ES"/>
              </w:rPr>
            </w:pPr>
            <w:r>
              <w:rPr>
                <w:sz w:val="19"/>
                <w:szCs w:val="19"/>
                <w:lang w:val="es-ES"/>
              </w:rPr>
              <w:t>9,28</w:t>
            </w:r>
            <w:r w:rsidRPr="009507B1">
              <w:rPr>
                <w:sz w:val="19"/>
                <w:szCs w:val="19"/>
                <w:lang w:val="es-ES"/>
              </w:rPr>
              <w:t> %</w:t>
            </w:r>
          </w:p>
        </w:tc>
      </w:tr>
      <w:tr w:rsidR="00944DAF" w:rsidRPr="009507B1" w14:paraId="03158811" w14:textId="77777777" w:rsidTr="00D90C3C">
        <w:trPr>
          <w:jc w:val="center"/>
        </w:trPr>
        <w:tc>
          <w:tcPr>
            <w:tcW w:w="3685" w:type="dxa"/>
            <w:tcBorders>
              <w:right w:val="nil"/>
            </w:tcBorders>
          </w:tcPr>
          <w:p w14:paraId="53DE7419" w14:textId="77777777" w:rsidR="00944DAF" w:rsidRPr="009507B1" w:rsidRDefault="00944DAF" w:rsidP="00D90C3C">
            <w:pPr>
              <w:spacing w:after="0"/>
              <w:ind w:left="851"/>
              <w:rPr>
                <w:sz w:val="19"/>
                <w:szCs w:val="19"/>
                <w:lang w:val="es-ES"/>
              </w:rPr>
            </w:pPr>
            <w:r>
              <w:rPr>
                <w:sz w:val="19"/>
                <w:szCs w:val="19"/>
                <w:lang w:val="es-ES"/>
              </w:rPr>
              <w:t>IRNR</w:t>
            </w:r>
          </w:p>
        </w:tc>
        <w:tc>
          <w:tcPr>
            <w:tcW w:w="1134" w:type="dxa"/>
            <w:tcBorders>
              <w:left w:val="nil"/>
              <w:right w:val="nil"/>
            </w:tcBorders>
            <w:vAlign w:val="center"/>
          </w:tcPr>
          <w:p w14:paraId="1818BD00" w14:textId="77777777" w:rsidR="00944DAF" w:rsidRPr="009507B1" w:rsidRDefault="00944DAF" w:rsidP="00D90C3C">
            <w:pPr>
              <w:spacing w:after="0"/>
              <w:jc w:val="right"/>
              <w:rPr>
                <w:sz w:val="19"/>
                <w:szCs w:val="19"/>
                <w:lang w:val="es-ES"/>
              </w:rPr>
            </w:pPr>
            <w:r>
              <w:rPr>
                <w:sz w:val="19"/>
                <w:szCs w:val="19"/>
                <w:lang w:val="es-ES"/>
              </w:rPr>
              <w:t>2.681</w:t>
            </w:r>
          </w:p>
        </w:tc>
        <w:tc>
          <w:tcPr>
            <w:tcW w:w="1134" w:type="dxa"/>
            <w:tcBorders>
              <w:left w:val="nil"/>
            </w:tcBorders>
            <w:vAlign w:val="center"/>
          </w:tcPr>
          <w:p w14:paraId="08175B48" w14:textId="77777777" w:rsidR="00944DAF" w:rsidRPr="009507B1" w:rsidRDefault="00944DAF" w:rsidP="00D90C3C">
            <w:pPr>
              <w:spacing w:after="0"/>
              <w:jc w:val="right"/>
              <w:rPr>
                <w:sz w:val="19"/>
                <w:szCs w:val="19"/>
                <w:lang w:val="es-ES"/>
              </w:rPr>
            </w:pPr>
            <w:r>
              <w:rPr>
                <w:sz w:val="19"/>
                <w:szCs w:val="19"/>
                <w:lang w:val="es-ES"/>
              </w:rPr>
              <w:t>0,87</w:t>
            </w:r>
            <w:r w:rsidRPr="009507B1">
              <w:rPr>
                <w:sz w:val="19"/>
                <w:szCs w:val="19"/>
                <w:lang w:val="es-ES"/>
              </w:rPr>
              <w:t> %</w:t>
            </w:r>
          </w:p>
        </w:tc>
      </w:tr>
      <w:tr w:rsidR="00944DAF" w:rsidRPr="009507B1" w14:paraId="54E353B0" w14:textId="77777777" w:rsidTr="00D90C3C">
        <w:trPr>
          <w:jc w:val="center"/>
        </w:trPr>
        <w:tc>
          <w:tcPr>
            <w:tcW w:w="3685" w:type="dxa"/>
            <w:tcBorders>
              <w:right w:val="nil"/>
            </w:tcBorders>
          </w:tcPr>
          <w:p w14:paraId="6C119C69" w14:textId="77777777" w:rsidR="00944DAF" w:rsidRPr="009507B1" w:rsidRDefault="00944DAF" w:rsidP="00D90C3C">
            <w:pPr>
              <w:spacing w:after="0"/>
              <w:ind w:left="851"/>
              <w:rPr>
                <w:sz w:val="19"/>
                <w:szCs w:val="19"/>
              </w:rPr>
            </w:pPr>
            <w:proofErr w:type="spellStart"/>
            <w:r>
              <w:rPr>
                <w:sz w:val="19"/>
                <w:szCs w:val="19"/>
              </w:rPr>
              <w:t>Fiscalidad</w:t>
            </w:r>
            <w:proofErr w:type="spellEnd"/>
            <w:r>
              <w:rPr>
                <w:sz w:val="19"/>
                <w:szCs w:val="19"/>
              </w:rPr>
              <w:t xml:space="preserve"> </w:t>
            </w:r>
            <w:proofErr w:type="spellStart"/>
            <w:r>
              <w:rPr>
                <w:sz w:val="19"/>
                <w:szCs w:val="19"/>
              </w:rPr>
              <w:t>medioambiental</w:t>
            </w:r>
            <w:proofErr w:type="spellEnd"/>
          </w:p>
        </w:tc>
        <w:tc>
          <w:tcPr>
            <w:tcW w:w="1134" w:type="dxa"/>
            <w:tcBorders>
              <w:left w:val="nil"/>
              <w:right w:val="nil"/>
            </w:tcBorders>
            <w:vAlign w:val="center"/>
          </w:tcPr>
          <w:p w14:paraId="7AAA56BD" w14:textId="77777777" w:rsidR="00944DAF" w:rsidRPr="009507B1" w:rsidRDefault="00944DAF" w:rsidP="00D90C3C">
            <w:pPr>
              <w:spacing w:after="0"/>
              <w:jc w:val="right"/>
              <w:rPr>
                <w:sz w:val="19"/>
                <w:szCs w:val="19"/>
              </w:rPr>
            </w:pPr>
            <w:r>
              <w:rPr>
                <w:sz w:val="19"/>
                <w:szCs w:val="19"/>
              </w:rPr>
              <w:t>1.453</w:t>
            </w:r>
          </w:p>
        </w:tc>
        <w:tc>
          <w:tcPr>
            <w:tcW w:w="1134" w:type="dxa"/>
            <w:tcBorders>
              <w:left w:val="nil"/>
            </w:tcBorders>
            <w:vAlign w:val="center"/>
          </w:tcPr>
          <w:p w14:paraId="73CE8578" w14:textId="77777777" w:rsidR="00944DAF" w:rsidRPr="009507B1" w:rsidRDefault="00944DAF" w:rsidP="00D90C3C">
            <w:pPr>
              <w:spacing w:after="0"/>
              <w:jc w:val="right"/>
              <w:rPr>
                <w:sz w:val="19"/>
                <w:szCs w:val="19"/>
              </w:rPr>
            </w:pPr>
            <w:r>
              <w:rPr>
                <w:sz w:val="19"/>
                <w:szCs w:val="19"/>
              </w:rPr>
              <w:t>0,47 %</w:t>
            </w:r>
          </w:p>
        </w:tc>
      </w:tr>
      <w:tr w:rsidR="00944DAF" w:rsidRPr="009507B1" w14:paraId="6665CB65" w14:textId="77777777" w:rsidTr="00D90C3C">
        <w:trPr>
          <w:jc w:val="center"/>
        </w:trPr>
        <w:tc>
          <w:tcPr>
            <w:tcW w:w="3685" w:type="dxa"/>
            <w:tcBorders>
              <w:right w:val="nil"/>
            </w:tcBorders>
          </w:tcPr>
          <w:p w14:paraId="300E73F6" w14:textId="77777777" w:rsidR="00944DAF" w:rsidRPr="009507B1" w:rsidRDefault="00944DAF" w:rsidP="00D90C3C">
            <w:pPr>
              <w:spacing w:after="0"/>
              <w:ind w:left="851"/>
              <w:rPr>
                <w:sz w:val="19"/>
                <w:szCs w:val="19"/>
              </w:rPr>
            </w:pPr>
            <w:proofErr w:type="spellStart"/>
            <w:r>
              <w:rPr>
                <w:sz w:val="19"/>
                <w:szCs w:val="19"/>
              </w:rPr>
              <w:t>Otros</w:t>
            </w:r>
            <w:proofErr w:type="spellEnd"/>
          </w:p>
        </w:tc>
        <w:tc>
          <w:tcPr>
            <w:tcW w:w="1134" w:type="dxa"/>
            <w:tcBorders>
              <w:left w:val="nil"/>
              <w:right w:val="nil"/>
            </w:tcBorders>
            <w:vAlign w:val="center"/>
          </w:tcPr>
          <w:p w14:paraId="358362DC" w14:textId="77777777" w:rsidR="00944DAF" w:rsidRPr="009507B1" w:rsidRDefault="00944DAF" w:rsidP="00D90C3C">
            <w:pPr>
              <w:spacing w:after="0"/>
              <w:jc w:val="right"/>
              <w:rPr>
                <w:sz w:val="19"/>
                <w:szCs w:val="19"/>
              </w:rPr>
            </w:pPr>
            <w:r>
              <w:rPr>
                <w:sz w:val="19"/>
                <w:szCs w:val="19"/>
              </w:rPr>
              <w:t>196</w:t>
            </w:r>
          </w:p>
        </w:tc>
        <w:tc>
          <w:tcPr>
            <w:tcW w:w="1134" w:type="dxa"/>
            <w:tcBorders>
              <w:left w:val="nil"/>
            </w:tcBorders>
            <w:vAlign w:val="center"/>
          </w:tcPr>
          <w:p w14:paraId="0C745822" w14:textId="77777777" w:rsidR="00944DAF" w:rsidRPr="009507B1" w:rsidRDefault="00944DAF" w:rsidP="00D90C3C">
            <w:pPr>
              <w:spacing w:after="0"/>
              <w:jc w:val="right"/>
              <w:rPr>
                <w:sz w:val="19"/>
                <w:szCs w:val="19"/>
              </w:rPr>
            </w:pPr>
            <w:r>
              <w:rPr>
                <w:sz w:val="19"/>
                <w:szCs w:val="19"/>
              </w:rPr>
              <w:t>0,06 %</w:t>
            </w:r>
          </w:p>
        </w:tc>
      </w:tr>
      <w:tr w:rsidR="00944DAF" w:rsidRPr="009507B1" w14:paraId="0D28730C" w14:textId="77777777" w:rsidTr="00D90C3C">
        <w:trPr>
          <w:jc w:val="center"/>
        </w:trPr>
        <w:tc>
          <w:tcPr>
            <w:tcW w:w="3685" w:type="dxa"/>
            <w:tcBorders>
              <w:right w:val="nil"/>
            </w:tcBorders>
          </w:tcPr>
          <w:p w14:paraId="6A38C0A0" w14:textId="77777777" w:rsidR="00944DAF" w:rsidRPr="009507B1" w:rsidRDefault="00944DAF" w:rsidP="00D90C3C">
            <w:pPr>
              <w:spacing w:after="0"/>
              <w:ind w:left="567"/>
              <w:rPr>
                <w:i/>
                <w:iCs/>
                <w:lang w:val="es-ES"/>
              </w:rPr>
            </w:pPr>
            <w:r w:rsidRPr="009507B1">
              <w:rPr>
                <w:i/>
                <w:iCs/>
                <w:lang w:val="es-ES"/>
              </w:rPr>
              <w:t>I</w:t>
            </w:r>
            <w:r>
              <w:rPr>
                <w:i/>
                <w:iCs/>
                <w:lang w:val="es-ES"/>
              </w:rPr>
              <w:t>mpuestos i</w:t>
            </w:r>
            <w:r w:rsidRPr="009507B1">
              <w:rPr>
                <w:i/>
                <w:iCs/>
                <w:lang w:val="es-ES"/>
              </w:rPr>
              <w:t>ndirectos</w:t>
            </w:r>
          </w:p>
        </w:tc>
        <w:tc>
          <w:tcPr>
            <w:tcW w:w="1134" w:type="dxa"/>
            <w:tcBorders>
              <w:left w:val="nil"/>
              <w:right w:val="nil"/>
            </w:tcBorders>
            <w:vAlign w:val="center"/>
          </w:tcPr>
          <w:p w14:paraId="1E429949" w14:textId="77777777" w:rsidR="00944DAF" w:rsidRPr="009507B1" w:rsidRDefault="00944DAF" w:rsidP="00D90C3C">
            <w:pPr>
              <w:spacing w:after="0"/>
              <w:jc w:val="right"/>
              <w:rPr>
                <w:lang w:val="es-ES"/>
              </w:rPr>
            </w:pPr>
            <w:r>
              <w:rPr>
                <w:lang w:val="es-ES"/>
              </w:rPr>
              <w:t>114.756</w:t>
            </w:r>
          </w:p>
        </w:tc>
        <w:tc>
          <w:tcPr>
            <w:tcW w:w="1134" w:type="dxa"/>
            <w:tcBorders>
              <w:left w:val="nil"/>
            </w:tcBorders>
            <w:vAlign w:val="center"/>
          </w:tcPr>
          <w:p w14:paraId="7BFF5338" w14:textId="77777777" w:rsidR="00944DAF" w:rsidRPr="009507B1" w:rsidRDefault="00944DAF" w:rsidP="00D90C3C">
            <w:pPr>
              <w:spacing w:after="0"/>
              <w:jc w:val="right"/>
              <w:rPr>
                <w:lang w:val="es-ES"/>
              </w:rPr>
            </w:pPr>
            <w:r>
              <w:rPr>
                <w:lang w:val="es-ES"/>
              </w:rPr>
              <w:t>37,33</w:t>
            </w:r>
            <w:r w:rsidRPr="009507B1">
              <w:rPr>
                <w:lang w:val="es-ES"/>
              </w:rPr>
              <w:t> %</w:t>
            </w:r>
          </w:p>
        </w:tc>
      </w:tr>
      <w:tr w:rsidR="00944DAF" w:rsidRPr="009507B1" w14:paraId="0EA07656" w14:textId="77777777" w:rsidTr="00D90C3C">
        <w:trPr>
          <w:jc w:val="center"/>
        </w:trPr>
        <w:tc>
          <w:tcPr>
            <w:tcW w:w="3685" w:type="dxa"/>
            <w:tcBorders>
              <w:right w:val="nil"/>
            </w:tcBorders>
          </w:tcPr>
          <w:p w14:paraId="63D255D2" w14:textId="77777777" w:rsidR="00944DAF" w:rsidRPr="009507B1" w:rsidRDefault="00944DAF" w:rsidP="00D90C3C">
            <w:pPr>
              <w:spacing w:after="0"/>
              <w:ind w:left="851"/>
              <w:rPr>
                <w:sz w:val="19"/>
                <w:szCs w:val="19"/>
                <w:lang w:val="es-ES"/>
              </w:rPr>
            </w:pPr>
            <w:r w:rsidRPr="009507B1">
              <w:rPr>
                <w:sz w:val="19"/>
                <w:szCs w:val="19"/>
                <w:lang w:val="es-ES"/>
              </w:rPr>
              <w:t>IVA</w:t>
            </w:r>
          </w:p>
        </w:tc>
        <w:tc>
          <w:tcPr>
            <w:tcW w:w="1134" w:type="dxa"/>
            <w:tcBorders>
              <w:left w:val="nil"/>
              <w:right w:val="nil"/>
            </w:tcBorders>
            <w:vAlign w:val="center"/>
          </w:tcPr>
          <w:p w14:paraId="1733378D" w14:textId="77777777" w:rsidR="00944DAF" w:rsidRPr="009507B1" w:rsidRDefault="00944DAF" w:rsidP="00D90C3C">
            <w:pPr>
              <w:spacing w:after="0"/>
              <w:jc w:val="right"/>
              <w:rPr>
                <w:sz w:val="19"/>
                <w:szCs w:val="19"/>
                <w:lang w:val="es-ES"/>
              </w:rPr>
            </w:pPr>
            <w:r>
              <w:rPr>
                <w:sz w:val="19"/>
                <w:szCs w:val="19"/>
                <w:lang w:val="es-ES"/>
              </w:rPr>
              <w:t>86.093</w:t>
            </w:r>
          </w:p>
        </w:tc>
        <w:tc>
          <w:tcPr>
            <w:tcW w:w="1134" w:type="dxa"/>
            <w:tcBorders>
              <w:left w:val="nil"/>
            </w:tcBorders>
            <w:vAlign w:val="center"/>
          </w:tcPr>
          <w:p w14:paraId="22E6E308" w14:textId="77777777" w:rsidR="00944DAF" w:rsidRPr="009507B1" w:rsidRDefault="00944DAF" w:rsidP="00D90C3C">
            <w:pPr>
              <w:spacing w:after="0"/>
              <w:jc w:val="right"/>
              <w:rPr>
                <w:sz w:val="19"/>
                <w:szCs w:val="19"/>
                <w:lang w:val="es-ES"/>
              </w:rPr>
            </w:pPr>
            <w:r>
              <w:rPr>
                <w:sz w:val="19"/>
                <w:szCs w:val="19"/>
                <w:lang w:val="es-ES"/>
              </w:rPr>
              <w:t>28</w:t>
            </w:r>
            <w:r w:rsidRPr="009507B1">
              <w:rPr>
                <w:sz w:val="19"/>
                <w:szCs w:val="19"/>
                <w:lang w:val="es-ES"/>
              </w:rPr>
              <w:t> %</w:t>
            </w:r>
          </w:p>
        </w:tc>
      </w:tr>
      <w:tr w:rsidR="00944DAF" w:rsidRPr="009507B1" w14:paraId="434B1F95" w14:textId="77777777" w:rsidTr="00D90C3C">
        <w:trPr>
          <w:jc w:val="center"/>
        </w:trPr>
        <w:tc>
          <w:tcPr>
            <w:tcW w:w="3685" w:type="dxa"/>
            <w:tcBorders>
              <w:right w:val="nil"/>
            </w:tcBorders>
          </w:tcPr>
          <w:p w14:paraId="3CE87F35" w14:textId="77777777" w:rsidR="00944DAF" w:rsidRPr="009507B1" w:rsidRDefault="00944DAF" w:rsidP="00D90C3C">
            <w:pPr>
              <w:spacing w:after="0"/>
              <w:ind w:left="851"/>
              <w:rPr>
                <w:sz w:val="19"/>
                <w:szCs w:val="19"/>
                <w:lang w:val="es-ES"/>
              </w:rPr>
            </w:pPr>
            <w:r w:rsidRPr="009507B1">
              <w:rPr>
                <w:sz w:val="19"/>
                <w:szCs w:val="19"/>
                <w:lang w:val="es-ES"/>
              </w:rPr>
              <w:t>IIEE</w:t>
            </w:r>
          </w:p>
        </w:tc>
        <w:tc>
          <w:tcPr>
            <w:tcW w:w="1134" w:type="dxa"/>
            <w:tcBorders>
              <w:left w:val="nil"/>
              <w:right w:val="nil"/>
            </w:tcBorders>
            <w:vAlign w:val="center"/>
          </w:tcPr>
          <w:p w14:paraId="3E64F669" w14:textId="77777777" w:rsidR="00944DAF" w:rsidRPr="009507B1" w:rsidRDefault="00944DAF" w:rsidP="00D90C3C">
            <w:pPr>
              <w:spacing w:after="0"/>
              <w:jc w:val="right"/>
              <w:rPr>
                <w:sz w:val="19"/>
                <w:szCs w:val="19"/>
                <w:lang w:val="es-ES"/>
              </w:rPr>
            </w:pPr>
            <w:r>
              <w:rPr>
                <w:sz w:val="19"/>
                <w:szCs w:val="19"/>
                <w:lang w:val="es-ES"/>
              </w:rPr>
              <w:t>22.287</w:t>
            </w:r>
          </w:p>
        </w:tc>
        <w:tc>
          <w:tcPr>
            <w:tcW w:w="1134" w:type="dxa"/>
            <w:tcBorders>
              <w:left w:val="nil"/>
            </w:tcBorders>
            <w:vAlign w:val="center"/>
          </w:tcPr>
          <w:p w14:paraId="424DF209" w14:textId="6283720F" w:rsidR="00944DAF" w:rsidRPr="009507B1" w:rsidRDefault="000C798B" w:rsidP="00D90C3C">
            <w:pPr>
              <w:spacing w:after="0"/>
              <w:jc w:val="right"/>
              <w:rPr>
                <w:sz w:val="19"/>
                <w:szCs w:val="19"/>
                <w:lang w:val="es-ES"/>
              </w:rPr>
            </w:pPr>
            <w:r>
              <w:rPr>
                <w:sz w:val="19"/>
                <w:szCs w:val="19"/>
                <w:lang w:val="es-ES"/>
              </w:rPr>
              <w:t>7</w:t>
            </w:r>
            <w:r w:rsidR="00944DAF">
              <w:rPr>
                <w:sz w:val="19"/>
                <w:szCs w:val="19"/>
                <w:lang w:val="es-ES"/>
              </w:rPr>
              <w:t>,</w:t>
            </w:r>
            <w:r>
              <w:rPr>
                <w:sz w:val="19"/>
                <w:szCs w:val="19"/>
                <w:lang w:val="es-ES"/>
              </w:rPr>
              <w:t>25</w:t>
            </w:r>
            <w:r w:rsidR="00944DAF" w:rsidRPr="009507B1">
              <w:rPr>
                <w:sz w:val="19"/>
                <w:szCs w:val="19"/>
                <w:lang w:val="es-ES"/>
              </w:rPr>
              <w:t> %</w:t>
            </w:r>
          </w:p>
        </w:tc>
      </w:tr>
      <w:tr w:rsidR="00944DAF" w:rsidRPr="009507B1" w14:paraId="759919BB" w14:textId="77777777" w:rsidTr="00D90C3C">
        <w:trPr>
          <w:jc w:val="center"/>
        </w:trPr>
        <w:tc>
          <w:tcPr>
            <w:tcW w:w="3685" w:type="dxa"/>
            <w:tcBorders>
              <w:right w:val="nil"/>
            </w:tcBorders>
          </w:tcPr>
          <w:p w14:paraId="34076894" w14:textId="77777777" w:rsidR="00944DAF" w:rsidRPr="009507B1" w:rsidRDefault="00944DAF" w:rsidP="00D90C3C">
            <w:pPr>
              <w:spacing w:after="0"/>
              <w:ind w:left="851"/>
              <w:rPr>
                <w:sz w:val="19"/>
                <w:szCs w:val="19"/>
              </w:rPr>
            </w:pPr>
            <w:r w:rsidRPr="009507B1">
              <w:rPr>
                <w:sz w:val="19"/>
                <w:szCs w:val="19"/>
                <w:lang w:val="es-ES"/>
              </w:rPr>
              <w:t>Otros</w:t>
            </w:r>
          </w:p>
        </w:tc>
        <w:tc>
          <w:tcPr>
            <w:tcW w:w="1134" w:type="dxa"/>
            <w:tcBorders>
              <w:left w:val="nil"/>
              <w:right w:val="nil"/>
            </w:tcBorders>
            <w:vAlign w:val="center"/>
          </w:tcPr>
          <w:p w14:paraId="1B43BA41" w14:textId="77777777" w:rsidR="00944DAF" w:rsidRDefault="00944DAF" w:rsidP="00D90C3C">
            <w:pPr>
              <w:spacing w:after="0"/>
              <w:jc w:val="right"/>
              <w:rPr>
                <w:sz w:val="19"/>
                <w:szCs w:val="19"/>
              </w:rPr>
            </w:pPr>
            <w:r>
              <w:rPr>
                <w:sz w:val="19"/>
                <w:szCs w:val="19"/>
                <w:lang w:val="es-ES"/>
              </w:rPr>
              <w:t>6.375</w:t>
            </w:r>
          </w:p>
        </w:tc>
        <w:tc>
          <w:tcPr>
            <w:tcW w:w="1134" w:type="dxa"/>
            <w:tcBorders>
              <w:left w:val="nil"/>
            </w:tcBorders>
            <w:vAlign w:val="center"/>
          </w:tcPr>
          <w:p w14:paraId="104D03D7" w14:textId="77777777" w:rsidR="00944DAF" w:rsidRPr="009507B1" w:rsidRDefault="00944DAF" w:rsidP="00D90C3C">
            <w:pPr>
              <w:spacing w:after="0"/>
              <w:jc w:val="right"/>
              <w:rPr>
                <w:sz w:val="19"/>
                <w:szCs w:val="19"/>
              </w:rPr>
            </w:pPr>
            <w:r>
              <w:rPr>
                <w:sz w:val="19"/>
                <w:szCs w:val="19"/>
                <w:lang w:val="es-ES"/>
              </w:rPr>
              <w:t>2,07</w:t>
            </w:r>
            <w:r w:rsidRPr="009507B1">
              <w:rPr>
                <w:sz w:val="19"/>
                <w:szCs w:val="19"/>
                <w:lang w:val="es-ES"/>
              </w:rPr>
              <w:t> %</w:t>
            </w:r>
          </w:p>
        </w:tc>
      </w:tr>
      <w:tr w:rsidR="00944DAF" w:rsidRPr="009507B1" w14:paraId="35D3BC41" w14:textId="77777777" w:rsidTr="00D90C3C">
        <w:trPr>
          <w:jc w:val="center"/>
        </w:trPr>
        <w:tc>
          <w:tcPr>
            <w:tcW w:w="3685" w:type="dxa"/>
            <w:tcBorders>
              <w:bottom w:val="single" w:sz="4" w:space="0" w:color="5F2987"/>
              <w:right w:val="nil"/>
            </w:tcBorders>
          </w:tcPr>
          <w:p w14:paraId="0D7D17D8" w14:textId="77777777" w:rsidR="00944DAF" w:rsidRPr="009507B1" w:rsidRDefault="00944DAF" w:rsidP="00D90C3C">
            <w:pPr>
              <w:spacing w:after="0"/>
              <w:ind w:left="567"/>
              <w:rPr>
                <w:sz w:val="19"/>
                <w:szCs w:val="19"/>
                <w:lang w:val="es-ES"/>
              </w:rPr>
            </w:pPr>
            <w:r>
              <w:rPr>
                <w:i/>
                <w:iCs/>
                <w:lang w:val="es-ES"/>
              </w:rPr>
              <w:t>Tasas y otros ingresos</w:t>
            </w:r>
          </w:p>
        </w:tc>
        <w:tc>
          <w:tcPr>
            <w:tcW w:w="1134" w:type="dxa"/>
            <w:tcBorders>
              <w:left w:val="nil"/>
              <w:bottom w:val="single" w:sz="4" w:space="0" w:color="5F2987"/>
              <w:right w:val="nil"/>
            </w:tcBorders>
            <w:vAlign w:val="center"/>
          </w:tcPr>
          <w:p w14:paraId="13086528" w14:textId="77777777" w:rsidR="00944DAF" w:rsidRPr="009507B1" w:rsidRDefault="00944DAF" w:rsidP="00D90C3C">
            <w:pPr>
              <w:spacing w:after="0"/>
              <w:jc w:val="right"/>
              <w:rPr>
                <w:sz w:val="19"/>
                <w:szCs w:val="19"/>
                <w:lang w:val="es-ES"/>
              </w:rPr>
            </w:pPr>
            <w:r>
              <w:rPr>
                <w:lang w:val="es-ES"/>
              </w:rPr>
              <w:t>2.054</w:t>
            </w:r>
          </w:p>
        </w:tc>
        <w:tc>
          <w:tcPr>
            <w:tcW w:w="1134" w:type="dxa"/>
            <w:tcBorders>
              <w:left w:val="nil"/>
              <w:bottom w:val="single" w:sz="4" w:space="0" w:color="5F2987"/>
            </w:tcBorders>
            <w:vAlign w:val="center"/>
          </w:tcPr>
          <w:p w14:paraId="441D5F09" w14:textId="77777777" w:rsidR="00944DAF" w:rsidRPr="009507B1" w:rsidRDefault="00944DAF" w:rsidP="00D90C3C">
            <w:pPr>
              <w:spacing w:after="0"/>
              <w:jc w:val="right"/>
              <w:rPr>
                <w:sz w:val="19"/>
                <w:szCs w:val="19"/>
                <w:lang w:val="es-ES"/>
              </w:rPr>
            </w:pPr>
            <w:r>
              <w:rPr>
                <w:lang w:val="es-ES"/>
              </w:rPr>
              <w:t>0,67</w:t>
            </w:r>
            <w:r w:rsidRPr="009507B1">
              <w:rPr>
                <w:lang w:val="es-ES"/>
              </w:rPr>
              <w:t>%</w:t>
            </w:r>
          </w:p>
        </w:tc>
      </w:tr>
      <w:tr w:rsidR="00944DAF" w:rsidRPr="009507B1" w14:paraId="51763BD0" w14:textId="77777777" w:rsidTr="00D90C3C">
        <w:trPr>
          <w:jc w:val="center"/>
        </w:trPr>
        <w:tc>
          <w:tcPr>
            <w:tcW w:w="3685" w:type="dxa"/>
            <w:tcBorders>
              <w:top w:val="single" w:sz="4" w:space="0" w:color="5F2987"/>
              <w:bottom w:val="single" w:sz="4" w:space="0" w:color="5F2987"/>
              <w:right w:val="nil"/>
            </w:tcBorders>
          </w:tcPr>
          <w:p w14:paraId="16E9D73E" w14:textId="77777777" w:rsidR="00944DAF" w:rsidRPr="009507B1" w:rsidRDefault="00944DAF" w:rsidP="00D90C3C">
            <w:pPr>
              <w:spacing w:after="0"/>
              <w:ind w:left="284"/>
              <w:rPr>
                <w:b/>
                <w:bCs/>
                <w:lang w:val="es-ES"/>
              </w:rPr>
            </w:pPr>
            <w:r>
              <w:rPr>
                <w:b/>
                <w:bCs/>
                <w:lang w:val="es-ES"/>
              </w:rPr>
              <w:t>Ingresos no tributarios</w:t>
            </w:r>
          </w:p>
        </w:tc>
        <w:tc>
          <w:tcPr>
            <w:tcW w:w="1134" w:type="dxa"/>
            <w:tcBorders>
              <w:top w:val="single" w:sz="4" w:space="0" w:color="5F2987"/>
              <w:left w:val="nil"/>
              <w:bottom w:val="single" w:sz="4" w:space="0" w:color="5F2987"/>
              <w:right w:val="nil"/>
            </w:tcBorders>
            <w:vAlign w:val="center"/>
          </w:tcPr>
          <w:p w14:paraId="23F31FE5" w14:textId="77777777" w:rsidR="00944DAF" w:rsidRPr="009507B1" w:rsidRDefault="00944DAF" w:rsidP="00D90C3C">
            <w:pPr>
              <w:spacing w:after="0"/>
              <w:jc w:val="right"/>
              <w:rPr>
                <w:lang w:val="es-ES"/>
              </w:rPr>
            </w:pPr>
            <w:r>
              <w:rPr>
                <w:lang w:val="es-ES"/>
              </w:rPr>
              <w:t>44.664</w:t>
            </w:r>
          </w:p>
        </w:tc>
        <w:tc>
          <w:tcPr>
            <w:tcW w:w="1134" w:type="dxa"/>
            <w:tcBorders>
              <w:top w:val="single" w:sz="4" w:space="0" w:color="5F2987"/>
              <w:left w:val="nil"/>
              <w:bottom w:val="single" w:sz="4" w:space="0" w:color="5F2987"/>
            </w:tcBorders>
            <w:vAlign w:val="center"/>
          </w:tcPr>
          <w:p w14:paraId="411B5AC6" w14:textId="77777777" w:rsidR="00944DAF" w:rsidRPr="009507B1" w:rsidRDefault="00944DAF" w:rsidP="00D90C3C">
            <w:pPr>
              <w:spacing w:after="0"/>
              <w:jc w:val="right"/>
              <w:rPr>
                <w:lang w:val="es-ES"/>
              </w:rPr>
            </w:pPr>
            <w:r>
              <w:rPr>
                <w:lang w:val="es-ES"/>
              </w:rPr>
              <w:t>14,53</w:t>
            </w:r>
            <w:r w:rsidRPr="009507B1">
              <w:rPr>
                <w:lang w:val="es-ES"/>
              </w:rPr>
              <w:t>%</w:t>
            </w:r>
          </w:p>
        </w:tc>
      </w:tr>
    </w:tbl>
    <w:p w14:paraId="287C80B6" w14:textId="77777777" w:rsidR="00944DAF" w:rsidRDefault="00944DAF" w:rsidP="00944DAF">
      <w:pPr>
        <w:pStyle w:val="Nivel2SM"/>
        <w:keepNext/>
        <w:spacing w:after="0"/>
      </w:pPr>
      <w:r>
        <w:t xml:space="preserve">No obstante, la imposición directa también tiene ciertas </w:t>
      </w:r>
      <w:r w:rsidRPr="00734DC7">
        <w:rPr>
          <w:b/>
          <w:bCs/>
        </w:rPr>
        <w:t>limitaciones</w:t>
      </w:r>
      <w:r>
        <w:t>:</w:t>
      </w:r>
    </w:p>
    <w:p w14:paraId="4B6291CB" w14:textId="77777777" w:rsidR="00944DAF" w:rsidRDefault="00944DAF" w:rsidP="00944DAF">
      <w:pPr>
        <w:pStyle w:val="Prrafodelista"/>
        <w:numPr>
          <w:ilvl w:val="0"/>
          <w:numId w:val="14"/>
        </w:numPr>
        <w:spacing w:after="0"/>
        <w:ind w:left="1135" w:hanging="284"/>
      </w:pPr>
      <w:r>
        <w:t xml:space="preserve">Requiere una elevada </w:t>
      </w:r>
      <w:r>
        <w:rPr>
          <w:i/>
          <w:iCs/>
          <w:u w:val="single"/>
        </w:rPr>
        <w:t>capacidad administrativa</w:t>
      </w:r>
      <w:r>
        <w:t>.</w:t>
      </w:r>
    </w:p>
    <w:p w14:paraId="1F80041F" w14:textId="77777777" w:rsidR="00944DAF" w:rsidRDefault="00944DAF" w:rsidP="00944DAF">
      <w:pPr>
        <w:pStyle w:val="Prrafodelista"/>
        <w:numPr>
          <w:ilvl w:val="0"/>
          <w:numId w:val="14"/>
        </w:numPr>
        <w:spacing w:after="0"/>
        <w:ind w:left="1135" w:hanging="284"/>
      </w:pPr>
      <w:r>
        <w:t xml:space="preserve">Genera distorsiones que pueden dar lugar a importantes </w:t>
      </w:r>
      <w:r>
        <w:rPr>
          <w:i/>
          <w:iCs/>
          <w:u w:val="single"/>
        </w:rPr>
        <w:t>pérdidas de eficiencia</w:t>
      </w:r>
      <w:r>
        <w:t xml:space="preserve"> </w:t>
      </w:r>
      <w:r w:rsidRPr="00734DC7">
        <w:rPr>
          <w:color w:val="767171" w:themeColor="background2" w:themeShade="80"/>
          <w:sz w:val="19"/>
          <w:szCs w:val="19"/>
        </w:rPr>
        <w:t>[</w:t>
      </w:r>
      <w:r>
        <w:rPr>
          <w:color w:val="767171" w:themeColor="background2" w:themeShade="80"/>
          <w:sz w:val="19"/>
          <w:szCs w:val="19"/>
        </w:rPr>
        <w:t>ver tema 4.B.10</w:t>
      </w:r>
      <w:r w:rsidRPr="00734DC7">
        <w:rPr>
          <w:color w:val="767171" w:themeColor="background2" w:themeShade="80"/>
          <w:sz w:val="19"/>
          <w:szCs w:val="19"/>
        </w:rPr>
        <w:t>]</w:t>
      </w:r>
      <w:r>
        <w:t>.</w:t>
      </w:r>
    </w:p>
    <w:p w14:paraId="26F2632B" w14:textId="09462FBC" w:rsidR="007705C2" w:rsidRDefault="007705C2" w:rsidP="007E25D0">
      <w:pPr>
        <w:pStyle w:val="Ttulo2"/>
        <w:numPr>
          <w:ilvl w:val="1"/>
          <w:numId w:val="46"/>
        </w:numPr>
        <w:ind w:left="790" w:hanging="433"/>
      </w:pPr>
      <w:bookmarkStart w:id="10" w:name="_Toc219417471"/>
      <w:r>
        <w:lastRenderedPageBreak/>
        <w:t>Clasificación de los impuestos directos en el SEC</w:t>
      </w:r>
      <w:r w:rsidR="00924ABA">
        <w:t>-2010</w:t>
      </w:r>
      <w:bookmarkEnd w:id="10"/>
    </w:p>
    <w:p w14:paraId="41D53A0F" w14:textId="0632E1D3" w:rsidR="00500040" w:rsidRDefault="00500040" w:rsidP="00500040">
      <w:pPr>
        <w:pStyle w:val="Nivel2SM"/>
        <w:keepNext/>
        <w:spacing w:after="0"/>
      </w:pPr>
      <w:r>
        <w:t>En el SEC-2010, los impuestos directos hacen referencia a una serie de impuestos que se agrupan en 2 categorías:</w:t>
      </w:r>
    </w:p>
    <w:p w14:paraId="195AB2AD" w14:textId="2E8A9344" w:rsidR="00500040" w:rsidRDefault="00500040" w:rsidP="00500040">
      <w:pPr>
        <w:pStyle w:val="Nivel3SM"/>
        <w:keepNext/>
      </w:pPr>
      <w:r>
        <w:rPr>
          <w:i/>
          <w:iCs/>
          <w:u w:val="single"/>
        </w:rPr>
        <w:t>Impuestos corrientes</w:t>
      </w:r>
      <w:r w:rsidR="007D78C5">
        <w:t>:</w:t>
      </w:r>
    </w:p>
    <w:p w14:paraId="5B27F981" w14:textId="25E69123" w:rsidR="00500040" w:rsidRDefault="00500040" w:rsidP="00500040">
      <w:pPr>
        <w:pStyle w:val="Nivel4"/>
        <w:ind w:left="1474"/>
      </w:pPr>
      <w:r>
        <w:t>Se introducen en la cuenta de distribución secundaria de la renta (reconociendo su finalidad redistributiva).</w:t>
      </w:r>
    </w:p>
    <w:p w14:paraId="507686F8" w14:textId="55B583F9" w:rsidR="00165D87" w:rsidRDefault="00165D87" w:rsidP="00165D87">
      <w:pPr>
        <w:pStyle w:val="Nivel4"/>
        <w:keepNext/>
        <w:ind w:left="1474"/>
      </w:pPr>
      <w:r>
        <w:t>Comprenden:</w:t>
      </w:r>
    </w:p>
    <w:p w14:paraId="575D4E73" w14:textId="17AECD6E" w:rsidR="007D78C5" w:rsidRDefault="007D78C5" w:rsidP="007D78C5">
      <w:pPr>
        <w:pStyle w:val="Nivel5"/>
        <w:keepNext/>
        <w:ind w:left="1871"/>
      </w:pPr>
      <w:r w:rsidRPr="007D78C5">
        <w:rPr>
          <w:i/>
          <w:iCs/>
        </w:rPr>
        <w:t>Impuestos corrientes sobre el ingreso, la riqueza, etc.</w:t>
      </w:r>
      <w:r>
        <w:t xml:space="preserve"> Se trata de pagos obligatorios sin contrapartida directa, realizados por las unidades institucionales a las administraciones públicas. Constituyen por lo general, la mayor parte de los ingresos de las AAPP</w:t>
      </w:r>
      <w:r w:rsidRPr="00957BAE">
        <w:t>.</w:t>
      </w:r>
    </w:p>
    <w:p w14:paraId="31976D44" w14:textId="77777777" w:rsidR="007D78C5" w:rsidRPr="007D78C5" w:rsidRDefault="007D78C5" w:rsidP="007D78C5">
      <w:pPr>
        <w:pStyle w:val="Nivel6"/>
        <w:ind w:left="2212"/>
      </w:pPr>
      <w:r>
        <w:t xml:space="preserve">Impuestos sobre el ingreso: </w:t>
      </w:r>
      <w:r w:rsidRPr="00957BAE">
        <w:t>Impuestos sobre el ingreso individual del hogar</w:t>
      </w:r>
      <w:r>
        <w:t xml:space="preserve"> (IRPF), </w:t>
      </w:r>
      <w:r w:rsidRPr="00957BAE">
        <w:t>impuesto sobre la renta de las sociedades</w:t>
      </w:r>
      <w:r>
        <w:t xml:space="preserve"> (Impuesto de Sociedades), </w:t>
      </w:r>
      <w:r w:rsidRPr="007D78C5">
        <w:t>impuesto sobre las ganancias de capital e impuestos sobre ganancias de la lotería y los juegos de azar.</w:t>
      </w:r>
    </w:p>
    <w:p w14:paraId="19479B3A" w14:textId="77777777" w:rsidR="007D78C5" w:rsidRPr="007D78C5" w:rsidRDefault="007D78C5" w:rsidP="007D78C5">
      <w:pPr>
        <w:pStyle w:val="Nivel6"/>
        <w:ind w:left="2212"/>
      </w:pPr>
      <w:r w:rsidRPr="007D78C5">
        <w:t xml:space="preserve">Otros impuestos corrientes: Impuestos corrientes sobre el capital </w:t>
      </w:r>
      <w:r w:rsidRPr="007D78C5">
        <w:rPr>
          <w:sz w:val="19"/>
          <w:szCs w:val="19"/>
        </w:rPr>
        <w:t>(impuestos que se pagan periódicamente</w:t>
      </w:r>
      <w:r w:rsidRPr="007D78C5">
        <w:rPr>
          <w:rStyle w:val="Refdenotaalpie"/>
          <w:sz w:val="19"/>
          <w:szCs w:val="19"/>
        </w:rPr>
        <w:footnoteReference w:id="9"/>
      </w:r>
      <w:r w:rsidRPr="007D78C5">
        <w:rPr>
          <w:sz w:val="19"/>
          <w:szCs w:val="19"/>
        </w:rPr>
        <w:t xml:space="preserve"> sobre la propiedad o el patrimonio neto de las unidades institucionales)</w:t>
      </w:r>
      <w:r w:rsidRPr="007D78C5">
        <w:t xml:space="preserve"> e impuestos de suma fija </w:t>
      </w:r>
      <w:r w:rsidRPr="007D78C5">
        <w:rPr>
          <w:sz w:val="19"/>
          <w:szCs w:val="19"/>
        </w:rPr>
        <w:t>(son exigidos bajo la forma de un monto específico por persona adulta o por hogar, con independencia de su ingreso o riqueza</w:t>
      </w:r>
      <w:r w:rsidRPr="007D78C5">
        <w:rPr>
          <w:rStyle w:val="Refdenotaalpie"/>
          <w:sz w:val="19"/>
          <w:szCs w:val="19"/>
        </w:rPr>
        <w:footnoteReference w:id="10"/>
      </w:r>
      <w:r w:rsidRPr="007D78C5">
        <w:rPr>
          <w:sz w:val="19"/>
          <w:szCs w:val="19"/>
        </w:rPr>
        <w:t>)</w:t>
      </w:r>
      <w:r w:rsidRPr="007D78C5">
        <w:t>.</w:t>
      </w:r>
    </w:p>
    <w:p w14:paraId="6B1ACB85" w14:textId="04CAE2BC" w:rsidR="007D78C5" w:rsidRDefault="007D78C5" w:rsidP="007D78C5">
      <w:pPr>
        <w:pStyle w:val="Nivel5"/>
        <w:ind w:left="1871"/>
      </w:pPr>
      <w:r w:rsidRPr="007D78C5">
        <w:rPr>
          <w:i/>
          <w:iCs/>
        </w:rPr>
        <w:t>Cotizaciones y prestaciones sociales</w:t>
      </w:r>
      <w:r w:rsidRPr="007D78C5">
        <w:t xml:space="preserve">. Son pagos efectivos o imputados a los sistemas de seguros sociales con el fin de efectuar las </w:t>
      </w:r>
      <w:r w:rsidRPr="00B57BF8">
        <w:t>provisiones correspondientes para el pago de las prestaciones de los seguros sociales.</w:t>
      </w:r>
    </w:p>
    <w:p w14:paraId="7DFEAA25" w14:textId="76690875" w:rsidR="007D78C5" w:rsidRDefault="007D78C5" w:rsidP="007D78C5">
      <w:pPr>
        <w:pStyle w:val="Nivel5"/>
        <w:ind w:left="1871"/>
      </w:pPr>
      <w:r w:rsidRPr="007D78C5">
        <w:rPr>
          <w:i/>
          <w:iCs/>
        </w:rPr>
        <w:t>Otras transferencias corrientes</w:t>
      </w:r>
      <w:r>
        <w:t xml:space="preserve">. </w:t>
      </w:r>
      <w:r w:rsidRPr="00B57BF8">
        <w:t xml:space="preserve">Por ejemplo, multas y sanciones (pagos obligatorios impuestos a las unidades institucionales por tribunales de justicia o los órganos </w:t>
      </w:r>
      <w:proofErr w:type="spellStart"/>
      <w:r w:rsidRPr="00B57BF8">
        <w:t>cuasijudiciales</w:t>
      </w:r>
      <w:proofErr w:type="spellEnd"/>
      <w:r w:rsidRPr="00B57BF8">
        <w:t>)</w:t>
      </w:r>
      <w:r>
        <w:t>.</w:t>
      </w:r>
    </w:p>
    <w:p w14:paraId="3A872DDE" w14:textId="72EED674" w:rsidR="00500040" w:rsidRDefault="00500040" w:rsidP="00500040">
      <w:pPr>
        <w:pStyle w:val="Nivel3SM"/>
        <w:keepNext/>
      </w:pPr>
      <w:r>
        <w:rPr>
          <w:i/>
          <w:iCs/>
          <w:u w:val="single"/>
        </w:rPr>
        <w:t>Impuestos sobre el capital</w:t>
      </w:r>
      <w:r>
        <w:t>:</w:t>
      </w:r>
    </w:p>
    <w:p w14:paraId="341BFB49" w14:textId="3252A2B4" w:rsidR="00500040" w:rsidRDefault="00500040" w:rsidP="00500040">
      <w:pPr>
        <w:pStyle w:val="Nivel4"/>
        <w:ind w:left="1474"/>
      </w:pPr>
      <w:r>
        <w:t>Se registran en la cuenta de capital.</w:t>
      </w:r>
    </w:p>
    <w:p w14:paraId="43FE863E" w14:textId="09DF3EE9" w:rsidR="00500040" w:rsidRDefault="00500040" w:rsidP="00500040">
      <w:pPr>
        <w:pStyle w:val="Nivel4"/>
        <w:keepNext/>
        <w:ind w:left="1474"/>
      </w:pPr>
      <w:r>
        <w:t>Comprenden:</w:t>
      </w:r>
    </w:p>
    <w:p w14:paraId="603E66AA" w14:textId="78CE180D" w:rsidR="00500040" w:rsidRDefault="00500040" w:rsidP="00500040">
      <w:pPr>
        <w:pStyle w:val="Nivel5"/>
        <w:ind w:left="1871"/>
      </w:pPr>
      <w:r w:rsidRPr="00500040">
        <w:rPr>
          <w:i/>
          <w:iCs/>
        </w:rPr>
        <w:t>Impuestos sobre las transferencias de capital</w:t>
      </w:r>
      <w:r>
        <w:t xml:space="preserve">: Derechos de sucesión y los derechos sobre las donaciones </w:t>
      </w:r>
      <w:proofErr w:type="gramStart"/>
      <w:r>
        <w:t>intervivos</w:t>
      </w:r>
      <w:proofErr w:type="gramEnd"/>
      <w:r>
        <w:t xml:space="preserve"> que gravan el capital de los beneficiarios. Dentro de esta categoría encuadraríamos el Impuesto de Sucesiones y Donaciones (ISD).</w:t>
      </w:r>
    </w:p>
    <w:p w14:paraId="648D6BA5" w14:textId="385C6341" w:rsidR="00500040" w:rsidRDefault="00500040" w:rsidP="00500040">
      <w:pPr>
        <w:pStyle w:val="Nivel5"/>
        <w:ind w:left="1871"/>
      </w:pPr>
      <w:r w:rsidRPr="00500040">
        <w:rPr>
          <w:i/>
          <w:iCs/>
        </w:rPr>
        <w:t>Gravámenes ocasionales sobre el capital</w:t>
      </w:r>
      <w:r>
        <w:t>: Gravámenes sobre el valor de los activos (o el patrimonio neto) de las unidades institucionales. Se incluyen los impuestos sobre las plusvalías de los terrenos agrícolas, es decir, los impuestos sobre el incremento del valor de los terrenos agrícolas. Dentro de esta categoría encuadraríamos el Impuesto sobre el Incremento del valor de los Terrenos de Naturaleza Urbana (plusvalía).</w:t>
      </w:r>
    </w:p>
    <w:p w14:paraId="6C5F5F1E" w14:textId="669F6426" w:rsidR="007705C2" w:rsidRDefault="007705C2" w:rsidP="007E25D0">
      <w:pPr>
        <w:pStyle w:val="Ttulo2"/>
        <w:numPr>
          <w:ilvl w:val="1"/>
          <w:numId w:val="46"/>
        </w:numPr>
        <w:ind w:left="788" w:hanging="431"/>
      </w:pPr>
      <w:bookmarkStart w:id="11" w:name="_Toc219417472"/>
      <w:r>
        <w:t>Teoría de la imposición directa</w:t>
      </w:r>
      <w:bookmarkEnd w:id="11"/>
    </w:p>
    <w:p w14:paraId="774F3ACD" w14:textId="77777777" w:rsidR="007705C2" w:rsidRDefault="007705C2" w:rsidP="007705C2">
      <w:pPr>
        <w:pStyle w:val="Nivel2SM"/>
        <w:keepNext/>
        <w:keepLines/>
        <w:spacing w:after="0"/>
      </w:pPr>
      <w:r>
        <w:t xml:space="preserve">La </w:t>
      </w:r>
      <w:r>
        <w:rPr>
          <w:b/>
          <w:bCs/>
        </w:rPr>
        <w:t>teoría de la imposición directa</w:t>
      </w:r>
      <w:r>
        <w:t xml:space="preserve"> trata de analizar éstas y otras cuestiones con el fin de determinar qué aspectos deben tenerse en cuenta a la hora de diseñar los principales impuestos directos: impuestos sobre la renta de las personas físicas, sobre la renta de las personas jurídicas y sobre la riqueza.</w:t>
      </w:r>
    </w:p>
    <w:p w14:paraId="47A8E79F" w14:textId="77777777" w:rsidR="005A3E58" w:rsidRDefault="005A3E58" w:rsidP="005A3E58">
      <w:pPr>
        <w:pStyle w:val="Nivel3SM"/>
      </w:pPr>
      <w:r>
        <w:t xml:space="preserve">Aquí veremos estas figuras desde un </w:t>
      </w:r>
      <w:r w:rsidRPr="00DA0BF1">
        <w:rPr>
          <w:b/>
          <w:bCs/>
        </w:rPr>
        <w:t>enfoque teórico y general</w:t>
      </w:r>
      <w:r>
        <w:t xml:space="preserve">, haciendo </w:t>
      </w:r>
      <w:r>
        <w:rPr>
          <w:i/>
          <w:iCs/>
        </w:rPr>
        <w:t>alguna referencia concreta</w:t>
      </w:r>
      <w:r>
        <w:t xml:space="preserve"> al caso español </w:t>
      </w:r>
      <w:r w:rsidRPr="00BD5DB0">
        <w:rPr>
          <w:sz w:val="19"/>
          <w:szCs w:val="19"/>
        </w:rPr>
        <w:t>(pues el sistema tributario español se estudia en detalle en otros temas)</w:t>
      </w:r>
      <w:r w:rsidRPr="00561B39">
        <w:t xml:space="preserve"> y </w:t>
      </w:r>
      <w:r>
        <w:t>haciendo alusión a la situación de estos impuestos en otros países desarrollados.</w:t>
      </w:r>
    </w:p>
    <w:p w14:paraId="67DDC67D" w14:textId="77777777" w:rsidR="007705C2" w:rsidRDefault="007705C2" w:rsidP="007705C2">
      <w:pPr>
        <w:pStyle w:val="Nivel3SM"/>
      </w:pPr>
      <w:r>
        <w:lastRenderedPageBreak/>
        <w:t xml:space="preserve">Vamos a dedicar más tiempo al </w:t>
      </w:r>
      <w:r>
        <w:rPr>
          <w:b/>
          <w:bCs/>
        </w:rPr>
        <w:t>impuesto sobre la renta</w:t>
      </w:r>
      <w:r>
        <w:t xml:space="preserve"> porque es la figura impositiva (directa e indirecta) que más recauda.</w:t>
      </w:r>
    </w:p>
    <w:p w14:paraId="6DD95D35" w14:textId="01EC8116" w:rsidR="00E47C84" w:rsidRPr="00E47C84" w:rsidRDefault="00E47C84" w:rsidP="00E47C84">
      <w:pPr>
        <w:pStyle w:val="Ttuloimagen"/>
        <w:rPr>
          <w:i/>
          <w:iCs/>
          <w:smallCaps w:val="0"/>
        </w:rPr>
      </w:pPr>
      <w:bookmarkStart w:id="12" w:name="_Hlk147307659"/>
      <w:r>
        <w:t>Imagen </w:t>
      </w:r>
      <w:r>
        <w:fldChar w:fldCharType="begin"/>
      </w:r>
      <w:r>
        <w:instrText xml:space="preserve"> SEQ Ilustración \* ARABIC </w:instrText>
      </w:r>
      <w:r>
        <w:fldChar w:fldCharType="separate"/>
      </w:r>
      <w:r w:rsidR="00CA64DA">
        <w:t>1</w:t>
      </w:r>
      <w:r>
        <w:fldChar w:fldCharType="end"/>
      </w:r>
      <w:r>
        <w:rPr>
          <w:smallCaps w:val="0"/>
        </w:rPr>
        <w:t xml:space="preserve">.– </w:t>
      </w:r>
      <w:r>
        <w:rPr>
          <w:i/>
          <w:iCs/>
          <w:smallCaps w:val="0"/>
        </w:rPr>
        <w:t>Impuestos directos: Objeto Imponible</w:t>
      </w:r>
    </w:p>
    <w:p w14:paraId="46D99CC9" w14:textId="20154782" w:rsidR="00E47C84" w:rsidRDefault="00E47C84" w:rsidP="00E47C84">
      <w:pPr>
        <w:pStyle w:val="Imagen"/>
        <w:rPr>
          <w:u w:val="single"/>
        </w:rPr>
      </w:pPr>
      <w:r w:rsidRPr="00E47C84">
        <w:t xml:space="preserve"> </w:t>
      </w:r>
      <w:r>
        <w:drawing>
          <wp:inline distT="0" distB="0" distL="0" distR="0" wp14:anchorId="55B9C54C" wp14:editId="37605E7F">
            <wp:extent cx="4368800" cy="2459633"/>
            <wp:effectExtent l="0" t="0" r="0" b="0"/>
            <wp:docPr id="678586654"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86654" name="Imagen 1" descr="Tabla&#10;&#10;Descripción generada automáticamente"/>
                    <pic:cNvPicPr/>
                  </pic:nvPicPr>
                  <pic:blipFill>
                    <a:blip r:embed="rId8"/>
                    <a:stretch>
                      <a:fillRect/>
                    </a:stretch>
                  </pic:blipFill>
                  <pic:spPr>
                    <a:xfrm>
                      <a:off x="0" y="0"/>
                      <a:ext cx="4378718" cy="2465217"/>
                    </a:xfrm>
                    <a:prstGeom prst="rect">
                      <a:avLst/>
                    </a:prstGeom>
                  </pic:spPr>
                </pic:pic>
              </a:graphicData>
            </a:graphic>
          </wp:inline>
        </w:drawing>
      </w:r>
    </w:p>
    <w:p w14:paraId="25609F77" w14:textId="7D5CAB0B" w:rsidR="00E47C84" w:rsidRPr="000F4CE6" w:rsidRDefault="00E47C84" w:rsidP="00E47C84">
      <w:pPr>
        <w:pStyle w:val="PiedeImagen"/>
        <w:rPr>
          <w:i w:val="0"/>
          <w:iCs/>
        </w:rPr>
      </w:pPr>
      <w:r>
        <w:t>Fuente</w:t>
      </w:r>
      <w:r>
        <w:rPr>
          <w:i w:val="0"/>
          <w:iCs/>
        </w:rPr>
        <w:t xml:space="preserve">: </w:t>
      </w:r>
      <w:r w:rsidRPr="000F4CE6">
        <w:rPr>
          <w:i w:val="0"/>
          <w:iCs/>
        </w:rPr>
        <w:t>Albi Ibáñez, E., Paredes Gómez, R. &amp; Rodríguez Ondarza, J. A. (201</w:t>
      </w:r>
      <w:r>
        <w:rPr>
          <w:i w:val="0"/>
          <w:iCs/>
        </w:rPr>
        <w:t>3</w:t>
      </w:r>
      <w:r w:rsidRPr="000F4CE6">
        <w:rPr>
          <w:i w:val="0"/>
          <w:iCs/>
        </w:rPr>
        <w:t xml:space="preserve">). </w:t>
      </w:r>
      <w:r w:rsidRPr="000F4CE6">
        <w:t>Sistema fiscal español I</w:t>
      </w:r>
      <w:r w:rsidRPr="000F4CE6">
        <w:rPr>
          <w:i w:val="0"/>
          <w:iCs/>
        </w:rPr>
        <w:t xml:space="preserve"> (</w:t>
      </w:r>
      <w:r>
        <w:rPr>
          <w:i w:val="0"/>
          <w:iCs/>
        </w:rPr>
        <w:t>4</w:t>
      </w:r>
      <w:r w:rsidRPr="000F4CE6">
        <w:rPr>
          <w:i w:val="0"/>
          <w:iCs/>
        </w:rPr>
        <w:t>ª ed. act). Ariel.</w:t>
      </w:r>
    </w:p>
    <w:p w14:paraId="7D4F7CAF" w14:textId="4BD04720" w:rsidR="00007F55" w:rsidRPr="00986ECE" w:rsidRDefault="008834A2" w:rsidP="007705C2">
      <w:pPr>
        <w:pStyle w:val="Ttulo1"/>
      </w:pPr>
      <w:bookmarkStart w:id="13" w:name="_Toc219417473"/>
      <w:bookmarkEnd w:id="12"/>
      <w:r>
        <w:t>IMPUESTO SOBRE LA RENTA DE LOS HOGARES:</w:t>
      </w:r>
      <w:r>
        <w:br/>
      </w:r>
      <w:r w:rsidR="00007F55">
        <w:t>I</w:t>
      </w:r>
      <w:r w:rsidR="00CB6B24">
        <w:t>MPUESTO SOBRE LA RENTA DE PERSONAS FÍSICAS</w:t>
      </w:r>
      <w:r>
        <w:t xml:space="preserve"> (IRPF)</w:t>
      </w:r>
      <w:bookmarkEnd w:id="13"/>
    </w:p>
    <w:p w14:paraId="61560F25" w14:textId="6F626F31" w:rsidR="00302F90" w:rsidRDefault="00302F90" w:rsidP="007705C2">
      <w:pPr>
        <w:pStyle w:val="Ttulo2"/>
      </w:pPr>
      <w:bookmarkStart w:id="14" w:name="_Toc219417474"/>
      <w:r w:rsidRPr="007705C2">
        <w:t>Aspectos</w:t>
      </w:r>
      <w:r>
        <w:t xml:space="preserve"> generales</w:t>
      </w:r>
      <w:bookmarkEnd w:id="14"/>
    </w:p>
    <w:p w14:paraId="534F097B" w14:textId="1B8F9988" w:rsidR="00E4599F" w:rsidRPr="00986ECE" w:rsidRDefault="00BD5DB0" w:rsidP="007705C2">
      <w:pPr>
        <w:pStyle w:val="Ttulo6"/>
        <w:spacing w:before="0"/>
      </w:pPr>
      <w:bookmarkStart w:id="15" w:name="_Hlk147647652"/>
      <w:r>
        <w:t>Delimitación</w:t>
      </w:r>
    </w:p>
    <w:p w14:paraId="1A2B9CA9" w14:textId="6F01C7A0" w:rsidR="00302F90" w:rsidRDefault="00302F90" w:rsidP="00BD5DB0">
      <w:pPr>
        <w:pStyle w:val="Nivel1SM"/>
        <w:keepNext/>
        <w:spacing w:before="0" w:after="0"/>
      </w:pPr>
      <w:r>
        <w:t>El IRPF es un impuesto</w:t>
      </w:r>
      <w:r w:rsidRPr="00D603F4">
        <w:t xml:space="preserve"> que grava las</w:t>
      </w:r>
      <w:r>
        <w:t xml:space="preserve"> rentas de las personas físicas y tiene las siguientes características:</w:t>
      </w:r>
    </w:p>
    <w:p w14:paraId="420C2700" w14:textId="2E8B699B" w:rsidR="008D6558" w:rsidRPr="00856CE1" w:rsidRDefault="008D6558" w:rsidP="00856CE1">
      <w:pPr>
        <w:pStyle w:val="Nivel2SM"/>
      </w:pPr>
      <w:r w:rsidRPr="00BD5DB0">
        <w:rPr>
          <w:i/>
          <w:iCs/>
          <w:u w:val="single"/>
        </w:rPr>
        <w:t>Según el sujeto pasivo</w:t>
      </w:r>
      <w:r w:rsidRPr="00BD5DB0">
        <w:t xml:space="preserve">: </w:t>
      </w:r>
      <w:r w:rsidRPr="00BD5DB0">
        <w:rPr>
          <w:b/>
        </w:rPr>
        <w:t>Personal</w:t>
      </w:r>
      <w:r w:rsidR="00BD5DB0" w:rsidRPr="00BD5DB0">
        <w:rPr>
          <w:bCs/>
        </w:rPr>
        <w:t xml:space="preserve">, pues </w:t>
      </w:r>
      <w:r w:rsidR="00856CE1">
        <w:rPr>
          <w:bCs/>
        </w:rPr>
        <w:t xml:space="preserve">su </w:t>
      </w:r>
      <w:r w:rsidR="00856CE1">
        <w:t xml:space="preserve">hecho imponible viene establecido en referencia a una </w:t>
      </w:r>
      <w:r w:rsidR="00856CE1" w:rsidRPr="005D33FA">
        <w:t xml:space="preserve">persona física </w:t>
      </w:r>
      <w:r w:rsidR="00856CE1">
        <w:t xml:space="preserve">(IRPF) </w:t>
      </w:r>
      <w:r w:rsidR="00856CE1" w:rsidRPr="005D33FA">
        <w:t>o jurídica</w:t>
      </w:r>
      <w:r w:rsidR="00856CE1">
        <w:t xml:space="preserve"> (Impuesto de Sociedades)</w:t>
      </w:r>
      <w:r w:rsidRPr="00856CE1">
        <w:t>.</w:t>
      </w:r>
    </w:p>
    <w:p w14:paraId="427DB3A2" w14:textId="364E1D03" w:rsidR="00302F90" w:rsidRPr="001E5074" w:rsidRDefault="008D6558" w:rsidP="00BD5DB0">
      <w:pPr>
        <w:pStyle w:val="Nivel2SM"/>
      </w:pPr>
      <w:r w:rsidRPr="00BD5DB0">
        <w:rPr>
          <w:i/>
          <w:iCs/>
          <w:u w:val="single"/>
        </w:rPr>
        <w:t>Según el hecho imponible</w:t>
      </w:r>
      <w:r w:rsidRPr="00BD5DB0">
        <w:t xml:space="preserve">: </w:t>
      </w:r>
      <w:r w:rsidR="00302F90" w:rsidRPr="00BD5DB0">
        <w:rPr>
          <w:b/>
        </w:rPr>
        <w:t>Directo</w:t>
      </w:r>
      <w:r w:rsidR="00BD5DB0" w:rsidRPr="00BD5DB0">
        <w:rPr>
          <w:bCs/>
        </w:rPr>
        <w:t>,</w:t>
      </w:r>
      <w:r w:rsidR="00BD5DB0">
        <w:rPr>
          <w:bCs/>
        </w:rPr>
        <w:t xml:space="preserve"> pues</w:t>
      </w:r>
      <w:r w:rsidR="00BD5DB0">
        <w:t xml:space="preserve"> g</w:t>
      </w:r>
      <w:r w:rsidR="00302F90">
        <w:t>rava la manifestación directa de la capacidad económica.</w:t>
      </w:r>
    </w:p>
    <w:p w14:paraId="0A0E5989" w14:textId="6E3BE29E" w:rsidR="00302F90" w:rsidRPr="003F3DC9" w:rsidRDefault="008D6558" w:rsidP="00BD5DB0">
      <w:pPr>
        <w:pStyle w:val="Nivel2SM"/>
      </w:pPr>
      <w:r w:rsidRPr="00BD5DB0">
        <w:rPr>
          <w:i/>
          <w:iCs/>
          <w:u w:val="single"/>
        </w:rPr>
        <w:t xml:space="preserve">Según el </w:t>
      </w:r>
      <w:r w:rsidR="00856CE1">
        <w:rPr>
          <w:i/>
          <w:iCs/>
          <w:u w:val="single"/>
        </w:rPr>
        <w:t>tratamiento de la base</w:t>
      </w:r>
      <w:r w:rsidRPr="00BD5DB0">
        <w:rPr>
          <w:i/>
          <w:iCs/>
          <w:u w:val="single"/>
        </w:rPr>
        <w:t xml:space="preserve"> imponible</w:t>
      </w:r>
      <w:r w:rsidRPr="00BD5DB0">
        <w:t xml:space="preserve">: </w:t>
      </w:r>
      <w:r w:rsidR="00302F90" w:rsidRPr="00BD5DB0">
        <w:rPr>
          <w:b/>
        </w:rPr>
        <w:t>Analítico</w:t>
      </w:r>
      <w:r w:rsidR="00BD5DB0" w:rsidRPr="00BD5DB0">
        <w:rPr>
          <w:bCs/>
        </w:rPr>
        <w:t>,</w:t>
      </w:r>
      <w:r w:rsidR="00BD5DB0">
        <w:rPr>
          <w:bCs/>
        </w:rPr>
        <w:t xml:space="preserve"> pues l</w:t>
      </w:r>
      <w:r w:rsidR="00302F90">
        <w:t>os diferentes hechos imponibles reciben un tratamiento diferenciado según su origen.</w:t>
      </w:r>
      <w:r w:rsidR="00856CE1">
        <w:t xml:space="preserve"> El IRPF realiza un desdoblamiento de la base liquidable en una base general y otra del ahorro, sometidas a tarifas diferentes, lo que hace que el IRPF sea más bien un impuesto analítico en la actualidad.</w:t>
      </w:r>
    </w:p>
    <w:p w14:paraId="49BE08BB" w14:textId="26B9C3D3" w:rsidR="00302F90" w:rsidRPr="007841D3" w:rsidRDefault="008D6558" w:rsidP="00BD5DB0">
      <w:pPr>
        <w:pStyle w:val="Nivel2SM"/>
      </w:pPr>
      <w:r w:rsidRPr="00BD5DB0">
        <w:rPr>
          <w:i/>
          <w:iCs/>
          <w:u w:val="single"/>
        </w:rPr>
        <w:t>Según el tipo de gravamen</w:t>
      </w:r>
      <w:r w:rsidRPr="00BD5DB0">
        <w:t xml:space="preserve">: </w:t>
      </w:r>
      <w:r w:rsidR="00302F90" w:rsidRPr="00BD5DB0">
        <w:rPr>
          <w:b/>
        </w:rPr>
        <w:t>Progresivo</w:t>
      </w:r>
      <w:r w:rsidR="00BD5DB0" w:rsidRPr="00BD5DB0">
        <w:rPr>
          <w:bCs/>
        </w:rPr>
        <w:t>, pues</w:t>
      </w:r>
      <w:r w:rsidR="00BD5DB0">
        <w:rPr>
          <w:bCs/>
        </w:rPr>
        <w:t xml:space="preserve"> a</w:t>
      </w:r>
      <w:r w:rsidR="00302F90" w:rsidRPr="001E5074">
        <w:t xml:space="preserve"> </w:t>
      </w:r>
      <w:r w:rsidR="00302F90" w:rsidRPr="007841D3">
        <w:t>mayor base imponible se tributa en mayor proporción, es decir, se aplicará un mayor porcentaje de retención.</w:t>
      </w:r>
    </w:p>
    <w:p w14:paraId="3337143E" w14:textId="454BC52D" w:rsidR="008D6558" w:rsidRPr="007841D3" w:rsidRDefault="008D6558" w:rsidP="00BD5DB0">
      <w:pPr>
        <w:pStyle w:val="Nivel2SM"/>
      </w:pPr>
      <w:r w:rsidRPr="00BD5DB0">
        <w:rPr>
          <w:i/>
          <w:iCs/>
          <w:u w:val="single"/>
        </w:rPr>
        <w:t>Según la cuota</w:t>
      </w:r>
      <w:r w:rsidRPr="00BD5DB0">
        <w:t>:</w:t>
      </w:r>
      <w:r w:rsidRPr="00354D9A">
        <w:t xml:space="preserve"> </w:t>
      </w:r>
      <w:r w:rsidRPr="00354D9A">
        <w:rPr>
          <w:b/>
        </w:rPr>
        <w:t>Subjetivo</w:t>
      </w:r>
      <w:r w:rsidR="00BD5DB0" w:rsidRPr="00354D9A">
        <w:rPr>
          <w:bCs/>
        </w:rPr>
        <w:t xml:space="preserve">, pues </w:t>
      </w:r>
      <w:r w:rsidR="00BD5DB0" w:rsidRPr="00354D9A">
        <w:t>l</w:t>
      </w:r>
      <w:r w:rsidRPr="00354D9A">
        <w:t>a cuota liquidable tiene en cuenta las condiciones físicas del contribuyente</w:t>
      </w:r>
      <w:r w:rsidRPr="007841D3">
        <w:t xml:space="preserve"> de una forma particular.</w:t>
      </w:r>
    </w:p>
    <w:p w14:paraId="18BD5A24" w14:textId="01D16557" w:rsidR="008A5C06" w:rsidRDefault="008D6558" w:rsidP="00BD5DB0">
      <w:pPr>
        <w:pStyle w:val="Nivel2SM"/>
      </w:pPr>
      <w:r w:rsidRPr="00BD5DB0">
        <w:rPr>
          <w:i/>
          <w:iCs/>
          <w:u w:val="single"/>
        </w:rPr>
        <w:t xml:space="preserve">Según </w:t>
      </w:r>
      <w:r w:rsidR="00DA3B6A">
        <w:rPr>
          <w:i/>
          <w:iCs/>
          <w:u w:val="single"/>
        </w:rPr>
        <w:t>la frecuencia de recaudación</w:t>
      </w:r>
      <w:r w:rsidRPr="00BD5DB0">
        <w:t xml:space="preserve">: </w:t>
      </w:r>
      <w:r w:rsidR="00302F90" w:rsidRPr="00BD5DB0">
        <w:rPr>
          <w:b/>
        </w:rPr>
        <w:t>Periódico</w:t>
      </w:r>
      <w:r w:rsidR="00BD5DB0" w:rsidRPr="00BD5DB0">
        <w:rPr>
          <w:bCs/>
        </w:rPr>
        <w:t>, pues</w:t>
      </w:r>
      <w:r w:rsidR="00BD5DB0">
        <w:rPr>
          <w:bCs/>
        </w:rPr>
        <w:t xml:space="preserve"> se trata de un h</w:t>
      </w:r>
      <w:r w:rsidR="00302F90">
        <w:t>echo imponible continuo y periodificado</w:t>
      </w:r>
      <w:r w:rsidR="00302F90" w:rsidRPr="001E5074">
        <w:t>.</w:t>
      </w:r>
    </w:p>
    <w:p w14:paraId="74F154D2" w14:textId="54C5E331" w:rsidR="00DA3B6A" w:rsidRDefault="00DA3B6A" w:rsidP="00DA3B6A">
      <w:pPr>
        <w:pStyle w:val="Nivel2SM"/>
      </w:pPr>
      <w:r w:rsidRPr="00BD5DB0">
        <w:rPr>
          <w:i/>
          <w:iCs/>
          <w:u w:val="single"/>
        </w:rPr>
        <w:t xml:space="preserve">Según </w:t>
      </w:r>
      <w:r>
        <w:rPr>
          <w:i/>
          <w:iCs/>
          <w:u w:val="single"/>
        </w:rPr>
        <w:t>el momento de recaudación</w:t>
      </w:r>
      <w:r w:rsidRPr="00BD5DB0">
        <w:t xml:space="preserve">: </w:t>
      </w:r>
      <w:r>
        <w:rPr>
          <w:b/>
        </w:rPr>
        <w:t>Diferido</w:t>
      </w:r>
      <w:r w:rsidRPr="00BD5DB0">
        <w:rPr>
          <w:bCs/>
        </w:rPr>
        <w:t>, pues</w:t>
      </w:r>
      <w:r>
        <w:rPr>
          <w:bCs/>
        </w:rPr>
        <w:t xml:space="preserve"> se satisfacen posteriormente al momento en que se genera el devengo</w:t>
      </w:r>
      <w:r w:rsidRPr="001E5074">
        <w:t>.</w:t>
      </w:r>
    </w:p>
    <w:p w14:paraId="7E42DCAD" w14:textId="76D2E1D1" w:rsidR="008A5C06" w:rsidRPr="00986ECE" w:rsidRDefault="008A5C06" w:rsidP="00F94CE1">
      <w:pPr>
        <w:pStyle w:val="Ttulo6"/>
      </w:pPr>
      <w:r w:rsidRPr="00302F90">
        <w:t>Importancia</w:t>
      </w:r>
    </w:p>
    <w:p w14:paraId="6618DF91" w14:textId="77777777" w:rsidR="00302F90" w:rsidRDefault="00302F90" w:rsidP="00974F84">
      <w:pPr>
        <w:pStyle w:val="Nivel2SM"/>
        <w:keepNext/>
        <w:spacing w:after="0"/>
      </w:pPr>
      <w:r>
        <w:t>El IRPF es un componente fundamental de los sistemas fiscales modernos por varios motivos:</w:t>
      </w:r>
    </w:p>
    <w:p w14:paraId="033C4D50" w14:textId="31EECF18" w:rsidR="00302F90" w:rsidRDefault="00DA3B6A" w:rsidP="009F0227">
      <w:pPr>
        <w:pStyle w:val="Nivel3SM"/>
        <w:keepNext/>
      </w:pPr>
      <w:r>
        <w:rPr>
          <w:i/>
          <w:iCs/>
          <w:u w:val="single"/>
        </w:rPr>
        <w:t>Desde un punto de vista cuantitativo</w:t>
      </w:r>
      <w:r w:rsidRPr="00DA3B6A">
        <w:rPr>
          <w:i/>
          <w:iCs/>
        </w:rPr>
        <w:t xml:space="preserve">, </w:t>
      </w:r>
      <w:r w:rsidRPr="00DA3B6A">
        <w:t>desta</w:t>
      </w:r>
      <w:r>
        <w:t>c</w:t>
      </w:r>
      <w:r w:rsidRPr="00DA3B6A">
        <w:t>a por s</w:t>
      </w:r>
      <w:r w:rsidR="00302F90" w:rsidRPr="00DA3B6A">
        <w:t xml:space="preserve">u </w:t>
      </w:r>
      <w:r w:rsidR="00302F90" w:rsidRPr="00DA3B6A">
        <w:rPr>
          <w:i/>
          <w:iCs/>
        </w:rPr>
        <w:t>capacidad recaudatoria</w:t>
      </w:r>
      <w:r w:rsidR="00363D1E">
        <w:t xml:space="preserve">: </w:t>
      </w:r>
      <w:r>
        <w:t>En 2023, están presupuestados 113</w:t>
      </w:r>
      <w:r w:rsidR="00302F90">
        <w:t>.</w:t>
      </w:r>
      <w:r>
        <w:t>123</w:t>
      </w:r>
      <w:r w:rsidR="00363D1E">
        <w:t> millones de euros</w:t>
      </w:r>
      <w:r w:rsidR="00302F90">
        <w:t xml:space="preserve"> en </w:t>
      </w:r>
      <w:r>
        <w:t>concepto de IRPF</w:t>
      </w:r>
      <w:r w:rsidR="00302F90">
        <w:t xml:space="preserve">, esto es, </w:t>
      </w:r>
      <w:r w:rsidR="00B52FDC">
        <w:t>43,05</w:t>
      </w:r>
      <w:r w:rsidR="00986ECE">
        <w:t> %</w:t>
      </w:r>
      <w:r w:rsidR="00302F90">
        <w:t xml:space="preserve"> de los </w:t>
      </w:r>
      <w:r>
        <w:t>262</w:t>
      </w:r>
      <w:r w:rsidR="00302F90">
        <w:t>.</w:t>
      </w:r>
      <w:r w:rsidR="00B52FDC">
        <w:t>781 millones de euros</w:t>
      </w:r>
      <w:r w:rsidR="00302F90">
        <w:t xml:space="preserve"> de ingresos totales tributarios de las AAPP</w:t>
      </w:r>
      <w:r w:rsidR="00B52FDC">
        <w:t xml:space="preserve"> y 36,8 % de los ingresos no</w:t>
      </w:r>
      <w:r w:rsidR="00F4005B">
        <w:t> </w:t>
      </w:r>
      <w:r w:rsidR="00B52FDC">
        <w:t>financieros</w:t>
      </w:r>
      <w:r w:rsidR="00302F90">
        <w:t>.</w:t>
      </w:r>
    </w:p>
    <w:p w14:paraId="347E09B9" w14:textId="01807D9D" w:rsidR="00613104" w:rsidRDefault="009F0227" w:rsidP="00613104">
      <w:pPr>
        <w:pStyle w:val="Nivel4"/>
        <w:keepNext/>
        <w:ind w:left="1474"/>
      </w:pPr>
      <w:r>
        <w:t xml:space="preserve">Desde el punto de vista recaudatorio es el impuesto más importante en países desarrollados. </w:t>
      </w:r>
      <w:r w:rsidR="00613104">
        <w:t>En España se recauda menos que la media de la UE debido a:</w:t>
      </w:r>
    </w:p>
    <w:p w14:paraId="615D92D6" w14:textId="1C6AA0DA" w:rsidR="00613104" w:rsidRDefault="00613104" w:rsidP="00613104">
      <w:pPr>
        <w:pStyle w:val="Nivel5"/>
        <w:ind w:left="1871"/>
      </w:pPr>
      <w:r>
        <w:t>Existencia de deducciones.</w:t>
      </w:r>
    </w:p>
    <w:p w14:paraId="005AFD71" w14:textId="3CE966D8" w:rsidR="00613104" w:rsidRDefault="009F0227" w:rsidP="00613104">
      <w:pPr>
        <w:pStyle w:val="Nivel5"/>
        <w:ind w:left="1871"/>
      </w:pPr>
      <w:r>
        <w:lastRenderedPageBreak/>
        <w:t>Los s</w:t>
      </w:r>
      <w:r w:rsidR="00613104">
        <w:t>alarios inferiores a 1</w:t>
      </w:r>
      <w:r>
        <w:t>5</w:t>
      </w:r>
      <w:r w:rsidR="00613104">
        <w:t>.000 € anuales están exentos del IRPF y los tramos más bajos aplican tipos reducidos.</w:t>
      </w:r>
    </w:p>
    <w:p w14:paraId="50504B24" w14:textId="22DA9200" w:rsidR="00613104" w:rsidRDefault="00613104" w:rsidP="00613104">
      <w:pPr>
        <w:pStyle w:val="Nivel4"/>
        <w:ind w:left="1474"/>
      </w:pPr>
      <w:r>
        <w:t>Finalmente, el peso del IRPF sobre el total de ingresos públ</w:t>
      </w:r>
      <w:r w:rsidR="009F0227">
        <w:t>icos es menor en los países en desarrollo por deficiencias administrativas y la mayor presencia de economía sumergida.</w:t>
      </w:r>
    </w:p>
    <w:p w14:paraId="3782853A" w14:textId="5A4315BD" w:rsidR="009F0227" w:rsidRDefault="009F0227" w:rsidP="009F0227">
      <w:pPr>
        <w:pStyle w:val="Nivel3SM"/>
        <w:keepNext/>
      </w:pPr>
      <w:r>
        <w:rPr>
          <w:i/>
          <w:iCs/>
          <w:u w:val="single"/>
        </w:rPr>
        <w:t xml:space="preserve">Desde un punto de vista </w:t>
      </w:r>
      <w:r w:rsidRPr="009F0227">
        <w:rPr>
          <w:i/>
          <w:iCs/>
          <w:u w:val="single"/>
        </w:rPr>
        <w:t>cualitativo</w:t>
      </w:r>
      <w:r>
        <w:t>, destaca en 2 </w:t>
      </w:r>
      <w:r w:rsidR="003061EA">
        <w:t>ámbitos</w:t>
      </w:r>
      <w:r>
        <w:t>:</w:t>
      </w:r>
    </w:p>
    <w:p w14:paraId="21538ED3" w14:textId="253DD2D8" w:rsidR="00302F90" w:rsidRDefault="00302F90" w:rsidP="009F0227">
      <w:pPr>
        <w:pStyle w:val="Nivel4"/>
        <w:ind w:left="1474"/>
      </w:pPr>
      <w:r w:rsidRPr="009F0227">
        <w:rPr>
          <w:i/>
          <w:iCs/>
        </w:rPr>
        <w:t>Mecanismo de redistribución</w:t>
      </w:r>
      <w:r w:rsidR="00363D1E">
        <w:t xml:space="preserve">: </w:t>
      </w:r>
      <w:r>
        <w:t>Es uno de los principales mecanismos de redistribución del sector público.</w:t>
      </w:r>
    </w:p>
    <w:p w14:paraId="5CA81610" w14:textId="63989B18" w:rsidR="00741350" w:rsidRDefault="00302F90" w:rsidP="009F0227">
      <w:pPr>
        <w:pStyle w:val="Nivel4"/>
        <w:ind w:left="1474"/>
      </w:pPr>
      <w:r w:rsidRPr="009F0227">
        <w:rPr>
          <w:i/>
          <w:iCs/>
        </w:rPr>
        <w:t>Estabilizador automático</w:t>
      </w:r>
      <w:r w:rsidR="00363D1E">
        <w:t xml:space="preserve">: </w:t>
      </w:r>
      <w:r>
        <w:t>Es un importante estabilizador automático con carácter procíclico y elasticidad al ciclo mayor a 1.</w:t>
      </w:r>
    </w:p>
    <w:bookmarkEnd w:id="15"/>
    <w:p w14:paraId="27B83C25" w14:textId="6BEAB97C" w:rsidR="00EF6BEC" w:rsidRDefault="00EF6BEC" w:rsidP="00EF6BEC">
      <w:pPr>
        <w:pStyle w:val="Ttulo6"/>
      </w:pPr>
      <w:r>
        <w:t>Contexto histórico del impuesto sobre la renta de los hogares</w:t>
      </w:r>
    </w:p>
    <w:p w14:paraId="710C5AD5" w14:textId="55ACEE5D" w:rsidR="00EF6BEC" w:rsidRDefault="00EF6BEC" w:rsidP="00EF6BEC">
      <w:pPr>
        <w:pStyle w:val="Nivel1SM"/>
        <w:spacing w:before="0"/>
      </w:pPr>
      <w:r>
        <w:t>El impuestos sobre la renta es un impuesto que ha sabido adaptarse a las cambiantes circunstancias de la estructura económica.</w:t>
      </w:r>
    </w:p>
    <w:p w14:paraId="717EDA96" w14:textId="56A458BF" w:rsidR="00EF6BEC" w:rsidRDefault="00EF6BEC" w:rsidP="00EF6BEC">
      <w:pPr>
        <w:pStyle w:val="Ttulo7"/>
        <w:numPr>
          <w:ilvl w:val="0"/>
          <w:numId w:val="17"/>
        </w:numPr>
        <w:tabs>
          <w:tab w:val="left" w:pos="2018"/>
        </w:tabs>
        <w:ind w:left="1134" w:hanging="113"/>
      </w:pPr>
      <w:r>
        <w:t>Antecedentes</w:t>
      </w:r>
    </w:p>
    <w:p w14:paraId="54AF04C9" w14:textId="77777777" w:rsidR="00395BE6" w:rsidRDefault="00EF6BEC" w:rsidP="00395BE6">
      <w:pPr>
        <w:pStyle w:val="Nivel1SM"/>
        <w:keepNext/>
        <w:spacing w:before="0" w:after="0"/>
      </w:pPr>
      <w:r>
        <w:t>La implantación del primer impuesto sobre la renta se produjo en Gran Bretaña en 1799, como impuesto clave para sufragar gastos bélicos y mitigar tensiones sociales.</w:t>
      </w:r>
    </w:p>
    <w:p w14:paraId="27CF64AD" w14:textId="62BF01A5" w:rsidR="00EF6BEC" w:rsidRDefault="00EF6BEC" w:rsidP="00395BE6">
      <w:pPr>
        <w:pStyle w:val="Nivel2SM"/>
      </w:pPr>
      <w:r>
        <w:t>De esta manera en su base se concebía como un instrumento de doble filo, por un lado, un instrumento recaudador, y por otro, uno redistributivo</w:t>
      </w:r>
      <w:r w:rsidR="00395BE6">
        <w:t>.</w:t>
      </w:r>
    </w:p>
    <w:p w14:paraId="3378E40E" w14:textId="3E372B49" w:rsidR="00EF6BEC" w:rsidRDefault="00EF6BEC" w:rsidP="00395BE6">
      <w:pPr>
        <w:pStyle w:val="Nivel2SM"/>
      </w:pPr>
      <w:r>
        <w:t>Sin embargo, el impuesto sobre la renta no se consolida hasta el siglo</w:t>
      </w:r>
      <w:r w:rsidR="00395BE6">
        <w:t> </w:t>
      </w:r>
      <w:r>
        <w:t>XX.</w:t>
      </w:r>
    </w:p>
    <w:p w14:paraId="22BC7AA9" w14:textId="0F7A1104" w:rsidR="00EF6BEC" w:rsidRDefault="00EF6BEC" w:rsidP="00EF6BEC">
      <w:pPr>
        <w:pStyle w:val="Ttulo7"/>
        <w:numPr>
          <w:ilvl w:val="0"/>
          <w:numId w:val="18"/>
        </w:numPr>
        <w:ind w:left="1134" w:hanging="113"/>
      </w:pPr>
      <w:r>
        <w:t>Orígenes</w:t>
      </w:r>
    </w:p>
    <w:p w14:paraId="6B735EAB" w14:textId="72647A77" w:rsidR="00EF6BEC" w:rsidRDefault="00EF6BEC" w:rsidP="00395BE6">
      <w:pPr>
        <w:pStyle w:val="Nivel1SM"/>
        <w:spacing w:before="0"/>
      </w:pPr>
      <w:r>
        <w:t xml:space="preserve">En 1909 se incluyó en la Ley de Presupuesto Británica y en 1913 en la Ley de impuesto a la renta federal de los EEUU. En ambos incluye una estructura progresiva y un sistema de gestión </w:t>
      </w:r>
      <w:r w:rsidR="00395BE6">
        <w:t>administrativa.</w:t>
      </w:r>
    </w:p>
    <w:p w14:paraId="4EC4F272" w14:textId="1CFBEA94" w:rsidR="00EF6BEC" w:rsidRDefault="00EF6BEC" w:rsidP="00EF6BEC">
      <w:pPr>
        <w:pStyle w:val="Ttulo7"/>
        <w:numPr>
          <w:ilvl w:val="0"/>
          <w:numId w:val="18"/>
        </w:numPr>
        <w:ind w:left="1134" w:hanging="113"/>
      </w:pPr>
      <w:r>
        <w:t>Primeras modificaciones</w:t>
      </w:r>
    </w:p>
    <w:p w14:paraId="5C051C21" w14:textId="2C869092" w:rsidR="00EF6BEC" w:rsidRDefault="00EF6BEC" w:rsidP="00395BE6">
      <w:pPr>
        <w:pStyle w:val="Nivel1SM"/>
        <w:spacing w:before="0"/>
      </w:pPr>
      <w:r>
        <w:t>La modificación del impuesto se dio por primera vez en EEUU, con la adm</w:t>
      </w:r>
      <w:r w:rsidR="00395BE6">
        <w:t>inistració</w:t>
      </w:r>
      <w:r>
        <w:t xml:space="preserve">n </w:t>
      </w:r>
      <w:r w:rsidRPr="004C6175">
        <w:rPr>
          <w:smallCaps/>
        </w:rPr>
        <w:t>Roosevelt</w:t>
      </w:r>
      <w:r>
        <w:t xml:space="preserve">, alrededor de la </w:t>
      </w:r>
      <w:r w:rsidR="00395BE6">
        <w:t>Segunda Guerra Mundial</w:t>
      </w:r>
      <w:r>
        <w:t>, en paralelo con la ampliación de la participación democrática y de la acción del Estado mediante programas de bienestar social. Sustentado por el éxito del New Deal y la reconstrucción de Europa occidental, el crecim</w:t>
      </w:r>
      <w:r w:rsidR="00395BE6">
        <w:t>i</w:t>
      </w:r>
      <w:r>
        <w:t>ent</w:t>
      </w:r>
      <w:r w:rsidR="00395BE6">
        <w:t>o</w:t>
      </w:r>
      <w:r>
        <w:t xml:space="preserve"> de los gastos público</w:t>
      </w:r>
      <w:r w:rsidR="00E53F3E">
        <w:t>s</w:t>
      </w:r>
      <w:r>
        <w:t xml:space="preserve"> generó un aumento de la carga fiscal. Esta presión somet</w:t>
      </w:r>
      <w:r w:rsidR="00395BE6">
        <w:t>ió</w:t>
      </w:r>
      <w:r>
        <w:t xml:space="preserve"> al impuesto a un alza de los tipos y a la vez a un juego de complejas exenciones y tratamientos especiales</w:t>
      </w:r>
    </w:p>
    <w:p w14:paraId="7DD2AF36" w14:textId="532048BD" w:rsidR="00EF6BEC" w:rsidRDefault="00EF6BEC" w:rsidP="00EF6BEC">
      <w:pPr>
        <w:pStyle w:val="Ttulo7"/>
        <w:numPr>
          <w:ilvl w:val="0"/>
          <w:numId w:val="18"/>
        </w:numPr>
        <w:ind w:left="1134" w:hanging="113"/>
      </w:pPr>
      <w:r>
        <w:t>Contrarreforma</w:t>
      </w:r>
    </w:p>
    <w:p w14:paraId="7DED37C3" w14:textId="1ACE3504" w:rsidR="00EF6BEC" w:rsidRDefault="00395BE6" w:rsidP="00395BE6">
      <w:pPr>
        <w:pStyle w:val="Nivel1SM"/>
        <w:spacing w:before="0"/>
      </w:pPr>
      <w:r>
        <w:t xml:space="preserve">En los años 80 se produce una </w:t>
      </w:r>
      <w:r w:rsidRPr="00395BE6">
        <w:rPr>
          <w:i/>
          <w:iCs/>
        </w:rPr>
        <w:t>contrarreforma</w:t>
      </w:r>
      <w:r>
        <w:t>, i</w:t>
      </w:r>
      <w:r w:rsidR="00EF6BEC">
        <w:t xml:space="preserve">niciada por las reformas de la primera ministra </w:t>
      </w:r>
      <w:r w:rsidR="00EF6BEC" w:rsidRPr="00C63AC0">
        <w:rPr>
          <w:smallCaps/>
        </w:rPr>
        <w:t>Thatcher</w:t>
      </w:r>
      <w:r w:rsidR="00EF6BEC">
        <w:t>, reforzadas por la adm</w:t>
      </w:r>
      <w:r>
        <w:t>inistració</w:t>
      </w:r>
      <w:r w:rsidR="00EF6BEC">
        <w:t xml:space="preserve">n </w:t>
      </w:r>
      <w:r w:rsidR="00EF6BEC" w:rsidRPr="004C6175">
        <w:rPr>
          <w:smallCaps/>
        </w:rPr>
        <w:t>Reagan</w:t>
      </w:r>
      <w:r w:rsidR="00EF6BEC">
        <w:t>, en los años</w:t>
      </w:r>
      <w:r>
        <w:t> </w:t>
      </w:r>
      <w:r w:rsidR="00EF6BEC">
        <w:t xml:space="preserve">80, que devolvieron </w:t>
      </w:r>
      <w:r w:rsidR="00206AC7">
        <w:t>(</w:t>
      </w:r>
      <w:r w:rsidR="00EF6BEC">
        <w:t>por decirlo de alguna manera</w:t>
      </w:r>
      <w:r w:rsidR="00206AC7">
        <w:t xml:space="preserve">) </w:t>
      </w:r>
      <w:r w:rsidR="00EF6BEC">
        <w:t>la composición del tributo a sus orígenes mediante una reducción de tipos impositivos</w:t>
      </w:r>
      <w:r w:rsidR="00FF13FA">
        <w:t>.</w:t>
      </w:r>
    </w:p>
    <w:p w14:paraId="761D6215" w14:textId="77777777" w:rsidR="00395BE6" w:rsidRDefault="00EF6BEC" w:rsidP="00EF6BEC">
      <w:pPr>
        <w:pStyle w:val="Ttulo7"/>
        <w:numPr>
          <w:ilvl w:val="0"/>
          <w:numId w:val="18"/>
        </w:numPr>
        <w:ind w:left="1134" w:hanging="113"/>
      </w:pPr>
      <w:r>
        <w:t>Cuarta reformulación</w:t>
      </w:r>
    </w:p>
    <w:p w14:paraId="47ECF95C" w14:textId="288A205F" w:rsidR="00EF6BEC" w:rsidRDefault="00395BE6" w:rsidP="00395BE6">
      <w:pPr>
        <w:pStyle w:val="Nivel1SM"/>
        <w:keepNext/>
        <w:spacing w:before="0" w:after="0"/>
      </w:pPr>
      <w:r>
        <w:t>A</w:t>
      </w:r>
      <w:r w:rsidR="00EF6BEC">
        <w:t xml:space="preserve"> inicios de los </w:t>
      </w:r>
      <w:r w:rsidR="005B1205">
        <w:t>años </w:t>
      </w:r>
      <w:r w:rsidR="00EF6BEC">
        <w:t>90</w:t>
      </w:r>
      <w:r>
        <w:t xml:space="preserve"> se produce una cuarta reformulación</w:t>
      </w:r>
      <w:r w:rsidR="00EF6BEC">
        <w:t>,</w:t>
      </w:r>
      <w:r w:rsidR="00EF6BEC" w:rsidRPr="00EF6BEC">
        <w:t xml:space="preserve"> </w:t>
      </w:r>
      <w:r w:rsidR="00EF6BEC">
        <w:t>basada en:</w:t>
      </w:r>
    </w:p>
    <w:p w14:paraId="1DA39F74" w14:textId="59F4E17B" w:rsidR="00EF6BEC" w:rsidRDefault="00EF6BEC" w:rsidP="00395BE6">
      <w:pPr>
        <w:pStyle w:val="Prrafodelista"/>
        <w:numPr>
          <w:ilvl w:val="0"/>
          <w:numId w:val="19"/>
        </w:numPr>
        <w:spacing w:after="100"/>
        <w:ind w:left="567" w:hanging="113"/>
      </w:pPr>
      <w:r w:rsidRPr="00395BE6">
        <w:rPr>
          <w:i/>
          <w:iCs/>
          <w:u w:val="single"/>
        </w:rPr>
        <w:t>Modelo dual de los países nórdicos</w:t>
      </w:r>
      <w:r>
        <w:t>: Mediante este sistema se divide en dos partes la tradicional base imponible única del IRPF: una para las rentas salariales, gravada a una tarifa progresiva, y otra para las rentas del capital, gravada a un tipo único coincidente con el impuesto de sociedades. Concretamente Dinamarca fue el país pionero, introduci</w:t>
      </w:r>
      <w:r w:rsidR="00C63AC0">
        <w:t>é</w:t>
      </w:r>
      <w:r>
        <w:t>ndole en 1987</w:t>
      </w:r>
      <w:r w:rsidR="00C63AC0">
        <w:t>.</w:t>
      </w:r>
    </w:p>
    <w:p w14:paraId="646C2D27" w14:textId="3632E7D7" w:rsidR="00EF6BEC" w:rsidRDefault="00EF6BEC" w:rsidP="00395BE6">
      <w:pPr>
        <w:pStyle w:val="Prrafodelista"/>
        <w:numPr>
          <w:ilvl w:val="0"/>
          <w:numId w:val="19"/>
        </w:numPr>
        <w:spacing w:after="100"/>
        <w:ind w:left="567" w:hanging="113"/>
      </w:pPr>
      <w:r w:rsidRPr="00395BE6">
        <w:rPr>
          <w:i/>
          <w:iCs/>
          <w:u w:val="single"/>
        </w:rPr>
        <w:t>Impuesto de tasa uniforme</w:t>
      </w:r>
      <w:r w:rsidR="00395BE6" w:rsidRPr="00395BE6">
        <w:rPr>
          <w:i/>
          <w:iCs/>
          <w:u w:val="single"/>
        </w:rPr>
        <w:t xml:space="preserve"> </w:t>
      </w:r>
      <w:r w:rsidRPr="00395BE6">
        <w:rPr>
          <w:i/>
          <w:iCs/>
          <w:u w:val="single"/>
        </w:rPr>
        <w:t xml:space="preserve">(flat </w:t>
      </w:r>
      <w:proofErr w:type="spellStart"/>
      <w:r w:rsidRPr="00395BE6">
        <w:rPr>
          <w:i/>
          <w:iCs/>
          <w:u w:val="single"/>
        </w:rPr>
        <w:t>tax</w:t>
      </w:r>
      <w:proofErr w:type="spellEnd"/>
      <w:r w:rsidRPr="00395BE6">
        <w:rPr>
          <w:i/>
          <w:iCs/>
          <w:u w:val="single"/>
        </w:rPr>
        <w:t>)</w:t>
      </w:r>
      <w:r>
        <w:t xml:space="preserve"> de las economías de transición del socialismo al capitalismo del ex bloque soviético</w:t>
      </w:r>
      <w:r w:rsidR="00C63AC0">
        <w:t>.</w:t>
      </w:r>
    </w:p>
    <w:p w14:paraId="250D2F59" w14:textId="58F6C505" w:rsidR="00EF6BEC" w:rsidRDefault="00EF6BEC" w:rsidP="00C63AC0">
      <w:pPr>
        <w:pStyle w:val="Ttulo7"/>
        <w:numPr>
          <w:ilvl w:val="0"/>
          <w:numId w:val="18"/>
        </w:numPr>
        <w:ind w:left="1134" w:hanging="113"/>
      </w:pPr>
      <w:r>
        <w:t>Hasta la llegada de la crisis f</w:t>
      </w:r>
      <w:r w:rsidR="00395BE6">
        <w:t>inancie</w:t>
      </w:r>
      <w:r>
        <w:t>ra</w:t>
      </w:r>
    </w:p>
    <w:p w14:paraId="05DE3EAE" w14:textId="2F2B9654" w:rsidR="00EF6BEC" w:rsidRDefault="00C63AC0" w:rsidP="00C63AC0">
      <w:pPr>
        <w:pStyle w:val="Nivel1SM"/>
        <w:keepNext/>
        <w:spacing w:before="0" w:after="0"/>
      </w:pPr>
      <w:r>
        <w:t>Hasta la llegada de la crisis financiera</w:t>
      </w:r>
      <w:r w:rsidR="00EF6BEC">
        <w:t xml:space="preserve"> las reformas del IRPF en los </w:t>
      </w:r>
      <w:r>
        <w:t>países desarrollados</w:t>
      </w:r>
      <w:r w:rsidR="00EF6BEC">
        <w:t xml:space="preserve"> tendían a:</w:t>
      </w:r>
    </w:p>
    <w:p w14:paraId="3A17486B" w14:textId="1D576C2E" w:rsidR="00EF6BEC" w:rsidRDefault="00EF6BEC" w:rsidP="00C63AC0">
      <w:pPr>
        <w:pStyle w:val="Nivel2SM"/>
      </w:pPr>
      <w:r>
        <w:t>Reducir número de deducciones con el obj</w:t>
      </w:r>
      <w:r w:rsidR="00C63AC0">
        <w:t>etivo</w:t>
      </w:r>
      <w:r>
        <w:t xml:space="preserve"> de reducir la elusión fiscal</w:t>
      </w:r>
      <w:r w:rsidR="00C63AC0">
        <w:t>.</w:t>
      </w:r>
    </w:p>
    <w:p w14:paraId="2A41F4FC" w14:textId="32FC64B9" w:rsidR="00EF6BEC" w:rsidRDefault="00EF6BEC" w:rsidP="00C63AC0">
      <w:pPr>
        <w:pStyle w:val="Nivel2SM"/>
      </w:pPr>
      <w:r>
        <w:lastRenderedPageBreak/>
        <w:t>Aplanar el número de tramos y aumentar el mínimo exento con el obj</w:t>
      </w:r>
      <w:r w:rsidR="00C63AC0">
        <w:t>etivo</w:t>
      </w:r>
      <w:r>
        <w:t xml:space="preserve"> de ganar sencillez.</w:t>
      </w:r>
    </w:p>
    <w:p w14:paraId="659D5F7A" w14:textId="56435E05" w:rsidR="00EF6BEC" w:rsidRDefault="00EF6BEC" w:rsidP="00C63AC0">
      <w:pPr>
        <w:pStyle w:val="Nivel2SM"/>
      </w:pPr>
      <w:r>
        <w:t>Aplanar la estructura de tipos, aumentando los mínimos y reduciendo los máximos</w:t>
      </w:r>
      <w:r w:rsidR="00C63AC0">
        <w:t>.</w:t>
      </w:r>
    </w:p>
    <w:p w14:paraId="721A4E46" w14:textId="01132371" w:rsidR="00EF6BEC" w:rsidRDefault="00EF6BEC" w:rsidP="00EF6BEC">
      <w:pPr>
        <w:pStyle w:val="Ttulo7"/>
        <w:numPr>
          <w:ilvl w:val="0"/>
          <w:numId w:val="18"/>
        </w:numPr>
        <w:ind w:left="1134" w:hanging="113"/>
      </w:pPr>
      <w:r>
        <w:t>Tras la crisis f</w:t>
      </w:r>
      <w:r w:rsidR="00C63AC0">
        <w:t>inancie</w:t>
      </w:r>
      <w:r>
        <w:t>ra</w:t>
      </w:r>
    </w:p>
    <w:p w14:paraId="7639BCA0" w14:textId="3DDDD78F" w:rsidR="00EF6BEC" w:rsidRDefault="00EF6BEC" w:rsidP="004A7D3E">
      <w:pPr>
        <w:pStyle w:val="Nivel1SM"/>
        <w:spacing w:before="0"/>
      </w:pPr>
      <w:r>
        <w:t>Con la llegada de la crisis y la necesidad de aumentar los IP para hacer frente al mayor GP muchos países reformaron su IRPF e introdujeron nuevos tramos superiores y subieron los tipos. Esta tendencia se frenó en 2014, y desde entonces los movimientos en los tipos a nivel internacional han sido reducidos.</w:t>
      </w:r>
    </w:p>
    <w:p w14:paraId="31A2159A" w14:textId="1141F9AB" w:rsidR="00EF6BEC" w:rsidRPr="00EF6BEC" w:rsidRDefault="00EF6BEC" w:rsidP="004A7D3E">
      <w:pPr>
        <w:pStyle w:val="Nivel1SM"/>
      </w:pPr>
      <w:r>
        <w:t>Algunos países, no obstante, y entre ellos España, sí que han llevado a cabo modificaciones importantes. En nuestro país, tras una subida temporal del tipo máximo al 52</w:t>
      </w:r>
      <w:r w:rsidR="00C63AC0">
        <w:t> </w:t>
      </w:r>
      <w:r>
        <w:t>% entre 2012 y 2014, este bajó al 47</w:t>
      </w:r>
      <w:r w:rsidR="00C63AC0">
        <w:t> </w:t>
      </w:r>
      <w:r>
        <w:t>% en 2015 y al 45</w:t>
      </w:r>
      <w:r w:rsidR="00C63AC0">
        <w:t> </w:t>
      </w:r>
      <w:r>
        <w:t>% en 2016.</w:t>
      </w:r>
    </w:p>
    <w:p w14:paraId="7415F12A" w14:textId="77777777" w:rsidR="00A55879" w:rsidRDefault="00A55879" w:rsidP="00A55879">
      <w:pPr>
        <w:pStyle w:val="Ttulo2"/>
      </w:pPr>
      <w:bookmarkStart w:id="16" w:name="_Toc219417475"/>
      <w:r>
        <w:t>Liquidación del IRPF</w:t>
      </w:r>
      <w:bookmarkEnd w:id="16"/>
    </w:p>
    <w:p w14:paraId="76EEC8B8" w14:textId="3AA160B3" w:rsidR="00E4599F" w:rsidRPr="00986ECE" w:rsidRDefault="003A6ADC" w:rsidP="000E6CED">
      <w:pPr>
        <w:pStyle w:val="Ttulo3"/>
        <w:numPr>
          <w:ilvl w:val="2"/>
          <w:numId w:val="20"/>
        </w:numPr>
        <w:spacing w:before="0"/>
      </w:pPr>
      <w:bookmarkStart w:id="17" w:name="_Toc219417476"/>
      <w:r>
        <w:t>Esquema</w:t>
      </w:r>
      <w:r w:rsidR="00D00F35">
        <w:t xml:space="preserve"> </w:t>
      </w:r>
      <w:r w:rsidR="008D6558">
        <w:t>básic</w:t>
      </w:r>
      <w:r>
        <w:t xml:space="preserve">o </w:t>
      </w:r>
      <w:r w:rsidR="00561E4B">
        <w:t xml:space="preserve">de liquidación </w:t>
      </w:r>
      <w:r w:rsidR="00D00F35">
        <w:t>del IRPF</w:t>
      </w:r>
      <w:bookmarkEnd w:id="17"/>
    </w:p>
    <w:p w14:paraId="5F45C9C3" w14:textId="5EB22B5F" w:rsidR="00D00F35" w:rsidRDefault="00D00F35" w:rsidP="00A55879">
      <w:pPr>
        <w:pStyle w:val="Nivel1SM"/>
        <w:keepNext/>
        <w:spacing w:before="0" w:after="0"/>
      </w:pPr>
      <w:r>
        <w:t xml:space="preserve">El IRPF es un impuesto complejo y tiene numerosos detalles. </w:t>
      </w:r>
      <w:r w:rsidR="00D90D3A">
        <w:t xml:space="preserve">Para la presentación </w:t>
      </w:r>
      <w:r>
        <w:t>seguiremos un enfoque algo más simplificado que nos ayudará a entender el conjunto del impuesto.</w:t>
      </w:r>
    </w:p>
    <w:p w14:paraId="135A1B34" w14:textId="7436B978" w:rsidR="00D00F35" w:rsidRDefault="00D00F35" w:rsidP="00FF42E8">
      <w:pPr>
        <w:pStyle w:val="Nivel2SM"/>
        <w:keepNext/>
        <w:spacing w:after="0"/>
      </w:pPr>
      <w:r>
        <w:t>La liquidación (simplificada) del IRPF que seguiremos es la siguiente:</w:t>
      </w:r>
    </w:p>
    <w:p w14:paraId="60DC5B87" w14:textId="7DC65545" w:rsidR="00D00F35" w:rsidRDefault="00D00F35" w:rsidP="005D208C">
      <w:pPr>
        <w:pStyle w:val="Prrafodelista"/>
        <w:numPr>
          <w:ilvl w:val="0"/>
          <w:numId w:val="21"/>
        </w:numPr>
        <w:spacing w:after="0"/>
        <w:ind w:left="1134" w:hanging="113"/>
      </w:pPr>
      <w:r w:rsidRPr="005D208C">
        <w:rPr>
          <w:i/>
          <w:iCs/>
          <w:u w:val="single"/>
        </w:rPr>
        <w:t xml:space="preserve">Base </w:t>
      </w:r>
      <w:r w:rsidR="005D208C" w:rsidRPr="005D208C">
        <w:rPr>
          <w:i/>
          <w:iCs/>
          <w:u w:val="single"/>
        </w:rPr>
        <w:t>i</w:t>
      </w:r>
      <w:r w:rsidRPr="005D208C">
        <w:rPr>
          <w:i/>
          <w:iCs/>
          <w:u w:val="single"/>
        </w:rPr>
        <w:t>mponible</w:t>
      </w:r>
      <w:r>
        <w:t>:</w:t>
      </w:r>
      <w:r w:rsidR="00FF42E8">
        <w:t xml:space="preserve"> </w:t>
      </w:r>
      <w:r>
        <w:t>Representa el punto de partida y agrega las diferentes rentas recibidas por el agente y sujetas a imposición.</w:t>
      </w:r>
      <w:r w:rsidR="00FF42E8">
        <w:t xml:space="preserve"> </w:t>
      </w:r>
      <w:r>
        <w:t>Al ser un impuesto analítico debemos diferenciar entre la base imponible del ahorro y la base imponible general.</w:t>
      </w:r>
    </w:p>
    <w:p w14:paraId="05A469FE" w14:textId="7DAD3E4B" w:rsidR="00D00F35" w:rsidRDefault="00D00F35" w:rsidP="005D208C">
      <w:pPr>
        <w:pStyle w:val="Prrafodelista"/>
        <w:numPr>
          <w:ilvl w:val="0"/>
          <w:numId w:val="21"/>
        </w:numPr>
        <w:spacing w:after="0"/>
        <w:ind w:left="1134" w:hanging="113"/>
      </w:pPr>
      <w:r w:rsidRPr="005D208C">
        <w:rPr>
          <w:i/>
          <w:iCs/>
          <w:u w:val="single"/>
        </w:rPr>
        <w:t>Base liquidable</w:t>
      </w:r>
      <w:r w:rsidR="00EB4224">
        <w:t>:</w:t>
      </w:r>
      <w:r w:rsidR="00FF42E8">
        <w:t xml:space="preserve"> </w:t>
      </w:r>
      <w:r w:rsidR="00EB4224">
        <w:t>A l</w:t>
      </w:r>
      <w:r>
        <w:t xml:space="preserve">a base imponible se </w:t>
      </w:r>
      <w:r w:rsidR="00EB4224">
        <w:t>le aplican una serie de deducciones obteniendo así la base liquidable sujeta a gravamen.</w:t>
      </w:r>
    </w:p>
    <w:p w14:paraId="2F07C9D0" w14:textId="0C65665C" w:rsidR="00EB4224" w:rsidRPr="005D208C" w:rsidRDefault="00EB4224" w:rsidP="005D208C">
      <w:pPr>
        <w:pStyle w:val="Prrafodelista"/>
        <w:numPr>
          <w:ilvl w:val="0"/>
          <w:numId w:val="21"/>
        </w:numPr>
        <w:spacing w:after="0"/>
        <w:ind w:left="1134" w:hanging="113"/>
        <w:rPr>
          <w:u w:val="single"/>
        </w:rPr>
      </w:pPr>
      <w:r w:rsidRPr="005D208C">
        <w:rPr>
          <w:i/>
          <w:iCs/>
          <w:u w:val="single"/>
        </w:rPr>
        <w:t>Tipo impositivo</w:t>
      </w:r>
      <w:r w:rsidR="00FF42E8">
        <w:t xml:space="preserve">: </w:t>
      </w:r>
      <w:r>
        <w:t>A continuación y diferenciando entre base líquida general y del ahorro se aplican los tipos de gravamen.</w:t>
      </w:r>
    </w:p>
    <w:p w14:paraId="247640DF" w14:textId="09B6402B" w:rsidR="00EB4224" w:rsidRPr="005D208C" w:rsidRDefault="00EB4224" w:rsidP="005D208C">
      <w:pPr>
        <w:pStyle w:val="Prrafodelista"/>
        <w:numPr>
          <w:ilvl w:val="0"/>
          <w:numId w:val="21"/>
        </w:numPr>
        <w:spacing w:after="0"/>
        <w:ind w:left="1134" w:hanging="113"/>
        <w:rPr>
          <w:u w:val="single"/>
        </w:rPr>
      </w:pPr>
      <w:r w:rsidRPr="005D208C">
        <w:rPr>
          <w:i/>
          <w:iCs/>
          <w:u w:val="single"/>
        </w:rPr>
        <w:t>Cuota íntegra</w:t>
      </w:r>
      <w:r w:rsidR="00FF42E8">
        <w:t xml:space="preserve">: </w:t>
      </w:r>
      <w:r>
        <w:t>El resultado de la aplicación del tipo de gravamen a la base liquidable nos otorga la cuota íntegra.</w:t>
      </w:r>
    </w:p>
    <w:p w14:paraId="4CD51BE1" w14:textId="1C687B09" w:rsidR="001468C6" w:rsidRPr="001468C6" w:rsidRDefault="00EB4224" w:rsidP="001468C6">
      <w:pPr>
        <w:pStyle w:val="Prrafodelista"/>
        <w:numPr>
          <w:ilvl w:val="0"/>
          <w:numId w:val="21"/>
        </w:numPr>
        <w:spacing w:after="0"/>
        <w:ind w:left="1134" w:hanging="113"/>
        <w:rPr>
          <w:u w:val="single"/>
        </w:rPr>
      </w:pPr>
      <w:r w:rsidRPr="005D208C">
        <w:rPr>
          <w:i/>
          <w:iCs/>
          <w:u w:val="single"/>
        </w:rPr>
        <w:t>Cuota líquida</w:t>
      </w:r>
      <w:r w:rsidR="00FF42E8">
        <w:t xml:space="preserve">: </w:t>
      </w:r>
      <w:r>
        <w:t>La cuota íntegra se ajust</w:t>
      </w:r>
      <w:r w:rsidR="001468C6">
        <w:t>a</w:t>
      </w:r>
      <w:r>
        <w:t xml:space="preserve"> de nuevo por una serie de deducciones obteniéndose así la cuota líquida</w:t>
      </w:r>
      <w:r w:rsidR="001468C6">
        <w:t xml:space="preserve"> (al ser un impuesto subjetivo se le aplicarán nuevas deducciones que tienen en cuenta la situación personal del sujeto pasivo).</w:t>
      </w:r>
    </w:p>
    <w:p w14:paraId="3FAE83EC" w14:textId="77777777" w:rsidR="001468C6" w:rsidRPr="001468C6" w:rsidRDefault="001468C6" w:rsidP="001468C6">
      <w:pPr>
        <w:pStyle w:val="Prrafodelista"/>
        <w:numPr>
          <w:ilvl w:val="0"/>
          <w:numId w:val="21"/>
        </w:numPr>
        <w:spacing w:after="0"/>
        <w:ind w:left="1134" w:hanging="113"/>
      </w:pPr>
      <w:r w:rsidRPr="001468C6">
        <w:rPr>
          <w:i/>
          <w:iCs/>
          <w:u w:val="single"/>
        </w:rPr>
        <w:t>Cuota diferencial</w:t>
      </w:r>
      <w:r w:rsidRPr="001468C6">
        <w:t>: Si a la cuota líquida le quitamos los pagos a cuenta (i.e. retenciones, ingresos a cuenta y pagos fraccionados) obtenemos la cuota diferencial.</w:t>
      </w:r>
    </w:p>
    <w:p w14:paraId="2507C609" w14:textId="77777777" w:rsidR="001468C6" w:rsidRPr="001468C6" w:rsidRDefault="001468C6" w:rsidP="001468C6">
      <w:pPr>
        <w:pStyle w:val="Prrafodelista"/>
        <w:numPr>
          <w:ilvl w:val="0"/>
          <w:numId w:val="21"/>
        </w:numPr>
        <w:spacing w:after="0"/>
        <w:ind w:left="1134" w:hanging="113"/>
      </w:pPr>
      <w:r w:rsidRPr="001468C6">
        <w:rPr>
          <w:i/>
          <w:iCs/>
          <w:u w:val="single"/>
        </w:rPr>
        <w:t>Deuda tributaria</w:t>
      </w:r>
      <w:r w:rsidRPr="001468C6">
        <w:t>: Si a la cuota diferencial le añadimos los recargos y los intereses de demora, obtenemos la deuda tributaria.</w:t>
      </w:r>
    </w:p>
    <w:p w14:paraId="6A66F740" w14:textId="39B06E84" w:rsidR="00302F90" w:rsidRPr="00986ECE" w:rsidRDefault="00EB4224" w:rsidP="004649A8">
      <w:pPr>
        <w:pStyle w:val="Nivel2SM"/>
      </w:pPr>
      <w:r>
        <w:t>A continuación recorremos algo más en profundidad estos aspectos. No obstante no nos centraremos tanto en los aspectos técnicos del impuesto, lo cual se realiza en otro tema, sino más bien en los aspectos teóricos y las comparaciones internacionales.</w:t>
      </w:r>
    </w:p>
    <w:p w14:paraId="7A741C8E" w14:textId="78A25518" w:rsidR="00CB6B24" w:rsidRPr="00986ECE" w:rsidRDefault="00EB4224" w:rsidP="00A55879">
      <w:pPr>
        <w:pStyle w:val="Ttulo3"/>
      </w:pPr>
      <w:bookmarkStart w:id="18" w:name="_Toc219417477"/>
      <w:r w:rsidRPr="004649A8">
        <w:t>Base</w:t>
      </w:r>
      <w:r>
        <w:t xml:space="preserve"> </w:t>
      </w:r>
      <w:r w:rsidR="00FF42E8">
        <w:t>i</w:t>
      </w:r>
      <w:r>
        <w:t>mponible</w:t>
      </w:r>
      <w:bookmarkEnd w:id="18"/>
    </w:p>
    <w:p w14:paraId="59393F9D" w14:textId="77777777" w:rsidR="00095EC0" w:rsidRDefault="00095EC0" w:rsidP="00095EC0">
      <w:pPr>
        <w:pStyle w:val="Ttulo6"/>
        <w:spacing w:before="0"/>
      </w:pPr>
      <w:r>
        <w:t>Concepto de renta fiscal</w:t>
      </w:r>
    </w:p>
    <w:p w14:paraId="044A4E25" w14:textId="77777777" w:rsidR="00095EC0" w:rsidRDefault="00095EC0" w:rsidP="00095EC0">
      <w:pPr>
        <w:pStyle w:val="Nivel1SM"/>
        <w:keepNext/>
        <w:spacing w:before="0" w:after="0"/>
      </w:pPr>
      <w:r>
        <w:t>La renta efectivamente gravada (renta fiscal) difiere de la “medición ideal” de la renta (renta económica).</w:t>
      </w:r>
    </w:p>
    <w:p w14:paraId="31A48855" w14:textId="77777777" w:rsidR="00095EC0" w:rsidRPr="00561E4B" w:rsidRDefault="00095EC0" w:rsidP="00095EC0">
      <w:pPr>
        <w:pStyle w:val="Nivel2SM"/>
        <w:keepNext/>
        <w:spacing w:after="0"/>
      </w:pPr>
      <w:r>
        <w:rPr>
          <w:i/>
          <w:iCs/>
          <w:u w:val="single"/>
        </w:rPr>
        <w:t>R</w:t>
      </w:r>
      <w:r w:rsidRPr="00656A9E">
        <w:rPr>
          <w:i/>
          <w:iCs/>
          <w:u w:val="single"/>
        </w:rPr>
        <w:t>enta económica</w:t>
      </w:r>
      <w:r w:rsidRPr="00656A9E">
        <w:t xml:space="preserve"> (</w:t>
      </w:r>
      <w:r w:rsidRPr="00656A9E">
        <w:rPr>
          <w:smallCaps/>
        </w:rPr>
        <w:t>Haig Simons</w:t>
      </w:r>
      <w:r w:rsidRPr="00656A9E">
        <w:t>)</w:t>
      </w:r>
      <w:r>
        <w:t>: Representa la mejor medición posible de la capacidad de pago en términos teóricos.</w:t>
      </w:r>
    </w:p>
    <w:p w14:paraId="100EE2C6" w14:textId="77777777" w:rsidR="00095EC0" w:rsidRPr="00656A9E" w:rsidRDefault="00000000" w:rsidP="00095EC0">
      <w:pPr>
        <w:keepNext/>
        <w:spacing w:after="0"/>
        <w:jc w:val="center"/>
        <w:rPr>
          <w:i/>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r>
            <m:rPr>
              <m:nor/>
            </m:rPr>
            <w:rPr>
              <w:i/>
              <w:iCs/>
            </w:rPr>
            <m:t>Δ</m:t>
          </m:r>
          <m:sSub>
            <m:sSubPr>
              <m:ctrlPr>
                <w:rPr>
                  <w:rFonts w:ascii="Cambria Math" w:hAnsi="Cambria Math"/>
                  <w:i/>
                  <w:iCs/>
                </w:rPr>
              </m:ctrlPr>
            </m:sSubPr>
            <m:e>
              <m:r>
                <m:rPr>
                  <m:nor/>
                </m:rPr>
                <w:rPr>
                  <w:i/>
                  <w:iCs/>
                </w:rPr>
                <m:t>W</m:t>
              </m:r>
            </m:e>
            <m:sub>
              <m:r>
                <m:rPr>
                  <m:nor/>
                </m:rPr>
                <w:rPr>
                  <w:i/>
                  <w:iCs/>
                </w:rPr>
                <m:t>t</m:t>
              </m:r>
            </m:sub>
          </m:sSub>
        </m:oMath>
      </m:oMathPara>
    </w:p>
    <w:p w14:paraId="261E7AC2" w14:textId="77777777" w:rsidR="00095EC0" w:rsidRDefault="00095EC0" w:rsidP="00095EC0">
      <w:pPr>
        <w:pStyle w:val="Nivel3SM"/>
      </w:pPr>
      <w:r>
        <w:t xml:space="preserve">El consumo incluiría no sólo el valor monetario de los bienes de consumo adquiridos, sino también el valor monetario del </w:t>
      </w:r>
      <w:r w:rsidRPr="005E43C6">
        <w:rPr>
          <w:i/>
          <w:iCs/>
        </w:rPr>
        <w:t>autoconsumo</w:t>
      </w:r>
      <w:r>
        <w:t>, de las retribuciones en especie, del ocio…</w:t>
      </w:r>
    </w:p>
    <w:p w14:paraId="7A581A1F" w14:textId="77777777" w:rsidR="00095EC0" w:rsidRDefault="00095EC0" w:rsidP="005E43C6">
      <w:pPr>
        <w:pStyle w:val="Nivel3SM"/>
        <w:keepNext/>
      </w:pPr>
      <w:r>
        <w:t xml:space="preserve">Las variaciones de la riqueza incluirían </w:t>
      </w:r>
      <w:r w:rsidRPr="005E43C6">
        <w:rPr>
          <w:i/>
          <w:iCs/>
        </w:rPr>
        <w:t>tanto las variaciones realizadas como las no realizadas</w:t>
      </w:r>
      <w:r>
        <w:t>.</w:t>
      </w:r>
    </w:p>
    <w:p w14:paraId="20EF1990" w14:textId="77777777" w:rsidR="00095EC0" w:rsidRDefault="00095EC0" w:rsidP="005E43C6">
      <w:pPr>
        <w:pStyle w:val="Nivel4"/>
        <w:ind w:left="1474"/>
      </w:pPr>
      <w:r>
        <w:t>Problema: Dificultades prácticas para la identificación y la valoración monetaria de diferentes componentes de la renta económica.</w:t>
      </w:r>
    </w:p>
    <w:p w14:paraId="0FB47E5C" w14:textId="77777777" w:rsidR="00095EC0" w:rsidRDefault="00095EC0" w:rsidP="00095EC0">
      <w:pPr>
        <w:pStyle w:val="Nivel2SM"/>
        <w:keepNext/>
        <w:spacing w:after="0"/>
      </w:pPr>
      <w:r w:rsidRPr="00656A9E">
        <w:rPr>
          <w:i/>
          <w:iCs/>
          <w:u w:val="single"/>
        </w:rPr>
        <w:lastRenderedPageBreak/>
        <w:t>Renta fiscal</w:t>
      </w:r>
      <w:r>
        <w:t>: Es aquella renta que el IRPF considera como tal a efectos fiscales</w:t>
      </w:r>
      <w:r>
        <w:rPr>
          <w:rStyle w:val="Refdenotaalpie"/>
        </w:rPr>
        <w:footnoteReference w:id="11"/>
      </w:r>
      <w:r>
        <w:t>.</w:t>
      </w:r>
    </w:p>
    <w:p w14:paraId="1A60491F" w14:textId="77777777" w:rsidR="00095EC0" w:rsidRPr="00656A9E" w:rsidRDefault="00000000" w:rsidP="00095EC0">
      <w:pPr>
        <w:keepNext/>
        <w:spacing w:after="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GD</m:t>
              </m:r>
            </m:e>
            <m:sub>
              <m:r>
                <m:rPr>
                  <m:nor/>
                </m:rPr>
                <w:rPr>
                  <w:i/>
                  <w:iCs/>
                  <w:lang w:val="fr-FR"/>
                </w:rPr>
                <m:t>t</m:t>
              </m:r>
            </m:sub>
          </m:sSub>
        </m:oMath>
      </m:oMathPara>
    </w:p>
    <w:p w14:paraId="7AE1D87D" w14:textId="77777777" w:rsidR="00095EC0" w:rsidRDefault="00095EC0" w:rsidP="00095EC0">
      <w:pPr>
        <w:pStyle w:val="Nivel3SM"/>
      </w:pPr>
      <w:r>
        <w:t>IC = Ingresos corrientes.</w:t>
      </w:r>
    </w:p>
    <w:p w14:paraId="453B3663" w14:textId="77777777" w:rsidR="00095EC0" w:rsidRDefault="00095EC0" w:rsidP="00095EC0">
      <w:pPr>
        <w:pStyle w:val="Nivel3SM"/>
      </w:pPr>
      <w:r>
        <w:t>GD = Gastos deducibles.</w:t>
      </w:r>
    </w:p>
    <w:p w14:paraId="0BA23AED" w14:textId="77777777" w:rsidR="00095EC0" w:rsidRDefault="00095EC0" w:rsidP="00DB1F1B">
      <w:pPr>
        <w:pStyle w:val="Nivel1SM"/>
        <w:keepNext/>
        <w:spacing w:after="0"/>
      </w:pPr>
      <w:r>
        <w:t xml:space="preserve">Por tanto, </w:t>
      </w:r>
      <w:r w:rsidRPr="00DB1F1B">
        <w:rPr>
          <w:b/>
          <w:bCs/>
        </w:rPr>
        <w:t>la renta fiscal difiere de la renta económica por 2 motivos</w:t>
      </w:r>
      <w:r>
        <w:t>:</w:t>
      </w:r>
    </w:p>
    <w:p w14:paraId="69BB4A18" w14:textId="6D653F5B" w:rsidR="00095EC0" w:rsidRDefault="00095EC0" w:rsidP="00DB1F1B">
      <w:pPr>
        <w:pStyle w:val="Nivel2SM"/>
      </w:pPr>
      <w:r w:rsidRPr="00656A9E">
        <w:rPr>
          <w:i/>
          <w:iCs/>
        </w:rPr>
        <w:t>Motivos involuntarios</w:t>
      </w:r>
      <w:r w:rsidRPr="00656A9E">
        <w:t>:</w:t>
      </w:r>
      <w:r>
        <w:t xml:space="preserve"> Impiden computar como ingresos corrientes </w:t>
      </w:r>
      <w:r w:rsidRPr="004649A8">
        <w:t>todos</w:t>
      </w:r>
      <w:r>
        <w:t xml:space="preserve"> los elementos que forman parte de la definición de renta económica anteriormente definida</w:t>
      </w:r>
      <w:r w:rsidR="00EA0838">
        <w:t>.</w:t>
      </w:r>
    </w:p>
    <w:p w14:paraId="51167D2B" w14:textId="77777777" w:rsidR="00095EC0" w:rsidRPr="00986ECE" w:rsidRDefault="00095EC0" w:rsidP="00DB1F1B">
      <w:pPr>
        <w:pStyle w:val="Nivel2SM"/>
      </w:pPr>
      <w:r w:rsidRPr="00656A9E">
        <w:rPr>
          <w:i/>
          <w:iCs/>
        </w:rPr>
        <w:t>Motivos voluntarios</w:t>
      </w:r>
      <w:r>
        <w:t>: Llevan a la introducción de deducciones por motivos de eficiencia y de equidad.</w:t>
      </w:r>
    </w:p>
    <w:p w14:paraId="4D1ED3A7" w14:textId="2C06321C" w:rsidR="00542AB0" w:rsidRPr="00986ECE" w:rsidRDefault="00542AB0" w:rsidP="00F94CE1">
      <w:pPr>
        <w:pStyle w:val="Ttulo6"/>
        <w:spacing w:before="0"/>
      </w:pPr>
      <w:r w:rsidRPr="00542AB0">
        <w:t>Introducción</w:t>
      </w:r>
    </w:p>
    <w:p w14:paraId="32AA84BC" w14:textId="291DFA1B" w:rsidR="00D90D3A" w:rsidRDefault="00542AB0" w:rsidP="00095EC0">
      <w:pPr>
        <w:pStyle w:val="Nivel1SM"/>
        <w:keepNext/>
        <w:spacing w:after="0"/>
      </w:pPr>
      <w:r>
        <w:t>Como hemos dicho el IRPF es un impuesto analítico por</w:t>
      </w:r>
      <w:r w:rsidR="00D90D3A">
        <w:t xml:space="preserve"> tanto debemos distinguir entre la base imponible general y la base imponible del ahorro.</w:t>
      </w:r>
    </w:p>
    <w:p w14:paraId="37949DFE" w14:textId="70473B55" w:rsidR="00542AB0" w:rsidRDefault="00D90D3A" w:rsidP="00095EC0">
      <w:pPr>
        <w:pStyle w:val="Nivel2SM"/>
      </w:pPr>
      <w:r>
        <w:t xml:space="preserve">En ambas bases imponibles se incluyen los ingresos corrientes que serán considerados como fiscalmente gravables y que intentan aproximar de mejor manera la renta económica de </w:t>
      </w:r>
      <w:r w:rsidRPr="00986ECE">
        <w:rPr>
          <w:smallCaps/>
        </w:rPr>
        <w:t>Simons</w:t>
      </w:r>
      <w:r>
        <w:t>.</w:t>
      </w:r>
    </w:p>
    <w:p w14:paraId="06131D2F" w14:textId="449E60C1" w:rsidR="00542AB0" w:rsidRPr="00986ECE" w:rsidRDefault="00542AB0" w:rsidP="00F94CE1">
      <w:pPr>
        <w:pStyle w:val="Ttulo6"/>
      </w:pPr>
      <w:r w:rsidRPr="00542AB0">
        <w:t>Base imponible general</w:t>
      </w:r>
    </w:p>
    <w:p w14:paraId="265334D2" w14:textId="0AF29F10" w:rsidR="00542AB0" w:rsidRDefault="00542AB0" w:rsidP="004649A8">
      <w:pPr>
        <w:pStyle w:val="Nivel2SM"/>
        <w:keepNext/>
        <w:spacing w:after="0"/>
      </w:pPr>
      <w:r w:rsidRPr="004649A8">
        <w:rPr>
          <w:i/>
          <w:iCs/>
          <w:u w:val="single"/>
        </w:rPr>
        <w:t>Rendimientos del trabajo</w:t>
      </w:r>
      <w:r>
        <w:t>:</w:t>
      </w:r>
    </w:p>
    <w:p w14:paraId="611E1E39" w14:textId="18CCDF37" w:rsidR="00542AB0" w:rsidRDefault="006A3265" w:rsidP="004649A8">
      <w:pPr>
        <w:pStyle w:val="Nivel3SM"/>
      </w:pPr>
      <w:r>
        <w:t>Retribuciones monetarias (salarios).</w:t>
      </w:r>
    </w:p>
    <w:p w14:paraId="5B7A6AEA" w14:textId="77777777" w:rsidR="006A3265" w:rsidRDefault="006A3265" w:rsidP="004649A8">
      <w:pPr>
        <w:pStyle w:val="Nivel3SM"/>
        <w:keepNext/>
      </w:pPr>
      <w:r>
        <w:t>Retribuciones en especie.</w:t>
      </w:r>
    </w:p>
    <w:p w14:paraId="026476AB" w14:textId="13BCEC1A" w:rsidR="006A3265" w:rsidRPr="006A3265" w:rsidRDefault="006A3265" w:rsidP="00BE148B">
      <w:pPr>
        <w:pStyle w:val="Nivel4"/>
        <w:keepNext/>
        <w:ind w:left="1474"/>
      </w:pPr>
      <w:r w:rsidRPr="00BE148B">
        <w:rPr>
          <w:i/>
          <w:iCs/>
        </w:rPr>
        <w:t>Definición</w:t>
      </w:r>
      <w:r w:rsidR="00BE148B">
        <w:t>:</w:t>
      </w:r>
    </w:p>
    <w:p w14:paraId="6329218F" w14:textId="77777777" w:rsidR="006A3265" w:rsidRDefault="006A3265" w:rsidP="00BE148B">
      <w:pPr>
        <w:pStyle w:val="Nivel5"/>
        <w:ind w:left="1871"/>
      </w:pPr>
      <w:r>
        <w:t>Las retribuciones en especie consisten en beneficios financiados por la empresa al empleado a precio nulo o inferior al del mercado.</w:t>
      </w:r>
    </w:p>
    <w:p w14:paraId="3BF967EF" w14:textId="069BEF84" w:rsidR="006A3265" w:rsidRDefault="00986ECE" w:rsidP="00BE148B">
      <w:pPr>
        <w:pStyle w:val="Nivel5"/>
        <w:ind w:left="1871"/>
      </w:pPr>
      <w:r>
        <w:t>P.ej.</w:t>
      </w:r>
      <w:r w:rsidR="006A3265">
        <w:t xml:space="preserve"> Seguro médico, préstamos subvencionados, coche de empresa para uso particular, etc.</w:t>
      </w:r>
    </w:p>
    <w:p w14:paraId="6A150567" w14:textId="51BA6122" w:rsidR="006A3265" w:rsidRPr="006A3265" w:rsidRDefault="006A3265" w:rsidP="00BE148B">
      <w:pPr>
        <w:pStyle w:val="Nivel4"/>
        <w:keepNext/>
        <w:ind w:left="1474"/>
      </w:pPr>
      <w:r w:rsidRPr="00BE148B">
        <w:rPr>
          <w:i/>
          <w:iCs/>
        </w:rPr>
        <w:t>Justificación</w:t>
      </w:r>
      <w:r w:rsidR="00BE148B">
        <w:t>:</w:t>
      </w:r>
    </w:p>
    <w:p w14:paraId="437D287E" w14:textId="77777777" w:rsidR="006A3265" w:rsidRDefault="006A3265" w:rsidP="00BE148B">
      <w:pPr>
        <w:pStyle w:val="Nivel5"/>
        <w:keepNext/>
        <w:ind w:left="1871"/>
      </w:pPr>
      <w:r>
        <w:t>La inclusión en el impuesto de este tipo de retribuciones está plenamente justificada por motivos de equidad, tanto horizontal como vertical:</w:t>
      </w:r>
    </w:p>
    <w:p w14:paraId="68F17BEB" w14:textId="56530D9B" w:rsidR="006A3265" w:rsidRPr="00BE148B" w:rsidRDefault="006A3265" w:rsidP="00BE148B">
      <w:pPr>
        <w:pStyle w:val="Nivel6"/>
        <w:ind w:left="2212"/>
      </w:pPr>
      <w:r w:rsidRPr="00BE148B">
        <w:t>Equidad horizontal:</w:t>
      </w:r>
      <w:r w:rsidR="00BE148B" w:rsidRPr="00BE148B">
        <w:t xml:space="preserve"> </w:t>
      </w:r>
      <w:r w:rsidRPr="00BE148B">
        <w:t>Si dos empleados reciben la misma retribución, pero uno en dinero y otro en bienes, deberían pagar los mismos impuestos.</w:t>
      </w:r>
    </w:p>
    <w:p w14:paraId="13A724B1" w14:textId="791AAD3A" w:rsidR="006A3265" w:rsidRDefault="006A3265" w:rsidP="00BE148B">
      <w:pPr>
        <w:pStyle w:val="Nivel6"/>
        <w:ind w:left="2212"/>
      </w:pPr>
      <w:r w:rsidRPr="00BE148B">
        <w:t>Equidad vertical:</w:t>
      </w:r>
      <w:r w:rsidR="00BE148B">
        <w:t xml:space="preserve"> </w:t>
      </w:r>
      <w:r>
        <w:t>Si dos individuos reciben el mismo salario, pero uno, además, disfruta de muchos beneficios en especie, éste debería pagar más impuestos.</w:t>
      </w:r>
    </w:p>
    <w:p w14:paraId="66F00A35" w14:textId="46B228D9" w:rsidR="006A3265" w:rsidRDefault="006A3265" w:rsidP="00BE148B">
      <w:pPr>
        <w:pStyle w:val="Nivel4"/>
        <w:ind w:left="1474"/>
      </w:pPr>
      <w:r w:rsidRPr="00BE148B">
        <w:rPr>
          <w:i/>
          <w:iCs/>
        </w:rPr>
        <w:t>Comparaciones internacionales</w:t>
      </w:r>
      <w:r>
        <w:t>:</w:t>
      </w:r>
      <w:r w:rsidR="00BE148B">
        <w:t xml:space="preserve"> </w:t>
      </w:r>
      <w:r>
        <w:t>En la mayoría de los países de la OCDE las retribuciones en especie también están incorporadas en la definición de renta fiscal.</w:t>
      </w:r>
    </w:p>
    <w:p w14:paraId="21C485AC" w14:textId="782C2BFA" w:rsidR="006A3265" w:rsidRPr="004649A8" w:rsidRDefault="006A3265" w:rsidP="004649A8">
      <w:pPr>
        <w:pStyle w:val="Nivel2SM"/>
        <w:keepNext/>
        <w:spacing w:after="0"/>
        <w:rPr>
          <w:u w:val="single"/>
        </w:rPr>
      </w:pPr>
      <w:r w:rsidRPr="000E11AF">
        <w:rPr>
          <w:i/>
          <w:iCs/>
          <w:u w:val="single"/>
        </w:rPr>
        <w:t>Rendimientos del capital</w:t>
      </w:r>
      <w:r w:rsidR="000E11AF">
        <w:t>:</w:t>
      </w:r>
    </w:p>
    <w:p w14:paraId="04B898DC" w14:textId="59A5E674" w:rsidR="00FD6016" w:rsidRPr="00986ECE" w:rsidRDefault="00397F4A" w:rsidP="004649A8">
      <w:pPr>
        <w:pStyle w:val="Nivel3SM"/>
        <w:rPr>
          <w:u w:val="single"/>
        </w:rPr>
      </w:pPr>
      <w:r>
        <w:t xml:space="preserve">Se incluyen fundamentalmente las rentas inmobiliarias y algunas rentas mobiliarias como </w:t>
      </w:r>
      <w:r w:rsidR="006A3265">
        <w:t>los derivados del derecho de propiedad intelectual e industrial y der</w:t>
      </w:r>
      <w:r>
        <w:t xml:space="preserve">echos de imagen al no provenir éstos </w:t>
      </w:r>
      <w:r w:rsidR="006A3265">
        <w:t>e una acción de ahorro sino de la explotación de una actividad.</w:t>
      </w:r>
    </w:p>
    <w:p w14:paraId="38CCDF94" w14:textId="32300B3F" w:rsidR="00FD6016" w:rsidRPr="004649A8" w:rsidRDefault="00FD6016" w:rsidP="004649A8">
      <w:pPr>
        <w:pStyle w:val="Nivel2SM"/>
        <w:keepNext/>
        <w:spacing w:after="0"/>
        <w:rPr>
          <w:u w:val="single"/>
        </w:rPr>
      </w:pPr>
      <w:r w:rsidRPr="000E11AF">
        <w:rPr>
          <w:i/>
          <w:iCs/>
          <w:u w:val="single"/>
        </w:rPr>
        <w:t>Rendimientos de actividades económicas</w:t>
      </w:r>
      <w:r w:rsidR="000E11AF">
        <w:t>:</w:t>
      </w:r>
    </w:p>
    <w:p w14:paraId="61A84D89" w14:textId="18FBF15A" w:rsidR="00FD6016" w:rsidRDefault="00FD6016" w:rsidP="004649A8">
      <w:pPr>
        <w:pStyle w:val="Nivel3SM"/>
      </w:pPr>
      <w:r w:rsidRPr="000E11AF">
        <w:t>Se consideran rendimientos de actividades económicas los rendimientos de actividades que el contribuyente realiza por cuenta propia</w:t>
      </w:r>
      <w:r>
        <w:t>.</w:t>
      </w:r>
    </w:p>
    <w:p w14:paraId="10B36241" w14:textId="1BE0B9B4" w:rsidR="00FD6016" w:rsidRPr="004649A8" w:rsidRDefault="00FD6016" w:rsidP="004649A8">
      <w:pPr>
        <w:pStyle w:val="Nivel2SM"/>
        <w:keepNext/>
        <w:spacing w:after="0"/>
        <w:rPr>
          <w:u w:val="single"/>
        </w:rPr>
      </w:pPr>
      <w:r w:rsidRPr="000E11AF">
        <w:rPr>
          <w:i/>
          <w:iCs/>
          <w:u w:val="single"/>
        </w:rPr>
        <w:lastRenderedPageBreak/>
        <w:t>Imputación de rentas</w:t>
      </w:r>
      <w:r w:rsidR="000E11AF">
        <w:t>:</w:t>
      </w:r>
    </w:p>
    <w:p w14:paraId="4CCD1727" w14:textId="7AC2BDFA" w:rsidR="00FD6016" w:rsidRDefault="00FD6016" w:rsidP="00BE148B">
      <w:pPr>
        <w:pStyle w:val="Nivel3SM"/>
        <w:keepNext/>
      </w:pPr>
      <w:r w:rsidRPr="00BE148B">
        <w:rPr>
          <w:i/>
          <w:iCs/>
        </w:rPr>
        <w:t>Definición</w:t>
      </w:r>
      <w:r w:rsidR="00BE148B">
        <w:t>:</w:t>
      </w:r>
    </w:p>
    <w:p w14:paraId="72FE0E34" w14:textId="45A1E514" w:rsidR="00FD6016" w:rsidRDefault="00FD6016" w:rsidP="00BE148B">
      <w:pPr>
        <w:pStyle w:val="Nivel4"/>
        <w:ind w:left="1474"/>
      </w:pPr>
      <w:r>
        <w:t xml:space="preserve">Las imputaciones de rentas son los </w:t>
      </w:r>
      <w:r w:rsidRPr="00397F4A">
        <w:t>servicios proporcionados por los bienes de consumo duradero</w:t>
      </w:r>
      <w:r>
        <w:t>.</w:t>
      </w:r>
    </w:p>
    <w:p w14:paraId="1773D555" w14:textId="558A32C0" w:rsidR="00FD6016" w:rsidRDefault="00FD6016" w:rsidP="00BE148B">
      <w:pPr>
        <w:pStyle w:val="Nivel4"/>
        <w:ind w:left="1474"/>
      </w:pPr>
      <w:r>
        <w:t xml:space="preserve">Dentro de esta categoría destacan los rendimientos imputados a las viviendas que serían igual a la retribución </w:t>
      </w:r>
      <w:r w:rsidR="00397F4A">
        <w:t xml:space="preserve">neta </w:t>
      </w:r>
      <w:r>
        <w:t>que podría obtenerse por dicha viv</w:t>
      </w:r>
      <w:r w:rsidR="00397F4A">
        <w:t>ienda en el mercado de alquiler.</w:t>
      </w:r>
    </w:p>
    <w:p w14:paraId="14BDCFA1" w14:textId="205FFE13" w:rsidR="00FD6016" w:rsidRDefault="00FD6016" w:rsidP="00BE148B">
      <w:pPr>
        <w:pStyle w:val="Nivel3SM"/>
      </w:pPr>
      <w:r w:rsidRPr="00BE148B">
        <w:rPr>
          <w:i/>
          <w:iCs/>
        </w:rPr>
        <w:t>Situación en España</w:t>
      </w:r>
      <w:r>
        <w:t>:</w:t>
      </w:r>
      <w:r w:rsidR="00BE148B">
        <w:t xml:space="preserve"> </w:t>
      </w:r>
      <w:r>
        <w:t>El IRPF prevé lo que se conoce como “imputación de rentas”, que grava el 2</w:t>
      </w:r>
      <w:r w:rsidR="00986ECE">
        <w:t> %</w:t>
      </w:r>
      <w:r>
        <w:t xml:space="preserve"> de las </w:t>
      </w:r>
      <w:r w:rsidRPr="00BE148B">
        <w:rPr>
          <w:b/>
        </w:rPr>
        <w:t>segundas viviendas y siguientes</w:t>
      </w:r>
      <w:r>
        <w:t xml:space="preserve"> (no se grava, pues, la vivienda habitual).</w:t>
      </w:r>
    </w:p>
    <w:p w14:paraId="3C2DC068" w14:textId="77777777" w:rsidR="00BE148B" w:rsidRDefault="00FD6016" w:rsidP="00BE148B">
      <w:pPr>
        <w:pStyle w:val="Nivel3SM"/>
        <w:keepNext/>
      </w:pPr>
      <w:r w:rsidRPr="00BE148B">
        <w:rPr>
          <w:i/>
          <w:iCs/>
        </w:rPr>
        <w:t>Comparaciones internacionales</w:t>
      </w:r>
      <w:r>
        <w:t>:</w:t>
      </w:r>
    </w:p>
    <w:p w14:paraId="4A7446C4" w14:textId="40FCC566" w:rsidR="00FD6016" w:rsidRDefault="00FD6016" w:rsidP="00BE148B">
      <w:pPr>
        <w:pStyle w:val="Nivel4"/>
        <w:ind w:left="1474"/>
      </w:pPr>
      <w:r>
        <w:t>La mayoría de los países de la OCDE no contemplan imputaciones de renta de las viviendas en propiedad. Sólo una minoría lo hace, con porcentajes de entre el 1</w:t>
      </w:r>
      <w:r w:rsidR="00986ECE">
        <w:t> %</w:t>
      </w:r>
      <w:r>
        <w:t xml:space="preserve"> y el 3</w:t>
      </w:r>
      <w:r w:rsidR="00986ECE">
        <w:t> %</w:t>
      </w:r>
      <w:r>
        <w:t>.</w:t>
      </w:r>
    </w:p>
    <w:p w14:paraId="69CB9EA6" w14:textId="77777777" w:rsidR="00C02A9D" w:rsidRDefault="00FD6016" w:rsidP="00BE148B">
      <w:pPr>
        <w:pStyle w:val="Nivel4"/>
        <w:ind w:left="1474"/>
      </w:pPr>
      <w:r>
        <w:t>La razón por la que este tipo de rentas no se gravan (y, si se hace, queda excluida la vivienda habitual) es que la vivienda es consideraba en la mayoría de los países como un bien preferente que las autoridades deben proteger.</w:t>
      </w:r>
    </w:p>
    <w:p w14:paraId="5A747FC1" w14:textId="51A00995" w:rsidR="00725008" w:rsidRPr="004649A8" w:rsidRDefault="00725008" w:rsidP="004649A8">
      <w:pPr>
        <w:pStyle w:val="Nivel2SM"/>
        <w:keepNext/>
        <w:spacing w:after="0"/>
        <w:rPr>
          <w:u w:val="single"/>
        </w:rPr>
      </w:pPr>
      <w:r w:rsidRPr="000E11AF">
        <w:rPr>
          <w:i/>
          <w:iCs/>
          <w:u w:val="single"/>
        </w:rPr>
        <w:t>Ganancias y pérdidas patrimoniales no derivadas de la transmisión</w:t>
      </w:r>
      <w:r w:rsidR="000E11AF">
        <w:t>:</w:t>
      </w:r>
    </w:p>
    <w:p w14:paraId="4256001B" w14:textId="77777777" w:rsidR="00BC06B5" w:rsidRPr="000E11AF" w:rsidRDefault="00BC06B5" w:rsidP="004649A8">
      <w:pPr>
        <w:pStyle w:val="Nivel3SM"/>
        <w:keepNext/>
      </w:pPr>
      <w:r>
        <w:t xml:space="preserve">Las ganancias y pérdidas patrimoniales son </w:t>
      </w:r>
      <w:r w:rsidRPr="000E11AF">
        <w:t>variaciones en el valor del patrimonio del contribuyente que no derivan de la transmisión de elementos patrimoniales: Ejemplos:</w:t>
      </w:r>
    </w:p>
    <w:p w14:paraId="054E68AC" w14:textId="7ACC8F9C" w:rsidR="00BC06B5" w:rsidRPr="000E11AF" w:rsidRDefault="00BC06B5" w:rsidP="004649A8">
      <w:pPr>
        <w:pStyle w:val="Nivel4"/>
        <w:ind w:left="1474"/>
      </w:pPr>
      <w:r w:rsidRPr="000E11AF">
        <w:rPr>
          <w:i/>
          <w:iCs/>
        </w:rPr>
        <w:t>Ganancia patrimonial</w:t>
      </w:r>
      <w:r w:rsidRPr="000E11AF">
        <w:t>:</w:t>
      </w:r>
      <w:r w:rsidR="004649A8" w:rsidRPr="000E11AF">
        <w:t xml:space="preserve"> </w:t>
      </w:r>
      <w:r w:rsidRPr="000E11AF">
        <w:t>Premios, subvenciones y otras ganancias que no deriven de la transmisión de elementos patrimoniales</w:t>
      </w:r>
    </w:p>
    <w:p w14:paraId="51DB5EA9" w14:textId="170466DD" w:rsidR="00725008" w:rsidRPr="000E11AF" w:rsidRDefault="00BC06B5" w:rsidP="004649A8">
      <w:pPr>
        <w:pStyle w:val="Nivel4"/>
        <w:ind w:left="1474"/>
      </w:pPr>
      <w:r w:rsidRPr="000E11AF">
        <w:rPr>
          <w:i/>
          <w:iCs/>
        </w:rPr>
        <w:t>Pérdida patrimonial</w:t>
      </w:r>
      <w:r w:rsidRPr="000E11AF">
        <w:t>:</w:t>
      </w:r>
      <w:r w:rsidR="004649A8" w:rsidRPr="000E11AF">
        <w:t xml:space="preserve"> </w:t>
      </w:r>
      <w:r w:rsidRPr="000E11AF">
        <w:t>Destrucción de un elemento patrimonial no asegurado como consecuencia de un siniestro.</w:t>
      </w:r>
    </w:p>
    <w:p w14:paraId="030CFD67" w14:textId="1A5109AE" w:rsidR="00BC06B5" w:rsidRDefault="00FD6016" w:rsidP="00F94CE1">
      <w:pPr>
        <w:pStyle w:val="Ttulo6"/>
      </w:pPr>
      <w:r w:rsidRPr="00FD6016">
        <w:t>Base imponible de ahorro</w:t>
      </w:r>
    </w:p>
    <w:p w14:paraId="24620B39" w14:textId="2B4DC86A" w:rsidR="00FD6016" w:rsidRPr="00BC06B5" w:rsidRDefault="006016CA" w:rsidP="00504A2C">
      <w:pPr>
        <w:pStyle w:val="Nivel2SM"/>
        <w:keepNext/>
        <w:spacing w:after="0"/>
      </w:pPr>
      <w:r w:rsidRPr="00504A2C">
        <w:rPr>
          <w:i/>
          <w:iCs/>
          <w:u w:val="single"/>
        </w:rPr>
        <w:t>Rendimientos del capital mobiliario</w:t>
      </w:r>
      <w:r w:rsidR="00504A2C" w:rsidRPr="00504A2C">
        <w:t>:</w:t>
      </w:r>
    </w:p>
    <w:p w14:paraId="60554E86" w14:textId="1FC07849" w:rsidR="00BC06B5" w:rsidRDefault="00BC06B5" w:rsidP="00504A2C">
      <w:pPr>
        <w:pStyle w:val="Nivel3SM"/>
        <w:keepNext/>
        <w:rPr>
          <w:u w:val="single"/>
        </w:rPr>
      </w:pPr>
      <w:r w:rsidRPr="00504A2C">
        <w:rPr>
          <w:i/>
          <w:iCs/>
        </w:rPr>
        <w:t>Participación en la estructura de capital de una empresa</w:t>
      </w:r>
      <w:r w:rsidR="00504A2C">
        <w:t>:</w:t>
      </w:r>
    </w:p>
    <w:p w14:paraId="43B260CE" w14:textId="31ED0685" w:rsidR="0041464A" w:rsidRDefault="0041464A" w:rsidP="00504A2C">
      <w:pPr>
        <w:pStyle w:val="Nivel4"/>
        <w:ind w:left="1474"/>
        <w:rPr>
          <w:u w:val="single"/>
        </w:rPr>
      </w:pPr>
      <w:r>
        <w:t>Rendimientos por participación en fondos propios (dividendos) o fondos ajenos (intereses).</w:t>
      </w:r>
    </w:p>
    <w:p w14:paraId="2D389335" w14:textId="4EE56981" w:rsidR="006016CA" w:rsidRPr="00817F4F" w:rsidRDefault="006016CA" w:rsidP="00504A2C">
      <w:pPr>
        <w:pStyle w:val="Nivel3SM"/>
        <w:keepNext/>
      </w:pPr>
      <w:r w:rsidRPr="00504A2C">
        <w:rPr>
          <w:i/>
          <w:iCs/>
        </w:rPr>
        <w:t>Contratos de seguro de vida o de invalidez</w:t>
      </w:r>
      <w:r w:rsidR="00504A2C">
        <w:t>:</w:t>
      </w:r>
    </w:p>
    <w:p w14:paraId="77FAF3AF" w14:textId="1CA272CD" w:rsidR="006016CA" w:rsidRDefault="006016CA" w:rsidP="00504A2C">
      <w:pPr>
        <w:pStyle w:val="Nivel4"/>
        <w:ind w:left="1474"/>
      </w:pPr>
      <w:r w:rsidRPr="006016CA">
        <w:t>Definición</w:t>
      </w:r>
      <w:r w:rsidR="00504A2C">
        <w:t xml:space="preserve">: </w:t>
      </w:r>
      <w:r>
        <w:t>Se refieren a las contribuciones que empresas y empleados realizan a sistemas públicos y privados de aseguramiento y a planes y fondos de pensiones para asegurar en un futuro sus rentas.</w:t>
      </w:r>
    </w:p>
    <w:p w14:paraId="11392514" w14:textId="6189CAE7" w:rsidR="006016CA" w:rsidRDefault="006016CA" w:rsidP="00504A2C">
      <w:pPr>
        <w:pStyle w:val="Nivel4"/>
        <w:ind w:left="1474"/>
      </w:pPr>
      <w:r w:rsidRPr="00504A2C">
        <w:t>Situación en España</w:t>
      </w:r>
      <w:r>
        <w:t>:</w:t>
      </w:r>
      <w:r w:rsidR="00504A2C">
        <w:t xml:space="preserve"> </w:t>
      </w:r>
      <w:r>
        <w:t>El IRPF grava estas rentas cuando se reciben en forma de pensión, no las aportaciones presentes (de hecho, las aportaciones presentes pueden ser deducidas de la base liquidable).</w:t>
      </w:r>
    </w:p>
    <w:p w14:paraId="1C4C814E" w14:textId="11BAB02C" w:rsidR="006016CA" w:rsidRPr="006016CA" w:rsidRDefault="006016CA" w:rsidP="00504A2C">
      <w:pPr>
        <w:pStyle w:val="Nivel4"/>
        <w:ind w:left="1474"/>
      </w:pPr>
      <w:r w:rsidRPr="00C02A9D">
        <w:t>Comparaciones internacionales</w:t>
      </w:r>
      <w:r>
        <w:t>:</w:t>
      </w:r>
      <w:r w:rsidR="00504A2C">
        <w:t xml:space="preserve"> </w:t>
      </w:r>
      <w:r>
        <w:t>La regla general es que, como en España, se graven las rentas cuando se reciben, no cuando se generan.</w:t>
      </w:r>
    </w:p>
    <w:p w14:paraId="3E09618E" w14:textId="6925FC99" w:rsidR="006016CA" w:rsidRPr="00504A2C" w:rsidRDefault="00BC06B5" w:rsidP="00504A2C">
      <w:pPr>
        <w:pStyle w:val="Nivel2SM"/>
        <w:keepNext/>
        <w:spacing w:after="0"/>
        <w:rPr>
          <w:i/>
          <w:iCs/>
          <w:u w:val="single"/>
        </w:rPr>
      </w:pPr>
      <w:r w:rsidRPr="00504A2C">
        <w:rPr>
          <w:i/>
          <w:iCs/>
          <w:u w:val="single"/>
        </w:rPr>
        <w:t>Ganancias y pérdidas patrimoniales derivadas de la transmisión</w:t>
      </w:r>
      <w:r w:rsidR="00504A2C">
        <w:t>:</w:t>
      </w:r>
    </w:p>
    <w:p w14:paraId="0954C269" w14:textId="2B65DCB2" w:rsidR="00C02A9D" w:rsidRPr="00504A2C" w:rsidRDefault="006016CA" w:rsidP="00504A2C">
      <w:pPr>
        <w:pStyle w:val="Nivel3SM"/>
        <w:rPr>
          <w:u w:val="single"/>
        </w:rPr>
      </w:pPr>
      <w:r w:rsidRPr="00504A2C">
        <w:rPr>
          <w:i/>
          <w:iCs/>
        </w:rPr>
        <w:t>Definición</w:t>
      </w:r>
      <w:r w:rsidR="00504A2C" w:rsidRPr="00504A2C">
        <w:t>:</w:t>
      </w:r>
      <w:r w:rsidR="00504A2C">
        <w:t xml:space="preserve"> </w:t>
      </w:r>
      <w:r>
        <w:t>Rendimientos procedentes de operaciones de capitalización de activos mobiliarios</w:t>
      </w:r>
      <w:r w:rsidR="00BC06B5">
        <w:t xml:space="preserve"> y/o</w:t>
      </w:r>
      <w:r>
        <w:t xml:space="preserve"> inmobiliarios.</w:t>
      </w:r>
    </w:p>
    <w:p w14:paraId="13B2E846" w14:textId="7CACD5F9" w:rsidR="00C02A9D" w:rsidRDefault="00C02A9D" w:rsidP="004A7D3E">
      <w:pPr>
        <w:pStyle w:val="Nivel3SM"/>
        <w:keepNext/>
      </w:pPr>
      <w:r w:rsidRPr="00504A2C">
        <w:rPr>
          <w:i/>
          <w:iCs/>
        </w:rPr>
        <w:t>Situación en España</w:t>
      </w:r>
      <w:r>
        <w:t>:</w:t>
      </w:r>
    </w:p>
    <w:p w14:paraId="51858CC3" w14:textId="77777777" w:rsidR="00C02A9D" w:rsidRDefault="00C02A9D" w:rsidP="00504A2C">
      <w:pPr>
        <w:pStyle w:val="Nivel4"/>
        <w:ind w:left="1474"/>
      </w:pPr>
      <w:r>
        <w:t xml:space="preserve">Sí están gravados, aunque sólo se gravan las </w:t>
      </w:r>
      <w:r w:rsidRPr="00BC06B5">
        <w:rPr>
          <w:u w:val="single"/>
        </w:rPr>
        <w:t>ganancias realizadas</w:t>
      </w:r>
      <w:r>
        <w:t>, esto es, cuando se produce la transmisión del elemento patrimonial, por los problemas para valorar las ganancias no realizadas (p.ej. volatilidad del valor de ciertos activos).</w:t>
      </w:r>
    </w:p>
    <w:p w14:paraId="0B75EBAF" w14:textId="77777777" w:rsidR="00BC06B5" w:rsidRDefault="00BC06B5" w:rsidP="00504A2C">
      <w:pPr>
        <w:pStyle w:val="Nivel4"/>
        <w:ind w:left="1474"/>
      </w:pPr>
      <w:r>
        <w:t>El objetivo es evitar la conversión de dividendos en ganancias de capital para evitar el impuesto.</w:t>
      </w:r>
    </w:p>
    <w:p w14:paraId="45DF600E" w14:textId="77777777" w:rsidR="00C02A9D" w:rsidRDefault="00C02A9D" w:rsidP="00504A2C">
      <w:pPr>
        <w:pStyle w:val="Nivel4"/>
        <w:ind w:left="1474"/>
      </w:pPr>
      <w:r>
        <w:lastRenderedPageBreak/>
        <w:t>El gravar las ganancias realizadas puede producir un efecto “</w:t>
      </w:r>
      <w:proofErr w:type="spellStart"/>
      <w:r>
        <w:t>lock</w:t>
      </w:r>
      <w:proofErr w:type="spellEnd"/>
      <w:r>
        <w:t>-in” o “de cierre” que desestimule la realización de las plusvalías y que, de este modo, distorsione la movilidad de capitales.</w:t>
      </w:r>
    </w:p>
    <w:p w14:paraId="0F704CE4" w14:textId="0D999AA9" w:rsidR="0041464A" w:rsidRDefault="0041464A" w:rsidP="00504A2C">
      <w:pPr>
        <w:pStyle w:val="Nivel2SM"/>
        <w:keepNext/>
        <w:spacing w:after="0"/>
      </w:pPr>
      <w:r w:rsidRPr="00504A2C">
        <w:rPr>
          <w:i/>
          <w:iCs/>
          <w:u w:val="single"/>
        </w:rPr>
        <w:t>Deducciones por gastos de explotación</w:t>
      </w:r>
      <w:r>
        <w:t>:</w:t>
      </w:r>
    </w:p>
    <w:p w14:paraId="2D1B3FD6" w14:textId="206B9E5D" w:rsidR="0041464A" w:rsidRDefault="0041464A" w:rsidP="005843A2">
      <w:pPr>
        <w:pStyle w:val="Nivel3SM"/>
      </w:pPr>
      <w:r w:rsidRPr="00504A2C">
        <w:rPr>
          <w:i/>
          <w:iCs/>
        </w:rPr>
        <w:t>Definición</w:t>
      </w:r>
      <w:r w:rsidR="00504A2C">
        <w:t xml:space="preserve">: </w:t>
      </w:r>
      <w:r w:rsidRPr="00680EB1">
        <w:t xml:space="preserve">Se trata de todos aquellos gastos necesarios para la obtención de rentas </w:t>
      </w:r>
      <w:r>
        <w:t xml:space="preserve">anteriores </w:t>
      </w:r>
      <w:r w:rsidRPr="00680EB1">
        <w:t>(p.ej. viajes de trabajo, cuotas de colegios profesionales, gastos en material, salarios a empleados, etc.).</w:t>
      </w:r>
    </w:p>
    <w:p w14:paraId="29D16EC2" w14:textId="339B2E98" w:rsidR="00F45560" w:rsidRPr="00680EB1" w:rsidRDefault="00F45560" w:rsidP="00504A2C">
      <w:pPr>
        <w:pStyle w:val="Nivel3SM"/>
      </w:pPr>
      <w:r w:rsidRPr="00504A2C">
        <w:rPr>
          <w:i/>
          <w:iCs/>
        </w:rPr>
        <w:t>Problema</w:t>
      </w:r>
      <w:r w:rsidR="00504A2C">
        <w:t xml:space="preserve">: </w:t>
      </w:r>
      <w:r w:rsidRPr="00680EB1">
        <w:t>El problema suele ser en algunas ocasiones determinar cuándo un gasto es necesario para la obtención de la renta. Por ejemplo, un almuerzo puede deberse a motivos estrictamente profesionales (p.ej. conseguir un contrato) o a motivos personales.</w:t>
      </w:r>
    </w:p>
    <w:p w14:paraId="340D3C9F" w14:textId="45B64300" w:rsidR="00F45560" w:rsidRPr="00680EB1" w:rsidRDefault="00F45560" w:rsidP="00504A2C">
      <w:pPr>
        <w:pStyle w:val="Nivel3SM"/>
      </w:pPr>
      <w:r w:rsidRPr="00504A2C">
        <w:rPr>
          <w:i/>
          <w:iCs/>
        </w:rPr>
        <w:t>Solución</w:t>
      </w:r>
      <w:r w:rsidR="00504A2C" w:rsidRPr="00504A2C">
        <w:t>:</w:t>
      </w:r>
      <w:r w:rsidR="00504A2C">
        <w:t xml:space="preserve"> </w:t>
      </w:r>
      <w:r w:rsidRPr="00680EB1">
        <w:t>La solución que han adoptado muchos países como España es deducir una cuantía fija de los ingresos íntegros del trabajo en concepto de gastos de difícil justificación (p.ej. en España se deducen de los rendimientos del trabajo 2.000</w:t>
      </w:r>
      <w:r w:rsidR="00986ECE">
        <w:t> €</w:t>
      </w:r>
      <w:r w:rsidRPr="00680EB1">
        <w:t xml:space="preserve"> por trabajador por este concepto).</w:t>
      </w:r>
    </w:p>
    <w:p w14:paraId="7ADB71F4" w14:textId="77777777" w:rsidR="00F45560" w:rsidRPr="00680EB1" w:rsidRDefault="00F45560" w:rsidP="00504A2C">
      <w:pPr>
        <w:pStyle w:val="Nivel3SM"/>
        <w:keepNext/>
        <w:rPr>
          <w:u w:val="single"/>
        </w:rPr>
      </w:pPr>
      <w:r w:rsidRPr="00680EB1">
        <w:rPr>
          <w:u w:val="single"/>
        </w:rPr>
        <w:t>Reforma reciente: Deducción de gastos de explotación autónomos</w:t>
      </w:r>
    </w:p>
    <w:p w14:paraId="4FAFA7CF" w14:textId="1913F606" w:rsidR="00F45560" w:rsidRPr="00680EB1" w:rsidRDefault="00F45560" w:rsidP="00504A2C">
      <w:pPr>
        <w:pStyle w:val="Nivel4"/>
        <w:ind w:left="1474"/>
        <w:rPr>
          <w:u w:val="single"/>
        </w:rPr>
      </w:pPr>
      <w:r w:rsidRPr="00680EB1">
        <w:t xml:space="preserve">Los trabajadores por </w:t>
      </w:r>
      <w:r w:rsidRPr="00680EB1">
        <w:rPr>
          <w:b/>
        </w:rPr>
        <w:t>cuenta propia que ejerzan su actividad en parte de su vivienda habitual</w:t>
      </w:r>
      <w:r w:rsidRPr="00680EB1">
        <w:t xml:space="preserve">, pueden ya deducir oficialmente el </w:t>
      </w:r>
      <w:r w:rsidRPr="00680EB1">
        <w:rPr>
          <w:b/>
        </w:rPr>
        <w:t>30</w:t>
      </w:r>
      <w:r w:rsidR="00986ECE">
        <w:rPr>
          <w:b/>
        </w:rPr>
        <w:t> %</w:t>
      </w:r>
      <w:r w:rsidRPr="00680EB1">
        <w:rPr>
          <w:b/>
        </w:rPr>
        <w:t xml:space="preserve"> de los gastos de suministros</w:t>
      </w:r>
      <w:r w:rsidRPr="00680EB1">
        <w:t>–como agua, gas, electricidad, telefonía e Internet– de la porción dedicada a dicha actividad y los gastos de manutención.</w:t>
      </w:r>
    </w:p>
    <w:p w14:paraId="54FCF6ED" w14:textId="77777777" w:rsidR="00BC06B5" w:rsidRPr="00EB4224" w:rsidRDefault="00BC06B5" w:rsidP="00A55879">
      <w:pPr>
        <w:pStyle w:val="Ttulo3"/>
      </w:pPr>
      <w:bookmarkStart w:id="19" w:name="_Toc219417478"/>
      <w:r w:rsidRPr="00EB4224">
        <w:t>Base liquidable</w:t>
      </w:r>
      <w:bookmarkEnd w:id="19"/>
    </w:p>
    <w:p w14:paraId="2FC5F81F" w14:textId="77777777" w:rsidR="00F45560" w:rsidRDefault="00F45560" w:rsidP="00F94CE1">
      <w:pPr>
        <w:pStyle w:val="Ttulo6"/>
        <w:spacing w:before="0"/>
      </w:pPr>
      <w:r>
        <w:t>Introducción</w:t>
      </w:r>
    </w:p>
    <w:p w14:paraId="3738C6E2" w14:textId="77777777" w:rsidR="00F45560" w:rsidRDefault="00F45560" w:rsidP="00504A2C">
      <w:pPr>
        <w:pStyle w:val="Nivel2SM"/>
        <w:keepNext/>
        <w:spacing w:after="0"/>
      </w:pPr>
      <w:r>
        <w:t>La base liquidable es el resultado de aplicar deducciones a la base imponible. Destacan dos tipos de deducciones en el sistema español:</w:t>
      </w:r>
    </w:p>
    <w:p w14:paraId="18329EE6" w14:textId="77777777" w:rsidR="00F45560" w:rsidRDefault="00F45560" w:rsidP="00504A2C">
      <w:pPr>
        <w:pStyle w:val="Nivel3SM"/>
      </w:pPr>
      <w:r>
        <w:t>Deducciones por atención a situaciones de envejecimiento o dependencia.</w:t>
      </w:r>
    </w:p>
    <w:p w14:paraId="6906AC61" w14:textId="77777777" w:rsidR="00F45560" w:rsidRDefault="00F45560" w:rsidP="00504A2C">
      <w:pPr>
        <w:pStyle w:val="Nivel3SM"/>
      </w:pPr>
      <w:r>
        <w:t>Deducciones por tributación conjunta.</w:t>
      </w:r>
    </w:p>
    <w:p w14:paraId="3C6C4E3F" w14:textId="77777777" w:rsidR="00F45560" w:rsidRDefault="00F45560" w:rsidP="00504A2C">
      <w:pPr>
        <w:pStyle w:val="Nivel2SM"/>
      </w:pPr>
      <w:r>
        <w:t>No obstante existe cierta controversia acerca de estas deducciones</w:t>
      </w:r>
      <w:r w:rsidR="0041464A">
        <w:t xml:space="preserve"> tal y como mencionamos anteriormente.</w:t>
      </w:r>
    </w:p>
    <w:p w14:paraId="5B5DFFE9" w14:textId="77777777" w:rsidR="00DF44E4" w:rsidRPr="00DF44E4" w:rsidRDefault="00DF44E4" w:rsidP="00F94CE1">
      <w:pPr>
        <w:pStyle w:val="Ttulo6"/>
      </w:pPr>
      <w:r w:rsidRPr="00DF44E4">
        <w:t>Deducciones por atención a situaciones de envejecimiento o dependencia</w:t>
      </w:r>
    </w:p>
    <w:p w14:paraId="790BAA67" w14:textId="52341286" w:rsidR="00DF44E4" w:rsidRPr="00DF44E4" w:rsidRDefault="00DF44E4" w:rsidP="004A7D3E">
      <w:pPr>
        <w:pStyle w:val="Nivel2SM"/>
        <w:keepNext/>
        <w:spacing w:after="0"/>
      </w:pPr>
      <w:r w:rsidRPr="004A7D3E">
        <w:rPr>
          <w:i/>
          <w:iCs/>
          <w:u w:val="single"/>
        </w:rPr>
        <w:t>Argumentos en contra</w:t>
      </w:r>
      <w:r w:rsidR="004A7D3E">
        <w:t>:</w:t>
      </w:r>
    </w:p>
    <w:p w14:paraId="4F9517FF" w14:textId="1FC89D6A" w:rsidR="00DF44E4" w:rsidRDefault="00DF44E4" w:rsidP="004A7D3E">
      <w:pPr>
        <w:pStyle w:val="Nivel3SM"/>
      </w:pPr>
      <w:r>
        <w:t>Los principales beneficiarios de este tipo de deducciones son los ahorradores y con ello las rentas más altas.</w:t>
      </w:r>
    </w:p>
    <w:p w14:paraId="25C65EBD" w14:textId="77777777" w:rsidR="00DF44E4" w:rsidRDefault="00DF44E4" w:rsidP="004A7D3E">
      <w:pPr>
        <w:pStyle w:val="Nivel3SM"/>
      </w:pPr>
      <w:r>
        <w:t xml:space="preserve">Además </w:t>
      </w:r>
      <w:r w:rsidRPr="00DF44E4">
        <w:rPr>
          <w:u w:val="single"/>
        </w:rPr>
        <w:t xml:space="preserve">al deducirse en la base </w:t>
      </w:r>
      <w:r>
        <w:t xml:space="preserve">(previa al tipo de gravamen) </w:t>
      </w:r>
      <w:r w:rsidRPr="00DF44E4">
        <w:rPr>
          <w:u w:val="single"/>
        </w:rPr>
        <w:t>el ahorro depende del tipo marginal</w:t>
      </w:r>
      <w:r>
        <w:t xml:space="preserve">, beneficiando de nuevo más a los agentes con elevadas rentas. </w:t>
      </w:r>
    </w:p>
    <w:p w14:paraId="533BB040" w14:textId="32B786FB" w:rsidR="00DF44E4" w:rsidRDefault="00DF44E4" w:rsidP="004A7D3E">
      <w:pPr>
        <w:pStyle w:val="Nivel2SM"/>
        <w:keepNext/>
        <w:spacing w:after="0"/>
      </w:pPr>
      <w:r w:rsidRPr="004A7D3E">
        <w:rPr>
          <w:i/>
          <w:iCs/>
          <w:u w:val="single"/>
        </w:rPr>
        <w:t>Argumentos a favor</w:t>
      </w:r>
      <w:r w:rsidR="004A7D3E">
        <w:t>:</w:t>
      </w:r>
    </w:p>
    <w:p w14:paraId="33E56284" w14:textId="45F7463A" w:rsidR="002665DE" w:rsidRPr="002665DE" w:rsidRDefault="002665DE" w:rsidP="00095EC0">
      <w:pPr>
        <w:pStyle w:val="Nivel3SM"/>
        <w:keepNext/>
      </w:pPr>
      <w:r w:rsidRPr="00095EC0">
        <w:rPr>
          <w:i/>
          <w:iCs/>
        </w:rPr>
        <w:t>Efectos positivos del ahorro</w:t>
      </w:r>
      <w:r w:rsidR="00095EC0">
        <w:t>:</w:t>
      </w:r>
    </w:p>
    <w:p w14:paraId="02011E93" w14:textId="21AB3CD0" w:rsidR="00DF44E4" w:rsidRPr="00DF44E4" w:rsidRDefault="00DF44E4" w:rsidP="00095EC0">
      <w:pPr>
        <w:pStyle w:val="Nivel4"/>
        <w:ind w:left="1474"/>
        <w:rPr>
          <w:u w:val="single"/>
        </w:rPr>
      </w:pPr>
      <w:r>
        <w:t>El fomento del ahorro tendría efectos positivos sobre el crecimiento económico.</w:t>
      </w:r>
    </w:p>
    <w:p w14:paraId="7FFE9EDA" w14:textId="77777777" w:rsidR="002665DE" w:rsidRPr="002665DE" w:rsidRDefault="00DF44E4" w:rsidP="00095EC0">
      <w:pPr>
        <w:pStyle w:val="Nivel4"/>
        <w:ind w:left="1474"/>
        <w:rPr>
          <w:u w:val="single"/>
        </w:rPr>
      </w:pPr>
      <w:r>
        <w:t>Las aportaciones a planes de pensiones de capitalización ayuda a reducir el problema de la s</w:t>
      </w:r>
      <w:r w:rsidR="002665DE">
        <w:t>ostenibilidad de las pensiones.</w:t>
      </w:r>
    </w:p>
    <w:p w14:paraId="66210CE7" w14:textId="4E7D5359" w:rsidR="002665DE" w:rsidRPr="002665DE" w:rsidRDefault="002665DE" w:rsidP="00095EC0">
      <w:pPr>
        <w:pStyle w:val="Nivel3SM"/>
        <w:keepNext/>
      </w:pPr>
      <w:r w:rsidRPr="00095EC0">
        <w:rPr>
          <w:i/>
          <w:iCs/>
        </w:rPr>
        <w:t>Equidad</w:t>
      </w:r>
      <w:r w:rsidR="00095EC0">
        <w:t>:</w:t>
      </w:r>
    </w:p>
    <w:p w14:paraId="1CF8E67E" w14:textId="77777777" w:rsidR="00964701" w:rsidRPr="00964701" w:rsidRDefault="00DF44E4" w:rsidP="00095EC0">
      <w:pPr>
        <w:pStyle w:val="Nivel4"/>
        <w:ind w:left="1474"/>
        <w:rPr>
          <w:u w:val="single"/>
        </w:rPr>
      </w:pPr>
      <w:r>
        <w:t>Además algunas de estas deducciones son correspondientes a aportaciones a fondos para personas con discapacidad lo que tiene importantes repercusiones sobre la equidad.</w:t>
      </w:r>
    </w:p>
    <w:p w14:paraId="420A72DC" w14:textId="17AAE6FF" w:rsidR="00964701" w:rsidRPr="00964701" w:rsidRDefault="00964701" w:rsidP="004A7D3E">
      <w:pPr>
        <w:pStyle w:val="Nivel2SM"/>
        <w:rPr>
          <w:u w:val="single"/>
        </w:rPr>
      </w:pPr>
      <w:r>
        <w:t>En general, a nivel internacional, desde los años</w:t>
      </w:r>
      <w:r w:rsidR="008C66DF">
        <w:t> </w:t>
      </w:r>
      <w:r>
        <w:t>90 se ha asistido a una ampliación de las bases imponibles en muchos países, como resultado de la racionalización de los gastos deducibles (se busca limitarlos).</w:t>
      </w:r>
    </w:p>
    <w:p w14:paraId="7ED9FCDB" w14:textId="040DC5CE" w:rsidR="00662E12" w:rsidRDefault="008C7AF5" w:rsidP="00A55879">
      <w:pPr>
        <w:pStyle w:val="Ttulo3"/>
      </w:pPr>
      <w:bookmarkStart w:id="20" w:name="_Toc219417479"/>
      <w:r>
        <w:lastRenderedPageBreak/>
        <w:t>Tipo impositivo</w:t>
      </w:r>
      <w:bookmarkEnd w:id="20"/>
    </w:p>
    <w:p w14:paraId="55AB80B4" w14:textId="780553B8" w:rsidR="006C2958" w:rsidRPr="00986ECE" w:rsidRDefault="006C2958" w:rsidP="004A7D3E">
      <w:pPr>
        <w:pStyle w:val="Ttulo6"/>
        <w:spacing w:before="0"/>
      </w:pPr>
      <w:r w:rsidRPr="006C2958">
        <w:t>Introducción</w:t>
      </w:r>
    </w:p>
    <w:p w14:paraId="45D28FE7" w14:textId="765B0A34" w:rsidR="00680EB1" w:rsidRDefault="00680EB1" w:rsidP="004A7D3E">
      <w:pPr>
        <w:pStyle w:val="Nivel2SM"/>
      </w:pPr>
      <w:r>
        <w:t>Una vez obtenido la base liquidable pasamos a aplicar el tipo impositivo sobre esta para determinar la cuota íntegra. Comentamos a continuación aspectos teóricos de dicho tipo impositivo previamente.</w:t>
      </w:r>
    </w:p>
    <w:p w14:paraId="7F58F63D" w14:textId="20A00ED9" w:rsidR="00662E12" w:rsidRPr="00986ECE" w:rsidRDefault="00680EB1" w:rsidP="00F94CE1">
      <w:pPr>
        <w:pStyle w:val="Ttulo6"/>
      </w:pPr>
      <w:r>
        <w:t>Grado de progresividad</w:t>
      </w:r>
    </w:p>
    <w:p w14:paraId="12EB79C0" w14:textId="6E6BF51D" w:rsidR="00DC3384" w:rsidRDefault="00DC3384" w:rsidP="004A7D3E">
      <w:pPr>
        <w:pStyle w:val="Nivel2SM"/>
        <w:keepNext/>
        <w:spacing w:after="0"/>
      </w:pPr>
      <w:r>
        <w:t>Todo país desarrollado tiene un sistema fiscal progresivo que cumple con el criterio de equidad.</w:t>
      </w:r>
    </w:p>
    <w:p w14:paraId="6EAA6A54" w14:textId="3EA74F06" w:rsidR="00DC3384" w:rsidRDefault="00DC3384" w:rsidP="004A7D3E">
      <w:pPr>
        <w:pStyle w:val="Nivel3SM"/>
      </w:pPr>
      <w:r>
        <w:t>Es decir un sistema en donde los individuos pagan en función de su capacidad de pago existiendo así un residuo fiscal entre lo que aportan y lo que reciben del estado que será positivo para los agentes más pudientes y negativo para aquellos con menor capacidad de pago.</w:t>
      </w:r>
    </w:p>
    <w:p w14:paraId="05FE6841" w14:textId="581A44E8" w:rsidR="008C7AF5" w:rsidRDefault="00DC3384" w:rsidP="004A7D3E">
      <w:pPr>
        <w:pStyle w:val="Nivel3SM"/>
      </w:pPr>
      <w:r>
        <w:t>Esto permitirá llevar a cabo una redistribución de los recursos reduciendo así la desigualdad de la renta en el país.</w:t>
      </w:r>
    </w:p>
    <w:p w14:paraId="0BF227EF" w14:textId="37F00844" w:rsidR="00DC3384" w:rsidRDefault="00DC3384" w:rsidP="004A7D3E">
      <w:pPr>
        <w:pStyle w:val="Nivel2SM"/>
      </w:pPr>
      <w:r w:rsidRPr="004A7D3E">
        <w:rPr>
          <w:i/>
          <w:iCs/>
          <w:u w:val="single"/>
        </w:rPr>
        <w:t>Definición de la progresividad</w:t>
      </w:r>
      <w:r w:rsidR="004A7D3E">
        <w:t>:</w:t>
      </w:r>
    </w:p>
    <w:p w14:paraId="63F2B6A4" w14:textId="77777777" w:rsidR="00DC3384" w:rsidRPr="003013AC" w:rsidRDefault="00DC3384" w:rsidP="004A7D3E">
      <w:pPr>
        <w:pStyle w:val="Nivel3SM"/>
      </w:pPr>
      <w:r w:rsidRPr="003013AC">
        <w:t xml:space="preserve">Un impuesto es progresivo si el tipo es creciente con la renta, y regresivo si lo contrario. Es decir, el impuesto será progresivo si la elasticidad de la recaudación respecto a la base imponible, </w:t>
      </w:r>
      <w:proofErr w:type="spellStart"/>
      <w:r w:rsidRPr="003013AC">
        <w:t>εT,BI</w:t>
      </w:r>
      <w:proofErr w:type="spellEnd"/>
      <w:r w:rsidRPr="003013AC">
        <w:t xml:space="preserve"> (que es siempre positiva), es mayor que 1:</w:t>
      </w:r>
    </w:p>
    <w:p w14:paraId="7D33929D" w14:textId="5E176CC1" w:rsidR="00DC3384" w:rsidRDefault="00F94CE1" w:rsidP="00561E4B">
      <w:pPr>
        <w:ind w:left="1440"/>
        <w:jc w:val="center"/>
      </w:pPr>
      <w:r>
        <w:rPr>
          <w:noProof/>
        </w:rPr>
        <w:drawing>
          <wp:inline distT="0" distB="0" distL="0" distR="0" wp14:anchorId="7980F17C" wp14:editId="322F5D34">
            <wp:extent cx="2540000" cy="755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0" cy="755650"/>
                    </a:xfrm>
                    <a:prstGeom prst="rect">
                      <a:avLst/>
                    </a:prstGeom>
                    <a:noFill/>
                    <a:ln>
                      <a:noFill/>
                    </a:ln>
                  </pic:spPr>
                </pic:pic>
              </a:graphicData>
            </a:graphic>
          </wp:inline>
        </w:drawing>
      </w:r>
    </w:p>
    <w:p w14:paraId="2FB2B9AB" w14:textId="66FEC87A" w:rsidR="00DC3384" w:rsidRDefault="00DC3384" w:rsidP="00734DC7">
      <w:pPr>
        <w:numPr>
          <w:ilvl w:val="1"/>
          <w:numId w:val="1"/>
        </w:numPr>
        <w:tabs>
          <w:tab w:val="clear" w:pos="1440"/>
        </w:tabs>
      </w:pPr>
      <w:r w:rsidRPr="009B0724">
        <w:rPr>
          <w:u w:val="single"/>
        </w:rPr>
        <w:t>Impuesto de suma fija</w:t>
      </w:r>
      <w:r>
        <w:t>:</w:t>
      </w:r>
    </w:p>
    <w:p w14:paraId="7689B1E1" w14:textId="575DED4D" w:rsidR="00DC3384" w:rsidRDefault="00DC3384" w:rsidP="00734DC7">
      <w:pPr>
        <w:numPr>
          <w:ilvl w:val="2"/>
          <w:numId w:val="1"/>
        </w:numPr>
        <w:tabs>
          <w:tab w:val="clear" w:pos="2160"/>
        </w:tabs>
      </w:pPr>
      <w:r>
        <w:t>Aquel con ε = 0.</w:t>
      </w:r>
    </w:p>
    <w:p w14:paraId="1B79FFFF" w14:textId="49657BEA" w:rsidR="00DC3384" w:rsidRDefault="00DC3384" w:rsidP="00734DC7">
      <w:pPr>
        <w:numPr>
          <w:ilvl w:val="1"/>
          <w:numId w:val="1"/>
        </w:numPr>
        <w:tabs>
          <w:tab w:val="clear" w:pos="1440"/>
        </w:tabs>
      </w:pPr>
      <w:r w:rsidRPr="009B0724">
        <w:rPr>
          <w:u w:val="single"/>
        </w:rPr>
        <w:t>Impuesto progresivo</w:t>
      </w:r>
      <w:r>
        <w:t>:</w:t>
      </w:r>
    </w:p>
    <w:p w14:paraId="325EABD6" w14:textId="77777777" w:rsidR="00DC3384" w:rsidRDefault="00DC3384" w:rsidP="00734DC7">
      <w:pPr>
        <w:numPr>
          <w:ilvl w:val="2"/>
          <w:numId w:val="1"/>
        </w:numPr>
        <w:tabs>
          <w:tab w:val="clear" w:pos="2160"/>
        </w:tabs>
      </w:pPr>
      <w:r>
        <w:t>Aquel con ε &gt; 1, es decir, con tipo medio creciente (tipo marginal &gt; tipo medio). Distinguimos entre progresividad media y progresividad marginal:</w:t>
      </w:r>
    </w:p>
    <w:p w14:paraId="74F2EE2E" w14:textId="77777777" w:rsidR="00DC3384" w:rsidRDefault="00DC3384" w:rsidP="00734DC7">
      <w:pPr>
        <w:numPr>
          <w:ilvl w:val="3"/>
          <w:numId w:val="1"/>
        </w:numPr>
        <w:tabs>
          <w:tab w:val="clear" w:pos="2880"/>
        </w:tabs>
      </w:pPr>
      <w:r w:rsidRPr="00512C3F">
        <w:rPr>
          <w:i/>
        </w:rPr>
        <w:t>Progresividad media</w:t>
      </w:r>
      <w:r>
        <w:t xml:space="preserve">: analiza cómo evoluciona el tipo </w:t>
      </w:r>
      <w:r w:rsidRPr="00512C3F">
        <w:rPr>
          <w:i/>
        </w:rPr>
        <w:t>medio</w:t>
      </w:r>
      <w:r>
        <w:t xml:space="preserve"> cuando varía la renta:</w:t>
      </w:r>
    </w:p>
    <w:p w14:paraId="23641861" w14:textId="77777777" w:rsidR="00DC3384" w:rsidRDefault="00DC3384" w:rsidP="00561E4B">
      <w:pPr>
        <w:pStyle w:val="Tercer"/>
        <w:numPr>
          <w:ilvl w:val="0"/>
          <w:numId w:val="0"/>
        </w:numPr>
        <w:ind w:left="142" w:hanging="142"/>
        <w:jc w:val="center"/>
      </w:pPr>
      <w:r w:rsidRPr="004E5ABE">
        <w:rPr>
          <w:position w:val="-24"/>
        </w:rPr>
        <w:object w:dxaOrig="1200" w:dyaOrig="620" w14:anchorId="62BD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1pt;height:45.2pt" o:ole="">
            <v:imagedata r:id="rId10" o:title=""/>
          </v:shape>
          <o:OLEObject Type="Embed" ProgID="Equation.3" ShapeID="_x0000_i1025" DrawAspect="Content" ObjectID="_1830030199" r:id="rId11"/>
        </w:object>
      </w:r>
    </w:p>
    <w:p w14:paraId="17497663" w14:textId="77777777" w:rsidR="00DC3384" w:rsidRDefault="00DC3384" w:rsidP="00734DC7">
      <w:pPr>
        <w:numPr>
          <w:ilvl w:val="3"/>
          <w:numId w:val="1"/>
        </w:numPr>
        <w:tabs>
          <w:tab w:val="clear" w:pos="2880"/>
        </w:tabs>
      </w:pPr>
      <w:r w:rsidRPr="00512C3F">
        <w:rPr>
          <w:i/>
        </w:rPr>
        <w:t>Progresividad marginal</w:t>
      </w:r>
      <w:r>
        <w:t xml:space="preserve">: analiza cómo evoluciona el tipo </w:t>
      </w:r>
      <w:r w:rsidRPr="00512C3F">
        <w:rPr>
          <w:i/>
        </w:rPr>
        <w:t>marginal</w:t>
      </w:r>
      <w:r>
        <w:t xml:space="preserve"> cuando varía la renta.</w:t>
      </w:r>
    </w:p>
    <w:p w14:paraId="1A797DA1" w14:textId="77777777" w:rsidR="00DC3384" w:rsidRDefault="00DC3384" w:rsidP="00561E4B">
      <w:pPr>
        <w:pStyle w:val="Tercer"/>
        <w:numPr>
          <w:ilvl w:val="0"/>
          <w:numId w:val="0"/>
        </w:numPr>
        <w:ind w:left="283" w:hanging="283"/>
        <w:jc w:val="center"/>
      </w:pPr>
      <w:r w:rsidRPr="00C33887">
        <w:rPr>
          <w:position w:val="-24"/>
        </w:rPr>
        <w:object w:dxaOrig="2439" w:dyaOrig="660" w14:anchorId="0B67D38E">
          <v:shape id="_x0000_i1026" type="#_x0000_t75" style="width:159.05pt;height:39.35pt" o:ole="">
            <v:imagedata r:id="rId12" o:title=""/>
          </v:shape>
          <o:OLEObject Type="Embed" ProgID="Equation.3" ShapeID="_x0000_i1026" DrawAspect="Content" ObjectID="_1830030200" r:id="rId13"/>
        </w:object>
      </w:r>
    </w:p>
    <w:p w14:paraId="2E2E8EC8" w14:textId="77777777" w:rsidR="00DC3384" w:rsidRDefault="00DC3384" w:rsidP="00734DC7">
      <w:pPr>
        <w:numPr>
          <w:ilvl w:val="3"/>
          <w:numId w:val="1"/>
        </w:numPr>
        <w:tabs>
          <w:tab w:val="clear" w:pos="2880"/>
        </w:tabs>
      </w:pPr>
      <w:r>
        <w:t xml:space="preserve">La progresividad media </w:t>
      </w:r>
      <w:r w:rsidRPr="00E457FE">
        <w:rPr>
          <w:u w:val="single"/>
        </w:rPr>
        <w:t>no</w:t>
      </w:r>
      <w:r>
        <w:t xml:space="preserve"> implica progresividad marginal: puede haber progresividad (media) y que </w:t>
      </w:r>
      <w:r w:rsidRPr="00E457FE">
        <w:rPr>
          <w:u w:val="single"/>
        </w:rPr>
        <w:t>no</w:t>
      </w:r>
      <w:r>
        <w:t xml:space="preserve"> haya progresividad marginal. Es el caso de los impuestos proporcionales con reducciones:</w:t>
      </w:r>
    </w:p>
    <w:p w14:paraId="27CB9A7D" w14:textId="77777777" w:rsidR="00DC3384" w:rsidRDefault="00DC3384" w:rsidP="00561E4B">
      <w:pPr>
        <w:pStyle w:val="Tercer"/>
        <w:numPr>
          <w:ilvl w:val="0"/>
          <w:numId w:val="0"/>
        </w:numPr>
        <w:ind w:left="142" w:hanging="142"/>
        <w:jc w:val="center"/>
      </w:pPr>
      <w:r w:rsidRPr="004E5ABE">
        <w:rPr>
          <w:position w:val="-10"/>
        </w:rPr>
        <w:object w:dxaOrig="1440" w:dyaOrig="320" w14:anchorId="292B9EFE">
          <v:shape id="_x0000_i1027" type="#_x0000_t75" style="width:96.3pt;height:19.25pt" o:ole="">
            <v:imagedata r:id="rId14" o:title=""/>
          </v:shape>
          <o:OLEObject Type="Embed" ProgID="Equation.3" ShapeID="_x0000_i1027" DrawAspect="Content" ObjectID="_1830030201" r:id="rId15"/>
        </w:object>
      </w:r>
    </w:p>
    <w:p w14:paraId="172DC29C" w14:textId="77777777" w:rsidR="00DC3384" w:rsidRDefault="00DC3384" w:rsidP="00561E4B">
      <w:pPr>
        <w:pStyle w:val="Tercer"/>
        <w:numPr>
          <w:ilvl w:val="0"/>
          <w:numId w:val="0"/>
        </w:numPr>
        <w:ind w:left="142" w:hanging="142"/>
        <w:jc w:val="center"/>
      </w:pPr>
      <w:r w:rsidRPr="004E5ABE">
        <w:rPr>
          <w:position w:val="-24"/>
        </w:rPr>
        <w:object w:dxaOrig="3040" w:dyaOrig="620" w14:anchorId="097F36CA">
          <v:shape id="_x0000_i1028" type="#_x0000_t75" style="width:149pt;height:26.8pt" o:ole="">
            <v:imagedata r:id="rId16" o:title=""/>
          </v:shape>
          <o:OLEObject Type="Embed" ProgID="Equation.3" ShapeID="_x0000_i1028" DrawAspect="Content" ObjectID="_1830030202" r:id="rId17"/>
        </w:object>
      </w:r>
    </w:p>
    <w:p w14:paraId="518FAB98" w14:textId="77777777" w:rsidR="00DC3384" w:rsidRDefault="00DC3384" w:rsidP="00561E4B">
      <w:pPr>
        <w:pStyle w:val="Tercer"/>
        <w:numPr>
          <w:ilvl w:val="0"/>
          <w:numId w:val="0"/>
        </w:numPr>
        <w:ind w:left="142" w:hanging="142"/>
        <w:jc w:val="center"/>
      </w:pPr>
      <w:r w:rsidRPr="00C33887">
        <w:rPr>
          <w:position w:val="-24"/>
        </w:rPr>
        <w:object w:dxaOrig="1740" w:dyaOrig="660" w14:anchorId="7065A5EB">
          <v:shape id="_x0000_i1029" type="#_x0000_t75" style="width:102.15pt;height:35.15pt" o:ole="">
            <v:imagedata r:id="rId18" o:title=""/>
          </v:shape>
          <o:OLEObject Type="Embed" ProgID="Equation.3" ShapeID="_x0000_i1029" DrawAspect="Content" ObjectID="_1830030203" r:id="rId19"/>
        </w:object>
      </w:r>
    </w:p>
    <w:p w14:paraId="71EFC5BD" w14:textId="15787FAA" w:rsidR="00DC3384" w:rsidRDefault="00DC3384" w:rsidP="00734DC7">
      <w:pPr>
        <w:numPr>
          <w:ilvl w:val="1"/>
          <w:numId w:val="1"/>
        </w:numPr>
        <w:tabs>
          <w:tab w:val="clear" w:pos="1440"/>
        </w:tabs>
      </w:pPr>
      <w:r w:rsidRPr="009B0724">
        <w:rPr>
          <w:u w:val="single"/>
        </w:rPr>
        <w:lastRenderedPageBreak/>
        <w:t>Impuesto proporcional</w:t>
      </w:r>
      <w:r>
        <w:t>:</w:t>
      </w:r>
    </w:p>
    <w:p w14:paraId="1681D208" w14:textId="77777777" w:rsidR="00DC3384" w:rsidRDefault="00DC3384" w:rsidP="00734DC7">
      <w:pPr>
        <w:numPr>
          <w:ilvl w:val="2"/>
          <w:numId w:val="1"/>
        </w:numPr>
        <w:tabs>
          <w:tab w:val="clear" w:pos="2160"/>
        </w:tabs>
      </w:pPr>
      <w:r>
        <w:t>Aquel con ε = 1, es decir, con tipo medio constante (tipo marginal = tipo medio).</w:t>
      </w:r>
    </w:p>
    <w:p w14:paraId="0D6345D1" w14:textId="6893F4AF" w:rsidR="00DC3384" w:rsidRDefault="00DC3384" w:rsidP="00734DC7">
      <w:pPr>
        <w:numPr>
          <w:ilvl w:val="1"/>
          <w:numId w:val="1"/>
        </w:numPr>
        <w:tabs>
          <w:tab w:val="clear" w:pos="1440"/>
        </w:tabs>
      </w:pPr>
      <w:r w:rsidRPr="009B0724">
        <w:rPr>
          <w:u w:val="single"/>
        </w:rPr>
        <w:t>Impuesto regresivo</w:t>
      </w:r>
      <w:r>
        <w:t>:</w:t>
      </w:r>
    </w:p>
    <w:p w14:paraId="347A0C4A" w14:textId="77777777" w:rsidR="006A282B" w:rsidRDefault="00DC3384" w:rsidP="00734DC7">
      <w:pPr>
        <w:numPr>
          <w:ilvl w:val="2"/>
          <w:numId w:val="1"/>
        </w:numPr>
        <w:tabs>
          <w:tab w:val="clear" w:pos="2160"/>
        </w:tabs>
      </w:pPr>
      <w:r>
        <w:t>Aquel con ε &lt; 1, es decir, con tipo medio decreciente (tipo marginal &lt; tipo medio).</w:t>
      </w:r>
    </w:p>
    <w:p w14:paraId="3EF15781" w14:textId="6803981E" w:rsidR="00546311" w:rsidRDefault="00546311" w:rsidP="004A7D3E">
      <w:pPr>
        <w:pStyle w:val="Nivel2SM"/>
        <w:keepNext/>
        <w:spacing w:after="0"/>
      </w:pPr>
      <w:r w:rsidRPr="004A7D3E">
        <w:rPr>
          <w:i/>
          <w:iCs/>
          <w:u w:val="single"/>
        </w:rPr>
        <w:t>Situación en España</w:t>
      </w:r>
      <w:r w:rsidR="004A7D3E">
        <w:t>:</w:t>
      </w:r>
    </w:p>
    <w:p w14:paraId="409276F9" w14:textId="6B0B1275" w:rsidR="00546311" w:rsidRDefault="009041AB" w:rsidP="004A7D3E">
      <w:pPr>
        <w:pStyle w:val="Nivel3SM"/>
      </w:pPr>
      <w:r w:rsidRPr="004A7D3E">
        <w:rPr>
          <w:i/>
          <w:iCs/>
        </w:rPr>
        <w:t>Sistema progresivo</w:t>
      </w:r>
      <w:r>
        <w:t>:</w:t>
      </w:r>
      <w:r w:rsidR="004A7D3E">
        <w:t xml:space="preserve"> </w:t>
      </w:r>
      <w:r w:rsidR="00546311">
        <w:t>En España existen tanto deducciones como tipos marginales crecientes que hacen que el IPRF sea progresivo.</w:t>
      </w:r>
    </w:p>
    <w:p w14:paraId="4DEB0DFD" w14:textId="7558193D" w:rsidR="0041464A" w:rsidRPr="00561E4B" w:rsidRDefault="0041464A" w:rsidP="004A7D3E">
      <w:pPr>
        <w:pStyle w:val="Nivel3SM"/>
        <w:keepNext/>
      </w:pPr>
      <w:r w:rsidRPr="004A7D3E">
        <w:rPr>
          <w:i/>
          <w:iCs/>
        </w:rPr>
        <w:t>Breve evolución</w:t>
      </w:r>
      <w:r w:rsidR="004A7D3E">
        <w:t>:</w:t>
      </w:r>
    </w:p>
    <w:p w14:paraId="4D849374" w14:textId="6DA33C58" w:rsidR="0041464A" w:rsidRDefault="0041464A" w:rsidP="004A7D3E">
      <w:pPr>
        <w:pStyle w:val="Nivel4"/>
        <w:ind w:left="1474"/>
      </w:pPr>
      <w:r>
        <w:t xml:space="preserve">2008: El tipo marginal más alto </w:t>
      </w:r>
      <w:r w:rsidRPr="00AD54BA">
        <w:t>se situaba en el 43</w:t>
      </w:r>
      <w:r w:rsidR="00986ECE">
        <w:t> %</w:t>
      </w:r>
      <w:r w:rsidRPr="00AD54BA">
        <w:t xml:space="preserve"> en 2008</w:t>
      </w:r>
    </w:p>
    <w:p w14:paraId="72199C3C" w14:textId="30E56FE9" w:rsidR="0041464A" w:rsidRDefault="0041464A" w:rsidP="004A7D3E">
      <w:pPr>
        <w:pStyle w:val="Nivel4"/>
        <w:ind w:left="1474"/>
      </w:pPr>
      <w:r>
        <w:t>2012: A</w:t>
      </w:r>
      <w:r w:rsidRPr="00AD54BA">
        <w:t>lcanzó el 52</w:t>
      </w:r>
      <w:r w:rsidR="00986ECE">
        <w:t> %</w:t>
      </w:r>
      <w:r w:rsidRPr="00AD54BA">
        <w:t xml:space="preserve"> en 2012</w:t>
      </w:r>
      <w:r>
        <w:t>.</w:t>
      </w:r>
    </w:p>
    <w:p w14:paraId="5B8B947E" w14:textId="297AEF4D" w:rsidR="0041464A" w:rsidRDefault="0041464A" w:rsidP="004A7D3E">
      <w:pPr>
        <w:pStyle w:val="Nivel4"/>
        <w:ind w:left="1474"/>
      </w:pPr>
      <w:r>
        <w:t>Desde el 2012 hasta la actualidad:</w:t>
      </w:r>
      <w:r w:rsidRPr="00AD54BA">
        <w:t xml:space="preserve"> </w:t>
      </w:r>
      <w:r>
        <w:t>H</w:t>
      </w:r>
      <w:r w:rsidRPr="00AD54BA">
        <w:t>a ido descendiendo hasta el 45</w:t>
      </w:r>
      <w:r w:rsidR="00986ECE">
        <w:t> %</w:t>
      </w:r>
      <w:r w:rsidRPr="00AD54BA">
        <w:t>.</w:t>
      </w:r>
    </w:p>
    <w:p w14:paraId="14CC98CB" w14:textId="4FCD3AC9" w:rsidR="0041464A" w:rsidRDefault="0041464A" w:rsidP="004A7D3E">
      <w:pPr>
        <w:pStyle w:val="Nivel3SM"/>
        <w:keepNext/>
      </w:pPr>
      <w:r w:rsidRPr="004A7D3E">
        <w:rPr>
          <w:i/>
          <w:iCs/>
        </w:rPr>
        <w:t>Programa de Estabilidad 2019</w:t>
      </w:r>
      <w:r w:rsidR="004A7D3E">
        <w:t>:</w:t>
      </w:r>
    </w:p>
    <w:p w14:paraId="080E5042" w14:textId="2A0E7E22" w:rsidR="0041464A" w:rsidRDefault="0041464A" w:rsidP="004A7D3E">
      <w:pPr>
        <w:pStyle w:val="Nivel4"/>
        <w:ind w:left="1474"/>
      </w:pPr>
      <w:r>
        <w:t>Incremento de dos puntos los tipos impositivos sobre la base general para las rentas superiores a 130.000</w:t>
      </w:r>
      <w:r w:rsidR="00986ECE">
        <w:t> </w:t>
      </w:r>
      <w:r>
        <w:t>euros y cuatro puntos para las rentas superiores a 300.000</w:t>
      </w:r>
      <w:r w:rsidR="00986ECE">
        <w:t> </w:t>
      </w:r>
      <w:r>
        <w:t>euros.</w:t>
      </w:r>
    </w:p>
    <w:p w14:paraId="606EA5CB" w14:textId="612FBFBF" w:rsidR="00DC3384" w:rsidRPr="00087570" w:rsidRDefault="00DC3384" w:rsidP="004A7D3E">
      <w:pPr>
        <w:pStyle w:val="Nivel2SM"/>
        <w:keepNext/>
        <w:spacing w:after="0"/>
      </w:pPr>
      <w:r w:rsidRPr="004A7D3E">
        <w:rPr>
          <w:i/>
          <w:iCs/>
          <w:u w:val="single"/>
        </w:rPr>
        <w:t>Comparación internacional</w:t>
      </w:r>
      <w:r w:rsidR="004A7D3E">
        <w:t>:</w:t>
      </w:r>
    </w:p>
    <w:p w14:paraId="0FDB54DC" w14:textId="521AA1D4" w:rsidR="00DC3384" w:rsidRDefault="0041464A" w:rsidP="004A7D3E">
      <w:pPr>
        <w:pStyle w:val="Nivel3SM"/>
      </w:pPr>
      <w:r>
        <w:t>L</w:t>
      </w:r>
      <w:r w:rsidR="00DC3384">
        <w:t xml:space="preserve">igeramente por encima de la media de la </w:t>
      </w:r>
      <w:r w:rsidR="00DC3384" w:rsidRPr="00804D45">
        <w:rPr>
          <w:b/>
        </w:rPr>
        <w:t>OCDE: 42</w:t>
      </w:r>
      <w:r w:rsidR="00986ECE">
        <w:rPr>
          <w:b/>
        </w:rPr>
        <w:t> %</w:t>
      </w:r>
      <w:r w:rsidR="00DC3384">
        <w:t xml:space="preserve"> y por encima de la media de la </w:t>
      </w:r>
      <w:r w:rsidR="00DC3384" w:rsidRPr="00804D45">
        <w:rPr>
          <w:b/>
        </w:rPr>
        <w:t>eurozona 38</w:t>
      </w:r>
      <w:r w:rsidR="00986ECE">
        <w:rPr>
          <w:b/>
        </w:rPr>
        <w:t> %</w:t>
      </w:r>
      <w:r w:rsidR="00DC3384">
        <w:t xml:space="preserve"> en 2018.</w:t>
      </w:r>
    </w:p>
    <w:p w14:paraId="222B0E86" w14:textId="53D52E04" w:rsidR="00DC3384" w:rsidRPr="00986ECE" w:rsidRDefault="00DC3384" w:rsidP="00F94CE1">
      <w:pPr>
        <w:pStyle w:val="Ttulo6"/>
      </w:pPr>
      <w:r w:rsidRPr="00DC3384">
        <w:t>Progresividad real</w:t>
      </w:r>
    </w:p>
    <w:p w14:paraId="68D8FA1A" w14:textId="0894ADD6" w:rsidR="006A282B" w:rsidRDefault="006A282B" w:rsidP="001D7745">
      <w:pPr>
        <w:pStyle w:val="Nivel2SM"/>
        <w:keepNext/>
        <w:spacing w:after="0"/>
      </w:pPr>
      <w:r>
        <w:t xml:space="preserve">No obstante, existen </w:t>
      </w:r>
      <w:r w:rsidR="00DC3384">
        <w:t xml:space="preserve">algunos </w:t>
      </w:r>
      <w:r>
        <w:t xml:space="preserve">factores que alteran la progresividad teórica del impuesto y dan lugar a la llamada </w:t>
      </w:r>
      <w:r w:rsidRPr="006568B1">
        <w:rPr>
          <w:b/>
          <w:bCs/>
        </w:rPr>
        <w:t>progresividad real</w:t>
      </w:r>
      <w:r>
        <w:t>.</w:t>
      </w:r>
    </w:p>
    <w:p w14:paraId="788ECB7F" w14:textId="614436B9" w:rsidR="006A282B" w:rsidRPr="006568B1" w:rsidRDefault="001D7745" w:rsidP="006568B1">
      <w:pPr>
        <w:pStyle w:val="Nivel3SM"/>
      </w:pPr>
      <w:r w:rsidRPr="006568B1">
        <w:rPr>
          <w:i/>
          <w:iCs/>
          <w:u w:val="single"/>
        </w:rPr>
        <w:t>E</w:t>
      </w:r>
      <w:r w:rsidR="006A282B" w:rsidRPr="006568B1">
        <w:rPr>
          <w:i/>
          <w:iCs/>
          <w:u w:val="single"/>
        </w:rPr>
        <w:t>vasión o fraude fiscal</w:t>
      </w:r>
      <w:r w:rsidR="006A282B">
        <w:t>:</w:t>
      </w:r>
      <w:r w:rsidR="006568B1">
        <w:t xml:space="preserve"> </w:t>
      </w:r>
      <w:r w:rsidR="006A282B">
        <w:t xml:space="preserve">Un impuesto formalmente muy progresivo puede convertirse en la </w:t>
      </w:r>
      <w:r w:rsidR="006A282B" w:rsidRPr="0041464A">
        <w:t>práctica en regresivo como consecuencia de la evasión fiscal. En este sentido</w:t>
      </w:r>
      <w:r w:rsidR="006A282B" w:rsidRPr="006568B1">
        <w:t>, algunos estudios empíricos revelan que los contribuyentes sometidos a tipos mg más altos tienen una mayor probabilidad de evadir impuestos, reduciendo como consecuencia la progresividad.</w:t>
      </w:r>
    </w:p>
    <w:p w14:paraId="3C1D9211" w14:textId="2B0DAAB9" w:rsidR="006A282B" w:rsidRPr="0041464A" w:rsidRDefault="001D7745" w:rsidP="006568B1">
      <w:pPr>
        <w:pStyle w:val="Nivel3SM"/>
      </w:pPr>
      <w:r w:rsidRPr="006568B1">
        <w:rPr>
          <w:i/>
          <w:iCs/>
          <w:u w:val="single"/>
        </w:rPr>
        <w:t>I</w:t>
      </w:r>
      <w:r w:rsidR="006A282B" w:rsidRPr="006568B1">
        <w:rPr>
          <w:i/>
          <w:iCs/>
          <w:u w:val="single"/>
        </w:rPr>
        <w:t>nflación</w:t>
      </w:r>
      <w:r w:rsidR="006A282B" w:rsidRPr="006568B1">
        <w:t>:</w:t>
      </w:r>
      <w:r w:rsidR="006568B1" w:rsidRPr="006568B1">
        <w:t xml:space="preserve"> </w:t>
      </w:r>
      <w:r w:rsidR="00DC3384" w:rsidRPr="006568B1">
        <w:t>P</w:t>
      </w:r>
      <w:r w:rsidR="006A282B" w:rsidRPr="006568B1">
        <w:t>uede</w:t>
      </w:r>
      <w:r w:rsidR="006A282B" w:rsidRPr="0041464A">
        <w:t xml:space="preserve"> dar lugar a la llamada progresividad en frío, por la que una tarifa progresiva obliga a los contribuyentes cuya renta nominal (pero no real) aumente a pagar un tipo mg mayor.</w:t>
      </w:r>
    </w:p>
    <w:p w14:paraId="2BCB9DA8" w14:textId="77777777" w:rsidR="00DC3384" w:rsidRPr="0041464A" w:rsidRDefault="00DC3384" w:rsidP="00F94CE1">
      <w:pPr>
        <w:pStyle w:val="Ttulo6"/>
      </w:pPr>
      <w:r w:rsidRPr="0041464A">
        <w:t xml:space="preserve">Sistema progresivo vs. </w:t>
      </w:r>
      <w:r w:rsidR="00BE35B5" w:rsidRPr="0041464A">
        <w:t>S</w:t>
      </w:r>
      <w:r w:rsidRPr="0041464A">
        <w:t>istema proporcional</w:t>
      </w:r>
    </w:p>
    <w:p w14:paraId="73C3E589" w14:textId="0AD4C20D" w:rsidR="00546311" w:rsidRPr="0041464A" w:rsidRDefault="00BE35B5" w:rsidP="00A24879">
      <w:pPr>
        <w:pStyle w:val="Nivel2SM"/>
        <w:keepNext/>
        <w:spacing w:after="0"/>
      </w:pPr>
      <w:r w:rsidRPr="00A24879">
        <w:rPr>
          <w:i/>
          <w:iCs/>
          <w:u w:val="single"/>
        </w:rPr>
        <w:t>Funcionamiento</w:t>
      </w:r>
      <w:r w:rsidR="00A24879">
        <w:t>:</w:t>
      </w:r>
    </w:p>
    <w:p w14:paraId="3D49BE71" w14:textId="77777777" w:rsidR="00546311" w:rsidRPr="0041464A" w:rsidRDefault="00546311" w:rsidP="00A24879">
      <w:pPr>
        <w:pStyle w:val="Nivel3SM"/>
      </w:pPr>
      <w:r w:rsidRPr="0041464A">
        <w:t>Mientras que muchos países tienen un impuesto sobre la renta con diferentes tramos, algunos países (entre ellos la gran mayoría de los nuevos miembros de la UE) tienen un esquema lineal, esto es, un sistema que aplica un tipo igual a todas las fuentes y cuantías de renta, y suele ser además igual al tipo del impuesto de sociedades</w:t>
      </w:r>
    </w:p>
    <w:p w14:paraId="3321CF66" w14:textId="345338F4" w:rsidR="00546311" w:rsidRPr="0041464A" w:rsidRDefault="00546311" w:rsidP="00A24879">
      <w:pPr>
        <w:pStyle w:val="Nivel2SM"/>
        <w:keepNext/>
        <w:spacing w:after="0"/>
      </w:pPr>
      <w:r w:rsidRPr="00A24879">
        <w:rPr>
          <w:i/>
          <w:iCs/>
          <w:u w:val="single"/>
        </w:rPr>
        <w:t>Ventaja</w:t>
      </w:r>
      <w:r w:rsidRPr="0041464A">
        <w:t>:</w:t>
      </w:r>
    </w:p>
    <w:p w14:paraId="331E3F44" w14:textId="77777777" w:rsidR="00546311" w:rsidRPr="0041464A" w:rsidRDefault="00546311" w:rsidP="00A24879">
      <w:pPr>
        <w:pStyle w:val="Nivel3SM"/>
      </w:pPr>
      <w:r w:rsidRPr="0041464A">
        <w:t>Sencillez administrativa (lo que lo hace especialmente atractivo para países de nivel de desarrollo medio).</w:t>
      </w:r>
    </w:p>
    <w:p w14:paraId="55DA23B1" w14:textId="77BCB8E3" w:rsidR="00546311" w:rsidRPr="0041464A" w:rsidRDefault="00546311" w:rsidP="00A24879">
      <w:pPr>
        <w:pStyle w:val="Nivel2SM"/>
        <w:keepNext/>
        <w:spacing w:after="0"/>
      </w:pPr>
      <w:r w:rsidRPr="00A24879">
        <w:rPr>
          <w:i/>
          <w:iCs/>
          <w:u w:val="single"/>
        </w:rPr>
        <w:t>Desventajas</w:t>
      </w:r>
      <w:r w:rsidRPr="0041464A">
        <w:t>:</w:t>
      </w:r>
    </w:p>
    <w:p w14:paraId="2C9833D7" w14:textId="77777777" w:rsidR="00546311" w:rsidRPr="0041464A" w:rsidRDefault="00546311" w:rsidP="00A24879">
      <w:pPr>
        <w:pStyle w:val="Nivel3SM"/>
      </w:pPr>
      <w:r w:rsidRPr="0041464A">
        <w:t>Menor capacidad redistributiva (aunque recordemos que el sistema puede seguir siendo progresivo si cuenta con un mínimo exento, como suele ser el caso).</w:t>
      </w:r>
    </w:p>
    <w:p w14:paraId="1588B844" w14:textId="77777777" w:rsidR="002E46F8" w:rsidRPr="0041464A" w:rsidRDefault="002E46F8" w:rsidP="00F94CE1">
      <w:pPr>
        <w:pStyle w:val="Ttulo6"/>
      </w:pPr>
      <w:r w:rsidRPr="0041464A">
        <w:t>Tipo de gravamen sobre el ahorro y la renta</w:t>
      </w:r>
    </w:p>
    <w:p w14:paraId="7AF0E569" w14:textId="77777777" w:rsidR="002E46F8" w:rsidRPr="0041464A" w:rsidRDefault="002E46F8" w:rsidP="004A7D3E">
      <w:pPr>
        <w:pStyle w:val="Nivel2SM"/>
      </w:pPr>
      <w:r w:rsidRPr="0041464A">
        <w:t xml:space="preserve">El ahorro y la renta se gravarán de forma distinta aplicándose en la actualidad a ambos tipos progresivos pero menores para los del ahorro para entre otros incentivar el ahorro. </w:t>
      </w:r>
    </w:p>
    <w:p w14:paraId="1404C4C8" w14:textId="122E1C99" w:rsidR="009041AB" w:rsidRPr="00986ECE" w:rsidRDefault="009041AB" w:rsidP="00A55879">
      <w:pPr>
        <w:pStyle w:val="Ttulo3"/>
      </w:pPr>
      <w:bookmarkStart w:id="21" w:name="_Toc219417480"/>
      <w:r w:rsidRPr="0041464A">
        <w:lastRenderedPageBreak/>
        <w:t>Cuota íntegra</w:t>
      </w:r>
      <w:bookmarkEnd w:id="21"/>
    </w:p>
    <w:p w14:paraId="15FDE887" w14:textId="09AD9C0F" w:rsidR="006636F8" w:rsidRPr="0041464A" w:rsidRDefault="006636F8" w:rsidP="006568B1">
      <w:pPr>
        <w:pStyle w:val="Ttulo6"/>
        <w:spacing w:before="0"/>
      </w:pPr>
      <w:r w:rsidRPr="0041464A">
        <w:t>Determinación</w:t>
      </w:r>
    </w:p>
    <w:p w14:paraId="2ACEF553" w14:textId="49119E0C" w:rsidR="009041AB" w:rsidRPr="0041464A" w:rsidRDefault="009041AB" w:rsidP="004A7D3E">
      <w:pPr>
        <w:pStyle w:val="Nivel2SM"/>
      </w:pPr>
      <w:r w:rsidRPr="0041464A">
        <w:t>De la aplicación del tipo de gravamen a la base imponible obtenemos la cuota íntegra.</w:t>
      </w:r>
    </w:p>
    <w:p w14:paraId="4FD6B200" w14:textId="6448940F" w:rsidR="009041AB" w:rsidRPr="00986ECE" w:rsidRDefault="006636F8" w:rsidP="00F94CE1">
      <w:pPr>
        <w:pStyle w:val="Ttulo6"/>
      </w:pPr>
      <w:r w:rsidRPr="0041464A">
        <w:t>Mínimo personal y familiar</w:t>
      </w:r>
    </w:p>
    <w:p w14:paraId="7A779CDD" w14:textId="27F3300F" w:rsidR="006636F8" w:rsidRPr="0041464A" w:rsidRDefault="006636F8" w:rsidP="004A7D3E">
      <w:pPr>
        <w:pStyle w:val="Nivel2SM"/>
        <w:keepNext/>
        <w:spacing w:after="0"/>
      </w:pPr>
      <w:r w:rsidRPr="0041464A">
        <w:t>No obstante, la cuota íntegra se ajusta por el denominado mínimo personal y familiar que constitu</w:t>
      </w:r>
      <w:r w:rsidR="004A7D3E">
        <w:t>g</w:t>
      </w:r>
      <w:r w:rsidRPr="0041464A">
        <w:t xml:space="preserve">e aquella parte de la renta que, por </w:t>
      </w:r>
      <w:r w:rsidRPr="0041464A">
        <w:rPr>
          <w:u w:val="single"/>
        </w:rPr>
        <w:t xml:space="preserve">destinarse a satisfacer las </w:t>
      </w:r>
      <w:r w:rsidRPr="0041464A">
        <w:rPr>
          <w:b/>
          <w:u w:val="single"/>
        </w:rPr>
        <w:t>necesidades básicas</w:t>
      </w:r>
      <w:r w:rsidRPr="0041464A">
        <w:rPr>
          <w:u w:val="single"/>
        </w:rPr>
        <w:t xml:space="preserve"> personales y familiares</w:t>
      </w:r>
      <w:r w:rsidRPr="0041464A">
        <w:t xml:space="preserve"> del contribuyente, </w:t>
      </w:r>
      <w:r w:rsidRPr="0041464A">
        <w:rPr>
          <w:u w:val="single"/>
        </w:rPr>
        <w:t>no se somete a tributación por el IRPF</w:t>
      </w:r>
      <w:r w:rsidRPr="0041464A">
        <w:t>.</w:t>
      </w:r>
    </w:p>
    <w:p w14:paraId="59C9B595" w14:textId="77777777" w:rsidR="006636F8" w:rsidRPr="0041464A" w:rsidRDefault="006636F8" w:rsidP="004A7D3E">
      <w:pPr>
        <w:pStyle w:val="Nivel3SM"/>
      </w:pPr>
      <w:r w:rsidRPr="0041464A">
        <w:t>La idea es que si dos agentes tienen la misma renta pero diferentes circunstancias personales y familiares, su capacidad de pago no será la misma.</w:t>
      </w:r>
    </w:p>
    <w:p w14:paraId="25486A86" w14:textId="77777777" w:rsidR="009041AB" w:rsidRPr="0041464A" w:rsidRDefault="002665DE" w:rsidP="00A55879">
      <w:pPr>
        <w:pStyle w:val="Ttulo3"/>
      </w:pPr>
      <w:bookmarkStart w:id="22" w:name="_Toc219417481"/>
      <w:r w:rsidRPr="0041464A">
        <w:t>Cuota lí</w:t>
      </w:r>
      <w:r w:rsidR="009041AB" w:rsidRPr="0041464A">
        <w:t>quida</w:t>
      </w:r>
      <w:bookmarkEnd w:id="22"/>
    </w:p>
    <w:p w14:paraId="2B6031CD" w14:textId="2FDE48DB" w:rsidR="009041AB" w:rsidRPr="0041464A" w:rsidRDefault="009041AB" w:rsidP="004A7D3E">
      <w:pPr>
        <w:pStyle w:val="Nivel2SM"/>
        <w:keepNext/>
        <w:spacing w:after="0"/>
      </w:pPr>
      <w:r w:rsidRPr="0041464A">
        <w:t xml:space="preserve">A continuación se aplicará a la cuota íntegra nuevas deducciones que tratarán sobre todo </w:t>
      </w:r>
      <w:r w:rsidR="002665DE" w:rsidRPr="0041464A">
        <w:t>de incentivar determinadas actividades</w:t>
      </w:r>
      <w:r w:rsidR="006636F8" w:rsidRPr="0041464A">
        <w:t xml:space="preserve"> siendo así por tanto un reflejo de la política económica del país.</w:t>
      </w:r>
    </w:p>
    <w:p w14:paraId="24634BD5" w14:textId="77777777" w:rsidR="002665DE" w:rsidRPr="0041464A" w:rsidRDefault="002665DE" w:rsidP="004A7D3E">
      <w:pPr>
        <w:pStyle w:val="Nivel3SM"/>
      </w:pPr>
      <w:r w:rsidRPr="0041464A">
        <w:t xml:space="preserve">Inversión en empresas de nueva o reciente creación. </w:t>
      </w:r>
    </w:p>
    <w:p w14:paraId="1060F35D" w14:textId="77777777" w:rsidR="002665DE" w:rsidRPr="0041464A" w:rsidRDefault="002665DE" w:rsidP="004A7D3E">
      <w:pPr>
        <w:pStyle w:val="Nivel3SM"/>
      </w:pPr>
      <w:r w:rsidRPr="0041464A">
        <w:t xml:space="preserve">Donativos y otras aportaciones. </w:t>
      </w:r>
    </w:p>
    <w:p w14:paraId="7264E71C" w14:textId="77777777" w:rsidR="002665DE" w:rsidRPr="0041464A" w:rsidRDefault="006636F8" w:rsidP="004A7D3E">
      <w:pPr>
        <w:pStyle w:val="Nivel3SM"/>
      </w:pPr>
      <w:r w:rsidRPr="0041464A">
        <w:t>Inversión en vivienda habitual.</w:t>
      </w:r>
    </w:p>
    <w:p w14:paraId="27739313" w14:textId="77777777" w:rsidR="006636F8" w:rsidRPr="0041464A" w:rsidRDefault="006636F8" w:rsidP="004A7D3E">
      <w:pPr>
        <w:pStyle w:val="Nivel2SM"/>
        <w:keepNext/>
        <w:spacing w:after="0"/>
      </w:pPr>
      <w:r w:rsidRPr="0041464A">
        <w:t xml:space="preserve">Deducciones de la cuota (i.e. después del tipo de gravamen) </w:t>
      </w:r>
    </w:p>
    <w:p w14:paraId="17DDFE65" w14:textId="140C09AE" w:rsidR="006636F8" w:rsidRPr="0041464A" w:rsidRDefault="006636F8" w:rsidP="004A7D3E">
      <w:pPr>
        <w:pStyle w:val="Nivel3SM"/>
      </w:pPr>
      <w:r w:rsidRPr="0041464A">
        <w:t>Deducir gastos de la cuota es también regresivo, aunque menos que hacerlo de la base: todos los individuos se deducen la misma cantidad, con independencia de su renta.</w:t>
      </w:r>
    </w:p>
    <w:p w14:paraId="00EFE726" w14:textId="77777777" w:rsidR="005D208C" w:rsidRPr="00986ECE" w:rsidRDefault="005D208C" w:rsidP="005D208C">
      <w:pPr>
        <w:pStyle w:val="Ttulo6"/>
      </w:pPr>
      <w:r>
        <w:t>Nota Deducciones</w:t>
      </w:r>
    </w:p>
    <w:p w14:paraId="0E8345CB" w14:textId="77777777" w:rsidR="005D208C" w:rsidRDefault="005D208C" w:rsidP="005D208C">
      <w:pPr>
        <w:pStyle w:val="Nivel2SM"/>
      </w:pPr>
      <w:r>
        <w:t xml:space="preserve">Como hemos visto en el esquema básico del IRPF, se aplican tanto deducciones en base </w:t>
      </w:r>
      <w:r w:rsidRPr="00680EB1">
        <w:t xml:space="preserve">(antes de la aplicación del tipo impositivo) </w:t>
      </w:r>
      <w:r>
        <w:t>como</w:t>
      </w:r>
      <w:r w:rsidRPr="00680EB1">
        <w:t xml:space="preserve"> en cuota (una vez aplicado el tipo impositivo).</w:t>
      </w:r>
    </w:p>
    <w:p w14:paraId="5D193DEF" w14:textId="77777777" w:rsidR="005D208C" w:rsidRPr="00680EB1" w:rsidRDefault="005D208C" w:rsidP="005D208C">
      <w:pPr>
        <w:pStyle w:val="Nivel2SM"/>
        <w:keepNext/>
        <w:spacing w:after="0"/>
      </w:pPr>
      <w:r>
        <w:t>A pesar de buscar incentivar ciertas acciones o la equidad lo cierto es que éstas atentan en muchas ocasiones contra la misma debido a la regresividad.</w:t>
      </w:r>
    </w:p>
    <w:p w14:paraId="2C69E037" w14:textId="77777777" w:rsidR="005D208C" w:rsidRPr="003A6ADC" w:rsidRDefault="005D208C" w:rsidP="005D208C">
      <w:pPr>
        <w:pStyle w:val="Nivel3SM"/>
        <w:keepNext/>
      </w:pPr>
      <w:r w:rsidRPr="005D208C">
        <w:rPr>
          <w:i/>
          <w:iCs/>
          <w:u w:val="single"/>
        </w:rPr>
        <w:t>Deducciones de la base</w:t>
      </w:r>
      <w:r>
        <w:t>:</w:t>
      </w:r>
    </w:p>
    <w:p w14:paraId="74CB6CCD" w14:textId="77777777" w:rsidR="005D208C" w:rsidRDefault="005D208C" w:rsidP="005D208C">
      <w:pPr>
        <w:pStyle w:val="Nivel4"/>
        <w:ind w:left="1474"/>
      </w:pPr>
      <w:r>
        <w:t>Como veremos muchas de las deducciones en base buscan el fomento del ahorro para incentivar la previsión futura.</w:t>
      </w:r>
    </w:p>
    <w:p w14:paraId="3B19F7F9" w14:textId="77777777" w:rsidR="005D208C" w:rsidRDefault="005D208C" w:rsidP="005D208C">
      <w:pPr>
        <w:pStyle w:val="Nivel4"/>
        <w:ind w:left="1474"/>
      </w:pPr>
      <w:r>
        <w:t>No obstante únicamente los individuos de renta alta tienen capacidad de ahorro.</w:t>
      </w:r>
    </w:p>
    <w:p w14:paraId="6E4ADCE7" w14:textId="77777777" w:rsidR="005D208C" w:rsidRPr="00680EB1" w:rsidRDefault="005D208C" w:rsidP="005D208C">
      <w:pPr>
        <w:pStyle w:val="Nivel4"/>
        <w:ind w:left="1474"/>
      </w:pPr>
      <w:r>
        <w:t>Además si se produce en base el beneficio fiscal deducido será creciente dada la progresividad del impuesto.</w:t>
      </w:r>
    </w:p>
    <w:p w14:paraId="490974C4" w14:textId="77777777" w:rsidR="005D208C" w:rsidRPr="00680EB1" w:rsidRDefault="005D208C" w:rsidP="005D208C">
      <w:pPr>
        <w:pStyle w:val="Nivel3SM"/>
        <w:keepNext/>
      </w:pPr>
      <w:r w:rsidRPr="005D208C">
        <w:rPr>
          <w:i/>
          <w:iCs/>
          <w:u w:val="single"/>
        </w:rPr>
        <w:t>Deducciones de la cuota (i.e. después del tipo de gravamen)</w:t>
      </w:r>
      <w:r>
        <w:t>:</w:t>
      </w:r>
    </w:p>
    <w:p w14:paraId="0AD15DF2" w14:textId="77777777" w:rsidR="005D208C" w:rsidRPr="00680EB1" w:rsidRDefault="005D208C" w:rsidP="005D208C">
      <w:pPr>
        <w:pStyle w:val="Nivel4"/>
        <w:ind w:left="1474"/>
      </w:pPr>
      <w:r w:rsidRPr="00680EB1">
        <w:t>Deducir gastos de la cuota es también regresivo, aunque menos que hacerlo de la base: todos los individuos se deducen la misma cantidad, con independencia de su renta.</w:t>
      </w:r>
    </w:p>
    <w:p w14:paraId="1D0DBF1E" w14:textId="77777777" w:rsidR="005D208C" w:rsidRDefault="005D208C" w:rsidP="005D208C">
      <w:pPr>
        <w:pStyle w:val="Nivel2SM"/>
        <w:keepNext/>
        <w:spacing w:after="0"/>
      </w:pPr>
      <w:r w:rsidRPr="00680EB1">
        <w:t>Por ello, si se busca la equidad, es preferible que las deducciones se prevean de la cuota más que de la base.</w:t>
      </w:r>
    </w:p>
    <w:p w14:paraId="3369B033" w14:textId="77777777" w:rsidR="005D208C" w:rsidRPr="00986ECE" w:rsidRDefault="005D208C" w:rsidP="005D208C">
      <w:pPr>
        <w:pStyle w:val="Nivel3SM"/>
      </w:pPr>
      <w:r w:rsidRPr="00680EB1">
        <w:t>En general, desde los años</w:t>
      </w:r>
      <w:r>
        <w:t> </w:t>
      </w:r>
      <w:r w:rsidRPr="00680EB1">
        <w:t>90 se ha asistido a una racionalización de los gastos deducibles de las bases, ampliando éstas.</w:t>
      </w:r>
    </w:p>
    <w:p w14:paraId="3C950EF6" w14:textId="77777777" w:rsidR="002665DE" w:rsidRPr="00D37A6D" w:rsidRDefault="002665DE" w:rsidP="00A55879">
      <w:pPr>
        <w:pStyle w:val="Ttulo3"/>
        <w:rPr>
          <w:highlight w:val="yellow"/>
        </w:rPr>
      </w:pPr>
      <w:bookmarkStart w:id="23" w:name="_Toc219417482"/>
      <w:r w:rsidRPr="00D37A6D">
        <w:rPr>
          <w:highlight w:val="yellow"/>
        </w:rPr>
        <w:t>Resultado de la liquidación</w:t>
      </w:r>
      <w:bookmarkEnd w:id="23"/>
    </w:p>
    <w:p w14:paraId="6C6FB321" w14:textId="03CC5009" w:rsidR="002665DE" w:rsidRPr="00D37A6D" w:rsidRDefault="002665DE" w:rsidP="00A24879">
      <w:pPr>
        <w:pStyle w:val="Nivel2SM"/>
        <w:keepNext/>
        <w:spacing w:after="0"/>
        <w:rPr>
          <w:highlight w:val="yellow"/>
        </w:rPr>
      </w:pPr>
      <w:r w:rsidRPr="00D37A6D">
        <w:rPr>
          <w:highlight w:val="yellow"/>
        </w:rPr>
        <w:t>Por último</w:t>
      </w:r>
      <w:r w:rsidR="006568B1" w:rsidRPr="00D37A6D">
        <w:rPr>
          <w:highlight w:val="yellow"/>
        </w:rPr>
        <w:t>,</w:t>
      </w:r>
      <w:r w:rsidRPr="00D37A6D">
        <w:rPr>
          <w:highlight w:val="yellow"/>
        </w:rPr>
        <w:t xml:space="preserve"> se ajusta la cuota líquida</w:t>
      </w:r>
      <w:r w:rsidR="006568B1" w:rsidRPr="00D37A6D">
        <w:rPr>
          <w:highlight w:val="yellow"/>
        </w:rPr>
        <w:t>,</w:t>
      </w:r>
      <w:r w:rsidRPr="00D37A6D">
        <w:rPr>
          <w:highlight w:val="yellow"/>
        </w:rPr>
        <w:t xml:space="preserve"> </w:t>
      </w:r>
      <w:r w:rsidR="006636F8" w:rsidRPr="00D37A6D">
        <w:rPr>
          <w:highlight w:val="yellow"/>
        </w:rPr>
        <w:t>entre otros</w:t>
      </w:r>
      <w:r w:rsidR="006568B1" w:rsidRPr="00D37A6D">
        <w:rPr>
          <w:highlight w:val="yellow"/>
        </w:rPr>
        <w:t>,</w:t>
      </w:r>
      <w:r w:rsidR="006636F8" w:rsidRPr="00D37A6D">
        <w:rPr>
          <w:highlight w:val="yellow"/>
        </w:rPr>
        <w:t xml:space="preserve"> de nuevo </w:t>
      </w:r>
      <w:r w:rsidRPr="00D37A6D">
        <w:rPr>
          <w:highlight w:val="yellow"/>
        </w:rPr>
        <w:t xml:space="preserve">a </w:t>
      </w:r>
      <w:r w:rsidR="006636F8" w:rsidRPr="00D37A6D">
        <w:rPr>
          <w:highlight w:val="yellow"/>
        </w:rPr>
        <w:t xml:space="preserve">factores de </w:t>
      </w:r>
      <w:r w:rsidRPr="00D37A6D">
        <w:rPr>
          <w:highlight w:val="yellow"/>
        </w:rPr>
        <w:t>equidad</w:t>
      </w:r>
      <w:r w:rsidR="006636F8" w:rsidRPr="00D37A6D">
        <w:rPr>
          <w:highlight w:val="yellow"/>
        </w:rPr>
        <w:t xml:space="preserve"> y eficiencia</w:t>
      </w:r>
      <w:r w:rsidRPr="00D37A6D">
        <w:rPr>
          <w:highlight w:val="yellow"/>
        </w:rPr>
        <w:t>.</w:t>
      </w:r>
    </w:p>
    <w:p w14:paraId="408DF380" w14:textId="0A7F8FE8" w:rsidR="006636F8" w:rsidRPr="00D37A6D" w:rsidRDefault="006636F8" w:rsidP="00A24879">
      <w:pPr>
        <w:pStyle w:val="Nivel3SM"/>
        <w:rPr>
          <w:highlight w:val="yellow"/>
        </w:rPr>
      </w:pPr>
      <w:r w:rsidRPr="00D37A6D">
        <w:rPr>
          <w:i/>
          <w:iCs/>
          <w:highlight w:val="yellow"/>
          <w:u w:val="single"/>
        </w:rPr>
        <w:t>Factores de equidad</w:t>
      </w:r>
      <w:r w:rsidRPr="00D37A6D">
        <w:rPr>
          <w:highlight w:val="yellow"/>
        </w:rPr>
        <w:t>:</w:t>
      </w:r>
      <w:r w:rsidR="00A24879" w:rsidRPr="00D37A6D">
        <w:rPr>
          <w:highlight w:val="yellow"/>
        </w:rPr>
        <w:t xml:space="preserve"> </w:t>
      </w:r>
      <w:r w:rsidRPr="00D37A6D">
        <w:rPr>
          <w:highlight w:val="yellow"/>
        </w:rPr>
        <w:t>Siguiendo la misma lógica que en el mínimo personal y familiar se ajusta el impuesto a pagar por situaciones familiares y personales extraordinarias como por ejemplo enfermedades, familiares con discapacidad</w:t>
      </w:r>
      <w:r w:rsidR="00A24879" w:rsidRPr="00D37A6D">
        <w:rPr>
          <w:highlight w:val="yellow"/>
        </w:rPr>
        <w:t>.</w:t>
      </w:r>
    </w:p>
    <w:p w14:paraId="7D520A99" w14:textId="5AC0801D" w:rsidR="006636F8" w:rsidRPr="00D37A6D" w:rsidRDefault="006636F8" w:rsidP="00A24879">
      <w:pPr>
        <w:pStyle w:val="Nivel3SM"/>
        <w:rPr>
          <w:highlight w:val="yellow"/>
        </w:rPr>
      </w:pPr>
      <w:r w:rsidRPr="00D37A6D">
        <w:rPr>
          <w:i/>
          <w:iCs/>
          <w:highlight w:val="yellow"/>
          <w:u w:val="single"/>
        </w:rPr>
        <w:t>Factores de eficiencia</w:t>
      </w:r>
      <w:r w:rsidRPr="00D37A6D">
        <w:rPr>
          <w:highlight w:val="yellow"/>
        </w:rPr>
        <w:t>: Se corrigen por situaciones de doble imposición internacional.</w:t>
      </w:r>
    </w:p>
    <w:p w14:paraId="4DB64628" w14:textId="525CC4C2" w:rsidR="0058674D" w:rsidRDefault="0058674D" w:rsidP="0058674D">
      <w:pPr>
        <w:pStyle w:val="Notaalopositor"/>
      </w:pPr>
      <w:r>
        <w:lastRenderedPageBreak/>
        <w:t>Aquí posiblemente meter lo de retenciones y pagos a cuenta del tema de Juan Luis</w:t>
      </w:r>
      <w:r w:rsidR="00FA60D6">
        <w:t>, dando lugar a la cuota diferencial y (si añadimos recargos e interés de demora) a la deuda tributaria.</w:t>
      </w:r>
    </w:p>
    <w:p w14:paraId="08990C73" w14:textId="185C6683" w:rsidR="00E47C84" w:rsidRDefault="00A313D3" w:rsidP="00A313D3">
      <w:pPr>
        <w:pStyle w:val="Notaalopositor"/>
        <w:jc w:val="center"/>
      </w:pPr>
      <w:r>
        <w:rPr>
          <w:noProof/>
        </w:rPr>
        <w:drawing>
          <wp:inline distT="0" distB="0" distL="0" distR="0" wp14:anchorId="1FD67229" wp14:editId="487B094B">
            <wp:extent cx="3060000" cy="1624860"/>
            <wp:effectExtent l="0" t="0" r="7620" b="0"/>
            <wp:docPr id="1629186539"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86539" name="Imagen 1" descr="Diagrama&#10;&#10;Descripción generada automáticamente"/>
                    <pic:cNvPicPr/>
                  </pic:nvPicPr>
                  <pic:blipFill>
                    <a:blip r:embed="rId20"/>
                    <a:stretch>
                      <a:fillRect/>
                    </a:stretch>
                  </pic:blipFill>
                  <pic:spPr>
                    <a:xfrm>
                      <a:off x="0" y="0"/>
                      <a:ext cx="3060000" cy="1624860"/>
                    </a:xfrm>
                    <a:prstGeom prst="rect">
                      <a:avLst/>
                    </a:prstGeom>
                  </pic:spPr>
                </pic:pic>
              </a:graphicData>
            </a:graphic>
          </wp:inline>
        </w:drawing>
      </w:r>
      <w:r>
        <w:rPr>
          <w:noProof/>
        </w:rPr>
        <w:drawing>
          <wp:inline distT="0" distB="0" distL="0" distR="0" wp14:anchorId="004B37ED" wp14:editId="2F903628">
            <wp:extent cx="3060000" cy="1630980"/>
            <wp:effectExtent l="0" t="0" r="7620" b="7620"/>
            <wp:docPr id="279867147"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67147" name="Imagen 1" descr="Diagrama&#10;&#10;Descripción generada automáticamente"/>
                    <pic:cNvPicPr/>
                  </pic:nvPicPr>
                  <pic:blipFill>
                    <a:blip r:embed="rId21"/>
                    <a:stretch>
                      <a:fillRect/>
                    </a:stretch>
                  </pic:blipFill>
                  <pic:spPr>
                    <a:xfrm>
                      <a:off x="0" y="0"/>
                      <a:ext cx="3060000" cy="1630980"/>
                    </a:xfrm>
                    <a:prstGeom prst="rect">
                      <a:avLst/>
                    </a:prstGeom>
                  </pic:spPr>
                </pic:pic>
              </a:graphicData>
            </a:graphic>
          </wp:inline>
        </w:drawing>
      </w:r>
      <w:r>
        <w:rPr>
          <w:noProof/>
        </w:rPr>
        <w:drawing>
          <wp:inline distT="0" distB="0" distL="0" distR="0" wp14:anchorId="04CB3E12" wp14:editId="4FB6B67E">
            <wp:extent cx="3060000" cy="1826820"/>
            <wp:effectExtent l="0" t="0" r="7620" b="2540"/>
            <wp:docPr id="47438338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83383" name="Imagen 1" descr="Diagrama&#10;&#10;Descripción generada automáticamente"/>
                    <pic:cNvPicPr/>
                  </pic:nvPicPr>
                  <pic:blipFill>
                    <a:blip r:embed="rId22"/>
                    <a:stretch>
                      <a:fillRect/>
                    </a:stretch>
                  </pic:blipFill>
                  <pic:spPr>
                    <a:xfrm>
                      <a:off x="0" y="0"/>
                      <a:ext cx="3060000" cy="1826820"/>
                    </a:xfrm>
                    <a:prstGeom prst="rect">
                      <a:avLst/>
                    </a:prstGeom>
                  </pic:spPr>
                </pic:pic>
              </a:graphicData>
            </a:graphic>
          </wp:inline>
        </w:drawing>
      </w:r>
      <w:r w:rsidR="00E47C84">
        <w:rPr>
          <w:noProof/>
        </w:rPr>
        <w:drawing>
          <wp:inline distT="0" distB="0" distL="0" distR="0" wp14:anchorId="1A003A24" wp14:editId="2213013E">
            <wp:extent cx="3060000" cy="1778891"/>
            <wp:effectExtent l="0" t="0" r="7620" b="0"/>
            <wp:docPr id="1250432889"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32889" name="Imagen 1" descr="Diagrama&#10;&#10;Descripción generada automáticamente"/>
                    <pic:cNvPicPr/>
                  </pic:nvPicPr>
                  <pic:blipFill>
                    <a:blip r:embed="rId23"/>
                    <a:stretch>
                      <a:fillRect/>
                    </a:stretch>
                  </pic:blipFill>
                  <pic:spPr>
                    <a:xfrm>
                      <a:off x="0" y="0"/>
                      <a:ext cx="3060000" cy="1778891"/>
                    </a:xfrm>
                    <a:prstGeom prst="rect">
                      <a:avLst/>
                    </a:prstGeom>
                  </pic:spPr>
                </pic:pic>
              </a:graphicData>
            </a:graphic>
          </wp:inline>
        </w:drawing>
      </w:r>
    </w:p>
    <w:p w14:paraId="30D8D6D1" w14:textId="77777777" w:rsidR="00D0358D" w:rsidRDefault="00D0358D" w:rsidP="005D208C">
      <w:pPr>
        <w:pStyle w:val="Ttulo2"/>
      </w:pPr>
      <w:bookmarkStart w:id="24" w:name="_Toc219417483"/>
      <w:r>
        <w:t>Otros debates acerca del IRPF</w:t>
      </w:r>
      <w:bookmarkEnd w:id="24"/>
    </w:p>
    <w:p w14:paraId="3666240B" w14:textId="3DF666F7" w:rsidR="009041AB" w:rsidRPr="006636F8" w:rsidRDefault="009041AB" w:rsidP="00D0358D">
      <w:pPr>
        <w:pStyle w:val="Ttulo3"/>
        <w:spacing w:before="0"/>
      </w:pPr>
      <w:bookmarkStart w:id="25" w:name="_Toc219417484"/>
      <w:r w:rsidRPr="006636F8">
        <w:t>Base imponible general vs. base imponible del ahorro</w:t>
      </w:r>
      <w:bookmarkEnd w:id="25"/>
    </w:p>
    <w:p w14:paraId="5767B652" w14:textId="7DDEF016" w:rsidR="002E46F8" w:rsidRPr="00986ECE" w:rsidRDefault="002E46F8" w:rsidP="00DB5CDA">
      <w:pPr>
        <w:pStyle w:val="Ttulo6"/>
        <w:spacing w:before="0"/>
      </w:pPr>
      <w:r w:rsidRPr="002E46F8">
        <w:t>Introducción</w:t>
      </w:r>
    </w:p>
    <w:p w14:paraId="40CA491F" w14:textId="77777777" w:rsidR="009041AB" w:rsidRDefault="002E46F8" w:rsidP="005D208C">
      <w:pPr>
        <w:pStyle w:val="Nivel1SM"/>
        <w:keepNext/>
        <w:spacing w:before="0" w:after="0"/>
      </w:pPr>
      <w:r>
        <w:t xml:space="preserve">Por último vamos a </w:t>
      </w:r>
      <w:r w:rsidR="009041AB">
        <w:t>profundiza</w:t>
      </w:r>
      <w:r>
        <w:t>r</w:t>
      </w:r>
      <w:r w:rsidR="009041AB">
        <w:t xml:space="preserve"> en el ¿por qué? de la elección de un sistema analítico en donde los rendimientos del trabajo (entre otros) se incluyen en una base imponible distinta al ahorro.</w:t>
      </w:r>
    </w:p>
    <w:p w14:paraId="2B64023B" w14:textId="77777777" w:rsidR="009041AB" w:rsidRDefault="009041AB" w:rsidP="005D208C">
      <w:pPr>
        <w:pStyle w:val="Nivel2SM"/>
      </w:pPr>
      <w:r>
        <w:t>Éste es uno de los aspectos más interesantes de la teoría de la imposición directa, y es muy frecuente encontrar distintos modelos.</w:t>
      </w:r>
    </w:p>
    <w:p w14:paraId="0AE8A006" w14:textId="77777777" w:rsidR="009041AB" w:rsidRDefault="009041AB" w:rsidP="00F94CE1">
      <w:pPr>
        <w:pStyle w:val="Ttulo6"/>
      </w:pPr>
      <w:r w:rsidRPr="008D6558">
        <w:lastRenderedPageBreak/>
        <w:t>Profundización en el sistema dual</w:t>
      </w:r>
    </w:p>
    <w:p w14:paraId="194FCB0B" w14:textId="4AB45260" w:rsidR="009041AB" w:rsidRDefault="009041AB" w:rsidP="008E4B8C">
      <w:pPr>
        <w:pStyle w:val="Nivel2SM"/>
        <w:keepNext/>
        <w:spacing w:after="0"/>
      </w:pPr>
      <w:r w:rsidRPr="008E4B8C">
        <w:rPr>
          <w:i/>
          <w:iCs/>
          <w:u w:val="single"/>
        </w:rPr>
        <w:t>Origen</w:t>
      </w:r>
      <w:r w:rsidR="008E4B8C">
        <w:t>:</w:t>
      </w:r>
    </w:p>
    <w:p w14:paraId="252D15B4" w14:textId="77777777" w:rsidR="009041AB" w:rsidRDefault="009041AB" w:rsidP="008E4B8C">
      <w:pPr>
        <w:pStyle w:val="Nivel3SM"/>
      </w:pPr>
      <w:r>
        <w:t>El sistema dual tiene su origen en los países de Europa del Norte. Concretamente, Dinamarca fue el país pionero, introduciéndolo en 1987. Posteriormente, los 3 países escandinavos lo introdujeron.</w:t>
      </w:r>
    </w:p>
    <w:p w14:paraId="0067CAED" w14:textId="563A7F38" w:rsidR="009041AB" w:rsidRDefault="009041AB" w:rsidP="008E4B8C">
      <w:pPr>
        <w:pStyle w:val="Nivel2SM"/>
        <w:keepNext/>
        <w:spacing w:after="0"/>
      </w:pPr>
      <w:r w:rsidRPr="008E4B8C">
        <w:rPr>
          <w:i/>
          <w:iCs/>
          <w:u w:val="single"/>
        </w:rPr>
        <w:t>Ventaja</w:t>
      </w:r>
      <w:r>
        <w:t>:</w:t>
      </w:r>
    </w:p>
    <w:p w14:paraId="28E0A676" w14:textId="0422892E" w:rsidR="009041AB" w:rsidRDefault="009041AB" w:rsidP="008E4B8C">
      <w:pPr>
        <w:pStyle w:val="Nivel3SM"/>
      </w:pPr>
      <w:r>
        <w:t>Favorece una mayor neutralidad del sistema fiscal.</w:t>
      </w:r>
    </w:p>
    <w:p w14:paraId="4D5ED7D5" w14:textId="77777777" w:rsidR="009041AB" w:rsidRDefault="009041AB" w:rsidP="008E4B8C">
      <w:pPr>
        <w:pStyle w:val="Nivel3SM"/>
      </w:pPr>
      <w:r>
        <w:t>Desincentiva la deslocalización de capitales.</w:t>
      </w:r>
    </w:p>
    <w:p w14:paraId="4A8ADBDF" w14:textId="3BF552FF" w:rsidR="009041AB" w:rsidRDefault="009041AB" w:rsidP="008E4B8C">
      <w:pPr>
        <w:pStyle w:val="Nivel3SM"/>
      </w:pPr>
      <w:r>
        <w:t>Busca incentivar el ahorro al gravarlo a tipos menores.</w:t>
      </w:r>
    </w:p>
    <w:p w14:paraId="4A3BF32F" w14:textId="77777777" w:rsidR="009041AB" w:rsidRDefault="009041AB" w:rsidP="008E4B8C">
      <w:pPr>
        <w:pStyle w:val="Nivel2SM"/>
        <w:keepNext/>
        <w:spacing w:after="0"/>
      </w:pPr>
      <w:r w:rsidRPr="008E4B8C">
        <w:rPr>
          <w:i/>
          <w:iCs/>
          <w:u w:val="single"/>
        </w:rPr>
        <w:t>Desventajas</w:t>
      </w:r>
      <w:r>
        <w:t>:</w:t>
      </w:r>
    </w:p>
    <w:p w14:paraId="3E7B1904" w14:textId="77777777" w:rsidR="009041AB" w:rsidRDefault="009041AB" w:rsidP="008E4B8C">
      <w:pPr>
        <w:pStyle w:val="Nivel3SM"/>
      </w:pPr>
      <w:r w:rsidRPr="00DB5CDA">
        <w:rPr>
          <w:i/>
          <w:iCs/>
        </w:rPr>
        <w:t>Promueve un posible arbitraje entre rentas del trabajo y del capital</w:t>
      </w:r>
      <w:r>
        <w:t>, que puede ser particularmente importante en el caso de los autónomos, que obtienen rentas mixtas brutas y, por tanto, deben decidir cómo se reparte entre rentas del trabajo y rentas del capital.</w:t>
      </w:r>
    </w:p>
    <w:p w14:paraId="137B805A" w14:textId="65FD4816" w:rsidR="009041AB" w:rsidRPr="00561E4B" w:rsidRDefault="009041AB" w:rsidP="008E4B8C">
      <w:pPr>
        <w:pStyle w:val="Nivel3SM"/>
        <w:keepNext/>
      </w:pPr>
      <w:r w:rsidRPr="00DB5CDA">
        <w:rPr>
          <w:i/>
          <w:iCs/>
        </w:rPr>
        <w:t>Equidad</w:t>
      </w:r>
      <w:r w:rsidR="008E4B8C">
        <w:t>:</w:t>
      </w:r>
    </w:p>
    <w:p w14:paraId="03F7C4A1" w14:textId="1D40EF95" w:rsidR="009041AB" w:rsidRPr="00561E4B" w:rsidRDefault="009041AB" w:rsidP="008E4B8C">
      <w:pPr>
        <w:pStyle w:val="Nivel4"/>
        <w:keepNext/>
        <w:ind w:left="1474"/>
      </w:pPr>
      <w:r w:rsidRPr="00561E4B">
        <w:t>Tipos menores</w:t>
      </w:r>
      <w:r w:rsidR="00DB5CDA">
        <w:t>:</w:t>
      </w:r>
    </w:p>
    <w:p w14:paraId="533F1659" w14:textId="1D2F62AF" w:rsidR="009041AB" w:rsidRDefault="009041AB" w:rsidP="008E4B8C">
      <w:pPr>
        <w:pStyle w:val="Nivel5"/>
        <w:ind w:left="1871"/>
      </w:pPr>
      <w:r>
        <w:t>La tributación sobre el ahorro es más reducido que la tributación sobre la renta por lo que la separación da lugar a importantes problemas de equidad al ser los individuos con más renta los que suelen tener más ahorro.</w:t>
      </w:r>
    </w:p>
    <w:p w14:paraId="36494793" w14:textId="3DE99729" w:rsidR="009041AB" w:rsidRDefault="009041AB" w:rsidP="008E4B8C">
      <w:pPr>
        <w:pStyle w:val="Nivel5"/>
        <w:ind w:left="1871"/>
      </w:pPr>
      <w:r>
        <w:t>Es por ello que en los países del norte de Europa, la introducción del sistema dual fue acompañada de una reforma del impuesto sobre la riqueza que compensase el efecto.</w:t>
      </w:r>
    </w:p>
    <w:p w14:paraId="344B93D1" w14:textId="5F33F9C6" w:rsidR="009041AB" w:rsidRPr="00561E4B" w:rsidRDefault="009041AB" w:rsidP="008E4B8C">
      <w:pPr>
        <w:pStyle w:val="Nivel4"/>
        <w:keepNext/>
        <w:ind w:left="1474"/>
      </w:pPr>
      <w:r w:rsidRPr="00561E4B">
        <w:t>Proporcionalidad</w:t>
      </w:r>
      <w:r w:rsidR="00DB5CDA">
        <w:t>:</w:t>
      </w:r>
    </w:p>
    <w:p w14:paraId="5272825B" w14:textId="7BBA1D92" w:rsidR="009041AB" w:rsidRDefault="009041AB" w:rsidP="008E4B8C">
      <w:pPr>
        <w:pStyle w:val="Nivel5"/>
        <w:ind w:left="1871"/>
      </w:pPr>
      <w:r>
        <w:t>Además la tributación era hasta hace poco proporcional.</w:t>
      </w:r>
    </w:p>
    <w:p w14:paraId="0DFFB733" w14:textId="4558D397" w:rsidR="009041AB" w:rsidRDefault="009041AB" w:rsidP="008E4B8C">
      <w:pPr>
        <w:pStyle w:val="Nivel5"/>
        <w:ind w:left="1871"/>
      </w:pPr>
      <w:r>
        <w:t>Es por ello que en España, por ejemplo, se ha pasado a un tipo progresivo.</w:t>
      </w:r>
    </w:p>
    <w:p w14:paraId="4A569D06" w14:textId="2E0D6273" w:rsidR="009041AB" w:rsidRDefault="009041AB" w:rsidP="008E4B8C">
      <w:pPr>
        <w:pStyle w:val="Nivel2SM"/>
        <w:keepNext/>
        <w:spacing w:after="0"/>
      </w:pPr>
      <w:r w:rsidRPr="008E4B8C">
        <w:rPr>
          <w:i/>
          <w:iCs/>
          <w:u w:val="single"/>
        </w:rPr>
        <w:t>Situación en España</w:t>
      </w:r>
      <w:r>
        <w:t>:</w:t>
      </w:r>
    </w:p>
    <w:p w14:paraId="77D2BEE6" w14:textId="77777777" w:rsidR="009041AB" w:rsidRDefault="009041AB" w:rsidP="008E4B8C">
      <w:pPr>
        <w:pStyle w:val="Nivel3SM"/>
      </w:pPr>
      <w:r>
        <w:t>Tiene un sistema dual que concede un trato diferenciado a las rentas del trabajo y del capital. Por eso el IRPF recibe el nombre de impuesto analítico.</w:t>
      </w:r>
    </w:p>
    <w:p w14:paraId="75563BA2" w14:textId="41A362E1" w:rsidR="009041AB" w:rsidRDefault="009041AB" w:rsidP="008E4B8C">
      <w:pPr>
        <w:pStyle w:val="Nivel2SM"/>
        <w:keepNext/>
        <w:spacing w:after="0"/>
      </w:pPr>
      <w:r w:rsidRPr="008E4B8C">
        <w:rPr>
          <w:i/>
          <w:iCs/>
          <w:u w:val="single"/>
        </w:rPr>
        <w:t>Comparaciones internacionales</w:t>
      </w:r>
      <w:r w:rsidR="008E4B8C">
        <w:t>:</w:t>
      </w:r>
    </w:p>
    <w:p w14:paraId="083AA546" w14:textId="45773BBA" w:rsidR="006B0A40" w:rsidRPr="006B0A40" w:rsidRDefault="009041AB" w:rsidP="008E4B8C">
      <w:pPr>
        <w:pStyle w:val="Nivel3SM"/>
      </w:pPr>
      <w:r>
        <w:t xml:space="preserve">En la OCDE se dan los </w:t>
      </w:r>
      <w:r w:rsidR="006441BA">
        <w:t>2 </w:t>
      </w:r>
      <w:r>
        <w:t>sistemas.</w:t>
      </w:r>
    </w:p>
    <w:p w14:paraId="6BEB0955" w14:textId="77777777" w:rsidR="006A3AAC" w:rsidRPr="00F22EC7" w:rsidRDefault="006A3AAC" w:rsidP="00D0358D">
      <w:pPr>
        <w:pStyle w:val="Ttulo3"/>
      </w:pPr>
      <w:bookmarkStart w:id="26" w:name="_Toc219417485"/>
      <w:r w:rsidRPr="00F22EC7">
        <w:t>Unidad del contribuyente: Tributación conjunta o individual</w:t>
      </w:r>
      <w:bookmarkEnd w:id="26"/>
    </w:p>
    <w:p w14:paraId="32D1EF6D" w14:textId="77777777" w:rsidR="006A3AAC" w:rsidRPr="00F22EC7" w:rsidRDefault="006A3AAC" w:rsidP="006A3AAC">
      <w:pPr>
        <w:pStyle w:val="Nivel2SM"/>
        <w:keepNext/>
        <w:spacing w:after="0"/>
      </w:pPr>
      <w:r w:rsidRPr="00F22EC7">
        <w:t xml:space="preserve">A su vez se producen deducciones por tributación conjunta da la unidad familiar lo cual nos lleva a otra cuestión esencial del IRPF: determinar quién debe ser el sujeto pasivo. </w:t>
      </w:r>
    </w:p>
    <w:p w14:paraId="3ADAF1A7" w14:textId="77777777" w:rsidR="006A3AAC" w:rsidRPr="00F22EC7" w:rsidRDefault="006A3AAC" w:rsidP="006A3AAC">
      <w:pPr>
        <w:pStyle w:val="Nivel3SM"/>
      </w:pPr>
      <w:r>
        <w:t>2 </w:t>
      </w:r>
      <w:r w:rsidRPr="00F22EC7">
        <w:t>posibilidades principales</w:t>
      </w:r>
      <w:r>
        <w:t>: D</w:t>
      </w:r>
      <w:r w:rsidRPr="00F22EC7">
        <w:t>eclaración individual</w:t>
      </w:r>
      <w:r>
        <w:t xml:space="preserve"> o</w:t>
      </w:r>
      <w:r w:rsidRPr="00F22EC7">
        <w:t xml:space="preserve"> declaración conjunta de los cónyuges</w:t>
      </w:r>
      <w:r>
        <w:t xml:space="preserve"> (otras:</w:t>
      </w:r>
      <w:r w:rsidRPr="00F22EC7">
        <w:t xml:space="preserve"> declaración conjunta de cónyuges e hijos, declaración conjunta de parejas no casadas, etc</w:t>
      </w:r>
      <w:r>
        <w:t>.)</w:t>
      </w:r>
      <w:r w:rsidRPr="00F22EC7">
        <w:t>.</w:t>
      </w:r>
    </w:p>
    <w:p w14:paraId="7C757153" w14:textId="77777777" w:rsidR="006A3AAC" w:rsidRPr="00F22EC7" w:rsidRDefault="006A3AAC" w:rsidP="006A3AAC">
      <w:pPr>
        <w:pStyle w:val="Nivel2SM"/>
        <w:keepNext/>
        <w:spacing w:after="0"/>
      </w:pPr>
      <w:r w:rsidRPr="000D571D">
        <w:rPr>
          <w:i/>
          <w:iCs/>
        </w:rPr>
        <w:t xml:space="preserve">Argumentos económicos en favor de la </w:t>
      </w:r>
      <w:r w:rsidRPr="000D571D">
        <w:rPr>
          <w:i/>
          <w:iCs/>
          <w:u w:val="single"/>
        </w:rPr>
        <w:t>familia</w:t>
      </w:r>
      <w:r w:rsidRPr="000D571D">
        <w:rPr>
          <w:i/>
          <w:iCs/>
        </w:rPr>
        <w:t xml:space="preserve"> como unidad contribuyente</w:t>
      </w:r>
      <w:r w:rsidRPr="00F22EC7">
        <w:t>:</w:t>
      </w:r>
    </w:p>
    <w:p w14:paraId="40897F4E" w14:textId="77777777" w:rsidR="006A3AAC" w:rsidRPr="00F22EC7" w:rsidRDefault="006A3AAC" w:rsidP="006A3AAC">
      <w:pPr>
        <w:pStyle w:val="Nivel3SM"/>
        <w:keepNext/>
      </w:pPr>
      <w:r w:rsidRPr="00E86BDB">
        <w:rPr>
          <w:i/>
          <w:iCs/>
        </w:rPr>
        <w:t>Economías de escala</w:t>
      </w:r>
      <w:r>
        <w:t>:</w:t>
      </w:r>
    </w:p>
    <w:p w14:paraId="75E59A71" w14:textId="77777777" w:rsidR="006A3AAC" w:rsidRPr="00F22EC7" w:rsidRDefault="006A3AAC" w:rsidP="006A3AAC">
      <w:pPr>
        <w:pStyle w:val="Nivel4"/>
        <w:ind w:left="1474"/>
      </w:pPr>
      <w:r w:rsidRPr="00F22EC7">
        <w:t>La capacidad de pago de una familia es mayor que la suma de las capacidades de pago de sus miembros, debido a las economías de escala a la hora de compartir gastos (vivienda, electrodomésticos, luz, comunidad, etc.).</w:t>
      </w:r>
    </w:p>
    <w:p w14:paraId="0462C95B" w14:textId="77777777" w:rsidR="006A3AAC" w:rsidRPr="00F22EC7" w:rsidRDefault="006A3AAC" w:rsidP="006A3AAC">
      <w:pPr>
        <w:pStyle w:val="Nivel4"/>
        <w:ind w:left="1474"/>
      </w:pPr>
      <w:r w:rsidRPr="00F22EC7">
        <w:t>Menores costes administrativos (al haber menor número de declaraciones).</w:t>
      </w:r>
    </w:p>
    <w:p w14:paraId="5CD3558A" w14:textId="77777777" w:rsidR="006A3AAC" w:rsidRPr="00F22EC7" w:rsidRDefault="006A3AAC" w:rsidP="006A3AAC">
      <w:pPr>
        <w:pStyle w:val="Nivel3SM"/>
        <w:keepNext/>
      </w:pPr>
      <w:r w:rsidRPr="00E86BDB">
        <w:rPr>
          <w:i/>
          <w:iCs/>
        </w:rPr>
        <w:t>Gasto</w:t>
      </w:r>
      <w:r>
        <w:t>:</w:t>
      </w:r>
    </w:p>
    <w:p w14:paraId="328572CA" w14:textId="77777777" w:rsidR="006A3AAC" w:rsidRPr="00F22EC7" w:rsidRDefault="006A3AAC" w:rsidP="006A3AAC">
      <w:pPr>
        <w:pStyle w:val="Nivel4"/>
        <w:ind w:left="1474"/>
      </w:pPr>
      <w:r w:rsidRPr="00F22EC7">
        <w:t xml:space="preserve">Las unidades de gasto son las familias, no los individuos (i.e. la toma de decisiones de gasto es familiar). </w:t>
      </w:r>
    </w:p>
    <w:p w14:paraId="44917930" w14:textId="77777777" w:rsidR="006A3AAC" w:rsidRPr="00F22EC7" w:rsidRDefault="006A3AAC" w:rsidP="006A3AAC">
      <w:pPr>
        <w:pStyle w:val="Nivel3SM"/>
        <w:keepNext/>
      </w:pPr>
      <w:r w:rsidRPr="00E86BDB">
        <w:rPr>
          <w:i/>
          <w:iCs/>
        </w:rPr>
        <w:t>Transparencia fiscal</w:t>
      </w:r>
      <w:r>
        <w:t>:</w:t>
      </w:r>
    </w:p>
    <w:p w14:paraId="1BE2FD0F" w14:textId="77777777" w:rsidR="006A3AAC" w:rsidRPr="00F22EC7" w:rsidRDefault="006A3AAC" w:rsidP="006A3AAC">
      <w:pPr>
        <w:pStyle w:val="Nivel4"/>
        <w:ind w:left="1474"/>
      </w:pPr>
      <w:r w:rsidRPr="00F22EC7">
        <w:t>Impide el trasvase de elementos patrimoniales entre miembros de la familia a la hora de realizar las declaraciones.</w:t>
      </w:r>
    </w:p>
    <w:p w14:paraId="6E12DB06" w14:textId="77777777" w:rsidR="006A3AAC" w:rsidRDefault="006A3AAC" w:rsidP="006A3AAC">
      <w:pPr>
        <w:pStyle w:val="Nivel2SM"/>
        <w:keepNext/>
        <w:spacing w:after="0"/>
      </w:pPr>
      <w:r w:rsidRPr="000D571D">
        <w:rPr>
          <w:i/>
          <w:iCs/>
        </w:rPr>
        <w:lastRenderedPageBreak/>
        <w:t xml:space="preserve">Argumentos económicos en favor de la tributación </w:t>
      </w:r>
      <w:r w:rsidRPr="000D571D">
        <w:rPr>
          <w:i/>
          <w:iCs/>
          <w:u w:val="single"/>
        </w:rPr>
        <w:t>individual</w:t>
      </w:r>
      <w:r w:rsidRPr="000D571D">
        <w:t>:</w:t>
      </w:r>
    </w:p>
    <w:p w14:paraId="64696652" w14:textId="77777777" w:rsidR="006A3AAC" w:rsidRPr="000D571D" w:rsidRDefault="006A3AAC" w:rsidP="006A3AAC">
      <w:pPr>
        <w:pStyle w:val="Nivel3SM"/>
        <w:keepNext/>
      </w:pPr>
      <w:r w:rsidRPr="000D571D">
        <w:rPr>
          <w:i/>
          <w:iCs/>
        </w:rPr>
        <w:t>Eficiencia</w:t>
      </w:r>
      <w:r>
        <w:t>:</w:t>
      </w:r>
    </w:p>
    <w:p w14:paraId="3A873C6B" w14:textId="77777777" w:rsidR="006A3AAC" w:rsidRPr="00F22EC7" w:rsidRDefault="006A3AAC" w:rsidP="006A3AAC">
      <w:pPr>
        <w:pStyle w:val="Nivel4"/>
        <w:ind w:left="1474"/>
      </w:pPr>
      <w:r w:rsidRPr="00F22EC7">
        <w:t>Existe un efecto desincentivo sobre la obtención de rentas de los otros miembros distintos al principal perceptor, pues sus rentas, al sumarse a las del principal perceptor, tributan a un tipo marginal más alto que si las declarasen individualmente.</w:t>
      </w:r>
    </w:p>
    <w:p w14:paraId="7125AC89" w14:textId="77777777" w:rsidR="006A3AAC" w:rsidRPr="00F22EC7" w:rsidRDefault="006A3AAC" w:rsidP="006A3AAC">
      <w:pPr>
        <w:pStyle w:val="Nivel4"/>
        <w:ind w:left="1474"/>
      </w:pPr>
      <w:r w:rsidRPr="00F22EC7">
        <w:t>Esto genera unas distorsiones muy grandes sobre la oferta de trabajo de los perceptores secundarios de rentas, ya que la elasticidad-salario de éstos es muy alta, por lo que se produce un fuerte desincentivo a la oferta de trabajo</w:t>
      </w:r>
    </w:p>
    <w:p w14:paraId="4D58F18A" w14:textId="77777777" w:rsidR="006A3AAC" w:rsidRDefault="006A3AAC" w:rsidP="006A3AAC">
      <w:pPr>
        <w:pStyle w:val="Nivel2SM"/>
        <w:keepNext/>
        <w:spacing w:after="0"/>
      </w:pPr>
      <w:r w:rsidRPr="000D571D">
        <w:rPr>
          <w:i/>
          <w:iCs/>
          <w:u w:val="single"/>
        </w:rPr>
        <w:t>Comparaciones internacionales</w:t>
      </w:r>
      <w:r w:rsidRPr="000D571D">
        <w:t>:</w:t>
      </w:r>
    </w:p>
    <w:p w14:paraId="68371904" w14:textId="77777777" w:rsidR="006A3AAC" w:rsidRPr="00F22EC7" w:rsidRDefault="006A3AAC" w:rsidP="006A3AAC">
      <w:pPr>
        <w:pStyle w:val="Nivel3SM"/>
      </w:pPr>
      <w:r w:rsidRPr="00F22EC7">
        <w:t>Aunque hasta la fecha no se ha alcanzado un consenso claro y las prácticas de los países varían en este ámbito, parece existir una tendencia hacia la declaración individual.</w:t>
      </w:r>
    </w:p>
    <w:p w14:paraId="24C79F26" w14:textId="77777777" w:rsidR="006A3AAC" w:rsidRDefault="006A3AAC" w:rsidP="006A3AAC">
      <w:pPr>
        <w:pStyle w:val="Nivel2SM"/>
        <w:keepNext/>
        <w:spacing w:after="0"/>
      </w:pPr>
      <w:r w:rsidRPr="000D571D">
        <w:rPr>
          <w:i/>
          <w:iCs/>
          <w:u w:val="single"/>
        </w:rPr>
        <w:t>España</w:t>
      </w:r>
      <w:r>
        <w:t>:</w:t>
      </w:r>
    </w:p>
    <w:p w14:paraId="19312F7A" w14:textId="77777777" w:rsidR="006A3AAC" w:rsidRPr="00F22EC7" w:rsidRDefault="006A3AAC" w:rsidP="006A3AAC">
      <w:pPr>
        <w:pStyle w:val="Nivel3SM"/>
      </w:pPr>
      <w:r>
        <w:t>A</w:t>
      </w:r>
      <w:r w:rsidRPr="00F22EC7">
        <w:t>ntiguamente era obligatoria la declaración conjunta; ahora, es facultativa.</w:t>
      </w:r>
    </w:p>
    <w:p w14:paraId="412E0C3A" w14:textId="77777777" w:rsidR="000F6266" w:rsidRDefault="000F6266" w:rsidP="00D0358D">
      <w:pPr>
        <w:pStyle w:val="Ttulo3"/>
      </w:pPr>
      <w:bookmarkStart w:id="27" w:name="_Toc219417486"/>
      <w:r>
        <w:t>Efectos de la inflación</w:t>
      </w:r>
      <w:bookmarkEnd w:id="27"/>
    </w:p>
    <w:p w14:paraId="46D26FAD" w14:textId="7EEA94C1" w:rsidR="000F6266" w:rsidRDefault="000F6266" w:rsidP="00D0358D">
      <w:pPr>
        <w:pStyle w:val="Ttulo6"/>
        <w:spacing w:before="0"/>
      </w:pPr>
      <w:r w:rsidRPr="000F6266">
        <w:t>Efectos de la inflación sobre los contribuyentes</w:t>
      </w:r>
    </w:p>
    <w:p w14:paraId="00FE4FED" w14:textId="77777777" w:rsidR="002E46F8" w:rsidRDefault="002E46F8" w:rsidP="00A55879">
      <w:pPr>
        <w:pStyle w:val="Nivel2SM"/>
        <w:keepNext/>
        <w:spacing w:after="0"/>
      </w:pPr>
      <w:r>
        <w:t xml:space="preserve">El principal efecto de la inflación es el </w:t>
      </w:r>
      <w:r w:rsidRPr="00931D88">
        <w:rPr>
          <w:i/>
          <w:iCs/>
        </w:rPr>
        <w:t>aumento de la deuda tributaria</w:t>
      </w:r>
      <w:r>
        <w:t xml:space="preserve"> a pesar de que la capacidad de pago no haya aumentado en términos reales. La inflación produce esto a través de:</w:t>
      </w:r>
    </w:p>
    <w:p w14:paraId="374CDFEF" w14:textId="77777777" w:rsidR="002E46F8" w:rsidRDefault="002E46F8" w:rsidP="00A55879">
      <w:pPr>
        <w:pStyle w:val="Nivel3SM"/>
      </w:pPr>
      <w:r>
        <w:t>Reducción en términos reales de las deducciones fijas (no si las deducciones son porcentuales).</w:t>
      </w:r>
    </w:p>
    <w:p w14:paraId="1B37AD71" w14:textId="77777777" w:rsidR="002E46F8" w:rsidRDefault="002E46F8" w:rsidP="00A55879">
      <w:pPr>
        <w:pStyle w:val="Nivel3SM"/>
      </w:pPr>
      <w:r>
        <w:t>Progresividad en frío, esto es, aumento del tipo marginal aplicable al aumentar nominalmente los ingresos (aunque en términos reales no hayan aumentado).</w:t>
      </w:r>
    </w:p>
    <w:p w14:paraId="6A7CF7E4" w14:textId="2FA24A87" w:rsidR="002E46F8" w:rsidRDefault="002E46F8" w:rsidP="00A55879">
      <w:pPr>
        <w:pStyle w:val="Nivel2SM"/>
        <w:keepNext/>
        <w:spacing w:after="0"/>
      </w:pPr>
      <w:r w:rsidRPr="00A55879">
        <w:rPr>
          <w:i/>
          <w:iCs/>
          <w:u w:val="single"/>
        </w:rPr>
        <w:t>Soluciones</w:t>
      </w:r>
      <w:r>
        <w:t>:</w:t>
      </w:r>
    </w:p>
    <w:p w14:paraId="573EC895" w14:textId="77777777" w:rsidR="002E46F8" w:rsidRDefault="002E46F8" w:rsidP="00A55879">
      <w:pPr>
        <w:pStyle w:val="Nivel3SM"/>
      </w:pPr>
      <w:r>
        <w:t>Indiciación de la tarifa, de los gastos deducibles, etc.</w:t>
      </w:r>
    </w:p>
    <w:p w14:paraId="168EDA12" w14:textId="5F888AB8" w:rsidR="002E46F8" w:rsidRDefault="000F6266" w:rsidP="00F94CE1">
      <w:pPr>
        <w:pStyle w:val="Ttulo6"/>
      </w:pPr>
      <w:r w:rsidRPr="000F6266">
        <w:t>Efectos de la inflación sobre el sector público</w:t>
      </w:r>
    </w:p>
    <w:p w14:paraId="0FF8142F" w14:textId="47DD51B7" w:rsidR="000F6266" w:rsidRPr="00986ECE" w:rsidRDefault="000F6266" w:rsidP="00A55879">
      <w:pPr>
        <w:pStyle w:val="Nivel2SM"/>
      </w:pPr>
      <w:r>
        <w:t>El principal efecto de la inflación es la disminución del valor real de la recaudación, pues como los impuestos tardan tiempo en recaudarse (p.ej. el IRPF español no se recauda hasta junio del año siguiente), puede ocurrir que la inflación haya minado mucho el valor real de la deuda tributaria a recibir.</w:t>
      </w:r>
    </w:p>
    <w:p w14:paraId="3B2B0254" w14:textId="77777777" w:rsidR="002E46F8" w:rsidRDefault="002E46F8" w:rsidP="00A55879">
      <w:pPr>
        <w:pStyle w:val="Nivel2SM"/>
        <w:keepNext/>
        <w:spacing w:after="0"/>
      </w:pPr>
      <w:r w:rsidRPr="00A55879">
        <w:rPr>
          <w:i/>
          <w:iCs/>
          <w:u w:val="single"/>
        </w:rPr>
        <w:t>Soluciones</w:t>
      </w:r>
      <w:r>
        <w:t>:</w:t>
      </w:r>
    </w:p>
    <w:p w14:paraId="5F805A28" w14:textId="7BB2E6A0" w:rsidR="00530F5B" w:rsidRDefault="002E46F8" w:rsidP="00530F5B">
      <w:pPr>
        <w:pStyle w:val="Nivel3SM"/>
      </w:pPr>
      <w:r>
        <w:t>Aumento de las retenciones en origen.</w:t>
      </w:r>
    </w:p>
    <w:p w14:paraId="4BE40F9C" w14:textId="2978559D" w:rsidR="00530F5B" w:rsidRDefault="00530F5B" w:rsidP="00530F5B">
      <w:pPr>
        <w:pStyle w:val="Ttuloimagen"/>
        <w:rPr>
          <w:smallCaps w:val="0"/>
          <w:sz w:val="14"/>
        </w:rPr>
      </w:pPr>
      <w:r>
        <w:lastRenderedPageBreak/>
        <w:t>Imagen </w:t>
      </w:r>
      <w:r>
        <w:fldChar w:fldCharType="begin"/>
      </w:r>
      <w:r>
        <w:instrText xml:space="preserve"> SEQ Ilustración \* ARABIC </w:instrText>
      </w:r>
      <w:r>
        <w:fldChar w:fldCharType="separate"/>
      </w:r>
      <w:r w:rsidR="00CA64DA">
        <w:t>2</w:t>
      </w:r>
      <w:r>
        <w:fldChar w:fldCharType="end"/>
      </w:r>
      <w:r>
        <w:rPr>
          <w:smallCaps w:val="0"/>
        </w:rPr>
        <w:t xml:space="preserve">.– </w:t>
      </w:r>
      <w:r>
        <w:rPr>
          <w:i/>
          <w:iCs/>
          <w:smallCaps w:val="0"/>
        </w:rPr>
        <w:t>Repercusiones inmediatas de la inflación en las finanzas públicas</w:t>
      </w:r>
    </w:p>
    <w:p w14:paraId="0737A460" w14:textId="1B6DA176" w:rsidR="00530F5B" w:rsidRDefault="00530F5B" w:rsidP="00530F5B">
      <w:pPr>
        <w:pStyle w:val="Imagen"/>
      </w:pPr>
      <w:r>
        <w:drawing>
          <wp:inline distT="0" distB="0" distL="0" distR="0" wp14:anchorId="5F654A66" wp14:editId="4C8CCB26">
            <wp:extent cx="6054216" cy="4495800"/>
            <wp:effectExtent l="0" t="0" r="3810" b="0"/>
            <wp:docPr id="912266053" name="Imagen 1"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scala de tiempo&#10;&#10;Descripción generada automáticamen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70962" cy="4508236"/>
                    </a:xfrm>
                    <a:prstGeom prst="rect">
                      <a:avLst/>
                    </a:prstGeom>
                    <a:noFill/>
                    <a:ln>
                      <a:noFill/>
                    </a:ln>
                  </pic:spPr>
                </pic:pic>
              </a:graphicData>
            </a:graphic>
          </wp:inline>
        </w:drawing>
      </w:r>
    </w:p>
    <w:p w14:paraId="16539546" w14:textId="616F8C0A" w:rsidR="00530F5B" w:rsidRPr="00530F5B" w:rsidRDefault="00530F5B" w:rsidP="00530F5B">
      <w:pPr>
        <w:pStyle w:val="Imagen"/>
        <w:rPr>
          <w:lang w:eastAsia="es-ES"/>
        </w:rPr>
      </w:pPr>
      <w:r w:rsidRPr="00530F5B">
        <w:rPr>
          <w:lang w:eastAsia="es-ES"/>
        </w:rPr>
        <w:drawing>
          <wp:inline distT="0" distB="0" distL="0" distR="0" wp14:anchorId="08941932" wp14:editId="34727C28">
            <wp:extent cx="6120130" cy="622300"/>
            <wp:effectExtent l="0" t="0" r="0" b="6350"/>
            <wp:docPr id="61914884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0130" cy="622300"/>
                    </a:xfrm>
                    <a:prstGeom prst="rect">
                      <a:avLst/>
                    </a:prstGeom>
                    <a:noFill/>
                    <a:ln>
                      <a:noFill/>
                    </a:ln>
                  </pic:spPr>
                </pic:pic>
              </a:graphicData>
            </a:graphic>
          </wp:inline>
        </w:drawing>
      </w:r>
    </w:p>
    <w:p w14:paraId="1F925EDF" w14:textId="6EF6D84D" w:rsidR="00530F5B" w:rsidRPr="00530F5B" w:rsidRDefault="00530F5B" w:rsidP="00530F5B">
      <w:pPr>
        <w:pStyle w:val="Imagen"/>
        <w:rPr>
          <w:lang w:eastAsia="es-ES"/>
        </w:rPr>
      </w:pPr>
      <w:r w:rsidRPr="00530F5B">
        <w:rPr>
          <w:lang w:eastAsia="es-ES"/>
        </w:rPr>
        <w:drawing>
          <wp:inline distT="0" distB="0" distL="0" distR="0" wp14:anchorId="3497533B" wp14:editId="5718C340">
            <wp:extent cx="6120130" cy="974090"/>
            <wp:effectExtent l="0" t="0" r="0" b="0"/>
            <wp:docPr id="2136753755"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53755" name="Imagen 6" descr="Texto&#10;&#10;Descripción generada automáticament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130" cy="974090"/>
                    </a:xfrm>
                    <a:prstGeom prst="rect">
                      <a:avLst/>
                    </a:prstGeom>
                    <a:noFill/>
                    <a:ln>
                      <a:noFill/>
                    </a:ln>
                  </pic:spPr>
                </pic:pic>
              </a:graphicData>
            </a:graphic>
          </wp:inline>
        </w:drawing>
      </w:r>
    </w:p>
    <w:p w14:paraId="4D4E4C94" w14:textId="07B48257" w:rsidR="00530F5B" w:rsidRPr="00530F5B" w:rsidRDefault="00530F5B" w:rsidP="00530F5B">
      <w:pPr>
        <w:pStyle w:val="Imagen"/>
        <w:rPr>
          <w:lang w:eastAsia="es-ES"/>
        </w:rPr>
      </w:pPr>
      <w:r w:rsidRPr="00530F5B">
        <w:rPr>
          <w:lang w:eastAsia="es-ES"/>
        </w:rPr>
        <w:drawing>
          <wp:inline distT="0" distB="0" distL="0" distR="0" wp14:anchorId="2C60BD86" wp14:editId="20556947">
            <wp:extent cx="6120130" cy="2075180"/>
            <wp:effectExtent l="0" t="0" r="0" b="1270"/>
            <wp:docPr id="167205368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53685" name="Imagen 5" descr="Texto&#10;&#10;Descripción generada automáticamen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2075180"/>
                    </a:xfrm>
                    <a:prstGeom prst="rect">
                      <a:avLst/>
                    </a:prstGeom>
                    <a:noFill/>
                    <a:ln>
                      <a:noFill/>
                    </a:ln>
                  </pic:spPr>
                </pic:pic>
              </a:graphicData>
            </a:graphic>
          </wp:inline>
        </w:drawing>
      </w:r>
    </w:p>
    <w:p w14:paraId="10FF3923" w14:textId="700B9A09" w:rsidR="00530F5B" w:rsidRPr="00530F5B" w:rsidRDefault="00530F5B" w:rsidP="00530F5B">
      <w:pPr>
        <w:pStyle w:val="PiedeImagen"/>
        <w:rPr>
          <w:i w:val="0"/>
        </w:rPr>
      </w:pPr>
      <w:r>
        <w:t>Fuente</w:t>
      </w:r>
      <w:r w:rsidRPr="00530F5B">
        <w:rPr>
          <w:i w:val="0"/>
          <w:iCs/>
        </w:rPr>
        <w:t>: I.M.F. (2023).</w:t>
      </w:r>
      <w:r>
        <w:rPr>
          <w:iCs/>
        </w:rPr>
        <w:t xml:space="preserve"> </w:t>
      </w:r>
      <w:r>
        <w:t>Fiscal Monitor</w:t>
      </w:r>
      <w:r w:rsidRPr="00530F5B">
        <w:rPr>
          <w:i w:val="0"/>
        </w:rPr>
        <w:t xml:space="preserve">. </w:t>
      </w:r>
      <w:hyperlink r:id="rId28" w:history="1">
        <w:r w:rsidRPr="00530F5B">
          <w:rPr>
            <w:rStyle w:val="Hipervnculo"/>
            <w:i w:val="0"/>
            <w:spacing w:val="-6"/>
          </w:rPr>
          <w:t>https://www.imf.org/es/Publications/FM/Issues/2023/04/03/fiscal-monitor-april-2023</w:t>
        </w:r>
      </w:hyperlink>
    </w:p>
    <w:p w14:paraId="6A20A483" w14:textId="46031FAA" w:rsidR="002F7113" w:rsidRPr="00986ECE" w:rsidRDefault="008834A2" w:rsidP="004649A8">
      <w:pPr>
        <w:pStyle w:val="Ttulo1"/>
      </w:pPr>
      <w:bookmarkStart w:id="28" w:name="_Toc219417487"/>
      <w:r>
        <w:lastRenderedPageBreak/>
        <w:t>IMPUESTO SOBRE LA RENTA DE LAS EMPRESAS:</w:t>
      </w:r>
      <w:r>
        <w:br/>
      </w:r>
      <w:r w:rsidR="00F477E5">
        <w:t>IMPUESTO DE SOCIEDADES (IS)</w:t>
      </w:r>
      <w:bookmarkEnd w:id="28"/>
    </w:p>
    <w:p w14:paraId="015433D9" w14:textId="77777777" w:rsidR="002E46F8" w:rsidRDefault="002E46F8" w:rsidP="004649A8">
      <w:pPr>
        <w:pStyle w:val="Ttulo2"/>
      </w:pPr>
      <w:bookmarkStart w:id="29" w:name="_Toc219417488"/>
      <w:r>
        <w:t>Aspectos generales</w:t>
      </w:r>
      <w:bookmarkEnd w:id="29"/>
    </w:p>
    <w:p w14:paraId="2B69C6CC" w14:textId="26128FC5" w:rsidR="002F7113" w:rsidRPr="00986ECE" w:rsidRDefault="0078285F" w:rsidP="00F94CE1">
      <w:pPr>
        <w:pStyle w:val="Ttulo6"/>
        <w:spacing w:before="0"/>
      </w:pPr>
      <w:r>
        <w:t>Delimitacón</w:t>
      </w:r>
    </w:p>
    <w:p w14:paraId="13FC4306" w14:textId="0292BAB5" w:rsidR="002E46F8" w:rsidRPr="000D365E" w:rsidRDefault="002E46F8" w:rsidP="008043B3">
      <w:pPr>
        <w:pStyle w:val="Nivel2SM"/>
        <w:keepNext/>
        <w:spacing w:after="0"/>
        <w:rPr>
          <w:b/>
        </w:rPr>
      </w:pPr>
      <w:r>
        <w:t>El IS es un impuesto que grava la renta de las personas jurídicas residentes en España.</w:t>
      </w:r>
    </w:p>
    <w:p w14:paraId="6082011F" w14:textId="58F9CF4E" w:rsidR="002E46F8" w:rsidRPr="00A24879" w:rsidRDefault="002E46F8" w:rsidP="00A24879">
      <w:pPr>
        <w:pStyle w:val="Nivel3SM"/>
        <w:rPr>
          <w:b/>
        </w:rPr>
      </w:pPr>
      <w:r w:rsidRPr="00A24879">
        <w:rPr>
          <w:i/>
          <w:iCs/>
          <w:u w:val="single"/>
        </w:rPr>
        <w:t>Según el sujeto pasivo</w:t>
      </w:r>
      <w:r w:rsidRPr="00A24879">
        <w:t xml:space="preserve">: </w:t>
      </w:r>
      <w:r w:rsidRPr="00A24879">
        <w:rPr>
          <w:b/>
        </w:rPr>
        <w:t>Personal</w:t>
      </w:r>
      <w:r w:rsidR="00A24879">
        <w:t>, pues g</w:t>
      </w:r>
      <w:r>
        <w:t>rava la capacidad económica de generar rentas de la persona jurídica.</w:t>
      </w:r>
    </w:p>
    <w:p w14:paraId="0D29142D" w14:textId="52115D49" w:rsidR="002E46F8" w:rsidRPr="00A24879" w:rsidRDefault="002E46F8" w:rsidP="00A24879">
      <w:pPr>
        <w:pStyle w:val="Nivel3SM"/>
        <w:rPr>
          <w:b/>
        </w:rPr>
      </w:pPr>
      <w:r w:rsidRPr="00A24879">
        <w:rPr>
          <w:i/>
          <w:iCs/>
          <w:u w:val="single"/>
        </w:rPr>
        <w:t>Según el hecho imponible</w:t>
      </w:r>
      <w:r w:rsidRPr="00A24879">
        <w:t xml:space="preserve">: </w:t>
      </w:r>
      <w:r w:rsidRPr="00A24879">
        <w:rPr>
          <w:b/>
        </w:rPr>
        <w:t>Directo</w:t>
      </w:r>
      <w:r w:rsidR="00A24879" w:rsidRPr="00A24879">
        <w:rPr>
          <w:bCs/>
        </w:rPr>
        <w:t>, pues</w:t>
      </w:r>
      <w:r w:rsidR="00A24879">
        <w:rPr>
          <w:bCs/>
        </w:rPr>
        <w:t xml:space="preserve"> </w:t>
      </w:r>
      <w:r w:rsidR="00A24879">
        <w:t>g</w:t>
      </w:r>
      <w:r>
        <w:t>rava directamente la obtención de una renta y no su uso.</w:t>
      </w:r>
    </w:p>
    <w:p w14:paraId="69017195" w14:textId="17C1D9B5" w:rsidR="002E46F8" w:rsidRPr="00A24879" w:rsidRDefault="002E46F8" w:rsidP="00A24879">
      <w:pPr>
        <w:pStyle w:val="Nivel3SM"/>
        <w:rPr>
          <w:b/>
        </w:rPr>
      </w:pPr>
      <w:r w:rsidRPr="00A24879">
        <w:rPr>
          <w:i/>
          <w:iCs/>
          <w:u w:val="single"/>
        </w:rPr>
        <w:t xml:space="preserve">Según </w:t>
      </w:r>
      <w:r w:rsidR="0078285F">
        <w:rPr>
          <w:i/>
          <w:iCs/>
          <w:u w:val="single"/>
        </w:rPr>
        <w:t>la base</w:t>
      </w:r>
      <w:r w:rsidRPr="00A24879">
        <w:rPr>
          <w:i/>
          <w:iCs/>
          <w:u w:val="single"/>
        </w:rPr>
        <w:t xml:space="preserve"> </w:t>
      </w:r>
      <w:r w:rsidR="0078285F">
        <w:rPr>
          <w:i/>
          <w:iCs/>
          <w:u w:val="single"/>
        </w:rPr>
        <w:t>imponible</w:t>
      </w:r>
      <w:r w:rsidRPr="00A24879">
        <w:t xml:space="preserve">: </w:t>
      </w:r>
      <w:r w:rsidRPr="00A24879">
        <w:rPr>
          <w:b/>
        </w:rPr>
        <w:t>Sintético</w:t>
      </w:r>
      <w:r w:rsidR="00A24879" w:rsidRPr="00A24879">
        <w:rPr>
          <w:bCs/>
        </w:rPr>
        <w:t>, pues</w:t>
      </w:r>
      <w:r w:rsidR="00A24879">
        <w:rPr>
          <w:bCs/>
        </w:rPr>
        <w:t xml:space="preserve"> </w:t>
      </w:r>
      <w:r w:rsidR="0078285F">
        <w:rPr>
          <w:bCs/>
        </w:rPr>
        <w:t>suele dar el mismo trato a todos los elementos de la</w:t>
      </w:r>
      <w:r>
        <w:t xml:space="preserve"> base imponible.</w:t>
      </w:r>
    </w:p>
    <w:p w14:paraId="02610052" w14:textId="7F34A7D0" w:rsidR="002E46F8" w:rsidRPr="00A24879" w:rsidRDefault="002E46F8" w:rsidP="00A24879">
      <w:pPr>
        <w:pStyle w:val="Nivel3SM"/>
        <w:rPr>
          <w:b/>
        </w:rPr>
      </w:pPr>
      <w:r w:rsidRPr="00A24879">
        <w:rPr>
          <w:i/>
          <w:iCs/>
          <w:u w:val="single"/>
        </w:rPr>
        <w:t>Según el tipo de gravamen</w:t>
      </w:r>
      <w:r w:rsidRPr="00A24879">
        <w:t xml:space="preserve">: </w:t>
      </w:r>
      <w:r w:rsidRPr="00A24879">
        <w:rPr>
          <w:b/>
        </w:rPr>
        <w:t>Proporcional</w:t>
      </w:r>
      <w:r w:rsidR="00A24879" w:rsidRPr="00A24879">
        <w:rPr>
          <w:bCs/>
        </w:rPr>
        <w:t>, pues</w:t>
      </w:r>
      <w:r w:rsidR="00A24879">
        <w:rPr>
          <w:bCs/>
        </w:rPr>
        <w:t xml:space="preserve"> </w:t>
      </w:r>
      <w:r w:rsidR="00A24879">
        <w:t>e</w:t>
      </w:r>
      <w:r>
        <w:t>l tipo medio de gravamen no aumenta con la renta de la persona jurídica sino que permanece constante.</w:t>
      </w:r>
    </w:p>
    <w:p w14:paraId="22D97747" w14:textId="4D83EDCB" w:rsidR="002E46F8" w:rsidRPr="00A24879" w:rsidRDefault="002E46F8" w:rsidP="00A24879">
      <w:pPr>
        <w:pStyle w:val="Nivel3SM"/>
        <w:rPr>
          <w:b/>
        </w:rPr>
      </w:pPr>
      <w:r w:rsidRPr="00A24879">
        <w:rPr>
          <w:i/>
          <w:iCs/>
          <w:u w:val="single"/>
        </w:rPr>
        <w:t>Según la cuota</w:t>
      </w:r>
      <w:r w:rsidRPr="00A24879">
        <w:t xml:space="preserve">: </w:t>
      </w:r>
      <w:r w:rsidRPr="00A24879">
        <w:rPr>
          <w:b/>
        </w:rPr>
        <w:t>Objetivo</w:t>
      </w:r>
      <w:r w:rsidR="00A24879" w:rsidRPr="00A24879">
        <w:rPr>
          <w:bCs/>
        </w:rPr>
        <w:t>, pues</w:t>
      </w:r>
      <w:r w:rsidR="00A24879">
        <w:rPr>
          <w:bCs/>
        </w:rPr>
        <w:t xml:space="preserve"> </w:t>
      </w:r>
      <w:r w:rsidR="00A24879">
        <w:t>n</w:t>
      </w:r>
      <w:r>
        <w:t>o tiene en cuenta la situación económica de la persona jurídica en cuota.</w:t>
      </w:r>
    </w:p>
    <w:p w14:paraId="1EC9F393" w14:textId="7ED17CD3" w:rsidR="00F90D6D" w:rsidRDefault="002E46F8" w:rsidP="00A24879">
      <w:pPr>
        <w:pStyle w:val="Nivel3SM"/>
      </w:pPr>
      <w:r w:rsidRPr="00A24879">
        <w:rPr>
          <w:i/>
          <w:iCs/>
          <w:u w:val="single"/>
        </w:rPr>
        <w:t xml:space="preserve">Según </w:t>
      </w:r>
      <w:r w:rsidR="00193939">
        <w:rPr>
          <w:i/>
          <w:iCs/>
          <w:u w:val="single"/>
        </w:rPr>
        <w:t>la frecuencia de la recaudación</w:t>
      </w:r>
      <w:r w:rsidRPr="00A24879">
        <w:t xml:space="preserve">: </w:t>
      </w:r>
      <w:r w:rsidRPr="00A24879">
        <w:rPr>
          <w:b/>
        </w:rPr>
        <w:t>Periódico</w:t>
      </w:r>
      <w:r w:rsidR="00A24879" w:rsidRPr="00A24879">
        <w:t>,</w:t>
      </w:r>
      <w:r w:rsidR="00A24879">
        <w:t xml:space="preserve"> pues e</w:t>
      </w:r>
      <w:r>
        <w:t>l devengo tributario surge de forma periódica.</w:t>
      </w:r>
    </w:p>
    <w:p w14:paraId="2DE72853" w14:textId="494DF842" w:rsidR="00193939" w:rsidRDefault="00193939" w:rsidP="00A24879">
      <w:pPr>
        <w:pStyle w:val="Nivel3SM"/>
      </w:pPr>
      <w:r w:rsidRPr="00A24879">
        <w:rPr>
          <w:i/>
          <w:iCs/>
          <w:u w:val="single"/>
        </w:rPr>
        <w:t xml:space="preserve">Según el </w:t>
      </w:r>
      <w:r>
        <w:rPr>
          <w:i/>
          <w:iCs/>
          <w:u w:val="single"/>
        </w:rPr>
        <w:t>momento de la recaudación</w:t>
      </w:r>
      <w:r w:rsidRPr="00A24879">
        <w:t xml:space="preserve">: </w:t>
      </w:r>
      <w:r>
        <w:rPr>
          <w:b/>
        </w:rPr>
        <w:t>Diferid</w:t>
      </w:r>
      <w:r w:rsidRPr="00A24879">
        <w:rPr>
          <w:b/>
        </w:rPr>
        <w:t>o</w:t>
      </w:r>
      <w:r w:rsidRPr="00A24879">
        <w:t>,</w:t>
      </w:r>
      <w:r>
        <w:t xml:space="preserve"> pues se satisface con posterioridad al momento en que se genera el devengo</w:t>
      </w:r>
      <w:r>
        <w:rPr>
          <w:rStyle w:val="Refdenotaalpie"/>
        </w:rPr>
        <w:footnoteReference w:id="12"/>
      </w:r>
      <w:r>
        <w:t>.</w:t>
      </w:r>
    </w:p>
    <w:p w14:paraId="508E0076" w14:textId="77777777" w:rsidR="0078285F" w:rsidRDefault="0078285F" w:rsidP="00F94CE1">
      <w:pPr>
        <w:pStyle w:val="Ttulo6"/>
      </w:pPr>
      <w:r>
        <w:t>Relevancia</w:t>
      </w:r>
    </w:p>
    <w:p w14:paraId="41E9A750" w14:textId="49B60D7E" w:rsidR="0078285F" w:rsidRDefault="0078285F" w:rsidP="0078285F">
      <w:pPr>
        <w:pStyle w:val="Nivel2SM"/>
        <w:keepNext/>
        <w:spacing w:after="0"/>
      </w:pPr>
      <w:r>
        <w:t xml:space="preserve">El </w:t>
      </w:r>
      <w:r w:rsidR="00B47A97">
        <w:t>IS</w:t>
      </w:r>
      <w:r>
        <w:t xml:space="preserve"> </w:t>
      </w:r>
      <w:r w:rsidR="00B47A97">
        <w:t>también es un</w:t>
      </w:r>
      <w:r>
        <w:t xml:space="preserve"> componente </w:t>
      </w:r>
      <w:r w:rsidR="00B47A97">
        <w:t>relevante</w:t>
      </w:r>
      <w:r>
        <w:t xml:space="preserve"> de los sistemas fiscales modernos:</w:t>
      </w:r>
    </w:p>
    <w:p w14:paraId="3BC48CB1" w14:textId="404F965E" w:rsidR="0078285F" w:rsidRDefault="0078285F" w:rsidP="0078285F">
      <w:pPr>
        <w:pStyle w:val="Nivel3SM"/>
        <w:keepNext/>
      </w:pPr>
      <w:r>
        <w:rPr>
          <w:i/>
          <w:iCs/>
          <w:u w:val="single"/>
        </w:rPr>
        <w:t>Desde un punto de vista cuantitativo</w:t>
      </w:r>
      <w:r w:rsidRPr="00DA3B6A">
        <w:rPr>
          <w:i/>
          <w:iCs/>
        </w:rPr>
        <w:t xml:space="preserve">, </w:t>
      </w:r>
      <w:r w:rsidRPr="00DA3B6A">
        <w:t xml:space="preserve">su </w:t>
      </w:r>
      <w:r w:rsidRPr="00DA3B6A">
        <w:rPr>
          <w:i/>
          <w:iCs/>
        </w:rPr>
        <w:t>capacidad recaudatoria</w:t>
      </w:r>
      <w:r w:rsidR="00B47A97">
        <w:t xml:space="preserve"> es importante (si bien inferior a la del IRPF)</w:t>
      </w:r>
      <w:r>
        <w:t>: En 2023, están presupuestados 28.519 millones de euros en concepto de IS, esto es, 10,9 % de los 262.781 millones de euros de ingresos totales tributarios de las AAPP y 9,3 % de los ingresos no financieros</w:t>
      </w:r>
      <w:r w:rsidR="00AA2EE6">
        <w:t xml:space="preserve"> (~6 % de los ingresos totales y ~2 % del PIB)</w:t>
      </w:r>
      <w:r>
        <w:t>.</w:t>
      </w:r>
    </w:p>
    <w:p w14:paraId="7E5639F7" w14:textId="1AF05F3C" w:rsidR="0078285F" w:rsidRDefault="0078285F" w:rsidP="00533520">
      <w:pPr>
        <w:pStyle w:val="Nivel4"/>
        <w:ind w:left="1474"/>
      </w:pPr>
      <w:r>
        <w:t xml:space="preserve">En España </w:t>
      </w:r>
      <w:r w:rsidR="00496DD7">
        <w:t xml:space="preserve">cerca de </w:t>
      </w:r>
      <w:r>
        <w:t>la media de la UE</w:t>
      </w:r>
      <w:r w:rsidR="00533520">
        <w:t>.</w:t>
      </w:r>
    </w:p>
    <w:p w14:paraId="30F17FD1" w14:textId="640936F3" w:rsidR="00F90D6D" w:rsidRDefault="002E46F8" w:rsidP="00F94CE1">
      <w:pPr>
        <w:pStyle w:val="Ttulo6"/>
      </w:pPr>
      <w:r>
        <w:t>Debate en la actualidad</w:t>
      </w:r>
    </w:p>
    <w:p w14:paraId="44AE6872" w14:textId="77777777" w:rsidR="00B47A97" w:rsidRDefault="00533520" w:rsidP="00B47A97">
      <w:pPr>
        <w:pStyle w:val="Nivel1SM"/>
        <w:keepNext/>
        <w:spacing w:before="0" w:after="0"/>
      </w:pPr>
      <w:r>
        <w:t>La justificación de este impuesto no está exenta de polémica.</w:t>
      </w:r>
    </w:p>
    <w:p w14:paraId="7011FF50" w14:textId="3B4AEE8D" w:rsidR="00533520" w:rsidRDefault="00533520" w:rsidP="00B47A97">
      <w:pPr>
        <w:pStyle w:val="Nivel2SM"/>
      </w:pPr>
      <w:r>
        <w:t>Así, si bien</w:t>
      </w:r>
      <w:r w:rsidR="00B47A97">
        <w:t xml:space="preserve"> desde un punto de vista legal las sociedades son personas jurídicas y se considera que también deben contribuir al sostenimiento de la Hacienda Pública, desde un punto de vista económico, la sociedad es un mero vehículo para transmitir las rentas a sus socios, unas rentas que ya serán gravadas en el impuesto sobre la renta de las personas físicas.</w:t>
      </w:r>
    </w:p>
    <w:p w14:paraId="797BB481" w14:textId="4A6BDB79" w:rsidR="00B47A97" w:rsidRPr="00533520" w:rsidRDefault="00B47A97" w:rsidP="00B47A97">
      <w:pPr>
        <w:pStyle w:val="Nivel2SM"/>
        <w:keepNext/>
        <w:spacing w:after="0"/>
      </w:pPr>
      <w:r>
        <w:t>Surge así la pregunta de por qué no gravar directamente a las personas físicas propietarias de las sociedades en lugar de a las propias sociedades.</w:t>
      </w:r>
    </w:p>
    <w:p w14:paraId="44C24E19" w14:textId="7F076466" w:rsidR="001D049E" w:rsidRPr="002E46F8" w:rsidRDefault="001D049E" w:rsidP="001D049E">
      <w:pPr>
        <w:pStyle w:val="Nivel3SM"/>
        <w:keepNext/>
      </w:pPr>
      <w:r w:rsidRPr="00B47A97">
        <w:rPr>
          <w:i/>
          <w:iCs/>
          <w:u w:val="single"/>
        </w:rPr>
        <w:t>Argumento en contra del impuesto de sociedades</w:t>
      </w:r>
      <w:r>
        <w:t>:</w:t>
      </w:r>
    </w:p>
    <w:p w14:paraId="6D3AE7E0" w14:textId="1562814F" w:rsidR="001D049E" w:rsidRDefault="001D049E" w:rsidP="001D049E">
      <w:pPr>
        <w:pStyle w:val="Nivel4"/>
        <w:keepNext/>
        <w:ind w:left="1474"/>
      </w:pPr>
      <w:r>
        <w:t>Sus detractores s</w:t>
      </w:r>
      <w:r w:rsidRPr="0088676E">
        <w:t>eñalan que</w:t>
      </w:r>
      <w:r>
        <w:t xml:space="preserve"> </w:t>
      </w:r>
      <w:r w:rsidRPr="0088676E">
        <w:t>el IS altera las decisiones de financiación empresarial estimulando el endeudamiento frente a la financiación con recursos propios.</w:t>
      </w:r>
    </w:p>
    <w:p w14:paraId="07DE7191" w14:textId="77777777" w:rsidR="001D049E" w:rsidRDefault="001D049E" w:rsidP="001D049E">
      <w:pPr>
        <w:pStyle w:val="Nivel5"/>
        <w:ind w:left="1871"/>
      </w:pPr>
      <w:r>
        <w:t xml:space="preserve">En un </w:t>
      </w:r>
      <w:r w:rsidRPr="00804CCF">
        <w:rPr>
          <w:i/>
          <w:iCs/>
        </w:rPr>
        <w:t>contexto de información asimétrica en los mercados de capitales</w:t>
      </w:r>
      <w:r>
        <w:t>, la financiación vía recursos propios es clave para aprovechar oportunidades de inversión.</w:t>
      </w:r>
    </w:p>
    <w:p w14:paraId="7F260755" w14:textId="5B03951D" w:rsidR="00F90D6D" w:rsidRDefault="00B47A97" w:rsidP="00B47A97">
      <w:pPr>
        <w:pStyle w:val="Nivel3SM"/>
        <w:keepNext/>
      </w:pPr>
      <w:r w:rsidRPr="00B47A97">
        <w:rPr>
          <w:i/>
          <w:iCs/>
          <w:u w:val="single"/>
        </w:rPr>
        <w:t>Argumentos a favor del Impuesto de Sociedades</w:t>
      </w:r>
      <w:r w:rsidR="00F90D6D">
        <w:t>:</w:t>
      </w:r>
    </w:p>
    <w:p w14:paraId="31313F4E" w14:textId="5EB04CA8" w:rsidR="002E46F8" w:rsidRDefault="000E35B7" w:rsidP="00B47A97">
      <w:pPr>
        <w:pStyle w:val="Nivel4"/>
        <w:ind w:left="1474"/>
      </w:pPr>
      <w:r w:rsidRPr="00B16D2F">
        <w:rPr>
          <w:i/>
          <w:iCs/>
        </w:rPr>
        <w:t>Mecanismo de incentivo</w:t>
      </w:r>
      <w:r w:rsidR="00D41DBA" w:rsidRPr="00D41DBA">
        <w:t xml:space="preserve">: </w:t>
      </w:r>
      <w:r>
        <w:t>Puede incentivar o desincentivar determinados comportamientos mediante el uso de deducciones en la cuota del IS.</w:t>
      </w:r>
    </w:p>
    <w:p w14:paraId="52A088B7" w14:textId="0C738B0E" w:rsidR="00851085" w:rsidRDefault="00851085" w:rsidP="00851085">
      <w:pPr>
        <w:pStyle w:val="Nivel4"/>
        <w:keepNext/>
        <w:ind w:left="1474"/>
      </w:pPr>
      <w:r>
        <w:lastRenderedPageBreak/>
        <w:t xml:space="preserve">Es </w:t>
      </w:r>
      <w:r w:rsidRPr="00851085">
        <w:rPr>
          <w:i/>
          <w:iCs/>
        </w:rPr>
        <w:t>relativamente eficiente</w:t>
      </w:r>
      <w:r>
        <w:t>, pues entre otras rentas grava las rentas de factores no</w:t>
      </w:r>
      <w:r w:rsidR="001D049E">
        <w:t> </w:t>
      </w:r>
      <w:r>
        <w:t>reproducibles (p.ej. suelo), cuya oferta es, por tanto, perfectamente inelástica, reduciendo el exceso de gravamen.</w:t>
      </w:r>
    </w:p>
    <w:p w14:paraId="6ED1C41A" w14:textId="0E94C45C" w:rsidR="00851085" w:rsidRDefault="00851085" w:rsidP="00851085">
      <w:pPr>
        <w:pStyle w:val="Nivel5"/>
        <w:ind w:left="1871"/>
      </w:pPr>
      <w:r>
        <w:t>El problema es que este impuesto grava rentas procedentes no solo de factores no reproducibles sino también de factores como el capital o el trabajo.</w:t>
      </w:r>
    </w:p>
    <w:p w14:paraId="6F44BEAC" w14:textId="77777777" w:rsidR="00B16D2F" w:rsidRDefault="00B16D2F" w:rsidP="00B47A97">
      <w:pPr>
        <w:pStyle w:val="Nivel4"/>
        <w:ind w:left="1474"/>
      </w:pPr>
      <w:r>
        <w:t xml:space="preserve">Es uno de los principales </w:t>
      </w:r>
      <w:r w:rsidRPr="00B16D2F">
        <w:rPr>
          <w:i/>
          <w:iCs/>
        </w:rPr>
        <w:t>mecanismos de redistribución</w:t>
      </w:r>
      <w:r>
        <w:t xml:space="preserve"> del sector público aunque menor que el IRPF.</w:t>
      </w:r>
    </w:p>
    <w:p w14:paraId="3B53D1DB" w14:textId="77777777" w:rsidR="00B16D2F" w:rsidRDefault="00B16D2F" w:rsidP="00B47A97">
      <w:pPr>
        <w:pStyle w:val="Nivel4"/>
        <w:ind w:left="1474"/>
      </w:pPr>
      <w:r>
        <w:t xml:space="preserve">Es un importante </w:t>
      </w:r>
      <w:r w:rsidRPr="00E13DE0">
        <w:rPr>
          <w:i/>
          <w:iCs/>
        </w:rPr>
        <w:t>estabilizador automático</w:t>
      </w:r>
      <w:r>
        <w:t>.</w:t>
      </w:r>
    </w:p>
    <w:p w14:paraId="060CB997" w14:textId="77777777" w:rsidR="00B8640E" w:rsidRDefault="00B8640E" w:rsidP="00B8640E">
      <w:pPr>
        <w:pStyle w:val="Nivel4"/>
        <w:ind w:left="1474"/>
      </w:pPr>
      <w:r w:rsidRPr="00D5243D">
        <w:rPr>
          <w:i/>
          <w:iCs/>
        </w:rPr>
        <w:t>No aplazamiento</w:t>
      </w:r>
      <w:r>
        <w:t>. El impuesto sobre la renta de las personas jurídicas actúa como una retención sobre las rentas del capital de los propietarios, de modo que aunque estas personas físicas decidan aplazar su percepción (i.e. beneficios no distribuidos), se podrá recaudar una parte.</w:t>
      </w:r>
    </w:p>
    <w:p w14:paraId="31387BD8" w14:textId="77777777" w:rsidR="00B8640E" w:rsidRDefault="00B8640E" w:rsidP="00B8640E">
      <w:pPr>
        <w:pStyle w:val="Nivel4"/>
        <w:keepNext/>
        <w:ind w:left="1474"/>
      </w:pPr>
      <w:r w:rsidRPr="00D5243D">
        <w:rPr>
          <w:i/>
          <w:iCs/>
        </w:rPr>
        <w:t>Retención internacional</w:t>
      </w:r>
      <w:r>
        <w:t>. También actúa como una retención internacional en el país de origen de la renta cuando los accionistas de una sociedad no son residentes.</w:t>
      </w:r>
    </w:p>
    <w:p w14:paraId="5EF3EAD4" w14:textId="77777777" w:rsidR="00B8640E" w:rsidRPr="00D5243D" w:rsidRDefault="00B8640E" w:rsidP="00B8640E">
      <w:pPr>
        <w:pStyle w:val="Nivel5"/>
        <w:ind w:left="1871"/>
      </w:pPr>
      <w:r>
        <w:t>Si sólo se gravara a las personas físicas, entones un país en el que se instalan empresas cuyos accionistas son todos no residentes, no obtendría ningún beneficio fiscal (pues, aunque suele existir un impuesto sobre la renta de no residentes, los convenios de doble imposición trasladan la obligación tributaria al país de residencia).</w:t>
      </w:r>
    </w:p>
    <w:p w14:paraId="13736B5A" w14:textId="77777777" w:rsidR="000E35B7" w:rsidRDefault="000E35B7" w:rsidP="00B47A97">
      <w:pPr>
        <w:pStyle w:val="Nivel4"/>
        <w:ind w:left="1474"/>
      </w:pPr>
      <w:r>
        <w:t xml:space="preserve">Desde el punto de vista político, el hecho de que la incidencia real del IS no esté demasiado clara (puede llevar a un aumento de precios, a una reducción de los salarios o a una reducción de los beneficios) hace que </w:t>
      </w:r>
      <w:r w:rsidRPr="00B16D2F">
        <w:rPr>
          <w:i/>
          <w:iCs/>
        </w:rPr>
        <w:t>las modificaciones del IS tengan un escaso coste electoral</w:t>
      </w:r>
      <w:r>
        <w:t>.</w:t>
      </w:r>
    </w:p>
    <w:p w14:paraId="13605AF8" w14:textId="77777777" w:rsidR="000E35B7" w:rsidRPr="000E35B7" w:rsidRDefault="000E35B7" w:rsidP="00D41DBA">
      <w:pPr>
        <w:pStyle w:val="Ttulo2"/>
      </w:pPr>
      <w:bookmarkStart w:id="30" w:name="_Toc219417489"/>
      <w:r w:rsidRPr="000E35B7">
        <w:t>Esquema de liquidación</w:t>
      </w:r>
      <w:bookmarkEnd w:id="30"/>
    </w:p>
    <w:p w14:paraId="61660E60" w14:textId="14953012" w:rsidR="000E35B7" w:rsidRDefault="000E35B7" w:rsidP="00D41DBA">
      <w:pPr>
        <w:pStyle w:val="Nivel1SM"/>
        <w:keepNext/>
        <w:spacing w:before="0" w:after="0"/>
      </w:pPr>
      <w:r>
        <w:t>Al igual que para el IRPF seguiremos el esquema de liquidación para el IS de forma simplificada.</w:t>
      </w:r>
    </w:p>
    <w:p w14:paraId="437FFBBD" w14:textId="5955FC7D" w:rsidR="000E35B7" w:rsidRDefault="000E35B7" w:rsidP="00D41DBA">
      <w:pPr>
        <w:pStyle w:val="Prrafodelista"/>
        <w:numPr>
          <w:ilvl w:val="0"/>
          <w:numId w:val="22"/>
        </w:numPr>
        <w:spacing w:after="100"/>
        <w:ind w:left="567" w:hanging="113"/>
      </w:pPr>
      <w:r w:rsidRPr="00EE6F1F">
        <w:rPr>
          <w:i/>
          <w:iCs/>
          <w:u w:val="single"/>
        </w:rPr>
        <w:t>Base imponible</w:t>
      </w:r>
      <w:r w:rsidR="00D41DBA" w:rsidRPr="00D41DBA">
        <w:t>:</w:t>
      </w:r>
      <w:r w:rsidR="00D41DBA">
        <w:t xml:space="preserve"> </w:t>
      </w:r>
      <w:r>
        <w:t>Parte del beneficio contable y se le realizan ajustes para equipararlo a la renta fiscal.</w:t>
      </w:r>
    </w:p>
    <w:p w14:paraId="61E66E38" w14:textId="79C3626A" w:rsidR="00EE6F1F" w:rsidRDefault="00EE6F1F" w:rsidP="00D41DBA">
      <w:pPr>
        <w:pStyle w:val="Prrafodelista"/>
        <w:numPr>
          <w:ilvl w:val="0"/>
          <w:numId w:val="22"/>
        </w:numPr>
        <w:spacing w:after="100"/>
        <w:ind w:left="567" w:hanging="113"/>
      </w:pPr>
      <w:r>
        <w:rPr>
          <w:i/>
          <w:iCs/>
          <w:u w:val="single"/>
        </w:rPr>
        <w:t>Tipo impositivo</w:t>
      </w:r>
      <w:r>
        <w:t>.</w:t>
      </w:r>
    </w:p>
    <w:p w14:paraId="6F723A85" w14:textId="6C49F79D" w:rsidR="000E35B7" w:rsidRPr="00D41DBA" w:rsidRDefault="000E35B7" w:rsidP="00D41DBA">
      <w:pPr>
        <w:pStyle w:val="Prrafodelista"/>
        <w:numPr>
          <w:ilvl w:val="0"/>
          <w:numId w:val="22"/>
        </w:numPr>
        <w:spacing w:after="100"/>
        <w:ind w:left="567" w:hanging="113"/>
        <w:rPr>
          <w:u w:val="single"/>
        </w:rPr>
      </w:pPr>
      <w:r w:rsidRPr="00EE6F1F">
        <w:rPr>
          <w:i/>
          <w:iCs/>
          <w:u w:val="single"/>
        </w:rPr>
        <w:t>Cuota íntegra</w:t>
      </w:r>
      <w:r w:rsidR="00D41DBA">
        <w:t xml:space="preserve">: </w:t>
      </w:r>
      <w:r>
        <w:t>Resulta de la multiplicación del tipo de gravamen a la base imponible.</w:t>
      </w:r>
      <w:r w:rsidR="00D41DBA">
        <w:t xml:space="preserve"> </w:t>
      </w:r>
      <w:r>
        <w:t>Como vemos no se realizan reducciones en base tal y como ocurría en el IRPF.</w:t>
      </w:r>
    </w:p>
    <w:p w14:paraId="7A8D3209" w14:textId="78180A11" w:rsidR="000E35B7" w:rsidRPr="000F4CE6" w:rsidRDefault="000E35B7" w:rsidP="00D41DBA">
      <w:pPr>
        <w:pStyle w:val="Prrafodelista"/>
        <w:numPr>
          <w:ilvl w:val="0"/>
          <w:numId w:val="22"/>
        </w:numPr>
        <w:spacing w:after="100"/>
        <w:ind w:left="567" w:hanging="113"/>
        <w:rPr>
          <w:u w:val="single"/>
        </w:rPr>
      </w:pPr>
      <w:r w:rsidRPr="00EE6F1F">
        <w:rPr>
          <w:i/>
          <w:iCs/>
          <w:u w:val="single"/>
        </w:rPr>
        <w:t>Cuota l</w:t>
      </w:r>
      <w:r w:rsidR="00DE789B">
        <w:rPr>
          <w:i/>
          <w:iCs/>
          <w:u w:val="single"/>
        </w:rPr>
        <w:t>í</w:t>
      </w:r>
      <w:r w:rsidRPr="00EE6F1F">
        <w:rPr>
          <w:i/>
          <w:iCs/>
          <w:u w:val="single"/>
        </w:rPr>
        <w:t>quida</w:t>
      </w:r>
      <w:r w:rsidR="00D41DBA">
        <w:t xml:space="preserve">: </w:t>
      </w:r>
      <w:r>
        <w:t>Resulta de la deducción de la cuota íntegra para incentivar la realización de determinadas actividades.</w:t>
      </w:r>
      <w:r w:rsidR="00D41DBA">
        <w:t xml:space="preserve"> </w:t>
      </w:r>
      <w:r>
        <w:t>Puede considerarse además como el resultado de liquidación.</w:t>
      </w:r>
    </w:p>
    <w:p w14:paraId="558B0FBC" w14:textId="03E13588" w:rsidR="00E47C84" w:rsidRPr="00E47C84" w:rsidRDefault="00E47C84" w:rsidP="00E47C84">
      <w:pPr>
        <w:pStyle w:val="Ttuloimagen"/>
        <w:rPr>
          <w:i/>
          <w:iCs/>
          <w:smallCaps w:val="0"/>
        </w:rPr>
      </w:pPr>
      <w:r>
        <w:t>Imagen </w:t>
      </w:r>
      <w:r>
        <w:fldChar w:fldCharType="begin"/>
      </w:r>
      <w:r>
        <w:instrText xml:space="preserve"> SEQ Ilustración \* ARABIC </w:instrText>
      </w:r>
      <w:r>
        <w:fldChar w:fldCharType="separate"/>
      </w:r>
      <w:r w:rsidR="00CA64DA">
        <w:t>3</w:t>
      </w:r>
      <w:r>
        <w:fldChar w:fldCharType="end"/>
      </w:r>
      <w:r>
        <w:rPr>
          <w:smallCaps w:val="0"/>
        </w:rPr>
        <w:t xml:space="preserve">.– </w:t>
      </w:r>
      <w:r w:rsidRPr="00E47C84">
        <w:rPr>
          <w:i/>
          <w:iCs/>
          <w:smallCaps w:val="0"/>
        </w:rPr>
        <w:t>Esquema de liquidación del Impuesto de Sociedades.</w:t>
      </w:r>
    </w:p>
    <w:p w14:paraId="4B430FD0" w14:textId="65871983" w:rsidR="000F4CE6" w:rsidRDefault="000F4CE6" w:rsidP="000F4CE6">
      <w:pPr>
        <w:pStyle w:val="Imagen"/>
        <w:rPr>
          <w:u w:val="single"/>
        </w:rPr>
      </w:pPr>
      <w:r>
        <w:drawing>
          <wp:inline distT="0" distB="0" distL="0" distR="0" wp14:anchorId="38F5D48C" wp14:editId="1934BEAF">
            <wp:extent cx="2990850" cy="2246551"/>
            <wp:effectExtent l="0" t="0" r="0" b="1905"/>
            <wp:docPr id="1343334836"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34836" name="Imagen 1" descr="Diagrama&#10;&#10;Descripción generada automáticamente"/>
                    <pic:cNvPicPr/>
                  </pic:nvPicPr>
                  <pic:blipFill>
                    <a:blip r:embed="rId29"/>
                    <a:stretch>
                      <a:fillRect/>
                    </a:stretch>
                  </pic:blipFill>
                  <pic:spPr>
                    <a:xfrm>
                      <a:off x="0" y="0"/>
                      <a:ext cx="2990850" cy="2246551"/>
                    </a:xfrm>
                    <a:prstGeom prst="rect">
                      <a:avLst/>
                    </a:prstGeom>
                  </pic:spPr>
                </pic:pic>
              </a:graphicData>
            </a:graphic>
          </wp:inline>
        </w:drawing>
      </w:r>
    </w:p>
    <w:p w14:paraId="2FAC63E6" w14:textId="6D36CD42" w:rsidR="000F4CE6" w:rsidRPr="000F4CE6" w:rsidRDefault="000F4CE6" w:rsidP="000F4CE6">
      <w:pPr>
        <w:pStyle w:val="PiedeImagen"/>
        <w:rPr>
          <w:i w:val="0"/>
          <w:iCs/>
        </w:rPr>
      </w:pPr>
      <w:r>
        <w:t>Fuente</w:t>
      </w:r>
      <w:r>
        <w:rPr>
          <w:i w:val="0"/>
          <w:iCs/>
        </w:rPr>
        <w:t xml:space="preserve">: </w:t>
      </w:r>
      <w:r w:rsidRPr="000F4CE6">
        <w:rPr>
          <w:i w:val="0"/>
          <w:iCs/>
        </w:rPr>
        <w:t xml:space="preserve">Albi Ibáñez, E., Paredes Gómez, R. &amp; Rodríguez Ondarza, J. A. (2017). </w:t>
      </w:r>
      <w:r w:rsidRPr="000F4CE6">
        <w:t>Sistema fiscal español II</w:t>
      </w:r>
      <w:r w:rsidRPr="000F4CE6">
        <w:rPr>
          <w:i w:val="0"/>
          <w:iCs/>
        </w:rPr>
        <w:t xml:space="preserve"> (8ª ed. act). Ariel.</w:t>
      </w:r>
    </w:p>
    <w:p w14:paraId="5212D027" w14:textId="48574AB8" w:rsidR="002C7212" w:rsidRPr="00986ECE" w:rsidRDefault="002C7212" w:rsidP="00D41DBA">
      <w:pPr>
        <w:pStyle w:val="Ttulo3"/>
      </w:pPr>
      <w:bookmarkStart w:id="31" w:name="_Toc219417490"/>
      <w:r w:rsidRPr="002C7212">
        <w:lastRenderedPageBreak/>
        <w:t>Base imponible</w:t>
      </w:r>
      <w:bookmarkEnd w:id="31"/>
    </w:p>
    <w:p w14:paraId="3DE09E25" w14:textId="57DA4FA8" w:rsidR="000E35B7" w:rsidRPr="00986ECE" w:rsidRDefault="000E35B7" w:rsidP="00B16D2F">
      <w:pPr>
        <w:pStyle w:val="Ttulo6"/>
        <w:spacing w:before="0"/>
      </w:pPr>
      <w:r w:rsidRPr="002C7212">
        <w:t>Resultado contable de la cuenta de pérdidas y ganancias del ejercicio</w:t>
      </w:r>
    </w:p>
    <w:p w14:paraId="6D1FD23F" w14:textId="5DC79DE8" w:rsidR="002C7212" w:rsidRDefault="002C7212" w:rsidP="008E4B8C">
      <w:pPr>
        <w:pStyle w:val="Nivel2SM"/>
        <w:keepNext/>
        <w:spacing w:after="0"/>
      </w:pPr>
      <w:r>
        <w:t xml:space="preserve">La determinación de la base imponible toma como </w:t>
      </w:r>
      <w:r w:rsidRPr="00B16D2F">
        <w:rPr>
          <w:b/>
          <w:bCs/>
        </w:rPr>
        <w:t xml:space="preserve">punto de partida el </w:t>
      </w:r>
      <w:r w:rsidRPr="00B16D2F">
        <w:rPr>
          <w:b/>
          <w:bCs/>
          <w:u w:val="single"/>
        </w:rPr>
        <w:t>beneficio antes de impuestos contable</w:t>
      </w:r>
      <w:r w:rsidRPr="00B16D2F">
        <w:rPr>
          <w:b/>
          <w:bCs/>
        </w:rPr>
        <w:t xml:space="preserve"> de la cuenta de pérdidas y ganancias</w:t>
      </w:r>
      <w:r>
        <w:t xml:space="preserve"> del sujeto pasivo</w:t>
      </w:r>
      <w:r w:rsidR="00811E5E">
        <w:t xml:space="preserve"> (esto incluye ingresos de explotación, financieros y extraordinarios)</w:t>
      </w:r>
      <w:r>
        <w:t>.</w:t>
      </w:r>
    </w:p>
    <w:p w14:paraId="1F2BC850" w14:textId="6F40A845" w:rsidR="002C7212" w:rsidRDefault="002C7212" w:rsidP="008E4B8C">
      <w:pPr>
        <w:pStyle w:val="Nivel3SM"/>
      </w:pPr>
      <w:r>
        <w:t>Es decir representa la diferencia entre los ingresos por ventas y los costes operativos, amortización y costes financieros (principalmente).</w:t>
      </w:r>
    </w:p>
    <w:p w14:paraId="6DB076CF" w14:textId="1E84456C" w:rsidR="002C7212" w:rsidRDefault="002C7212" w:rsidP="008E4B8C">
      <w:pPr>
        <w:pStyle w:val="Nivel2SM"/>
        <w:keepNext/>
        <w:spacing w:after="0"/>
      </w:pPr>
      <w:r>
        <w:t xml:space="preserve">No obstante, este resultado se obtiene en base a </w:t>
      </w:r>
      <w:r w:rsidRPr="0091356F">
        <w:rPr>
          <w:b/>
        </w:rPr>
        <w:t>criterios contables</w:t>
      </w:r>
      <w:r>
        <w:t xml:space="preserve">, que </w:t>
      </w:r>
      <w:r w:rsidRPr="0091356F">
        <w:rPr>
          <w:b/>
        </w:rPr>
        <w:t>no siempre</w:t>
      </w:r>
      <w:r>
        <w:t xml:space="preserve"> </w:t>
      </w:r>
      <w:r w:rsidRPr="007C4B0F">
        <w:rPr>
          <w:b/>
        </w:rPr>
        <w:t>coinciden</w:t>
      </w:r>
      <w:r>
        <w:t xml:space="preserve"> con los </w:t>
      </w:r>
      <w:r w:rsidRPr="006F2CF4">
        <w:rPr>
          <w:b/>
        </w:rPr>
        <w:t>criterios fiscales</w:t>
      </w:r>
      <w:r>
        <w:t>.</w:t>
      </w:r>
    </w:p>
    <w:p w14:paraId="6EBD0F33" w14:textId="60D6F682" w:rsidR="000E35B7" w:rsidRPr="00986ECE" w:rsidRDefault="002C7212" w:rsidP="008E4B8C">
      <w:pPr>
        <w:pStyle w:val="Nivel3SM"/>
      </w:pPr>
      <w:r>
        <w:t>Por ello, al resultado se le aplican una serie de correcciones, denominadas “</w:t>
      </w:r>
      <w:r w:rsidRPr="002C7212">
        <w:rPr>
          <w:b/>
        </w:rPr>
        <w:t>ajustes extracontables</w:t>
      </w:r>
      <w:r>
        <w:t>”, que pueden traducirse en aumentos o disminuciones del resultado de la cuenta de pérdidas y ganancias.</w:t>
      </w:r>
    </w:p>
    <w:p w14:paraId="398CD25E" w14:textId="31BBBEE8" w:rsidR="000E35B7" w:rsidRPr="00E24DDF" w:rsidRDefault="000E35B7" w:rsidP="00F94CE1">
      <w:pPr>
        <w:pStyle w:val="Ttulo6"/>
        <w:rPr>
          <w:u w:val="none"/>
        </w:rPr>
      </w:pPr>
      <w:r w:rsidRPr="0041464A">
        <w:t>Ajustes extracontables</w:t>
      </w:r>
      <w:r w:rsidR="002C7212" w:rsidRPr="00E24DDF">
        <w:rPr>
          <w:u w:val="none"/>
        </w:rPr>
        <w:t xml:space="preserve"> (mencionamos algunos)</w:t>
      </w:r>
    </w:p>
    <w:p w14:paraId="6A6F3B1C" w14:textId="2D07421F" w:rsidR="002C7212" w:rsidRPr="0041464A" w:rsidRDefault="002C7212" w:rsidP="008E4B8C">
      <w:pPr>
        <w:pStyle w:val="Nivel2SM"/>
        <w:keepNext/>
        <w:spacing w:after="0"/>
      </w:pPr>
      <w:r w:rsidRPr="00811E5E">
        <w:rPr>
          <w:i/>
          <w:iCs/>
          <w:u w:val="single"/>
        </w:rPr>
        <w:t>Amortizaciones</w:t>
      </w:r>
      <w:r w:rsidR="008E4B8C" w:rsidRPr="008E4B8C">
        <w:t>:</w:t>
      </w:r>
    </w:p>
    <w:p w14:paraId="483B8EA4" w14:textId="77777777" w:rsidR="000E35B7" w:rsidRPr="0041464A" w:rsidRDefault="000E35B7" w:rsidP="008E4B8C">
      <w:pPr>
        <w:pStyle w:val="Nivel3SM"/>
      </w:pPr>
      <w:r w:rsidRPr="0041464A">
        <w:t xml:space="preserve">La amortización es fiscalmente reducible por tanto es necesario que la amortización utilizada a nivel contable coincida con la </w:t>
      </w:r>
      <w:r w:rsidRPr="0041464A">
        <w:rPr>
          <w:b/>
        </w:rPr>
        <w:t>amortización fiscalmente admisible</w:t>
      </w:r>
      <w:r w:rsidRPr="0041464A">
        <w:t xml:space="preserve">. </w:t>
      </w:r>
    </w:p>
    <w:p w14:paraId="2FDC11E1" w14:textId="77777777" w:rsidR="002C7212" w:rsidRPr="0041464A" w:rsidRDefault="002C7212" w:rsidP="008E4B8C">
      <w:pPr>
        <w:pStyle w:val="Nivel3SM"/>
      </w:pPr>
      <w:r w:rsidRPr="0041464A">
        <w:t>Por ejemplo: El fondo de comercio no resulta deducible fiscalmente en términos contables. No obstante por criterios fiscales un porcentaje determinado si será fiscalmente deducible.</w:t>
      </w:r>
    </w:p>
    <w:p w14:paraId="1F040FC9" w14:textId="751B227E" w:rsidR="002C7212" w:rsidRPr="0041464A" w:rsidRDefault="002C7212" w:rsidP="008E4B8C">
      <w:pPr>
        <w:pStyle w:val="Nivel2SM"/>
        <w:keepNext/>
        <w:spacing w:after="0"/>
      </w:pPr>
      <w:r w:rsidRPr="00811E5E">
        <w:rPr>
          <w:i/>
          <w:iCs/>
          <w:u w:val="single"/>
        </w:rPr>
        <w:t>Gastos financieros</w:t>
      </w:r>
      <w:r w:rsidR="008E4B8C">
        <w:t>:</w:t>
      </w:r>
    </w:p>
    <w:p w14:paraId="79DE5BD2" w14:textId="06420422" w:rsidR="002C7212" w:rsidRPr="0041464A" w:rsidRDefault="002C7212" w:rsidP="008E4B8C">
      <w:pPr>
        <w:pStyle w:val="Nivel3SM"/>
        <w:rPr>
          <w:u w:val="single"/>
        </w:rPr>
      </w:pPr>
      <w:r w:rsidRPr="0041464A">
        <w:t>A nivel contable todos los gastos financieros son fiscalmente deducibles. No obstante</w:t>
      </w:r>
      <w:r w:rsidR="00E24DDF">
        <w:t>,</w:t>
      </w:r>
      <w:r w:rsidRPr="0041464A">
        <w:t xml:space="preserve"> por criterios fiscales los gastos financieros deducibles están limitados.</w:t>
      </w:r>
    </w:p>
    <w:p w14:paraId="3360804F" w14:textId="47EF09BC" w:rsidR="00811E5E" w:rsidRPr="00811E5E" w:rsidRDefault="00811E5E" w:rsidP="00811E5E">
      <w:pPr>
        <w:pStyle w:val="Nivel2SM"/>
      </w:pPr>
      <w:r w:rsidRPr="00811E5E">
        <w:rPr>
          <w:i/>
          <w:iCs/>
          <w:u w:val="single"/>
        </w:rPr>
        <w:t>Pérdidas</w:t>
      </w:r>
      <w:r>
        <w:rPr>
          <w:i/>
          <w:iCs/>
          <w:u w:val="single"/>
        </w:rPr>
        <w:t xml:space="preserve"> de </w:t>
      </w:r>
      <w:r w:rsidR="00B96718">
        <w:rPr>
          <w:i/>
          <w:iCs/>
          <w:u w:val="single"/>
        </w:rPr>
        <w:t>ejercici</w:t>
      </w:r>
      <w:r>
        <w:rPr>
          <w:i/>
          <w:iCs/>
          <w:u w:val="single"/>
        </w:rPr>
        <w:t>os anteriores</w:t>
      </w:r>
      <w:r>
        <w:t>.</w:t>
      </w:r>
    </w:p>
    <w:p w14:paraId="51602401" w14:textId="4E01BA9A" w:rsidR="002C7212" w:rsidRPr="0041464A" w:rsidRDefault="002C7212" w:rsidP="008E4B8C">
      <w:pPr>
        <w:pStyle w:val="Nivel2SM"/>
        <w:keepNext/>
        <w:spacing w:after="0"/>
      </w:pPr>
      <w:r w:rsidRPr="00811E5E">
        <w:rPr>
          <w:i/>
          <w:iCs/>
          <w:u w:val="single"/>
        </w:rPr>
        <w:t>Otros</w:t>
      </w:r>
      <w:r w:rsidRPr="0041464A">
        <w:t>:</w:t>
      </w:r>
    </w:p>
    <w:p w14:paraId="1B5BD858" w14:textId="31099F1C" w:rsidR="000E35B7" w:rsidRPr="00986ECE" w:rsidRDefault="002C7212" w:rsidP="008E4B8C">
      <w:pPr>
        <w:pStyle w:val="Nivel3SM"/>
        <w:rPr>
          <w:u w:val="single"/>
        </w:rPr>
      </w:pPr>
      <w:r w:rsidRPr="0041464A">
        <w:t>Leasing financiero, provisiones por créditos fallidos</w:t>
      </w:r>
      <w:r w:rsidR="00986ECE">
        <w:t>…</w:t>
      </w:r>
    </w:p>
    <w:p w14:paraId="40248F8C" w14:textId="5929C2F2" w:rsidR="000E35B7" w:rsidRPr="0041464A" w:rsidRDefault="000E35B7" w:rsidP="00F94CE1">
      <w:pPr>
        <w:pStyle w:val="Ttulo6"/>
      </w:pPr>
      <w:r w:rsidRPr="0041464A">
        <w:t>Reducciones por reservas de capitalización y nivelación en la base imponible</w:t>
      </w:r>
    </w:p>
    <w:p w14:paraId="55A3C6CC" w14:textId="28BAEFBB" w:rsidR="000E35B7" w:rsidRPr="0041464A" w:rsidRDefault="000E35B7" w:rsidP="006D62A8">
      <w:pPr>
        <w:pStyle w:val="Nivel2SM"/>
        <w:keepNext/>
        <w:spacing w:after="0"/>
      </w:pPr>
      <w:r w:rsidRPr="0041464A">
        <w:t xml:space="preserve">Las reservas de capitalización y de nivelación son </w:t>
      </w:r>
      <w:r w:rsidR="001C6BB0">
        <w:t>2 </w:t>
      </w:r>
      <w:r w:rsidRPr="0041464A">
        <w:t>nuevas reducciones introducidas por la Ley 27/2014.</w:t>
      </w:r>
    </w:p>
    <w:p w14:paraId="070E7141" w14:textId="265ACD1E" w:rsidR="000E35B7" w:rsidRPr="0041464A" w:rsidRDefault="000E35B7" w:rsidP="006D62A8">
      <w:pPr>
        <w:pStyle w:val="Nivel3SM"/>
        <w:keepNext/>
      </w:pPr>
      <w:r w:rsidRPr="0041464A">
        <w:t>Idea</w:t>
      </w:r>
      <w:r w:rsidR="004006B9">
        <w:t>:</w:t>
      </w:r>
    </w:p>
    <w:p w14:paraId="501B88BA" w14:textId="0E2C1532" w:rsidR="000E35B7" w:rsidRPr="0041464A" w:rsidRDefault="000E35B7" w:rsidP="006D62A8">
      <w:pPr>
        <w:pStyle w:val="Nivel4"/>
        <w:ind w:left="1474"/>
      </w:pPr>
      <w:r w:rsidRPr="0041464A">
        <w:t xml:space="preserve">Ambas reservas </w:t>
      </w:r>
      <w:r w:rsidRPr="001C6BB0">
        <w:rPr>
          <w:i/>
          <w:iCs/>
        </w:rPr>
        <w:t>reducirán la base imponible</w:t>
      </w:r>
      <w:r w:rsidRPr="0041464A">
        <w:t xml:space="preserve"> en caso de </w:t>
      </w:r>
      <w:r w:rsidRPr="001C6BB0">
        <w:rPr>
          <w:i/>
          <w:iCs/>
        </w:rPr>
        <w:t>aumentar las entidades sus fondos propios</w:t>
      </w:r>
      <w:r w:rsidRPr="0041464A">
        <w:t>.</w:t>
      </w:r>
    </w:p>
    <w:p w14:paraId="4B5937AA" w14:textId="047BC886" w:rsidR="000E35B7" w:rsidRPr="0041464A" w:rsidRDefault="000E35B7" w:rsidP="006D62A8">
      <w:pPr>
        <w:pStyle w:val="Nivel3SM"/>
        <w:keepNext/>
      </w:pPr>
      <w:r w:rsidRPr="0041464A">
        <w:t>Objetivo</w:t>
      </w:r>
      <w:r w:rsidR="004006B9">
        <w:t>:</w:t>
      </w:r>
    </w:p>
    <w:p w14:paraId="368226D8" w14:textId="51379844" w:rsidR="000E35B7" w:rsidRPr="0041464A" w:rsidRDefault="000E35B7" w:rsidP="006D62A8">
      <w:pPr>
        <w:pStyle w:val="Nivel4"/>
        <w:ind w:left="1474"/>
      </w:pPr>
      <w:r w:rsidRPr="0041464A">
        <w:t xml:space="preserve">El objetivo de estas reservas es </w:t>
      </w:r>
      <w:r w:rsidRPr="001C6BB0">
        <w:rPr>
          <w:i/>
          <w:iCs/>
        </w:rPr>
        <w:t>fomentar la financiación interna</w:t>
      </w:r>
      <w:r w:rsidRPr="0041464A">
        <w:t xml:space="preserve"> y evitar así un excesivo endeudamiento de la empresa.</w:t>
      </w:r>
    </w:p>
    <w:p w14:paraId="6AC3B103" w14:textId="5CD94756" w:rsidR="000E35B7" w:rsidRPr="00986ECE" w:rsidRDefault="000E35B7" w:rsidP="00F94CE1">
      <w:pPr>
        <w:pStyle w:val="Ttulo6"/>
      </w:pPr>
      <w:r w:rsidRPr="0041464A">
        <w:t>Base imponible</w:t>
      </w:r>
    </w:p>
    <w:p w14:paraId="454C8960" w14:textId="4FB6C2F6" w:rsidR="000E35B7" w:rsidRPr="00986ECE" w:rsidRDefault="000E35B7" w:rsidP="00D41DBA">
      <w:pPr>
        <w:pStyle w:val="Nivel2SM"/>
      </w:pPr>
      <w:r w:rsidRPr="0041464A">
        <w:t>Tras realizar las compensaciones pertinentes, se obtiene la base imponible definitiva, sobre la que se aplicará el tipo de gravamen.</w:t>
      </w:r>
    </w:p>
    <w:p w14:paraId="1D96B929" w14:textId="566D0B38" w:rsidR="002C7212" w:rsidRPr="00986ECE" w:rsidRDefault="002C7212" w:rsidP="00D41DBA">
      <w:pPr>
        <w:pStyle w:val="Ttulo3"/>
      </w:pPr>
      <w:bookmarkStart w:id="32" w:name="_Toc219417491"/>
      <w:r>
        <w:t>Tipo impositivo</w:t>
      </w:r>
      <w:bookmarkEnd w:id="32"/>
    </w:p>
    <w:p w14:paraId="456B8D22" w14:textId="30545217" w:rsidR="002C7212" w:rsidRPr="00986ECE" w:rsidRDefault="002C7212" w:rsidP="00D41DBA">
      <w:pPr>
        <w:pStyle w:val="Ttulo6"/>
        <w:spacing w:before="0"/>
      </w:pPr>
      <w:r>
        <w:t>Tipo proporcional</w:t>
      </w:r>
    </w:p>
    <w:p w14:paraId="35A84D21" w14:textId="4F155B9D" w:rsidR="002C7212" w:rsidRDefault="002C7212" w:rsidP="007B28D1">
      <w:pPr>
        <w:pStyle w:val="Nivel1SM"/>
        <w:spacing w:before="0"/>
      </w:pPr>
      <w:r>
        <w:t xml:space="preserve">Dado que en el impuesto de sociedades no hay mínimo exento y el tipo impositivo es único, se trata de un </w:t>
      </w:r>
      <w:r w:rsidRPr="007B28D1">
        <w:rPr>
          <w:b/>
          <w:bCs/>
        </w:rPr>
        <w:t>impuesto proporcional</w:t>
      </w:r>
      <w:r w:rsidR="00DB0F01">
        <w:t xml:space="preserve"> (en España, el tipo impositivo es del 25 %)</w:t>
      </w:r>
      <w:r>
        <w:t>.</w:t>
      </w:r>
    </w:p>
    <w:p w14:paraId="68EE1441" w14:textId="073A09F5" w:rsidR="002C7212" w:rsidRPr="00986ECE" w:rsidRDefault="002C7212" w:rsidP="00F94CE1">
      <w:pPr>
        <w:pStyle w:val="Ttulo6"/>
      </w:pPr>
      <w:r w:rsidRPr="002C7212">
        <w:t>Debate</w:t>
      </w:r>
      <w:r w:rsidR="001E155C">
        <w:t xml:space="preserve"> sobre la deseabilidad de la progresividad</w:t>
      </w:r>
    </w:p>
    <w:p w14:paraId="108BFF6C" w14:textId="0D9D1CC7" w:rsidR="002C7212" w:rsidRDefault="002C7212" w:rsidP="006D62A8">
      <w:pPr>
        <w:pStyle w:val="Nivel2SM"/>
        <w:keepNext/>
        <w:spacing w:after="0"/>
      </w:pPr>
      <w:r w:rsidRPr="006D62A8">
        <w:rPr>
          <w:i/>
          <w:iCs/>
          <w:u w:val="single"/>
        </w:rPr>
        <w:t xml:space="preserve">Justificación </w:t>
      </w:r>
      <w:r w:rsidR="00B4393E" w:rsidRPr="006D62A8">
        <w:rPr>
          <w:i/>
          <w:iCs/>
          <w:u w:val="single"/>
        </w:rPr>
        <w:t xml:space="preserve">para que </w:t>
      </w:r>
      <w:r w:rsidR="005B35F1">
        <w:rPr>
          <w:b/>
          <w:i/>
          <w:iCs/>
          <w:u w:val="single"/>
        </w:rPr>
        <w:t>no</w:t>
      </w:r>
      <w:r w:rsidRPr="006D62A8">
        <w:rPr>
          <w:i/>
          <w:iCs/>
          <w:u w:val="single"/>
        </w:rPr>
        <w:t xml:space="preserve"> sea progresivo</w:t>
      </w:r>
      <w:r>
        <w:t>:</w:t>
      </w:r>
    </w:p>
    <w:p w14:paraId="583B0A78" w14:textId="6D1232AD" w:rsidR="002C7212" w:rsidRDefault="002C7212" w:rsidP="006D62A8">
      <w:pPr>
        <w:pStyle w:val="Nivel3SM"/>
      </w:pPr>
      <w:r>
        <w:t>El impuesto de sociedades recae, en última instancia, sobre las personas físicas que son titulares de las sociedades, y cuya capacidad de pago no tiene por qué estar relacionada con la base imponible de la sociedad.</w:t>
      </w:r>
    </w:p>
    <w:p w14:paraId="6C0D8631" w14:textId="459CF7DC" w:rsidR="002C7212" w:rsidRDefault="00B4393E" w:rsidP="006D62A8">
      <w:pPr>
        <w:pStyle w:val="Nivel2SM"/>
        <w:keepNext/>
        <w:spacing w:after="0"/>
      </w:pPr>
      <w:r w:rsidRPr="006D62A8">
        <w:rPr>
          <w:i/>
          <w:iCs/>
          <w:u w:val="single"/>
        </w:rPr>
        <w:lastRenderedPageBreak/>
        <w:t xml:space="preserve">Justificación para que </w:t>
      </w:r>
      <w:r w:rsidR="005B35F1">
        <w:rPr>
          <w:b/>
          <w:i/>
          <w:iCs/>
          <w:u w:val="single"/>
        </w:rPr>
        <w:t>sí</w:t>
      </w:r>
      <w:r w:rsidRPr="006D62A8">
        <w:rPr>
          <w:i/>
          <w:iCs/>
          <w:u w:val="single"/>
        </w:rPr>
        <w:t xml:space="preserve"> sea progresivo</w:t>
      </w:r>
      <w:r w:rsidR="006D62A8">
        <w:t>:</w:t>
      </w:r>
    </w:p>
    <w:p w14:paraId="4094C290" w14:textId="6CE0CB69" w:rsidR="002C7212" w:rsidRDefault="002C7212" w:rsidP="006D62A8">
      <w:pPr>
        <w:pStyle w:val="Nivel3SM"/>
      </w:pPr>
      <w:r>
        <w:t>Aparición de sociedades ficticias para tratar de eludir la progresividad de otros impuestos directos.</w:t>
      </w:r>
    </w:p>
    <w:p w14:paraId="57CC9EE7" w14:textId="06E8695E" w:rsidR="00B4393E" w:rsidRPr="00986ECE" w:rsidRDefault="00B4393E" w:rsidP="00F94CE1">
      <w:pPr>
        <w:pStyle w:val="Ttulo6"/>
      </w:pPr>
      <w:r>
        <w:t>Regímenes especiales</w:t>
      </w:r>
    </w:p>
    <w:p w14:paraId="5FF8D789" w14:textId="77777777" w:rsidR="00B4393E" w:rsidRDefault="00B4393E" w:rsidP="006D62A8">
      <w:pPr>
        <w:pStyle w:val="Nivel2SM"/>
        <w:keepNext/>
        <w:spacing w:after="0"/>
      </w:pPr>
      <w:r>
        <w:t>Existen no obstante regímenes especiales por motivos de eficiencia como por motivos de “equidad empresarial”.</w:t>
      </w:r>
    </w:p>
    <w:p w14:paraId="68DC8F44" w14:textId="0834ADE5" w:rsidR="00B4393E" w:rsidRPr="00986ECE" w:rsidRDefault="00986ECE" w:rsidP="006D62A8">
      <w:pPr>
        <w:pStyle w:val="Nivel3SM"/>
        <w:rPr>
          <w:u w:val="single"/>
        </w:rPr>
      </w:pPr>
      <w:r w:rsidRPr="00DB0F01">
        <w:rPr>
          <w:i/>
          <w:iCs/>
          <w:u w:val="single"/>
        </w:rPr>
        <w:t>Pymes</w:t>
      </w:r>
      <w:r w:rsidR="00B4393E" w:rsidRPr="00DB0F01">
        <w:rPr>
          <w:i/>
          <w:iCs/>
          <w:u w:val="single"/>
        </w:rPr>
        <w:t xml:space="preserve"> y Empresas de nueva creación</w:t>
      </w:r>
      <w:r>
        <w:t xml:space="preserve">: </w:t>
      </w:r>
      <w:r w:rsidR="00B4393E">
        <w:t>Suelen tener un IS menor al resto de empresas.</w:t>
      </w:r>
    </w:p>
    <w:p w14:paraId="3ED49474" w14:textId="4350CC4F" w:rsidR="00B4393E" w:rsidRPr="00986ECE" w:rsidRDefault="00B4393E" w:rsidP="006D62A8">
      <w:pPr>
        <w:pStyle w:val="Nivel3SM"/>
        <w:rPr>
          <w:u w:val="single"/>
        </w:rPr>
      </w:pPr>
      <w:r w:rsidRPr="00DB0F01">
        <w:rPr>
          <w:i/>
          <w:iCs/>
          <w:u w:val="single"/>
        </w:rPr>
        <w:t>Empresas con externalidades negativas</w:t>
      </w:r>
      <w:r w:rsidR="00986ECE" w:rsidRPr="00986ECE">
        <w:t>:</w:t>
      </w:r>
      <w:r w:rsidR="00986ECE">
        <w:t xml:space="preserve"> </w:t>
      </w:r>
      <w:r>
        <w:t>Empresas que se dedican a actividades que provocan una externalidad negativa (hidrocarburos) están expuestas a tipos más elevados</w:t>
      </w:r>
      <w:r w:rsidR="00DB0F01">
        <w:t xml:space="preserve"> (en España las entidades que explotan recursos de hidrocarburos tributan al 30 %)</w:t>
      </w:r>
      <w:r>
        <w:t>.</w:t>
      </w:r>
    </w:p>
    <w:p w14:paraId="255E035F" w14:textId="49F4E359" w:rsidR="00B4393E" w:rsidRPr="00986ECE" w:rsidRDefault="00B4393E" w:rsidP="006D62A8">
      <w:pPr>
        <w:pStyle w:val="Nivel3SM"/>
        <w:rPr>
          <w:u w:val="single"/>
        </w:rPr>
      </w:pPr>
      <w:r w:rsidRPr="00DB0F01">
        <w:rPr>
          <w:i/>
          <w:iCs/>
          <w:u w:val="single"/>
        </w:rPr>
        <w:t>Entidades no bancarias</w:t>
      </w:r>
      <w:r w:rsidR="00986ECE">
        <w:t xml:space="preserve">: </w:t>
      </w:r>
      <w:r>
        <w:t>A su vez y para incentivar por ejemplo la financiación no bancaria se han establecidos bonificaciones de prácticamente plena exención para Empresas de Capital Riesgo.</w:t>
      </w:r>
    </w:p>
    <w:p w14:paraId="750329F3" w14:textId="1B8DAFFE" w:rsidR="00B4393E" w:rsidRPr="00986ECE" w:rsidRDefault="00B4393E" w:rsidP="006D62A8">
      <w:pPr>
        <w:pStyle w:val="Nivel3SM"/>
        <w:rPr>
          <w:u w:val="single"/>
        </w:rPr>
      </w:pPr>
      <w:r w:rsidRPr="00BB757E">
        <w:rPr>
          <w:i/>
          <w:iCs/>
          <w:u w:val="single"/>
        </w:rPr>
        <w:t>Fondos de pensiones</w:t>
      </w:r>
      <w:r w:rsidR="00986ECE" w:rsidRPr="00986ECE">
        <w:t xml:space="preserve">: </w:t>
      </w:r>
      <w:r>
        <w:t xml:space="preserve">De cara a favorecer las pensiones los fondos de pensiones están plenamente exentos de pagar a hacienda. </w:t>
      </w:r>
    </w:p>
    <w:p w14:paraId="375E97AA" w14:textId="32C83D38" w:rsidR="00B4393E" w:rsidRDefault="00B4393E" w:rsidP="006D62A8">
      <w:pPr>
        <w:pStyle w:val="Nivel3SM"/>
      </w:pPr>
      <w:r w:rsidRPr="00BB757E">
        <w:rPr>
          <w:i/>
          <w:iCs/>
          <w:u w:val="single"/>
        </w:rPr>
        <w:t>Tipos diferentes para beneficios distribuidos y no distribuidos</w:t>
      </w:r>
      <w:r w:rsidR="00986ECE">
        <w:t xml:space="preserve">: </w:t>
      </w:r>
      <w:r>
        <w:t>Algunos países de la UE no gravan los beneficios retenidos, sino sólo los distribuidos. España no hace distinción.</w:t>
      </w:r>
    </w:p>
    <w:p w14:paraId="21B3E327" w14:textId="513D3C5D" w:rsidR="00B4393E" w:rsidRDefault="002C7212" w:rsidP="00F94CE1">
      <w:pPr>
        <w:pStyle w:val="Ttulo6"/>
      </w:pPr>
      <w:r w:rsidRPr="00E00A57">
        <w:t>Comparaciones internacionales</w:t>
      </w:r>
      <w:r>
        <w:t>.</w:t>
      </w:r>
    </w:p>
    <w:p w14:paraId="044EEAD2" w14:textId="429CB739" w:rsidR="005040CD" w:rsidRPr="00040760" w:rsidRDefault="005040CD" w:rsidP="005040CD">
      <w:pPr>
        <w:pStyle w:val="Cajadeanotaciones"/>
        <w:keepNext/>
        <w:rPr>
          <w:sz w:val="19"/>
          <w:szCs w:val="19"/>
        </w:rPr>
      </w:pPr>
      <w:hyperlink r:id="rId30" w:history="1">
        <w:r w:rsidRPr="00040760">
          <w:rPr>
            <w:rStyle w:val="Hipervnculo"/>
            <w:sz w:val="19"/>
            <w:szCs w:val="19"/>
          </w:rPr>
          <w:t>https://www.oecd.org/tax/tax-policy/corporate-tax-statistics-fourth-edition.pdf</w:t>
        </w:r>
      </w:hyperlink>
    </w:p>
    <w:p w14:paraId="0D1E00B3" w14:textId="77777777" w:rsidR="00B4393E" w:rsidRDefault="00B4393E" w:rsidP="006D62A8">
      <w:pPr>
        <w:pStyle w:val="Nivel2SM"/>
        <w:keepNext/>
        <w:spacing w:after="0"/>
      </w:pPr>
      <w:r w:rsidRPr="00FF6A4D">
        <w:rPr>
          <w:i/>
          <w:iCs/>
          <w:u w:val="single"/>
        </w:rPr>
        <w:t>Capacidad recaudatoria</w:t>
      </w:r>
      <w:r>
        <w:t>:</w:t>
      </w:r>
    </w:p>
    <w:p w14:paraId="530D88FA" w14:textId="40035CC9" w:rsidR="00B4393E" w:rsidRDefault="00B4393E" w:rsidP="006D62A8">
      <w:pPr>
        <w:pStyle w:val="Nivel3SM"/>
      </w:pPr>
      <w:r>
        <w:t xml:space="preserve">A nivel internacional la aportación recaudatoria del IS es menor a la del IRPF. De los países de la OCDE, la mayor recaudación por IS como porcentaje de los </w:t>
      </w:r>
      <w:r w:rsidR="00FF6A4D">
        <w:t>ingresos públicos</w:t>
      </w:r>
      <w:r>
        <w:t xml:space="preserve"> totales corresponde a Noruega (~18</w:t>
      </w:r>
      <w:r w:rsidR="00986ECE">
        <w:t> %</w:t>
      </w:r>
      <w:r>
        <w:t>), pero en la mayoría de países no llega al 10</w:t>
      </w:r>
      <w:r w:rsidR="00986ECE">
        <w:t> %</w:t>
      </w:r>
      <w:r>
        <w:t xml:space="preserve"> (en España es del 6</w:t>
      </w:r>
      <w:r w:rsidR="00986ECE">
        <w:t> %</w:t>
      </w:r>
      <w:r>
        <w:t>).</w:t>
      </w:r>
    </w:p>
    <w:p w14:paraId="1E130B8E" w14:textId="65F596C1" w:rsidR="00B4393E" w:rsidRPr="0036154A" w:rsidRDefault="00B4393E" w:rsidP="006D62A8">
      <w:pPr>
        <w:pStyle w:val="Nivel2SM"/>
        <w:keepNext/>
        <w:spacing w:after="0"/>
      </w:pPr>
      <w:r w:rsidRPr="00FF6A4D">
        <w:rPr>
          <w:i/>
          <w:iCs/>
          <w:u w:val="single"/>
        </w:rPr>
        <w:t>Tipo medio</w:t>
      </w:r>
      <w:r w:rsidR="006D62A8">
        <w:t>:</w:t>
      </w:r>
    </w:p>
    <w:p w14:paraId="5BAEFACF" w14:textId="2F459A5E" w:rsidR="00B4393E" w:rsidRDefault="00B4393E" w:rsidP="006D62A8">
      <w:pPr>
        <w:pStyle w:val="Nivel3SM"/>
      </w:pPr>
      <w:r>
        <w:t xml:space="preserve">El tipo medio mundial se sitúa en el </w:t>
      </w:r>
      <w:r w:rsidRPr="00CE07F4">
        <w:rPr>
          <w:b/>
        </w:rPr>
        <w:t>23</w:t>
      </w:r>
      <w:r w:rsidR="00986ECE">
        <w:rPr>
          <w:b/>
        </w:rPr>
        <w:t> %</w:t>
      </w:r>
      <w:r>
        <w:t>,</w:t>
      </w:r>
      <w:r w:rsidR="00B636C0">
        <w:t xml:space="preserve"> pero existe una enorme variabilidad de tipos,</w:t>
      </w:r>
      <w:r>
        <w:t xml:space="preserve"> observándose en los últimos años una </w:t>
      </w:r>
      <w:r w:rsidRPr="00CE07F4">
        <w:rPr>
          <w:b/>
        </w:rPr>
        <w:t>tendencia a reducir tipos y ampliar la BI</w:t>
      </w:r>
      <w:r>
        <w:t>.</w:t>
      </w:r>
    </w:p>
    <w:p w14:paraId="62D8C830" w14:textId="78A5C8AE" w:rsidR="00B4393E" w:rsidRDefault="00B4393E" w:rsidP="006D62A8">
      <w:pPr>
        <w:pStyle w:val="Nivel3SM"/>
      </w:pPr>
      <w:r>
        <w:t xml:space="preserve">De los países de la OCDE el país con el mayor tipo es </w:t>
      </w:r>
      <w:r w:rsidR="00004A2C">
        <w:rPr>
          <w:b/>
        </w:rPr>
        <w:t>Estados Unidos</w:t>
      </w:r>
      <w:r w:rsidRPr="009F7060">
        <w:rPr>
          <w:b/>
        </w:rPr>
        <w:t xml:space="preserve"> (40</w:t>
      </w:r>
      <w:r w:rsidR="00986ECE">
        <w:rPr>
          <w:b/>
        </w:rPr>
        <w:t> %</w:t>
      </w:r>
      <w:r w:rsidRPr="009F7060">
        <w:rPr>
          <w:b/>
        </w:rPr>
        <w:t>)</w:t>
      </w:r>
      <w:r>
        <w:t xml:space="preserve">, y el país con un menor tipo </w:t>
      </w:r>
      <w:r w:rsidRPr="009F7060">
        <w:rPr>
          <w:b/>
        </w:rPr>
        <w:t>Irlanda (12,5</w:t>
      </w:r>
      <w:r w:rsidR="00986ECE">
        <w:rPr>
          <w:b/>
        </w:rPr>
        <w:t> %</w:t>
      </w:r>
      <w:r w:rsidRPr="009F7060">
        <w:rPr>
          <w:b/>
        </w:rPr>
        <w:t>)</w:t>
      </w:r>
      <w:r>
        <w:t>.</w:t>
      </w:r>
    </w:p>
    <w:p w14:paraId="3184D658" w14:textId="464CE8C2" w:rsidR="002C7212" w:rsidRDefault="00B4393E" w:rsidP="006D62A8">
      <w:pPr>
        <w:pStyle w:val="Nivel3SM"/>
      </w:pPr>
      <w:r>
        <w:t xml:space="preserve">En el caso </w:t>
      </w:r>
      <w:r w:rsidRPr="00A54DAF">
        <w:rPr>
          <w:b/>
          <w:bCs/>
        </w:rPr>
        <w:t>español</w:t>
      </w:r>
      <w:r>
        <w:t>, el tipo general se ha reducido entre 2014 y 2016 desde el 30</w:t>
      </w:r>
      <w:r w:rsidR="00986ECE">
        <w:t> %</w:t>
      </w:r>
      <w:r>
        <w:t xml:space="preserve"> al </w:t>
      </w:r>
      <w:r w:rsidRPr="00ED6B82">
        <w:rPr>
          <w:b/>
          <w:bCs/>
        </w:rPr>
        <w:t>25</w:t>
      </w:r>
      <w:r w:rsidR="00986ECE" w:rsidRPr="00ED6B82">
        <w:rPr>
          <w:b/>
          <w:bCs/>
        </w:rPr>
        <w:t> %</w:t>
      </w:r>
      <w:r>
        <w:t>.</w:t>
      </w:r>
    </w:p>
    <w:p w14:paraId="6D134F73" w14:textId="77777777" w:rsidR="000E35B7" w:rsidRPr="0041464A" w:rsidRDefault="000E35B7" w:rsidP="00D41DBA">
      <w:pPr>
        <w:pStyle w:val="Ttulo3"/>
      </w:pPr>
      <w:bookmarkStart w:id="33" w:name="_Toc219417492"/>
      <w:r w:rsidRPr="0041464A">
        <w:t>Cuota íntegra</w:t>
      </w:r>
      <w:bookmarkEnd w:id="33"/>
    </w:p>
    <w:p w14:paraId="4435F55A" w14:textId="6973C147" w:rsidR="000E35B7" w:rsidRPr="0041464A" w:rsidRDefault="000E35B7" w:rsidP="001B0CAD">
      <w:pPr>
        <w:pStyle w:val="Nivel1SM"/>
        <w:spacing w:before="0"/>
      </w:pPr>
      <w:r w:rsidRPr="0041464A">
        <w:t xml:space="preserve">La </w:t>
      </w:r>
      <w:r w:rsidRPr="001B0CAD">
        <w:rPr>
          <w:b/>
          <w:bCs/>
        </w:rPr>
        <w:t>cuota íntegra</w:t>
      </w:r>
      <w:r w:rsidRPr="0041464A">
        <w:t xml:space="preserve"> es el resultado de aplicar el tipo de gravamen</w:t>
      </w:r>
      <w:r w:rsidR="002C7212" w:rsidRPr="0041464A">
        <w:t xml:space="preserve"> proporcional</w:t>
      </w:r>
      <w:r w:rsidRPr="0041464A">
        <w:t xml:space="preserve"> a la base imponible.</w:t>
      </w:r>
    </w:p>
    <w:p w14:paraId="0D448278" w14:textId="77777777" w:rsidR="000E35B7" w:rsidRPr="0041464A" w:rsidRDefault="00B4393E" w:rsidP="00D41DBA">
      <w:pPr>
        <w:pStyle w:val="Ttulo3"/>
      </w:pPr>
      <w:bookmarkStart w:id="34" w:name="_Toc219417493"/>
      <w:r w:rsidRPr="0041464A">
        <w:t>C</w:t>
      </w:r>
      <w:r w:rsidR="000E35B7" w:rsidRPr="0041464A">
        <w:t xml:space="preserve">uota </w:t>
      </w:r>
      <w:r w:rsidR="000E35B7" w:rsidRPr="004649A8">
        <w:t>líquida</w:t>
      </w:r>
      <w:bookmarkEnd w:id="34"/>
    </w:p>
    <w:p w14:paraId="6C2E487A" w14:textId="461068DF" w:rsidR="000E35B7" w:rsidRPr="00986ECE" w:rsidRDefault="000E35B7" w:rsidP="00E24DDF">
      <w:pPr>
        <w:pStyle w:val="Nivel1SM"/>
        <w:spacing w:before="0"/>
      </w:pPr>
      <w:r w:rsidRPr="0041464A">
        <w:t xml:space="preserve">La </w:t>
      </w:r>
      <w:r w:rsidRPr="004F0736">
        <w:rPr>
          <w:b/>
          <w:bCs/>
        </w:rPr>
        <w:t>cuota líquida</w:t>
      </w:r>
      <w:r w:rsidRPr="0041464A">
        <w:t xml:space="preserve"> se obtiene </w:t>
      </w:r>
      <w:r w:rsidRPr="008B3A63">
        <w:rPr>
          <w:i/>
          <w:iCs/>
        </w:rPr>
        <w:t>restándole a la cuota íntegra una serie de deducciones y bonificaciones</w:t>
      </w:r>
      <w:r w:rsidR="00B4393E" w:rsidRPr="0041464A">
        <w:t>. Comentamos las deducciones que sirven para incentivar ciertas actividades económicas.</w:t>
      </w:r>
    </w:p>
    <w:p w14:paraId="469F6E20" w14:textId="77777777" w:rsidR="000E35B7" w:rsidRPr="0041464A" w:rsidRDefault="000E35B7" w:rsidP="00F94CE1">
      <w:pPr>
        <w:pStyle w:val="Ttulo6"/>
      </w:pPr>
      <w:r w:rsidRPr="0041464A">
        <w:t>Deducciones por incentivos</w:t>
      </w:r>
    </w:p>
    <w:p w14:paraId="48467774" w14:textId="7E940CB3" w:rsidR="000E35B7" w:rsidRPr="0041464A" w:rsidRDefault="000E35B7" w:rsidP="00D41DBA">
      <w:pPr>
        <w:pStyle w:val="Nivel2SM"/>
        <w:keepNext/>
        <w:spacing w:after="0"/>
      </w:pPr>
      <w:r w:rsidRPr="0041464A">
        <w:t xml:space="preserve">Se trata de deducciones que se conceden para incentivar determinadas actividades empresariales. </w:t>
      </w:r>
      <w:r w:rsidR="00B4393E" w:rsidRPr="0041464A">
        <w:t>Entre ellas se encuentran.</w:t>
      </w:r>
    </w:p>
    <w:p w14:paraId="526181C5" w14:textId="5A2C5450" w:rsidR="000E35B7" w:rsidRPr="0041464A" w:rsidRDefault="000E35B7" w:rsidP="00D41DBA">
      <w:pPr>
        <w:pStyle w:val="Nivel3SM"/>
      </w:pPr>
      <w:r w:rsidRPr="0041464A">
        <w:t>Deducción por actividades de I+D</w:t>
      </w:r>
      <w:r w:rsidR="00B636C0">
        <w:t>.</w:t>
      </w:r>
    </w:p>
    <w:p w14:paraId="01BC3A3D" w14:textId="5857A43B" w:rsidR="000E35B7" w:rsidRPr="0041464A" w:rsidRDefault="000E35B7" w:rsidP="00D41DBA">
      <w:pPr>
        <w:pStyle w:val="Nivel3SM"/>
      </w:pPr>
      <w:r w:rsidRPr="0041464A">
        <w:t>Deducciones por creación de empleo</w:t>
      </w:r>
      <w:r w:rsidR="00B636C0">
        <w:t>.</w:t>
      </w:r>
    </w:p>
    <w:p w14:paraId="2D12D734" w14:textId="2EB50E71" w:rsidR="000E35B7" w:rsidRPr="0041464A" w:rsidRDefault="000E35B7" w:rsidP="00D41DBA">
      <w:pPr>
        <w:pStyle w:val="Nivel3SM"/>
      </w:pPr>
      <w:r w:rsidRPr="0041464A">
        <w:t>Deducción por creación de empleo para trabajadores con discapacidad</w:t>
      </w:r>
      <w:r w:rsidR="00B636C0">
        <w:t>.</w:t>
      </w:r>
    </w:p>
    <w:p w14:paraId="381EAAC1" w14:textId="77777777" w:rsidR="00134D17" w:rsidRPr="0041464A" w:rsidRDefault="00134D17" w:rsidP="00F94CE1">
      <w:pPr>
        <w:pStyle w:val="Ttulo6"/>
      </w:pPr>
      <w:r w:rsidRPr="0041464A">
        <w:t xml:space="preserve">Deducción por doble imposición </w:t>
      </w:r>
      <w:r w:rsidR="00E90B37" w:rsidRPr="0041464A">
        <w:t xml:space="preserve">económica </w:t>
      </w:r>
      <w:r w:rsidRPr="0041464A">
        <w:t>internacional</w:t>
      </w:r>
    </w:p>
    <w:p w14:paraId="3687A96F" w14:textId="58D69117" w:rsidR="00E00A57" w:rsidRPr="0041464A" w:rsidRDefault="00134D17" w:rsidP="007A76EE">
      <w:pPr>
        <w:pStyle w:val="Nivel1SM"/>
        <w:spacing w:before="0"/>
      </w:pPr>
      <w:r w:rsidRPr="0041464A">
        <w:t>De nuevo</w:t>
      </w:r>
      <w:r w:rsidR="007A76EE">
        <w:t>,</w:t>
      </w:r>
      <w:r w:rsidRPr="0041464A">
        <w:t xml:space="preserve"> se deducen las dobles imposiciones las cuales en el caso del IS y del IRPF puede ser o bien por doble imposición económica (</w:t>
      </w:r>
      <w:r w:rsidRPr="00E24DDF">
        <w:rPr>
          <w:i/>
          <w:iCs/>
        </w:rPr>
        <w:t>qui</w:t>
      </w:r>
      <w:r w:rsidR="00E24DDF" w:rsidRPr="00E24DDF">
        <w:rPr>
          <w:i/>
          <w:iCs/>
        </w:rPr>
        <w:t>e</w:t>
      </w:r>
      <w:r w:rsidRPr="00E24DDF">
        <w:rPr>
          <w:i/>
          <w:iCs/>
        </w:rPr>
        <w:t>n haya tributado en el extranjero</w:t>
      </w:r>
      <w:r w:rsidRPr="0041464A">
        <w:t>) o por doble imposición legal (</w:t>
      </w:r>
      <w:r w:rsidRPr="00E24DDF">
        <w:rPr>
          <w:i/>
          <w:iCs/>
        </w:rPr>
        <w:t>lo que haya tributado en el extranjero</w:t>
      </w:r>
      <w:r w:rsidRPr="0041464A">
        <w:t>).</w:t>
      </w:r>
    </w:p>
    <w:p w14:paraId="125F38EB" w14:textId="24C10D48" w:rsidR="004A4243" w:rsidRDefault="004A4243" w:rsidP="004649A8">
      <w:pPr>
        <w:pStyle w:val="Ttulo2"/>
      </w:pPr>
      <w:bookmarkStart w:id="35" w:name="_Toc219417494"/>
      <w:r>
        <w:lastRenderedPageBreak/>
        <w:t>Otros debates acerca del IS</w:t>
      </w:r>
      <w:bookmarkEnd w:id="35"/>
    </w:p>
    <w:p w14:paraId="6320E972" w14:textId="415C70C6" w:rsidR="00584070" w:rsidRDefault="00584070" w:rsidP="004A4243">
      <w:pPr>
        <w:pStyle w:val="Ttulo3"/>
        <w:spacing w:before="0"/>
      </w:pPr>
      <w:bookmarkStart w:id="36" w:name="_Toc219417495"/>
      <w:r w:rsidRPr="004649A8">
        <w:t>Efectos</w:t>
      </w:r>
      <w:r>
        <w:t xml:space="preserve"> del IS sobre las decisiones empresariales</w:t>
      </w:r>
      <w:bookmarkEnd w:id="36"/>
    </w:p>
    <w:p w14:paraId="6359D916" w14:textId="77777777" w:rsidR="00584070" w:rsidRDefault="00584070" w:rsidP="00D41DBA">
      <w:pPr>
        <w:pStyle w:val="Ttulo6"/>
        <w:spacing w:before="0"/>
      </w:pPr>
      <w:r w:rsidRPr="00584070">
        <w:t>Decisiones de financiación</w:t>
      </w:r>
    </w:p>
    <w:p w14:paraId="1702EF95" w14:textId="4D436CEC" w:rsidR="0041464A" w:rsidRDefault="0041464A" w:rsidP="00D41DBA">
      <w:pPr>
        <w:pStyle w:val="Nivel2SM"/>
        <w:keepNext/>
        <w:spacing w:after="0"/>
      </w:pPr>
      <w:r>
        <w:t xml:space="preserve">A pesar de las aportaciones de </w:t>
      </w:r>
      <w:r w:rsidR="00A275DE">
        <w:rPr>
          <w:smallCaps/>
        </w:rPr>
        <w:t>Modigliani</w:t>
      </w:r>
      <w:r w:rsidR="00A275DE">
        <w:t xml:space="preserve"> y </w:t>
      </w:r>
      <w:r w:rsidR="00A275DE">
        <w:rPr>
          <w:smallCaps/>
        </w:rPr>
        <w:t>Miller</w:t>
      </w:r>
      <w:r>
        <w:t>, e</w:t>
      </w:r>
      <w:r w:rsidR="00E00A57" w:rsidRPr="00584070">
        <w:t xml:space="preserve">n la práctica, sin embargo, el IS introduce distorsiones que hacen que la estructura financiera sea relevante. </w:t>
      </w:r>
    </w:p>
    <w:p w14:paraId="66ADDF06" w14:textId="77777777" w:rsidR="00E00A57" w:rsidRDefault="00E00A57" w:rsidP="00D41DBA">
      <w:pPr>
        <w:pStyle w:val="Nivel3SM"/>
      </w:pPr>
      <w:r w:rsidRPr="00584070">
        <w:t>Ello se debe a que el IS concede un tratamiento fiscal distinto a la financiación ajena y a la financiación propia. Así, considera deducibles los intereses asociados a la financiación ajena, pero no los dividendos. Como consecuencia, el sistema fiscal favorece la financiación ajena frente a la propia.</w:t>
      </w:r>
    </w:p>
    <w:p w14:paraId="5999071F" w14:textId="77777777" w:rsidR="00584070" w:rsidRDefault="00584070" w:rsidP="00F94CE1">
      <w:pPr>
        <w:pStyle w:val="Ttulo6"/>
      </w:pPr>
      <w:r w:rsidRPr="00584070">
        <w:t>Política de dividendos</w:t>
      </w:r>
    </w:p>
    <w:p w14:paraId="1729C704" w14:textId="64F1A022" w:rsidR="00D9602E" w:rsidRDefault="00D9602E" w:rsidP="00D41DBA">
      <w:pPr>
        <w:pStyle w:val="Nivel2SM"/>
        <w:keepNext/>
        <w:spacing w:after="0"/>
      </w:pPr>
      <w:r>
        <w:t xml:space="preserve">De nuevo, y a pesar de las aportaciones de </w:t>
      </w:r>
      <w:r w:rsidR="00631AC7">
        <w:rPr>
          <w:smallCaps/>
        </w:rPr>
        <w:t>Modigliani</w:t>
      </w:r>
      <w:r w:rsidR="00631AC7">
        <w:t xml:space="preserve"> y </w:t>
      </w:r>
      <w:r w:rsidR="00631AC7">
        <w:rPr>
          <w:smallCaps/>
        </w:rPr>
        <w:t>Miller</w:t>
      </w:r>
      <w:r>
        <w:t xml:space="preserve">, </w:t>
      </w:r>
      <w:r w:rsidR="00E00A57" w:rsidRPr="00584070">
        <w:t>el sistema fiscal hace un tratamiento diferente de dividendos y de ganancias de capital.</w:t>
      </w:r>
    </w:p>
    <w:p w14:paraId="38C495FB" w14:textId="77777777" w:rsidR="00584070" w:rsidRDefault="00E00A57" w:rsidP="00D41DBA">
      <w:pPr>
        <w:pStyle w:val="Nivel3SM"/>
      </w:pPr>
      <w:r w:rsidRPr="00584070">
        <w:t xml:space="preserve">Los dividendos son gravados doblemente (primero vía IS, con la tributación del beneficio; y después vía IRPF, una vez se han repartido los dividendos)  mientras que las ganancias de capital no tributan hasta que se realizan (hasta que se venden las acciones por ejemplo). Ello incentiva la retención de beneficios frente a la distribución de dividendos. </w:t>
      </w:r>
    </w:p>
    <w:p w14:paraId="59C5CB95" w14:textId="77777777" w:rsidR="00584070" w:rsidRDefault="00584070" w:rsidP="00F94CE1">
      <w:pPr>
        <w:pStyle w:val="Ttulo6"/>
      </w:pPr>
      <w:r w:rsidRPr="00584070">
        <w:t>Decisiones de inversión</w:t>
      </w:r>
    </w:p>
    <w:p w14:paraId="2A5F3A69" w14:textId="77777777" w:rsidR="00584070" w:rsidRDefault="00584070" w:rsidP="00D41DBA">
      <w:pPr>
        <w:pStyle w:val="Nivel2SM"/>
      </w:pPr>
      <w:r w:rsidRPr="00584070">
        <w:t>Finalmente, el IS también podría introducir distorsiones sobre las decisiones de inversión. Ello dependerá de aspectos como la deducibilidad de los costes financieros, la amortización fiscalmente deducible, o la existencia de incentivos a la inversión.</w:t>
      </w:r>
    </w:p>
    <w:p w14:paraId="0901BA7A" w14:textId="77777777" w:rsidR="00584070" w:rsidRPr="00584070" w:rsidRDefault="00584070" w:rsidP="00F94CE1">
      <w:pPr>
        <w:pStyle w:val="Ttulo6"/>
      </w:pPr>
      <w:r w:rsidRPr="00584070">
        <w:t>El IS como determinante de la IDE</w:t>
      </w:r>
    </w:p>
    <w:p w14:paraId="2C2DCA5D" w14:textId="77777777" w:rsidR="00584070" w:rsidRDefault="00584070" w:rsidP="00D41DBA">
      <w:pPr>
        <w:pStyle w:val="Nivel2SM"/>
        <w:keepNext/>
        <w:spacing w:after="0"/>
      </w:pPr>
      <w:r>
        <w:t>La teoría de la imposición directa también estudia cómo el IS puede ofrecer un incentivo o un desincentivo (según su estructura) a la IDE.</w:t>
      </w:r>
    </w:p>
    <w:p w14:paraId="73B90F86" w14:textId="77777777" w:rsidR="00584070" w:rsidRDefault="00584070" w:rsidP="00D41DBA">
      <w:pPr>
        <w:pStyle w:val="Nivel3SM"/>
        <w:keepNext/>
      </w:pPr>
      <w:r>
        <w:t>En efecto, un IS reducido ofrece un estímulo al establecimiento de empresas multinacionales en el país, lo cual ofrece otro argumento de porqué el impuesto de sociedades suele ser reducido.</w:t>
      </w:r>
    </w:p>
    <w:p w14:paraId="1D957B4C" w14:textId="327C6B97" w:rsidR="00584070" w:rsidRDefault="00584070" w:rsidP="00D41DBA">
      <w:pPr>
        <w:pStyle w:val="Nivel4"/>
        <w:ind w:left="1474"/>
      </w:pPr>
      <w:r>
        <w:t>Un claro ejemplo en Europa es Irlanda. En dicha economía se han asentado numerosas empresas a lo largo de las últimas décadas.</w:t>
      </w:r>
    </w:p>
    <w:p w14:paraId="0AA7D094" w14:textId="77777777" w:rsidR="00584070" w:rsidRDefault="00584070" w:rsidP="00D41DBA">
      <w:pPr>
        <w:pStyle w:val="Nivel3SM"/>
      </w:pPr>
      <w:r>
        <w:t>No obstante, debe destacarse que el IS, aunque importante, no es el principal determinante de la IDE (por ejemplo, el entorno legal es crucial, y también lo es la estabilidad macroeconómica).</w:t>
      </w:r>
    </w:p>
    <w:p w14:paraId="17B93AD8" w14:textId="77777777" w:rsidR="00E90B37" w:rsidRDefault="00E90B37" w:rsidP="004A4243">
      <w:pPr>
        <w:pStyle w:val="Ttulo3"/>
      </w:pPr>
      <w:bookmarkStart w:id="37" w:name="_Toc219417496"/>
      <w:r>
        <w:t>Efectos de la inflación</w:t>
      </w:r>
      <w:bookmarkEnd w:id="37"/>
    </w:p>
    <w:p w14:paraId="51B5A851" w14:textId="67AECB68" w:rsidR="00F477E5" w:rsidRDefault="00E90B37" w:rsidP="00914E87">
      <w:pPr>
        <w:pStyle w:val="Nivel1SM"/>
        <w:spacing w:before="0"/>
      </w:pPr>
      <w:r>
        <w:t>La inflación puede aumentar artificialmente el valor del beneficio contable sin que se haya producido un aumento del valor real de dicho beneficio.</w:t>
      </w:r>
    </w:p>
    <w:p w14:paraId="47EE5605" w14:textId="77777777" w:rsidR="00236F85" w:rsidRDefault="00F477E5" w:rsidP="004649A8">
      <w:pPr>
        <w:pStyle w:val="Ttulo1"/>
      </w:pPr>
      <w:bookmarkStart w:id="38" w:name="_Toc219417497"/>
      <w:r>
        <w:t>IMPUESTO</w:t>
      </w:r>
      <w:r w:rsidR="00420C59">
        <w:t>S</w:t>
      </w:r>
      <w:r>
        <w:t xml:space="preserve"> SOBRE </w:t>
      </w:r>
      <w:r w:rsidR="00420C59">
        <w:t>LA RIQUEZA</w:t>
      </w:r>
      <w:bookmarkEnd w:id="38"/>
    </w:p>
    <w:p w14:paraId="439F18B8" w14:textId="77777777" w:rsidR="004E4EE7" w:rsidRPr="009E63B8" w:rsidRDefault="004E4EE7" w:rsidP="00232D6F">
      <w:pPr>
        <w:pStyle w:val="Nivel1SM"/>
        <w:keepNext/>
        <w:spacing w:before="0" w:after="0"/>
        <w:rPr>
          <w:spacing w:val="-4"/>
        </w:rPr>
      </w:pPr>
      <w:r w:rsidRPr="009E63B8">
        <w:rPr>
          <w:spacing w:val="-4"/>
        </w:rPr>
        <w:t xml:space="preserve">Los </w:t>
      </w:r>
      <w:r w:rsidRPr="009E63B8">
        <w:rPr>
          <w:b/>
          <w:bCs/>
          <w:spacing w:val="-4"/>
        </w:rPr>
        <w:t>impuestos sobre la riqueza</w:t>
      </w:r>
      <w:r w:rsidRPr="009E63B8">
        <w:rPr>
          <w:spacing w:val="-4"/>
        </w:rPr>
        <w:t xml:space="preserve"> son </w:t>
      </w:r>
      <w:r w:rsidRPr="009E63B8">
        <w:rPr>
          <w:i/>
          <w:iCs/>
          <w:spacing w:val="-4"/>
        </w:rPr>
        <w:t>impuestos directos</w:t>
      </w:r>
      <w:r w:rsidRPr="009E63B8">
        <w:rPr>
          <w:spacing w:val="-4"/>
        </w:rPr>
        <w:t xml:space="preserve"> que gravan la riqueza en diferentes modalidades.</w:t>
      </w:r>
    </w:p>
    <w:p w14:paraId="37670654" w14:textId="65BDF103" w:rsidR="00C2370A" w:rsidRDefault="004E4EE7" w:rsidP="00A3088F">
      <w:pPr>
        <w:pStyle w:val="Nivel2SM"/>
        <w:keepNext/>
        <w:spacing w:after="0"/>
      </w:pPr>
      <w:r>
        <w:t xml:space="preserve">Su </w:t>
      </w:r>
      <w:r w:rsidRPr="00DA1307">
        <w:rPr>
          <w:i/>
          <w:iCs/>
        </w:rPr>
        <w:t xml:space="preserve">importancia recaudatoria a nivel </w:t>
      </w:r>
      <w:r w:rsidR="00C2370A" w:rsidRPr="00DA1307">
        <w:rPr>
          <w:i/>
          <w:iCs/>
        </w:rPr>
        <w:t>inter</w:t>
      </w:r>
      <w:r w:rsidRPr="00DA1307">
        <w:rPr>
          <w:i/>
          <w:iCs/>
        </w:rPr>
        <w:t>nacional es reducida</w:t>
      </w:r>
      <w:r>
        <w:t>.</w:t>
      </w:r>
      <w:r w:rsidR="00DA1307">
        <w:t xml:space="preserve"> </w:t>
      </w:r>
      <w:r>
        <w:t>No obstante, en algunos países están descentralizados y sí suponen un importante medio de financiación para niveles de gobierno inferiores.</w:t>
      </w:r>
    </w:p>
    <w:p w14:paraId="6AEA384B" w14:textId="680A1D78" w:rsidR="00584070" w:rsidRDefault="00C2370A" w:rsidP="00232D6F">
      <w:pPr>
        <w:pStyle w:val="Nivel3SM"/>
      </w:pPr>
      <w:r>
        <w:t>Por ejemplo, este</w:t>
      </w:r>
      <w:r w:rsidR="004E4EE7">
        <w:t xml:space="preserve"> el caso del IBI en España, que es la principal fuente de ingresos de los municipios.</w:t>
      </w:r>
    </w:p>
    <w:p w14:paraId="3171ABF0" w14:textId="77777777" w:rsidR="00420C59" w:rsidRDefault="00236F85" w:rsidP="004649A8">
      <w:pPr>
        <w:pStyle w:val="Ttulo2"/>
      </w:pPr>
      <w:bookmarkStart w:id="39" w:name="_Toc219417498"/>
      <w:r>
        <w:lastRenderedPageBreak/>
        <w:t xml:space="preserve">Impuesto </w:t>
      </w:r>
      <w:r w:rsidRPr="004649A8">
        <w:t>sobre</w:t>
      </w:r>
      <w:r>
        <w:t xml:space="preserve"> el patrimonio (IP)</w:t>
      </w:r>
      <w:bookmarkEnd w:id="39"/>
    </w:p>
    <w:p w14:paraId="438ABA3E" w14:textId="3FE900F6" w:rsidR="004E4EE7" w:rsidRPr="00986ECE" w:rsidRDefault="004E4EE7" w:rsidP="006D62A8">
      <w:pPr>
        <w:pStyle w:val="Ttulo6"/>
        <w:spacing w:before="0"/>
      </w:pPr>
      <w:r w:rsidRPr="004E4EE7">
        <w:t>Definición</w:t>
      </w:r>
    </w:p>
    <w:p w14:paraId="3C17B5D7" w14:textId="77777777" w:rsidR="004E4EE7" w:rsidRDefault="004E4EE7" w:rsidP="00914E87">
      <w:pPr>
        <w:pStyle w:val="Nivel1SM"/>
        <w:keepNext/>
        <w:spacing w:before="0" w:after="0"/>
      </w:pPr>
      <w:r>
        <w:t>Se trata de un impuesto que grava la mera tenencia de riqueza de las personas físicas.</w:t>
      </w:r>
    </w:p>
    <w:p w14:paraId="74A7C05C" w14:textId="77777777" w:rsidR="00584070" w:rsidRDefault="004E4EE7" w:rsidP="00914E87">
      <w:pPr>
        <w:pStyle w:val="Nivel2SM"/>
      </w:pPr>
      <w:r>
        <w:t>No tendría sentido gravar el patrimonio de las personas jurídicas, pues su valor ya está incorporado en el valor de las acciones y, por tanto, cuando los accionistas tributan por las ganancias de capital, ya están tributando implícitamente por el patrimonio de las sociedades.</w:t>
      </w:r>
    </w:p>
    <w:p w14:paraId="1CAD4226" w14:textId="77777777" w:rsidR="004E4EE7" w:rsidRPr="004E4EE7" w:rsidRDefault="004E4EE7" w:rsidP="00F94CE1">
      <w:pPr>
        <w:pStyle w:val="Ttulo6"/>
      </w:pPr>
      <w:r w:rsidRPr="004E4EE7">
        <w:t>Justificación</w:t>
      </w:r>
    </w:p>
    <w:p w14:paraId="4529D8DB" w14:textId="77777777" w:rsidR="00A91514" w:rsidRDefault="00A91514" w:rsidP="00A91514">
      <w:pPr>
        <w:pStyle w:val="Nivel2SM"/>
        <w:keepNext/>
        <w:spacing w:after="0"/>
      </w:pPr>
      <w:r w:rsidRPr="009344EF">
        <w:rPr>
          <w:i/>
          <w:iCs/>
          <w:u w:val="single"/>
        </w:rPr>
        <w:t>Equidad</w:t>
      </w:r>
      <w:r>
        <w:t>:</w:t>
      </w:r>
    </w:p>
    <w:p w14:paraId="71712D83" w14:textId="77777777" w:rsidR="00A91514" w:rsidRDefault="00A91514" w:rsidP="00A91514">
      <w:pPr>
        <w:pStyle w:val="Nivel3SM"/>
      </w:pPr>
      <w:r>
        <w:t xml:space="preserve">La riqueza puede </w:t>
      </w:r>
      <w:r w:rsidRPr="006B6BA9">
        <w:rPr>
          <w:b/>
        </w:rPr>
        <w:t>perpetuar la desigualdad</w:t>
      </w:r>
      <w:r>
        <w:t xml:space="preserve">, pues las </w:t>
      </w:r>
      <w:r w:rsidRPr="006B6BA9">
        <w:rPr>
          <w:b/>
        </w:rPr>
        <w:t>rentas</w:t>
      </w:r>
      <w:r>
        <w:t xml:space="preserve"> de los individuos </w:t>
      </w:r>
      <w:r w:rsidRPr="006B6BA9">
        <w:rPr>
          <w:b/>
        </w:rPr>
        <w:t>dependen</w:t>
      </w:r>
      <w:r>
        <w:t xml:space="preserve"> en gran medida de sus dotaciones de </w:t>
      </w:r>
      <w:r w:rsidRPr="006B6BA9">
        <w:rPr>
          <w:b/>
        </w:rPr>
        <w:t>capital físico y humano</w:t>
      </w:r>
      <w:r>
        <w:t>.</w:t>
      </w:r>
    </w:p>
    <w:p w14:paraId="5B33148A" w14:textId="4DF7F6DB" w:rsidR="003A6ADC" w:rsidRPr="006D62A8" w:rsidRDefault="003A6ADC" w:rsidP="006D62A8">
      <w:pPr>
        <w:pStyle w:val="Nivel2SM"/>
        <w:keepNext/>
        <w:spacing w:after="0"/>
        <w:rPr>
          <w:u w:val="single"/>
        </w:rPr>
      </w:pPr>
      <w:r w:rsidRPr="009344EF">
        <w:rPr>
          <w:i/>
          <w:iCs/>
          <w:u w:val="single"/>
        </w:rPr>
        <w:t>Eficiencia</w:t>
      </w:r>
      <w:r w:rsidR="006D62A8">
        <w:t>:</w:t>
      </w:r>
    </w:p>
    <w:p w14:paraId="51A7C6A7" w14:textId="712089D7" w:rsidR="003A6ADC" w:rsidRDefault="003A6ADC" w:rsidP="006D62A8">
      <w:pPr>
        <w:pStyle w:val="Nivel3SM"/>
        <w:keepNext/>
      </w:pPr>
      <w:r>
        <w:t xml:space="preserve">Gravar la riqueza incentiva a los individuos a dedicarla a </w:t>
      </w:r>
      <w:r w:rsidRPr="006B6BA9">
        <w:rPr>
          <w:b/>
        </w:rPr>
        <w:t>usos más productivos</w:t>
      </w:r>
      <w:r>
        <w:t>, en vez de a usos improductivos como joyas, yates</w:t>
      </w:r>
      <w:r w:rsidR="00986ECE">
        <w:t>…</w:t>
      </w:r>
    </w:p>
    <w:p w14:paraId="2C7CCA50" w14:textId="77777777" w:rsidR="003A6ADC" w:rsidRDefault="003A6ADC" w:rsidP="006D62A8">
      <w:pPr>
        <w:pStyle w:val="Nivel4"/>
        <w:ind w:left="1474"/>
      </w:pPr>
      <w:r w:rsidRPr="004E4EE7">
        <w:rPr>
          <w:u w:val="single"/>
        </w:rPr>
        <w:t>Crítica</w:t>
      </w:r>
      <w:r>
        <w:t>: Estimular usos más productivos de la riqueza puede ir en contra de las preferencias de los individuos y, de este modo, generar pérdidas de eficiencia.</w:t>
      </w:r>
    </w:p>
    <w:p w14:paraId="65DF8111" w14:textId="61BDEB47" w:rsidR="003A6ADC" w:rsidRDefault="003A6ADC" w:rsidP="006D62A8">
      <w:pPr>
        <w:pStyle w:val="Nivel2SM"/>
        <w:keepNext/>
        <w:spacing w:after="0"/>
      </w:pPr>
      <w:r w:rsidRPr="009344EF">
        <w:rPr>
          <w:i/>
          <w:iCs/>
          <w:u w:val="single"/>
        </w:rPr>
        <w:t>Beneficios intangibles de la riqueza</w:t>
      </w:r>
      <w:r w:rsidR="006D62A8">
        <w:t>:</w:t>
      </w:r>
    </w:p>
    <w:p w14:paraId="4A6748C9" w14:textId="77777777" w:rsidR="003A6ADC" w:rsidRDefault="003A6ADC" w:rsidP="006D62A8">
      <w:pPr>
        <w:pStyle w:val="Nivel3SM"/>
      </w:pPr>
      <w:r>
        <w:t xml:space="preserve">La </w:t>
      </w:r>
      <w:r w:rsidRPr="006B6BA9">
        <w:rPr>
          <w:b/>
        </w:rPr>
        <w:t>posesión de riqueza</w:t>
      </w:r>
      <w:r>
        <w:t xml:space="preserve"> genera una serie de </w:t>
      </w:r>
      <w:r w:rsidRPr="006B6BA9">
        <w:rPr>
          <w:b/>
        </w:rPr>
        <w:t>beneficios intangibles</w:t>
      </w:r>
      <w:r>
        <w:t xml:space="preserve"> (poder económico, prestigio social, mayor acceso al crédito, etc.) que hacen que individuos con </w:t>
      </w:r>
      <w:r w:rsidRPr="006B6BA9">
        <w:rPr>
          <w:b/>
        </w:rPr>
        <w:t>misma renta pero diferente riqueza</w:t>
      </w:r>
      <w:r>
        <w:t xml:space="preserve"> </w:t>
      </w:r>
      <w:r w:rsidRPr="006B6BA9">
        <w:rPr>
          <w:b/>
        </w:rPr>
        <w:t>no sean iguales</w:t>
      </w:r>
      <w:r>
        <w:t>.</w:t>
      </w:r>
    </w:p>
    <w:p w14:paraId="4832E349" w14:textId="3C6D1C69" w:rsidR="003A6ADC" w:rsidRDefault="003A6ADC" w:rsidP="006D62A8">
      <w:pPr>
        <w:pStyle w:val="Nivel2SM"/>
        <w:keepNext/>
        <w:spacing w:after="0"/>
      </w:pPr>
      <w:r w:rsidRPr="009344EF">
        <w:rPr>
          <w:i/>
          <w:iCs/>
          <w:u w:val="single"/>
        </w:rPr>
        <w:t>Complementariedad en la gestión</w:t>
      </w:r>
      <w:r w:rsidR="006D62A8">
        <w:t>:</w:t>
      </w:r>
    </w:p>
    <w:p w14:paraId="63463FEF" w14:textId="77777777" w:rsidR="004E4EE7" w:rsidRDefault="003A6ADC" w:rsidP="006D62A8">
      <w:pPr>
        <w:pStyle w:val="Nivel3SM"/>
      </w:pPr>
      <w:r>
        <w:t xml:space="preserve">Un impuesto sobre el patrimonio puede </w:t>
      </w:r>
      <w:r w:rsidRPr="006B6BA9">
        <w:rPr>
          <w:b/>
        </w:rPr>
        <w:t>ayudar a la gestión</w:t>
      </w:r>
      <w:r>
        <w:t xml:space="preserve"> y control de otros presupuestos (como el IRPF o el ISyD), pues al gravar elementos patrimoniales se </w:t>
      </w:r>
      <w:r w:rsidRPr="006B6BA9">
        <w:rPr>
          <w:b/>
        </w:rPr>
        <w:t>pueden poner al descubierto rentas ocultas</w:t>
      </w:r>
      <w:r>
        <w:t xml:space="preserve"> que no se hubiesen declarado.</w:t>
      </w:r>
    </w:p>
    <w:p w14:paraId="06A8EE30" w14:textId="77777777" w:rsidR="004E4EE7" w:rsidRPr="004E4EE7" w:rsidRDefault="004E4EE7" w:rsidP="00F94CE1">
      <w:pPr>
        <w:pStyle w:val="Ttulo6"/>
      </w:pPr>
      <w:r w:rsidRPr="004E4EE7">
        <w:t>Críticas</w:t>
      </w:r>
    </w:p>
    <w:p w14:paraId="6C8BB2CB" w14:textId="1BF30E2E" w:rsidR="003A6ADC" w:rsidRDefault="003A6ADC" w:rsidP="006D62A8">
      <w:pPr>
        <w:pStyle w:val="Nivel2SM"/>
        <w:keepNext/>
        <w:spacing w:after="0"/>
      </w:pPr>
      <w:r>
        <w:t xml:space="preserve">El impuesto sobre el patrimonio genera un </w:t>
      </w:r>
      <w:r w:rsidRPr="00C54F16">
        <w:rPr>
          <w:i/>
          <w:iCs/>
          <w:u w:val="single"/>
        </w:rPr>
        <w:t>importante desincentivo al ahorro</w:t>
      </w:r>
      <w:r>
        <w:t xml:space="preserve"> dado que un reducido impuesto sobre el patrimonio equivale a un muy elevado impuesto sobre el ahorro.</w:t>
      </w:r>
    </w:p>
    <w:p w14:paraId="150BE760" w14:textId="48F2536A" w:rsidR="003A6ADC" w:rsidRDefault="003A6ADC" w:rsidP="00EB3270">
      <w:pPr>
        <w:pStyle w:val="Nivel3SM"/>
        <w:keepNext/>
      </w:pPr>
      <w:r w:rsidRPr="008F70E9">
        <w:rPr>
          <w:i/>
          <w:iCs/>
        </w:rPr>
        <w:t>Impuesto sobre la riqueza</w:t>
      </w:r>
      <w:r>
        <w:t xml:space="preserve"> (</w:t>
      </w:r>
      <m:oMath>
        <m:sSub>
          <m:sSubPr>
            <m:ctrlPr>
              <w:rPr>
                <w:rFonts w:ascii="Cambria Math" w:hAnsi="Cambria Math"/>
                <w:i/>
              </w:rPr>
            </m:ctrlPr>
          </m:sSubPr>
          <m:e>
            <m:r>
              <m:rPr>
                <m:nor/>
              </m:rPr>
              <w:rPr>
                <w:i/>
              </w:rPr>
              <m:t>R</m:t>
            </m:r>
          </m:e>
          <m:sub>
            <m:r>
              <m:rPr>
                <m:nor/>
              </m:rPr>
              <w:rPr>
                <w:i/>
              </w:rPr>
              <m:t>0</m:t>
            </m:r>
          </m:sub>
        </m:sSub>
      </m:oMath>
      <w:r>
        <w:t>):</w:t>
      </w:r>
    </w:p>
    <w:p w14:paraId="04B7F84A" w14:textId="2ABB0752" w:rsidR="003A6ADC" w:rsidRDefault="00000000" w:rsidP="00795CE7">
      <w:pPr>
        <w:spacing w:after="0"/>
        <w:ind w:left="720"/>
        <w:jc w:val="center"/>
      </w:pPr>
      <m:oMathPara>
        <m:oMath>
          <m:sSub>
            <m:sSubPr>
              <m:ctrlPr>
                <w:rPr>
                  <w:rFonts w:ascii="Cambria Math" w:hAnsi="Cambria Math"/>
                  <w:i/>
                </w:rPr>
              </m:ctrlPr>
            </m:sSubPr>
            <m:e>
              <m:r>
                <m:rPr>
                  <m:nor/>
                </m:rPr>
                <w:rPr>
                  <w:i/>
                </w:rPr>
                <m:t>R</m:t>
              </m:r>
            </m:e>
            <m:sub>
              <m:r>
                <m:rPr>
                  <m:nor/>
                </m:rPr>
                <w:rPr>
                  <w:i/>
                </w:rPr>
                <m:t>1</m:t>
              </m:r>
            </m:sub>
          </m:sSub>
          <m:r>
            <w:rPr>
              <w:rFonts w:ascii="Cambria Math"/>
            </w:rPr>
            <m:t>=</m:t>
          </m:r>
          <m:sSub>
            <m:sSubPr>
              <m:ctrlPr>
                <w:rPr>
                  <w:rFonts w:ascii="Cambria Math" w:hAnsi="Cambria Math"/>
                  <w:i/>
                </w:rPr>
              </m:ctrlPr>
            </m:sSubPr>
            <m:e>
              <m:r>
                <m:rPr>
                  <m:nor/>
                </m:rPr>
                <w:rPr>
                  <w:i/>
                </w:rPr>
                <m:t>R</m:t>
              </m:r>
            </m:e>
            <m:sub>
              <m:r>
                <m:rPr>
                  <m:nor/>
                </m:rPr>
                <w:rPr>
                  <w:i/>
                </w:rPr>
                <m:t>0</m:t>
              </m:r>
            </m:sub>
          </m:sSub>
          <m:r>
            <w:rPr>
              <w:rFonts w:ascii="Cambria Math" w:hAnsi="Cambria Math"/>
            </w:rPr>
            <m:t>∙</m:t>
          </m:r>
          <m:r>
            <w:rPr>
              <w:rFonts w:ascii="Cambria Math"/>
            </w:rPr>
            <m:t>(</m:t>
          </m:r>
          <m:r>
            <m:rPr>
              <m:nor/>
            </m:rPr>
            <w:rPr>
              <w:i/>
            </w:rPr>
            <m:t>1</m:t>
          </m:r>
          <m:r>
            <w:rPr>
              <w:rFonts w:ascii="Cambria Math"/>
            </w:rPr>
            <m:t>+</m:t>
          </m:r>
          <m:r>
            <m:rPr>
              <m:nor/>
            </m:rPr>
            <w:rPr>
              <w:i/>
            </w:rPr>
            <m:t>r</m:t>
          </m:r>
          <m:r>
            <w:rPr>
              <w:rFonts w:ascii="Cambria Math"/>
            </w:rPr>
            <m:t>)</m:t>
          </m:r>
          <m:r>
            <w:rPr>
              <w:rFonts w:ascii="Cambria Math" w:hAnsi="Cambria Math"/>
            </w:rPr>
            <m:t>∙</m:t>
          </m:r>
          <m:r>
            <w:rPr>
              <w:rFonts w:ascii="Cambria Math"/>
            </w:rPr>
            <m:t>(</m:t>
          </m:r>
          <m:r>
            <m:rPr>
              <m:nor/>
            </m:rPr>
            <w:rPr>
              <w:i/>
            </w:rPr>
            <m:t>1</m:t>
          </m:r>
          <m:r>
            <w:rPr>
              <w:rFonts w:ascii="Cambria Math"/>
            </w:rPr>
            <m:t>-</m:t>
          </m:r>
          <m:sSub>
            <m:sSubPr>
              <m:ctrlPr>
                <w:rPr>
                  <w:rFonts w:ascii="Cambria Math" w:hAnsi="Cambria Math"/>
                  <w:i/>
                </w:rPr>
              </m:ctrlPr>
            </m:sSubPr>
            <m:e>
              <m:r>
                <m:rPr>
                  <m:nor/>
                </m:rPr>
                <w:rPr>
                  <w:i/>
                </w:rPr>
                <m:t>t</m:t>
              </m:r>
            </m:e>
            <m:sub>
              <m:r>
                <m:rPr>
                  <m:nor/>
                </m:rPr>
                <w:rPr>
                  <w:i/>
                </w:rPr>
                <m:t>R</m:t>
              </m:r>
            </m:sub>
          </m:sSub>
          <m:r>
            <w:rPr>
              <w:rFonts w:ascii="Cambria Math"/>
            </w:rPr>
            <m:t>)</m:t>
          </m:r>
        </m:oMath>
      </m:oMathPara>
    </w:p>
    <w:p w14:paraId="082B01C5" w14:textId="1BDF2A4F" w:rsidR="003A6ADC" w:rsidRPr="005A424D" w:rsidRDefault="003A6ADC" w:rsidP="00EB3270">
      <w:pPr>
        <w:pStyle w:val="Nivel3SM"/>
        <w:keepNext/>
      </w:pPr>
      <w:r w:rsidRPr="008F70E9">
        <w:rPr>
          <w:i/>
          <w:iCs/>
        </w:rPr>
        <w:t>Impuesto sobre el ahorro</w:t>
      </w:r>
      <w:r w:rsidR="005E09DA">
        <w:t>:</w:t>
      </w:r>
    </w:p>
    <w:p w14:paraId="2952D387" w14:textId="1A10EBE5" w:rsidR="003A6ADC" w:rsidRDefault="00000000" w:rsidP="00795CE7">
      <w:pPr>
        <w:spacing w:after="0"/>
        <w:ind w:left="720"/>
        <w:jc w:val="center"/>
      </w:pPr>
      <m:oMathPara>
        <m:oMath>
          <m:sSub>
            <m:sSubPr>
              <m:ctrlPr>
                <w:rPr>
                  <w:rFonts w:ascii="Cambria Math" w:hAnsi="Cambria Math"/>
                  <w:i/>
                </w:rPr>
              </m:ctrlPr>
            </m:sSubPr>
            <m:e>
              <m:r>
                <m:rPr>
                  <m:nor/>
                </m:rPr>
                <w:rPr>
                  <w:i/>
                </w:rPr>
                <m:t>R</m:t>
              </m:r>
            </m:e>
            <m:sub>
              <m:r>
                <m:rPr>
                  <m:nor/>
                </m:rPr>
                <w:rPr>
                  <w:i/>
                </w:rPr>
                <m:t>1</m:t>
              </m:r>
            </m:sub>
          </m:sSub>
          <m:r>
            <w:rPr>
              <w:rFonts w:ascii="Cambria Math"/>
            </w:rPr>
            <m:t>=</m:t>
          </m:r>
          <m:sSub>
            <m:sSubPr>
              <m:ctrlPr>
                <w:rPr>
                  <w:rFonts w:ascii="Cambria Math" w:hAnsi="Cambria Math"/>
                  <w:i/>
                </w:rPr>
              </m:ctrlPr>
            </m:sSubPr>
            <m:e>
              <m:r>
                <m:rPr>
                  <m:nor/>
                </m:rPr>
                <w:rPr>
                  <w:i/>
                </w:rPr>
                <m:t>R</m:t>
              </m:r>
            </m:e>
            <m:sub>
              <m:r>
                <m:rPr>
                  <m:nor/>
                </m:rPr>
                <w:rPr>
                  <w:i/>
                </w:rPr>
                <m:t>0</m:t>
              </m:r>
            </m:sub>
          </m:sSub>
          <m:r>
            <w:rPr>
              <w:rFonts w:ascii="Cambria Math" w:hAnsi="Cambria Math"/>
            </w:rPr>
            <m:t>∙</m:t>
          </m:r>
          <m:d>
            <m:dPr>
              <m:ctrlPr>
                <w:rPr>
                  <w:rFonts w:ascii="Cambria Math" w:hAnsi="Cambria Math"/>
                  <w:i/>
                </w:rPr>
              </m:ctrlPr>
            </m:dPr>
            <m:e>
              <m:r>
                <m:rPr>
                  <m:nor/>
                </m:rPr>
                <w:rPr>
                  <w:i/>
                </w:rPr>
                <m:t>1</m:t>
              </m:r>
              <m:r>
                <w:rPr>
                  <w:rFonts w:ascii="Cambria Math"/>
                </w:rPr>
                <m:t>+</m:t>
              </m:r>
              <m:r>
                <m:rPr>
                  <m:nor/>
                </m:rPr>
                <w:rPr>
                  <w:i/>
                </w:rPr>
                <m:t>r</m:t>
              </m:r>
              <m:r>
                <w:rPr>
                  <w:rFonts w:ascii="Cambria Math" w:hAnsi="Cambria Math"/>
                </w:rPr>
                <m:t>∙</m:t>
              </m:r>
              <m:r>
                <w:rPr>
                  <w:rFonts w:ascii="Cambria Math"/>
                </w:rPr>
                <m:t>(</m:t>
              </m:r>
              <m:r>
                <m:rPr>
                  <m:nor/>
                </m:rPr>
                <w:rPr>
                  <w:i/>
                </w:rPr>
                <m:t>1</m:t>
              </m:r>
              <m:r>
                <w:rPr>
                  <w:rFonts w:ascii="Cambria Math"/>
                </w:rPr>
                <m:t>-</m:t>
              </m:r>
              <m:sSub>
                <m:sSubPr>
                  <m:ctrlPr>
                    <w:rPr>
                      <w:rFonts w:ascii="Cambria Math" w:hAnsi="Cambria Math"/>
                      <w:i/>
                    </w:rPr>
                  </m:ctrlPr>
                </m:sSubPr>
                <m:e>
                  <m:r>
                    <m:rPr>
                      <m:nor/>
                    </m:rPr>
                    <w:rPr>
                      <w:i/>
                    </w:rPr>
                    <m:t>t</m:t>
                  </m:r>
                </m:e>
                <m:sub>
                  <m:r>
                    <m:rPr>
                      <m:nor/>
                    </m:rPr>
                    <w:rPr>
                      <w:i/>
                    </w:rPr>
                    <m:t>K</m:t>
                  </m:r>
                </m:sub>
              </m:sSub>
              <m:r>
                <w:rPr>
                  <w:rFonts w:ascii="Cambria Math"/>
                </w:rPr>
                <m:t>)</m:t>
              </m:r>
            </m:e>
          </m:d>
        </m:oMath>
      </m:oMathPara>
    </w:p>
    <w:p w14:paraId="61DD3716" w14:textId="7A0F41F0" w:rsidR="003A6ADC" w:rsidRPr="00C90436" w:rsidRDefault="003A6ADC" w:rsidP="008F70E9">
      <w:pPr>
        <w:pStyle w:val="Nivel4"/>
        <w:ind w:left="1474"/>
      </w:pPr>
      <w:r w:rsidRPr="00C90436">
        <w:t>Igualando ambos obtenemos</w:t>
      </w:r>
      <w:r w:rsidR="006D62A8">
        <w:t>:</w:t>
      </w:r>
    </w:p>
    <w:p w14:paraId="07E190E6" w14:textId="2D7514E7" w:rsidR="003A6ADC" w:rsidRPr="00795CE7" w:rsidRDefault="00000000" w:rsidP="008F70E9">
      <w:pPr>
        <w:spacing w:after="0"/>
        <w:ind w:left="1474" w:hanging="198"/>
        <w:jc w:val="center"/>
        <w:rPr>
          <w:i/>
        </w:rPr>
      </w:pPr>
      <m:oMathPara>
        <m:oMath>
          <m:sSub>
            <m:sSubPr>
              <m:ctrlPr>
                <w:rPr>
                  <w:rFonts w:ascii="Cambria Math" w:hAnsi="Cambria Math"/>
                  <w:i/>
                </w:rPr>
              </m:ctrlPr>
            </m:sSubPr>
            <m:e>
              <m:r>
                <m:rPr>
                  <m:nor/>
                </m:rPr>
                <w:rPr>
                  <w:i/>
                </w:rPr>
                <m:t>t</m:t>
              </m:r>
            </m:e>
            <m:sub>
              <m:r>
                <m:rPr>
                  <m:nor/>
                </m:rPr>
                <w:rPr>
                  <w:i/>
                </w:rPr>
                <m:t>K</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t</m:t>
                  </m:r>
                </m:e>
                <m:sub>
                  <m:r>
                    <m:rPr>
                      <m:nor/>
                    </m:rPr>
                    <w:rPr>
                      <w:i/>
                    </w:rPr>
                    <m:t>R</m:t>
                  </m:r>
                </m:sub>
              </m:sSub>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r</m:t>
                  </m:r>
                </m:e>
              </m:d>
            </m:num>
            <m:den>
              <m:r>
                <m:rPr>
                  <m:nor/>
                </m:rPr>
                <w:rPr>
                  <w:i/>
                </w:rPr>
                <m:t>r</m:t>
              </m:r>
            </m:den>
          </m:f>
        </m:oMath>
      </m:oMathPara>
    </w:p>
    <w:p w14:paraId="1EC7235C" w14:textId="659095BF" w:rsidR="00984826" w:rsidRDefault="003A6ADC" w:rsidP="008F70E9">
      <w:pPr>
        <w:pStyle w:val="Nivel4"/>
        <w:ind w:left="1474"/>
      </w:pPr>
      <w:r>
        <w:t xml:space="preserve">De hecho, un </w:t>
      </w:r>
      <m:oMath>
        <m:sSub>
          <m:sSubPr>
            <m:ctrlPr>
              <w:rPr>
                <w:rFonts w:ascii="Cambria Math" w:hAnsi="Cambria Math"/>
                <w:i/>
              </w:rPr>
            </m:ctrlPr>
          </m:sSubPr>
          <m:e>
            <m:r>
              <m:rPr>
                <m:nor/>
              </m:rPr>
              <w:rPr>
                <w:i/>
              </w:rPr>
              <m:t>t</m:t>
            </m:r>
          </m:e>
          <m:sub>
            <m:r>
              <m:rPr>
                <m:nor/>
              </m:rPr>
              <w:rPr>
                <w:i/>
              </w:rPr>
              <m:t>R</m:t>
            </m:r>
          </m:sub>
        </m:sSub>
      </m:oMath>
      <w:r>
        <w:t xml:space="preserve"> </w:t>
      </w:r>
      <w:r w:rsidR="00795CE7">
        <w:t>de</w:t>
      </w:r>
      <w:r>
        <w:t xml:space="preserve"> 2</w:t>
      </w:r>
      <w:r w:rsidR="00986ECE">
        <w:t> %</w:t>
      </w:r>
      <w:r>
        <w:t xml:space="preserve"> equivaldría a un </w:t>
      </w:r>
      <m:oMath>
        <m:sSub>
          <m:sSubPr>
            <m:ctrlPr>
              <w:rPr>
                <w:rFonts w:ascii="Cambria Math" w:hAnsi="Cambria Math"/>
                <w:i/>
              </w:rPr>
            </m:ctrlPr>
          </m:sSubPr>
          <m:e>
            <m:r>
              <m:rPr>
                <m:nor/>
              </m:rPr>
              <w:rPr>
                <w:i/>
              </w:rPr>
              <m:t>t</m:t>
            </m:r>
          </m:e>
          <m:sub>
            <m:r>
              <m:rPr>
                <m:nor/>
              </m:rPr>
              <w:rPr>
                <w:i/>
              </w:rPr>
              <m:t>K</m:t>
            </m:r>
          </m:sub>
        </m:sSub>
      </m:oMath>
      <w:r>
        <w:t xml:space="preserve"> </w:t>
      </w:r>
      <w:r w:rsidR="00795CE7">
        <w:t>de aproximadamente</w:t>
      </w:r>
      <w:r>
        <w:t xml:space="preserve"> 50</w:t>
      </w:r>
      <w:r w:rsidR="00986ECE">
        <w:t> %</w:t>
      </w:r>
      <w:r>
        <w:t>.</w:t>
      </w:r>
      <w:r w:rsidR="00C54F16">
        <w:t xml:space="preserve"> </w:t>
      </w:r>
      <w:r w:rsidR="00984826">
        <w:t xml:space="preserve">Por tanto, el impuesto sobre el patrimonio genera un </w:t>
      </w:r>
      <w:r w:rsidR="00984826" w:rsidRPr="0064405C">
        <w:rPr>
          <w:i/>
          <w:iCs/>
        </w:rPr>
        <w:t>fuerte desincentivo al ahorro</w:t>
      </w:r>
      <w:r w:rsidR="00984826">
        <w:t xml:space="preserve"> y puede </w:t>
      </w:r>
      <w:r w:rsidR="00984826" w:rsidRPr="0064405C">
        <w:rPr>
          <w:i/>
          <w:iCs/>
        </w:rPr>
        <w:t>incentivar su sustitución p</w:t>
      </w:r>
      <w:r w:rsidR="00C54F16" w:rsidRPr="0064405C">
        <w:rPr>
          <w:i/>
          <w:iCs/>
        </w:rPr>
        <w:t>o</w:t>
      </w:r>
      <w:r w:rsidR="00984826" w:rsidRPr="0064405C">
        <w:rPr>
          <w:i/>
          <w:iCs/>
        </w:rPr>
        <w:t>r consumo presente</w:t>
      </w:r>
      <w:r w:rsidR="00984826">
        <w:t xml:space="preserve"> (con efectos negativos a largo plazo sobre el crecimiento económico).</w:t>
      </w:r>
    </w:p>
    <w:p w14:paraId="367C78B6" w14:textId="77777777" w:rsidR="00C54F16" w:rsidRDefault="00C54F16" w:rsidP="00C54F16">
      <w:pPr>
        <w:pStyle w:val="Nivel2SM"/>
      </w:pPr>
      <w:r>
        <w:t xml:space="preserve">Además, en presencia de IRPF e IS, la inclusión de impuesto sobre el patrimonio implica que: </w:t>
      </w:r>
      <w:r>
        <w:rPr>
          <w:i/>
          <w:iCs/>
        </w:rPr>
        <w:t>(i)</w:t>
      </w:r>
      <w:r>
        <w:t xml:space="preserve"> se grava la renta que originó el patrimonio (IRPF); y </w:t>
      </w:r>
      <w:r>
        <w:rPr>
          <w:i/>
          <w:iCs/>
        </w:rPr>
        <w:t>(i)</w:t>
      </w:r>
      <w:r>
        <w:t xml:space="preserve"> se grava la tenencia de capital (IP). Por tanto, se generaría una </w:t>
      </w:r>
      <w:r>
        <w:rPr>
          <w:i/>
          <w:iCs/>
          <w:u w:val="single"/>
        </w:rPr>
        <w:t>doble imposición</w:t>
      </w:r>
      <w:r>
        <w:t>.</w:t>
      </w:r>
    </w:p>
    <w:p w14:paraId="4B5A1572" w14:textId="6022EA1E" w:rsidR="00C54F16" w:rsidRDefault="00C54F16" w:rsidP="00C54F16">
      <w:pPr>
        <w:pStyle w:val="Nivel2SM"/>
      </w:pPr>
      <w:r>
        <w:t xml:space="preserve">En la práctica, la clase más adinerada suele tener su patrimonio en sociedades familiares que escapan a la tributación, haciendo que </w:t>
      </w:r>
      <w:r w:rsidRPr="00C54F16">
        <w:rPr>
          <w:i/>
          <w:iCs/>
          <w:u w:val="single"/>
        </w:rPr>
        <w:t>su impacto en términos de equidad pueda ser negativo</w:t>
      </w:r>
      <w:r>
        <w:t>.</w:t>
      </w:r>
    </w:p>
    <w:p w14:paraId="1E7DC889" w14:textId="603AE91B" w:rsidR="00C54F16" w:rsidRDefault="00C54F16" w:rsidP="00C54F16">
      <w:pPr>
        <w:pStyle w:val="Nivel2SM"/>
      </w:pPr>
      <w:r>
        <w:t xml:space="preserve">En España, además, </w:t>
      </w:r>
      <w:r w:rsidRPr="00C54F16">
        <w:rPr>
          <w:i/>
          <w:iCs/>
          <w:u w:val="single"/>
        </w:rPr>
        <w:t>la divergencia en su regulación entre CCAA da lugar a una situación de competencia fiscal</w:t>
      </w:r>
      <w:r>
        <w:t xml:space="preserve"> en la que los agentes con mayores patrimonios fijan su residencia en la Comunidad de Madrid, que mantiene la bonificación del 100 % en la cuota. Extremadura, por el contrario, tiene uno de los IP más gravosos del mundo con un tipo máximo del 3,75 %.</w:t>
      </w:r>
    </w:p>
    <w:p w14:paraId="06BA1726" w14:textId="79CDD110" w:rsidR="004E4EE7" w:rsidRDefault="004E4EE7" w:rsidP="00F94CE1">
      <w:pPr>
        <w:pStyle w:val="Ttulo6"/>
      </w:pPr>
      <w:r w:rsidRPr="004E4EE7">
        <w:lastRenderedPageBreak/>
        <w:t>Comparaciones internacionales</w:t>
      </w:r>
    </w:p>
    <w:p w14:paraId="7D51B90D" w14:textId="0EC67BBA" w:rsidR="003A6ADC" w:rsidRDefault="003A6ADC" w:rsidP="006D62A8">
      <w:pPr>
        <w:pStyle w:val="Nivel2SM"/>
        <w:keepNext/>
        <w:spacing w:after="0"/>
      </w:pPr>
      <w:r>
        <w:t xml:space="preserve">La poca solidez de sus justificaciones, en ocasiones abstractas y relativas, y problemas como </w:t>
      </w:r>
      <w:r w:rsidR="00C54F16">
        <w:t>los</w:t>
      </w:r>
      <w:r>
        <w:t xml:space="preserve"> que acabamos de mencionar explican que </w:t>
      </w:r>
      <w:r w:rsidRPr="00E7514E">
        <w:rPr>
          <w:b/>
        </w:rPr>
        <w:t xml:space="preserve">este impuesto </w:t>
      </w:r>
      <w:r w:rsidR="00C54F16">
        <w:rPr>
          <w:b/>
        </w:rPr>
        <w:t>no</w:t>
      </w:r>
      <w:r>
        <w:rPr>
          <w:b/>
        </w:rPr>
        <w:t xml:space="preserve"> </w:t>
      </w:r>
      <w:r w:rsidRPr="00E7514E">
        <w:rPr>
          <w:b/>
        </w:rPr>
        <w:t>se aplique en muchos sistemas fiscales</w:t>
      </w:r>
      <w:r>
        <w:t>, y que su importancia sea, en general, reducida.</w:t>
      </w:r>
    </w:p>
    <w:p w14:paraId="4335321E" w14:textId="667946E1" w:rsidR="004E4EE7" w:rsidRDefault="003A6ADC" w:rsidP="006D62A8">
      <w:pPr>
        <w:pStyle w:val="Nivel3SM"/>
      </w:pPr>
      <w:r>
        <w:t xml:space="preserve">Es un impuesto </w:t>
      </w:r>
      <w:r w:rsidRPr="00C83271">
        <w:rPr>
          <w:b/>
          <w:bCs/>
        </w:rPr>
        <w:t>muy poco extendido en la OCDE</w:t>
      </w:r>
      <w:r>
        <w:t xml:space="preserve">: </w:t>
      </w:r>
      <w:r w:rsidR="00C83271">
        <w:t>s</w:t>
      </w:r>
      <w:r>
        <w:t xml:space="preserve">ólo se aplica en unos pocos países como </w:t>
      </w:r>
      <w:r w:rsidRPr="00B566BE">
        <w:rPr>
          <w:b/>
        </w:rPr>
        <w:t>Noruega</w:t>
      </w:r>
      <w:r w:rsidRPr="00C83271">
        <w:rPr>
          <w:bCs/>
        </w:rPr>
        <w:t xml:space="preserve">, </w:t>
      </w:r>
      <w:r w:rsidRPr="00B566BE">
        <w:rPr>
          <w:b/>
        </w:rPr>
        <w:t>Suiza</w:t>
      </w:r>
      <w:r w:rsidRPr="00C83271">
        <w:rPr>
          <w:bCs/>
        </w:rPr>
        <w:t xml:space="preserve"> y </w:t>
      </w:r>
      <w:r w:rsidRPr="00B566BE">
        <w:rPr>
          <w:b/>
        </w:rPr>
        <w:t>España</w:t>
      </w:r>
      <w:r>
        <w:t>.</w:t>
      </w:r>
    </w:p>
    <w:p w14:paraId="384F7302" w14:textId="4525CF2A" w:rsidR="004941A5" w:rsidRPr="00693A21" w:rsidRDefault="006237D5" w:rsidP="006D62A8">
      <w:pPr>
        <w:pStyle w:val="Nivel3SM"/>
        <w:rPr>
          <w:spacing w:val="-2"/>
        </w:rPr>
      </w:pPr>
      <w:r w:rsidRPr="00693A21">
        <w:rPr>
          <w:spacing w:val="-2"/>
        </w:rPr>
        <w:t xml:space="preserve">Su tipo de gravamen suele ser progresivo y además suele haber un mínimo exento. </w:t>
      </w:r>
      <w:r w:rsidR="004941A5" w:rsidRPr="00693A21">
        <w:rPr>
          <w:spacing w:val="-2"/>
        </w:rPr>
        <w:t>El tipo superior medio en España es del 2,5 %</w:t>
      </w:r>
      <w:r w:rsidR="00C54F16" w:rsidRPr="00693A21">
        <w:rPr>
          <w:spacing w:val="-2"/>
        </w:rPr>
        <w:t xml:space="preserve">, mientras que en </w:t>
      </w:r>
      <w:r w:rsidR="00693A21" w:rsidRPr="00693A21">
        <w:rPr>
          <w:spacing w:val="-2"/>
        </w:rPr>
        <w:t>Francia</w:t>
      </w:r>
      <w:r w:rsidR="00C54F16" w:rsidRPr="00693A21">
        <w:rPr>
          <w:spacing w:val="-2"/>
        </w:rPr>
        <w:t xml:space="preserve"> el tipo má</w:t>
      </w:r>
      <w:r w:rsidR="00693A21" w:rsidRPr="00693A21">
        <w:rPr>
          <w:spacing w:val="-2"/>
        </w:rPr>
        <w:t>x</w:t>
      </w:r>
      <w:r w:rsidR="00C54F16" w:rsidRPr="00693A21">
        <w:rPr>
          <w:spacing w:val="-2"/>
        </w:rPr>
        <w:t>imo es del 1,5 %</w:t>
      </w:r>
      <w:r w:rsidR="00D46344">
        <w:rPr>
          <w:rStyle w:val="Refdenotaalpie"/>
        </w:rPr>
        <w:footnoteReference w:id="13"/>
      </w:r>
      <w:r w:rsidR="004941A5" w:rsidRPr="00693A21">
        <w:rPr>
          <w:spacing w:val="-2"/>
        </w:rPr>
        <w:t>.</w:t>
      </w:r>
    </w:p>
    <w:p w14:paraId="5948FFF5" w14:textId="0C08DEF7" w:rsidR="00584070" w:rsidRDefault="00584070" w:rsidP="004649A8">
      <w:pPr>
        <w:pStyle w:val="Ttulo2"/>
      </w:pPr>
      <w:bookmarkStart w:id="40" w:name="_Toc219417499"/>
      <w:r w:rsidRPr="00D603F4">
        <w:t>Impuesto de Sucesiones y Donaciones</w:t>
      </w:r>
      <w:r w:rsidR="00D72AF8">
        <w:t xml:space="preserve"> (ISD)</w:t>
      </w:r>
      <w:bookmarkEnd w:id="40"/>
    </w:p>
    <w:p w14:paraId="16AEBC51" w14:textId="2AB6A1E5" w:rsidR="004E4EE7" w:rsidRDefault="004E4EE7" w:rsidP="006D62A8">
      <w:pPr>
        <w:pStyle w:val="Ttulo6"/>
      </w:pPr>
      <w:r w:rsidRPr="004E4EE7">
        <w:t>Definición</w:t>
      </w:r>
    </w:p>
    <w:p w14:paraId="487B2DD7" w14:textId="1A82E5CD" w:rsidR="004E4EE7" w:rsidRDefault="004E4EE7" w:rsidP="006D62A8">
      <w:pPr>
        <w:pStyle w:val="Nivel2SM"/>
      </w:pPr>
      <w:r>
        <w:t xml:space="preserve">Se trata de un impuesto que grava la transmisión </w:t>
      </w:r>
      <w:r w:rsidR="003A6ADC">
        <w:t>a título lucrativo de bienes o derechos de contenido económico que incrementan el patrimonio de las personas físicas.</w:t>
      </w:r>
    </w:p>
    <w:p w14:paraId="18C8E349" w14:textId="58E9556E" w:rsidR="004E4EE7" w:rsidRDefault="004E4EE7" w:rsidP="006D62A8">
      <w:pPr>
        <w:pStyle w:val="Ttulo6"/>
      </w:pPr>
      <w:r w:rsidRPr="004E4EE7">
        <w:t>Justificación</w:t>
      </w:r>
    </w:p>
    <w:p w14:paraId="6DC41FB7" w14:textId="21896AD2" w:rsidR="004E4EE7" w:rsidRDefault="004E4EE7" w:rsidP="006D62A8">
      <w:pPr>
        <w:pStyle w:val="Nivel2SM"/>
        <w:keepNext/>
        <w:spacing w:after="0"/>
      </w:pPr>
      <w:r w:rsidRPr="00613DC4">
        <w:rPr>
          <w:i/>
          <w:iCs/>
          <w:u w:val="single"/>
        </w:rPr>
        <w:t>Equidad</w:t>
      </w:r>
      <w:r w:rsidR="006D62A8">
        <w:t>:</w:t>
      </w:r>
    </w:p>
    <w:p w14:paraId="1801922A" w14:textId="77777777" w:rsidR="004E4EE7" w:rsidRDefault="004E4EE7" w:rsidP="006D62A8">
      <w:pPr>
        <w:pStyle w:val="Nivel3SM"/>
      </w:pPr>
      <w:r>
        <w:t>Evita, al menos parcialmente, que las desigualdades se perpetúen.</w:t>
      </w:r>
    </w:p>
    <w:p w14:paraId="0F511147" w14:textId="2FD3AF57" w:rsidR="004E4EE7" w:rsidRDefault="004E4EE7" w:rsidP="006D62A8">
      <w:pPr>
        <w:pStyle w:val="Nivel2SM"/>
        <w:keepNext/>
        <w:spacing w:after="0"/>
      </w:pPr>
      <w:r w:rsidRPr="00C661B9">
        <w:rPr>
          <w:i/>
          <w:iCs/>
          <w:u w:val="single"/>
        </w:rPr>
        <w:t>Moral</w:t>
      </w:r>
      <w:r w:rsidR="006D62A8">
        <w:t>:</w:t>
      </w:r>
    </w:p>
    <w:p w14:paraId="3410973A" w14:textId="77777777" w:rsidR="004E4EE7" w:rsidRDefault="004E4EE7" w:rsidP="006D62A8">
      <w:pPr>
        <w:pStyle w:val="Nivel3SM"/>
      </w:pPr>
      <w:r>
        <w:t>Pues quien recibe la donación o la sucesión no ha hecho méritos para obtenerla.</w:t>
      </w:r>
    </w:p>
    <w:p w14:paraId="6C84FE63" w14:textId="722036F5" w:rsidR="004E4EE7" w:rsidRDefault="004E4EE7" w:rsidP="006D62A8">
      <w:pPr>
        <w:pStyle w:val="Ttulo6"/>
      </w:pPr>
      <w:r w:rsidRPr="004E4EE7">
        <w:t>Crítica</w:t>
      </w:r>
    </w:p>
    <w:p w14:paraId="451FFC66" w14:textId="77777777" w:rsidR="004E4EE7" w:rsidRDefault="004E4EE7" w:rsidP="006D62A8">
      <w:pPr>
        <w:pStyle w:val="Nivel2SM"/>
      </w:pPr>
      <w:r>
        <w:t xml:space="preserve">El </w:t>
      </w:r>
      <w:r w:rsidRPr="00C661B9">
        <w:rPr>
          <w:i/>
          <w:iCs/>
        </w:rPr>
        <w:t>impuesto sobre sucesiones y donaciones</w:t>
      </w:r>
      <w:r>
        <w:t xml:space="preserve"> genera un </w:t>
      </w:r>
      <w:r w:rsidRPr="00C661B9">
        <w:rPr>
          <w:i/>
          <w:iCs/>
        </w:rPr>
        <w:t>fuerte desincentivo al ahorro</w:t>
      </w:r>
      <w:r>
        <w:t>, como el de patrimonio, pues se desincentiva el ahorro y se incentiva el consumo.</w:t>
      </w:r>
    </w:p>
    <w:p w14:paraId="074EE7DE" w14:textId="77897B73" w:rsidR="004E4EE7" w:rsidRDefault="004E4EE7" w:rsidP="006D62A8">
      <w:pPr>
        <w:pStyle w:val="Ttulo6"/>
      </w:pPr>
      <w:r w:rsidRPr="004E4EE7">
        <w:t>Comparaciones internacionales</w:t>
      </w:r>
    </w:p>
    <w:p w14:paraId="7921F481" w14:textId="39E31CCB" w:rsidR="00584070" w:rsidRDefault="004E4EE7" w:rsidP="006D62A8">
      <w:pPr>
        <w:pStyle w:val="Nivel2SM"/>
      </w:pPr>
      <w:r>
        <w:t xml:space="preserve">El impuesto sobre sucesiones y donaciones es un </w:t>
      </w:r>
      <w:r w:rsidRPr="00C661B9">
        <w:rPr>
          <w:b/>
          <w:bCs/>
        </w:rPr>
        <w:t>impuesto muy extendido en la OCDE</w:t>
      </w:r>
      <w:r>
        <w:t xml:space="preserve">, pero cuya </w:t>
      </w:r>
      <w:r w:rsidRPr="00C661B9">
        <w:rPr>
          <w:i/>
          <w:iCs/>
        </w:rPr>
        <w:t>recaudación tributaria es pequeña</w:t>
      </w:r>
      <w:r>
        <w:t xml:space="preserve"> y sigue una tendencia decreciente.</w:t>
      </w:r>
    </w:p>
    <w:p w14:paraId="7ACE77C7" w14:textId="756F0BE4" w:rsidR="00584070" w:rsidRDefault="00C93EAE" w:rsidP="004649A8">
      <w:pPr>
        <w:pStyle w:val="Ttulo2"/>
      </w:pPr>
      <w:bookmarkStart w:id="41" w:name="_Toc219417500"/>
      <w:r>
        <w:t>I</w:t>
      </w:r>
      <w:r w:rsidR="00584070" w:rsidRPr="00D603F4">
        <w:t>mpuesto sobre bienes inmuebles (IBI)</w:t>
      </w:r>
      <w:bookmarkEnd w:id="41"/>
    </w:p>
    <w:p w14:paraId="79B09D5C" w14:textId="645CD74B" w:rsidR="004E4EE7" w:rsidRDefault="004E4EE7" w:rsidP="006D62A8">
      <w:pPr>
        <w:pStyle w:val="Ttulo6"/>
      </w:pPr>
      <w:r w:rsidRPr="004E4EE7">
        <w:t>Definición</w:t>
      </w:r>
    </w:p>
    <w:p w14:paraId="0791BC13" w14:textId="77777777" w:rsidR="004E4EE7" w:rsidRPr="00A86E23" w:rsidRDefault="004E4EE7" w:rsidP="00A86E23">
      <w:pPr>
        <w:pStyle w:val="Nivel1SM"/>
        <w:keepNext/>
        <w:spacing w:before="0" w:after="0"/>
        <w:rPr>
          <w:spacing w:val="-2"/>
        </w:rPr>
      </w:pPr>
      <w:r w:rsidRPr="00A86E23">
        <w:rPr>
          <w:spacing w:val="-2"/>
        </w:rPr>
        <w:t xml:space="preserve">Se trata de un impuesto que grava la tenencia de riqueza en una forma muy concreta: </w:t>
      </w:r>
      <w:r w:rsidRPr="00A86E23">
        <w:rPr>
          <w:i/>
          <w:iCs/>
          <w:spacing w:val="-2"/>
        </w:rPr>
        <w:t>bienes inmuebles</w:t>
      </w:r>
      <w:r w:rsidRPr="00A86E23">
        <w:rPr>
          <w:spacing w:val="-2"/>
        </w:rPr>
        <w:t>.</w:t>
      </w:r>
    </w:p>
    <w:p w14:paraId="7CE8DCDF" w14:textId="77777777" w:rsidR="004E4EE7" w:rsidRDefault="004E4EE7" w:rsidP="00A86E23">
      <w:pPr>
        <w:pStyle w:val="Nivel2SM"/>
      </w:pPr>
      <w:r w:rsidRPr="004E4EE7">
        <w:t>En concreto, grava el valor real de los inmueb</w:t>
      </w:r>
      <w:r w:rsidR="003E6AC1">
        <w:t xml:space="preserve">les (terrenos y construcciones) </w:t>
      </w:r>
      <w:r w:rsidRPr="004E4EE7">
        <w:t xml:space="preserve">urbanos y rústicos, abarcando el uso residencial, productivo o de otra clase. </w:t>
      </w:r>
    </w:p>
    <w:p w14:paraId="7E45DF9F" w14:textId="77777777" w:rsidR="004E4EE7" w:rsidRDefault="004E4EE7" w:rsidP="006D62A8">
      <w:pPr>
        <w:pStyle w:val="Ttulo6"/>
      </w:pPr>
      <w:r w:rsidRPr="003E6AC1">
        <w:t>Justificación</w:t>
      </w:r>
    </w:p>
    <w:p w14:paraId="59A0C967" w14:textId="049D40E4" w:rsidR="003E6AC1" w:rsidRDefault="004E4EE7" w:rsidP="006D62A8">
      <w:pPr>
        <w:pStyle w:val="Nivel2SM"/>
        <w:keepNext/>
        <w:spacing w:after="0"/>
      </w:pPr>
      <w:r w:rsidRPr="000050B2">
        <w:rPr>
          <w:i/>
          <w:iCs/>
          <w:u w:val="single"/>
        </w:rPr>
        <w:t>Eficiencia</w:t>
      </w:r>
      <w:r w:rsidR="009A511A">
        <w:t>:</w:t>
      </w:r>
    </w:p>
    <w:p w14:paraId="085B4AF7" w14:textId="77777777" w:rsidR="004E4EE7" w:rsidRDefault="004E4EE7" w:rsidP="006D62A8">
      <w:pPr>
        <w:pStyle w:val="Nivel3SM"/>
      </w:pPr>
      <w:r w:rsidRPr="004E4EE7">
        <w:t>El impuesto sobre los bienes inmuebles grava activos inmóviles (edificios, terrenos, etc.) y, por tanto, se trata de una forma de imposición eficiente.</w:t>
      </w:r>
    </w:p>
    <w:p w14:paraId="31579157" w14:textId="77777777" w:rsidR="004E4EE7" w:rsidRDefault="004E4EE7" w:rsidP="006D62A8">
      <w:pPr>
        <w:pStyle w:val="Nivel3SM"/>
      </w:pPr>
      <w:r w:rsidRPr="003E6AC1">
        <w:t>No obstante, hay que tener en cuenta que existe la posibilidad de traslación, ya que los propietarios de viviendas en alquiler pueden trasladar el impuesto a los inquilinos en forma de mayores alquileres.</w:t>
      </w:r>
    </w:p>
    <w:p w14:paraId="076F8582" w14:textId="316B62B4" w:rsidR="003E6AC1" w:rsidRDefault="004E4EE7" w:rsidP="006D62A8">
      <w:pPr>
        <w:pStyle w:val="Nivel2SM"/>
        <w:keepNext/>
        <w:spacing w:after="0"/>
      </w:pPr>
      <w:r w:rsidRPr="000050B2">
        <w:rPr>
          <w:i/>
          <w:iCs/>
          <w:u w:val="single"/>
        </w:rPr>
        <w:t>Capacidad de pago</w:t>
      </w:r>
      <w:r w:rsidR="009A511A">
        <w:t>:</w:t>
      </w:r>
    </w:p>
    <w:p w14:paraId="5C6189F7" w14:textId="77777777" w:rsidR="004E4EE7" w:rsidRPr="003E6AC1" w:rsidRDefault="004E4EE7" w:rsidP="006D62A8">
      <w:pPr>
        <w:pStyle w:val="Nivel3SM"/>
      </w:pPr>
      <w:r w:rsidRPr="003E6AC1">
        <w:t>La vivienda representa generalmente el componente más importante de la riqueza de los hogares y, por tanto, es un buen componente de la capacidad de pago.</w:t>
      </w:r>
    </w:p>
    <w:p w14:paraId="24F6BC59" w14:textId="1061B1F6" w:rsidR="003E6AC1" w:rsidRDefault="004E4EE7" w:rsidP="006D62A8">
      <w:pPr>
        <w:pStyle w:val="Nivel2SM"/>
        <w:keepNext/>
        <w:spacing w:after="0"/>
      </w:pPr>
      <w:r w:rsidRPr="000050B2">
        <w:rPr>
          <w:i/>
          <w:iCs/>
          <w:u w:val="single"/>
        </w:rPr>
        <w:lastRenderedPageBreak/>
        <w:t>Fácil gestión</w:t>
      </w:r>
      <w:r w:rsidR="009A511A">
        <w:t>:</w:t>
      </w:r>
    </w:p>
    <w:p w14:paraId="28A46039" w14:textId="77777777" w:rsidR="004E4EE7" w:rsidRPr="004E4EE7" w:rsidRDefault="004E4EE7" w:rsidP="006D62A8">
      <w:pPr>
        <w:pStyle w:val="Nivel3SM"/>
      </w:pPr>
      <w:r w:rsidRPr="004E4EE7">
        <w:t>Dado que los elementos que grava el impuesto sobre los bienes inmuebles son difícilmente ocultables, se trata de un impuesto fácil de gestionar.</w:t>
      </w:r>
    </w:p>
    <w:p w14:paraId="450C45E5" w14:textId="77777777" w:rsidR="00584070" w:rsidRDefault="004E4EE7" w:rsidP="006D62A8">
      <w:pPr>
        <w:pStyle w:val="Nivel3SM"/>
      </w:pPr>
      <w:r w:rsidRPr="004E4EE7">
        <w:t>Esto lo convierte, además, en un instrumento recaudatorio apropiado para las administraciones locales, que tienen una capacidad administrativa más limitada.</w:t>
      </w:r>
    </w:p>
    <w:p w14:paraId="3C792CD4" w14:textId="0BB4DC3F" w:rsidR="003E6AC1" w:rsidRPr="003E6AC1" w:rsidRDefault="003E6AC1" w:rsidP="006D62A8">
      <w:pPr>
        <w:pStyle w:val="Ttulo6"/>
      </w:pPr>
      <w:r w:rsidRPr="003E6AC1">
        <w:t>Críticas</w:t>
      </w:r>
    </w:p>
    <w:p w14:paraId="0FB995FD" w14:textId="5ACCA0FF" w:rsidR="003E6AC1" w:rsidRDefault="003E6AC1" w:rsidP="006D62A8">
      <w:pPr>
        <w:pStyle w:val="Nivel2SM"/>
        <w:keepNext/>
        <w:spacing w:after="0"/>
      </w:pPr>
      <w:r w:rsidRPr="001960E5">
        <w:rPr>
          <w:i/>
          <w:iCs/>
          <w:u w:val="single"/>
        </w:rPr>
        <w:t>Regresividad</w:t>
      </w:r>
      <w:r w:rsidR="006D62A8">
        <w:t>:</w:t>
      </w:r>
    </w:p>
    <w:p w14:paraId="5DBBD4A3" w14:textId="77777777" w:rsidR="003E6AC1" w:rsidRPr="003E6AC1" w:rsidRDefault="003E6AC1" w:rsidP="006D62A8">
      <w:pPr>
        <w:pStyle w:val="Nivel3SM"/>
      </w:pPr>
      <w:r w:rsidRPr="003E6AC1">
        <w:t xml:space="preserve">Este impuesto puede ser regresivo: la vivienda </w:t>
      </w:r>
      <w:r w:rsidRPr="0047577B">
        <w:rPr>
          <w:i/>
          <w:iCs/>
        </w:rPr>
        <w:t>es un bien de primera necesidad</w:t>
      </w:r>
      <w:r w:rsidRPr="003E6AC1">
        <w:t xml:space="preserve"> y, por tanto, muchas familias pobres tendrán viviendas en las que habrán invertido un mayor porcentaje de su riqueza que familias con mayor poder adquisitivo.</w:t>
      </w:r>
    </w:p>
    <w:p w14:paraId="09D9673B" w14:textId="61688ABA" w:rsidR="003E6AC1" w:rsidRDefault="003E6AC1" w:rsidP="006D62A8">
      <w:pPr>
        <w:pStyle w:val="Nivel2SM"/>
        <w:keepNext/>
        <w:spacing w:after="0"/>
      </w:pPr>
      <w:r w:rsidRPr="001960E5">
        <w:rPr>
          <w:i/>
          <w:iCs/>
          <w:u w:val="single"/>
        </w:rPr>
        <w:t>Valor real (de mercado) vs. valor catastral</w:t>
      </w:r>
      <w:r w:rsidR="009A511A">
        <w:t>:</w:t>
      </w:r>
    </w:p>
    <w:p w14:paraId="7459F921" w14:textId="77777777" w:rsidR="003E6AC1" w:rsidRPr="003E6AC1" w:rsidRDefault="003E6AC1" w:rsidP="006D62A8">
      <w:pPr>
        <w:pStyle w:val="Nivel3SM"/>
      </w:pPr>
      <w:r w:rsidRPr="003E6AC1">
        <w:t xml:space="preserve">El impuesto sobre los bienes inmuebles grava, en teoría, el </w:t>
      </w:r>
      <w:r w:rsidRPr="00A7799F">
        <w:rPr>
          <w:i/>
          <w:iCs/>
        </w:rPr>
        <w:t>valor real (de mercado) de los inmuebles</w:t>
      </w:r>
      <w:r w:rsidRPr="003E6AC1">
        <w:t>, pero éste es difícil de determinar dado el gran número de variables que inciden sobre el precio de un inmueble.</w:t>
      </w:r>
    </w:p>
    <w:p w14:paraId="3AB757C2" w14:textId="77777777" w:rsidR="003E6AC1" w:rsidRPr="003E6AC1" w:rsidRDefault="003E6AC1" w:rsidP="006D62A8">
      <w:pPr>
        <w:pStyle w:val="Nivel3SM"/>
      </w:pPr>
      <w:r w:rsidRPr="003E6AC1">
        <w:t>Por tanto, la estimación del impuesto por parte de la administración es difícil y puede generar divergencias respecto a los valores reales (i.e. el valor de tasación suele ser inferior al valor de mercado).</w:t>
      </w:r>
    </w:p>
    <w:p w14:paraId="26AE6F31" w14:textId="77777777" w:rsidR="003E6AC1" w:rsidRPr="003E6AC1" w:rsidRDefault="003E6AC1" w:rsidP="006D62A8">
      <w:pPr>
        <w:pStyle w:val="Nivel3SM"/>
      </w:pPr>
      <w:r w:rsidRPr="003E6AC1">
        <w:t>Es más, si dichas divergencias no son uniformes para todas las viviendas, se puede crear en los contribuyentes el sentimiento de que se trata de un impuesto arbitrario, lo que generaría rechazo.</w:t>
      </w:r>
    </w:p>
    <w:p w14:paraId="64A167AD" w14:textId="1BF0909B" w:rsidR="003E6AC1" w:rsidRDefault="003E6AC1" w:rsidP="006D62A8">
      <w:pPr>
        <w:pStyle w:val="Ttulo6"/>
      </w:pPr>
      <w:r w:rsidRPr="003E6AC1">
        <w:t>Comparaciones internacionales</w:t>
      </w:r>
    </w:p>
    <w:p w14:paraId="07397990" w14:textId="266C6FEE" w:rsidR="00155319" w:rsidRDefault="003E6AC1" w:rsidP="00A86E23">
      <w:pPr>
        <w:pStyle w:val="Nivel1SM"/>
        <w:spacing w:before="0"/>
      </w:pPr>
      <w:r w:rsidRPr="003E6AC1">
        <w:t>En los países de la OCDE, el impuesto sobre los bienes inmuebles es el impuesto sobre la riqueza más importante (en España, por ejemplo, supone en torno al 30</w:t>
      </w:r>
      <w:r w:rsidR="00986ECE">
        <w:t> %</w:t>
      </w:r>
      <w:r w:rsidRPr="003E6AC1">
        <w:t xml:space="preserve"> de los ingresos propios de los ayuntamientos).</w:t>
      </w:r>
    </w:p>
    <w:p w14:paraId="0FEE2DF8" w14:textId="75C439CA" w:rsidR="00155319" w:rsidRPr="003E6AC1" w:rsidRDefault="00155319" w:rsidP="00155319">
      <w:pPr>
        <w:pStyle w:val="Notaalopositor"/>
      </w:pPr>
      <w:r w:rsidRPr="00155319">
        <w:rPr>
          <w:b/>
          <w:bCs/>
        </w:rPr>
        <w:t>Impuesto sobre Actividades Económicas (IAE)</w:t>
      </w:r>
      <w:r>
        <w:t>: Es un impuesto</w:t>
      </w:r>
      <w:r w:rsidRPr="00155319">
        <w:t xml:space="preserve"> que forma parte del sistema tributario español gestionado por los ayuntamientos</w:t>
      </w:r>
      <w:r>
        <w:t xml:space="preserve">, que se aplica tanto a autónomos como a sociedades (personas físicas y jurídicas) por el hecho de realizar una actividad empresarial, profesional o artística en territorio español. </w:t>
      </w:r>
      <w:r w:rsidRPr="00CF555A">
        <w:t>A diferencia de otros impuestos, su importe es constante independientemente del balance de la actividad</w:t>
      </w:r>
      <w:r>
        <w:t xml:space="preserve">. Es un impuesto </w:t>
      </w:r>
      <w:r w:rsidRPr="00155319">
        <w:rPr>
          <w:b/>
          <w:bCs/>
        </w:rPr>
        <w:t>directo</w:t>
      </w:r>
      <w:r w:rsidRPr="00CF555A">
        <w:t>, obligatorio, proporcional, real y de gestión compartida.</w:t>
      </w:r>
    </w:p>
    <w:p w14:paraId="7674DBFD" w14:textId="371E9CA8" w:rsidR="008C7160" w:rsidRDefault="008C7160" w:rsidP="008C7160">
      <w:pPr>
        <w:pStyle w:val="Introduccinyconclusin"/>
      </w:pPr>
      <w:r>
        <w:t>CONCLUSI</w:t>
      </w:r>
      <w:r w:rsidR="006072A5">
        <w:t>Ó</w:t>
      </w:r>
      <w:r>
        <w:t>N</w:t>
      </w:r>
    </w:p>
    <w:p w14:paraId="7C286388" w14:textId="77777777" w:rsidR="008C7160" w:rsidRDefault="008C7160" w:rsidP="008C7160">
      <w:pPr>
        <w:pStyle w:val="Nivel1"/>
        <w:keepNext/>
        <w:spacing w:before="0" w:after="0"/>
      </w:pPr>
      <w:bookmarkStart w:id="42" w:name="_Hlk147760621"/>
      <w:r>
        <w:rPr>
          <w:b/>
          <w:bCs/>
          <w:i/>
          <w:iCs/>
        </w:rPr>
        <w:t>Recapitulación (Ideas clave)</w:t>
      </w:r>
      <w:r>
        <w:t>:</w:t>
      </w:r>
    </w:p>
    <w:p w14:paraId="2CDA4A33" w14:textId="5986F258" w:rsidR="008C7160" w:rsidRDefault="00C93EAE" w:rsidP="008C7160">
      <w:pPr>
        <w:pStyle w:val="Nivel2"/>
      </w:pPr>
      <w:r>
        <w:t>En esta exposición hemos repasado desde un punto de vista general y teórico la imposición directa, considerando diferentes opciones que tienen los legisladores a nivel internacional a la hora de gravar diferentes manifestaciones de capacidad económica.</w:t>
      </w:r>
    </w:p>
    <w:p w14:paraId="4BC5D02A" w14:textId="7816052B" w:rsidR="00C93EAE" w:rsidRDefault="00C93EAE" w:rsidP="008C7160">
      <w:pPr>
        <w:pStyle w:val="Nivel2"/>
      </w:pPr>
      <w:r>
        <w:t>Un elemento imprescindible a la hora de hablar sobre la imposición directa es que son los tributos que más se adaptan a las características personales de cada contribuyente, y que por tanto, serán aquellos que den mayor margen al desarrollo de políticas económicas.</w:t>
      </w:r>
    </w:p>
    <w:p w14:paraId="4D5D435E" w14:textId="77777777" w:rsidR="008C7160" w:rsidRPr="00747F0A" w:rsidRDefault="008C7160" w:rsidP="008C7160">
      <w:pPr>
        <w:pStyle w:val="Nivel1"/>
        <w:keepNext/>
        <w:spacing w:after="0"/>
      </w:pPr>
      <w:r>
        <w:rPr>
          <w:b/>
          <w:bCs/>
          <w:i/>
          <w:iCs/>
        </w:rPr>
        <w:t>Relevancia</w:t>
      </w:r>
      <w:r>
        <w:t>:</w:t>
      </w:r>
    </w:p>
    <w:p w14:paraId="0DEE59DF" w14:textId="77777777" w:rsidR="008C7160" w:rsidRPr="00747F0A" w:rsidRDefault="008C7160" w:rsidP="008C7160">
      <w:pPr>
        <w:pStyle w:val="Nivel2"/>
      </w:pPr>
    </w:p>
    <w:p w14:paraId="0BFA88FF" w14:textId="77777777" w:rsidR="008C7160" w:rsidRDefault="008C7160" w:rsidP="008C7160">
      <w:pPr>
        <w:pStyle w:val="Nivel1"/>
        <w:keepNext/>
        <w:spacing w:after="0"/>
      </w:pPr>
      <w:r>
        <w:rPr>
          <w:b/>
          <w:bCs/>
          <w:i/>
          <w:iCs/>
        </w:rPr>
        <w:t>Extensiones y relación con otras partes del temario</w:t>
      </w:r>
      <w:r>
        <w:t>:</w:t>
      </w:r>
    </w:p>
    <w:p w14:paraId="4D997227" w14:textId="77777777" w:rsidR="00414682" w:rsidRDefault="00C93EAE" w:rsidP="00E7347B">
      <w:pPr>
        <w:pStyle w:val="Nivel2"/>
        <w:keepNext/>
        <w:spacing w:after="0"/>
        <w:rPr>
          <w:lang w:val="en-US"/>
        </w:rPr>
      </w:pPr>
      <w:r w:rsidRPr="00C93EAE">
        <w:rPr>
          <w:lang w:val="en-US"/>
        </w:rPr>
        <w:t>BEPS Project</w:t>
      </w:r>
      <w:r>
        <w:rPr>
          <w:lang w:val="en-US"/>
        </w:rPr>
        <w:t xml:space="preserve"> del G-20 y de la OCDE</w:t>
      </w:r>
      <w:r w:rsidRPr="00C93EAE">
        <w:rPr>
          <w:lang w:val="en-US"/>
        </w:rPr>
        <w:t>: Ta</w:t>
      </w:r>
      <w:r>
        <w:rPr>
          <w:lang w:val="en-US"/>
        </w:rPr>
        <w:t>x</w:t>
      </w:r>
      <w:r w:rsidRPr="00C93EAE">
        <w:rPr>
          <w:lang w:val="en-US"/>
        </w:rPr>
        <w:t xml:space="preserve"> avoidance b</w:t>
      </w:r>
      <w:r>
        <w:rPr>
          <w:lang w:val="en-US"/>
        </w:rPr>
        <w:t>y multinationals (elusion fiscal): the use of legal ways to shift profits from where they will be taxed at a higher wage to where they will be taxed at a low one.</w:t>
      </w:r>
    </w:p>
    <w:p w14:paraId="32A9AB6F" w14:textId="36D9E44D" w:rsidR="00E7347B" w:rsidRDefault="00E7347B" w:rsidP="00414682">
      <w:pPr>
        <w:pStyle w:val="Nivel3"/>
      </w:pPr>
      <w:r w:rsidRPr="00E7347B">
        <w:t>El proyecto BEPS (</w:t>
      </w:r>
      <w:r w:rsidRPr="00E7347B">
        <w:rPr>
          <w:i/>
          <w:iCs/>
        </w:rPr>
        <w:t>Inclusive Framework on Base Erosion and Profit Shifting</w:t>
      </w:r>
      <w:r w:rsidRPr="00E7347B">
        <w:t>) está trabajando para evitar e</w:t>
      </w:r>
      <w:r>
        <w:t xml:space="preserve">rosiones de la base imponible y, por tanto, pérdidas de </w:t>
      </w:r>
      <w:r>
        <w:lastRenderedPageBreak/>
        <w:t>recaudación de los Estados por elusión fiscal.</w:t>
      </w:r>
      <w:r w:rsidR="001C293D">
        <w:t xml:space="preserve"> Así, busca evitar la </w:t>
      </w:r>
      <w:r w:rsidR="001C293D">
        <w:rPr>
          <w:i/>
          <w:iCs/>
        </w:rPr>
        <w:t>competencia fiscal</w:t>
      </w:r>
      <w:r w:rsidR="001C293D">
        <w:t xml:space="preserve"> entre Estados.</w:t>
      </w:r>
    </w:p>
    <w:p w14:paraId="15CACDE2" w14:textId="61DB95CD" w:rsidR="00BF3415" w:rsidRPr="00E7347B" w:rsidRDefault="00BF3415" w:rsidP="00414682">
      <w:pPr>
        <w:pStyle w:val="Nivel3"/>
      </w:pPr>
      <w:r>
        <w:t xml:space="preserve">Se trata de un juego no cooperativo tipo </w:t>
      </w:r>
      <w:r>
        <w:rPr>
          <w:i/>
          <w:iCs/>
        </w:rPr>
        <w:t>dilema del prisionero</w:t>
      </w:r>
      <w:r>
        <w:t>.</w:t>
      </w:r>
    </w:p>
    <w:p w14:paraId="25664EF8" w14:textId="055BED42" w:rsidR="008C7160" w:rsidRDefault="00414682" w:rsidP="00414682">
      <w:pPr>
        <w:pStyle w:val="Nivel3"/>
      </w:pPr>
      <w:r w:rsidRPr="00414682">
        <w:t xml:space="preserve">La Comisión Europea </w:t>
      </w:r>
      <w:r>
        <w:t>e</w:t>
      </w:r>
      <w:r w:rsidRPr="00414682">
        <w:t xml:space="preserve">vita </w:t>
      </w:r>
      <w:r>
        <w:t>el término “paraísos fiscales” y usa el eufemismo “las reglas tributarias de este país son utilizadas por multinacionales involucradas en estructuras de planificación fiscal agresivas”. Esta descripción se incluía en los informes de 2019 de Chipre, Holanda, Hungría, Irlanda, Luxemburgo y Malta.</w:t>
      </w:r>
    </w:p>
    <w:p w14:paraId="12D8E982" w14:textId="5204D892" w:rsidR="00BF3415" w:rsidRDefault="00BF3415" w:rsidP="00414682">
      <w:pPr>
        <w:pStyle w:val="Nivel3"/>
      </w:pPr>
      <w:r>
        <w:t>La solución a nivel de la UE pasa por una cooperación, por ejemplo, instaurando un tipo mínimo europeo que evite una “carrera hasta el fondo”.</w:t>
      </w:r>
    </w:p>
    <w:p w14:paraId="7B35C181" w14:textId="02771223" w:rsidR="00414682" w:rsidRDefault="00BF3415" w:rsidP="005A6639">
      <w:pPr>
        <w:pStyle w:val="Nivel2"/>
        <w:keepNext/>
        <w:spacing w:after="0"/>
      </w:pPr>
      <w:r>
        <w:t xml:space="preserve">En 2014, el economista francés </w:t>
      </w:r>
      <w:r>
        <w:rPr>
          <w:smallCaps/>
        </w:rPr>
        <w:t>Thomas Piketty</w:t>
      </w:r>
      <w:r>
        <w:t xml:space="preserve"> publicó </w:t>
      </w:r>
      <w:r w:rsidRPr="00BF3415">
        <w:rPr>
          <w:i/>
          <w:iCs/>
        </w:rPr>
        <w:t>“</w:t>
      </w:r>
      <w:r>
        <w:rPr>
          <w:i/>
          <w:iCs/>
        </w:rPr>
        <w:t>El capital en el siglo XXI</w:t>
      </w:r>
      <w:r w:rsidRPr="00BF3415">
        <w:rPr>
          <w:i/>
          <w:iCs/>
        </w:rPr>
        <w:t>”</w:t>
      </w:r>
      <w:r>
        <w:t xml:space="preserve"> un libro que ha adquirido mucha popularidad en el que aboga por la creación de un impuesto global sobre la riqueza que evite que la riqueza se concentre en los países que no adopten el impuesto (</w:t>
      </w:r>
      <w:r>
        <w:rPr>
          <w:i/>
          <w:iCs/>
        </w:rPr>
        <w:t>Piketty tax</w:t>
      </w:r>
      <w:r>
        <w:t>). Su idea se basa en que como la riqueza crece más rápido que el PIB esto lleva a un aumento secular de la desigualdad que puede ser resuelta con este impuesto</w:t>
      </w:r>
      <w:r w:rsidR="005A6639">
        <w:t xml:space="preserve"> progresivo</w:t>
      </w:r>
      <w:r>
        <w:t>.</w:t>
      </w:r>
    </w:p>
    <w:p w14:paraId="1475B5FE" w14:textId="77777777" w:rsidR="005A6639" w:rsidRDefault="005A6639" w:rsidP="005A6639">
      <w:pPr>
        <w:pStyle w:val="Nivel3"/>
        <w:keepNext/>
      </w:pPr>
      <w:r>
        <w:t>En cualquier caso, presenta numerosos problemas:</w:t>
      </w:r>
    </w:p>
    <w:p w14:paraId="4064B7E0" w14:textId="73FB233C" w:rsidR="005A6639" w:rsidRDefault="005A6639" w:rsidP="005A6639">
      <w:pPr>
        <w:pStyle w:val="Nivel4"/>
      </w:pPr>
      <w:r>
        <w:t>Su implantación práctica es muy difícil.</w:t>
      </w:r>
    </w:p>
    <w:p w14:paraId="70A11087" w14:textId="25C3DECA" w:rsidR="005A6639" w:rsidRDefault="005A6639" w:rsidP="005A6639">
      <w:pPr>
        <w:pStyle w:val="Nivel4"/>
      </w:pPr>
      <w:r>
        <w:t>Introduciría distorsiones.</w:t>
      </w:r>
    </w:p>
    <w:p w14:paraId="4350F5A8" w14:textId="4F7D1390" w:rsidR="005A6639" w:rsidRPr="00414682" w:rsidRDefault="005A6639" w:rsidP="005A6639">
      <w:pPr>
        <w:pStyle w:val="Nivel4"/>
      </w:pPr>
      <w:r>
        <w:t>No sería tan progresivo si las grandes fortunas consiguen eludir el impuesto.</w:t>
      </w:r>
    </w:p>
    <w:p w14:paraId="60F039A3" w14:textId="77777777" w:rsidR="008C7160" w:rsidRDefault="008C7160" w:rsidP="008C7160">
      <w:pPr>
        <w:pStyle w:val="Nivel1"/>
        <w:keepNext/>
        <w:spacing w:after="0"/>
      </w:pPr>
      <w:r>
        <w:rPr>
          <w:b/>
          <w:bCs/>
          <w:i/>
          <w:iCs/>
        </w:rPr>
        <w:t>Opinión</w:t>
      </w:r>
      <w:r>
        <w:t>:</w:t>
      </w:r>
    </w:p>
    <w:p w14:paraId="7AE00F3B" w14:textId="77777777" w:rsidR="008C7160" w:rsidRPr="00747F0A" w:rsidRDefault="008C7160" w:rsidP="008C7160">
      <w:pPr>
        <w:pStyle w:val="Nivel2"/>
      </w:pPr>
    </w:p>
    <w:p w14:paraId="00B555A8" w14:textId="77777777" w:rsidR="008C7160" w:rsidRDefault="008C7160" w:rsidP="008C7160">
      <w:pPr>
        <w:pStyle w:val="Nivel1"/>
        <w:keepNext/>
        <w:spacing w:after="0"/>
      </w:pPr>
      <w:r>
        <w:rPr>
          <w:b/>
          <w:bCs/>
          <w:i/>
          <w:iCs/>
        </w:rPr>
        <w:t>Idea final (Salida o cierre)</w:t>
      </w:r>
      <w:r>
        <w:t>:</w:t>
      </w:r>
    </w:p>
    <w:p w14:paraId="47A3AE07" w14:textId="0DEFCB42" w:rsidR="008C7160" w:rsidRDefault="008C7160" w:rsidP="008C7160">
      <w:pPr>
        <w:pStyle w:val="Nivel2"/>
      </w:pPr>
    </w:p>
    <w:bookmarkEnd w:id="42"/>
    <w:p w14:paraId="65BEF5D5" w14:textId="534BCA3C" w:rsidR="008C7160" w:rsidRDefault="00F94CE1" w:rsidP="00F94CE1">
      <w:pPr>
        <w:pStyle w:val="Ttulo4"/>
      </w:pPr>
      <w:r>
        <w:br w:type="page"/>
      </w:r>
      <w:bookmarkStart w:id="43" w:name="_Hlk147656463"/>
      <w:r w:rsidR="008C7160">
        <w:lastRenderedPageBreak/>
        <w:t>Bibliografía</w:t>
      </w:r>
    </w:p>
    <w:p w14:paraId="69E9EAC8" w14:textId="77777777" w:rsidR="008C7160" w:rsidRDefault="008C7160" w:rsidP="008C7160">
      <w:r>
        <w:t>Tema María Palacios Carrere</w:t>
      </w:r>
    </w:p>
    <w:p w14:paraId="11D3F3EC" w14:textId="0A092228" w:rsidR="006072A5" w:rsidRDefault="006072A5" w:rsidP="008C7160">
      <w:r>
        <w:t>Tema Juan Luis Cordero</w:t>
      </w:r>
    </w:p>
    <w:p w14:paraId="4DE0E4E7" w14:textId="77777777" w:rsidR="008C7160" w:rsidRDefault="008C7160" w:rsidP="008C7160">
      <w:r w:rsidRPr="000612C0">
        <w:rPr>
          <w:i/>
          <w:iCs/>
        </w:rPr>
        <w:t>“Economía pública”</w:t>
      </w:r>
      <w:r w:rsidRPr="000612C0">
        <w:t>, Albi.</w:t>
      </w:r>
    </w:p>
    <w:p w14:paraId="39A2E3E5" w14:textId="390DACAC" w:rsidR="008C7160" w:rsidRDefault="008C7160" w:rsidP="008C7160">
      <w:r>
        <w:t>“Cuadernos de hacienda pública: teoría de los impuestos” (Delgado, Muñiz…).</w:t>
      </w:r>
    </w:p>
    <w:p w14:paraId="47BA617C" w14:textId="77777777" w:rsidR="008C7160" w:rsidRDefault="008C7160" w:rsidP="008C7160">
      <w:pPr>
        <w:pStyle w:val="Ttulo4"/>
      </w:pPr>
      <w:r>
        <w:t>Preguntas de otros exámenes</w:t>
      </w:r>
    </w:p>
    <w:p w14:paraId="6C8A367C" w14:textId="4DA1C36E" w:rsidR="008C7160" w:rsidRPr="002908B3" w:rsidRDefault="008C7160" w:rsidP="008C7160">
      <w:pPr>
        <w:pStyle w:val="Nivel2SM"/>
      </w:pPr>
    </w:p>
    <w:p w14:paraId="0D592132" w14:textId="77777777" w:rsidR="008C7160" w:rsidRDefault="008C7160" w:rsidP="008C7160">
      <w:pPr>
        <w:pStyle w:val="Ttulo4"/>
      </w:pPr>
      <w:r w:rsidRPr="00342648">
        <w:t>Anexos</w:t>
      </w:r>
    </w:p>
    <w:p w14:paraId="7105615B" w14:textId="70C28832" w:rsidR="008C7160" w:rsidRDefault="008C7160" w:rsidP="00065E0A">
      <w:pPr>
        <w:pStyle w:val="Ttulo5"/>
        <w:rPr>
          <w:u w:val="none"/>
        </w:rPr>
      </w:pPr>
      <w:r w:rsidRPr="0002549F">
        <w:t>Anexo</w:t>
      </w:r>
      <w:r>
        <w:t> </w:t>
      </w:r>
      <w:r w:rsidRPr="0002549F">
        <w:t>1</w:t>
      </w:r>
      <w:r w:rsidRPr="008C7160">
        <w:rPr>
          <w:u w:val="none"/>
        </w:rPr>
        <w:t xml:space="preserve">: </w:t>
      </w:r>
      <w:r w:rsidR="000E6CED">
        <w:rPr>
          <w:u w:val="none"/>
        </w:rPr>
        <w:t>Insuficiencia recaudatoria, paradoja fiscal y</w:t>
      </w:r>
      <w:r w:rsidR="00E72F0E">
        <w:rPr>
          <w:u w:val="none"/>
        </w:rPr>
        <w:t xml:space="preserve"> beneficios</w:t>
      </w:r>
      <w:r w:rsidR="000E6CED">
        <w:rPr>
          <w:u w:val="none"/>
        </w:rPr>
        <w:t xml:space="preserve"> </w:t>
      </w:r>
      <w:r w:rsidR="00E72F0E">
        <w:rPr>
          <w:u w:val="none"/>
        </w:rPr>
        <w:t>fiscales</w:t>
      </w:r>
    </w:p>
    <w:bookmarkEnd w:id="43"/>
    <w:p w14:paraId="1A5FE197" w14:textId="5259309D" w:rsidR="00E72F0E" w:rsidRPr="00E72F0E" w:rsidRDefault="00000000" w:rsidP="00E72F0E">
      <w:pPr>
        <w:pStyle w:val="Cajadeanotaciones"/>
        <w:keepNext/>
      </w:pPr>
      <w:r>
        <w:fldChar w:fldCharType="begin"/>
      </w:r>
      <w:r>
        <w:instrText>HYPERLINK "http://vicenteesteve.blogspot.com/2023/04/cambios-en-la-ratio-stock-de-deuda.html"</w:instrText>
      </w:r>
      <w:r>
        <w:fldChar w:fldCharType="separate"/>
      </w:r>
      <w:r w:rsidR="00E72F0E" w:rsidRPr="00720322">
        <w:rPr>
          <w:rStyle w:val="Hipervnculo"/>
        </w:rPr>
        <w:t>http://vicenteesteve.blogspot.com/2023/04/cambios-en-la-ratio-stock-de-deuda.html</w:t>
      </w:r>
      <w:r>
        <w:rPr>
          <w:rStyle w:val="Hipervnculo"/>
        </w:rPr>
        <w:fldChar w:fldCharType="end"/>
      </w:r>
    </w:p>
    <w:p w14:paraId="6B4B1A24" w14:textId="5B3C704F" w:rsidR="000E6CED" w:rsidRPr="000E6CED" w:rsidRDefault="00076575" w:rsidP="000E6CED">
      <w:pPr>
        <w:rPr>
          <w:lang w:eastAsia="es-ES"/>
        </w:rPr>
      </w:pPr>
      <w:r>
        <w:rPr>
          <w:lang w:eastAsia="es-ES"/>
        </w:rPr>
        <w:t>L</w:t>
      </w:r>
      <w:r w:rsidR="000E6CED" w:rsidRPr="000E6CED">
        <w:rPr>
          <w:lang w:eastAsia="es-ES"/>
        </w:rPr>
        <w:t>a economía española tiene un</w:t>
      </w:r>
      <w:r>
        <w:rPr>
          <w:lang w:eastAsia="es-ES"/>
        </w:rPr>
        <w:t xml:space="preserve"> </w:t>
      </w:r>
      <w:r w:rsidR="000E6CED" w:rsidRPr="000E6CED">
        <w:rPr>
          <w:lang w:eastAsia="es-ES"/>
        </w:rPr>
        <w:t xml:space="preserve">problema conocido como </w:t>
      </w:r>
      <w:r w:rsidRPr="00076575">
        <w:rPr>
          <w:i/>
          <w:iCs/>
          <w:lang w:eastAsia="es-ES"/>
        </w:rPr>
        <w:t>“</w:t>
      </w:r>
      <w:r w:rsidR="000E6CED" w:rsidRPr="00076575">
        <w:rPr>
          <w:i/>
          <w:iCs/>
          <w:lang w:eastAsia="es-ES"/>
        </w:rPr>
        <w:t>paradoja fiscal</w:t>
      </w:r>
      <w:r w:rsidRPr="00076575">
        <w:rPr>
          <w:i/>
          <w:iCs/>
          <w:lang w:eastAsia="es-ES"/>
        </w:rPr>
        <w:t>”</w:t>
      </w:r>
      <w:r w:rsidR="000E6CED" w:rsidRPr="000E6CED">
        <w:rPr>
          <w:lang w:eastAsia="es-ES"/>
        </w:rPr>
        <w:t>: tenemos tipos impositivos altos en relación a los países de la zona euro pero a la vez la recaudación fiscal es menor en todas las figuras impositivas.</w:t>
      </w:r>
    </w:p>
    <w:p w14:paraId="3F94F202" w14:textId="7D0D8B5C" w:rsidR="000E6CED" w:rsidRPr="000E6CED" w:rsidRDefault="000E6CED" w:rsidP="000E6CED">
      <w:pPr>
        <w:rPr>
          <w:lang w:eastAsia="es-ES"/>
        </w:rPr>
      </w:pPr>
      <w:r w:rsidRPr="000E6CED">
        <w:rPr>
          <w:lang w:eastAsia="es-ES"/>
        </w:rPr>
        <w:t>Las causas están en el mayor fraude fiscal (las últimas estimaciones de la Comisión Europea</w:t>
      </w:r>
      <w:r w:rsidR="00E72F0E">
        <w:rPr>
          <w:lang w:eastAsia="es-ES"/>
        </w:rPr>
        <w:t xml:space="preserve"> </w:t>
      </w:r>
      <w:r w:rsidRPr="000E6CED">
        <w:rPr>
          <w:lang w:eastAsia="es-ES"/>
        </w:rPr>
        <w:t>para 2020 sitúan el fraude fiscal en el IVA en España en el 0,3</w:t>
      </w:r>
      <w:r w:rsidR="00E72F0E">
        <w:rPr>
          <w:lang w:eastAsia="es-ES"/>
        </w:rPr>
        <w:t> </w:t>
      </w:r>
      <w:r w:rsidRPr="000E6CED">
        <w:rPr>
          <w:lang w:eastAsia="es-ES"/>
        </w:rPr>
        <w:t>% del PIB; 3.396</w:t>
      </w:r>
      <w:r w:rsidR="00E72F0E">
        <w:rPr>
          <w:lang w:eastAsia="es-ES"/>
        </w:rPr>
        <w:t> </w:t>
      </w:r>
      <w:r w:rsidRPr="000E6CED">
        <w:rPr>
          <w:lang w:eastAsia="es-ES"/>
        </w:rPr>
        <w:t>millones de euros y el 4,7</w:t>
      </w:r>
      <w:r w:rsidR="00E72F0E">
        <w:rPr>
          <w:lang w:eastAsia="es-ES"/>
        </w:rPr>
        <w:t> </w:t>
      </w:r>
      <w:r w:rsidRPr="000E6CED">
        <w:rPr>
          <w:lang w:eastAsia="es-ES"/>
        </w:rPr>
        <w:t xml:space="preserve">% de la recaudación potencial) y en el </w:t>
      </w:r>
      <w:r w:rsidRPr="009626A6">
        <w:rPr>
          <w:i/>
          <w:iCs/>
          <w:lang w:eastAsia="es-ES"/>
        </w:rPr>
        <w:t>exceso de beneficios fiscales</w:t>
      </w:r>
      <w:r w:rsidRPr="000E6CED">
        <w:rPr>
          <w:lang w:eastAsia="es-ES"/>
        </w:rPr>
        <w:t xml:space="preserve"> (o gastos fiscales) que generan una</w:t>
      </w:r>
      <w:r>
        <w:rPr>
          <w:lang w:eastAsia="es-ES"/>
        </w:rPr>
        <w:t xml:space="preserve"> </w:t>
      </w:r>
      <w:r w:rsidR="00434B3D" w:rsidRPr="009626A6">
        <w:rPr>
          <w:i/>
          <w:iCs/>
          <w:lang w:eastAsia="es-ES"/>
        </w:rPr>
        <w:t>“</w:t>
      </w:r>
      <w:r w:rsidRPr="009626A6">
        <w:rPr>
          <w:i/>
          <w:iCs/>
          <w:lang w:eastAsia="es-ES"/>
        </w:rPr>
        <w:t>insuficiencia recaudatoria</w:t>
      </w:r>
      <w:r w:rsidR="00434B3D" w:rsidRPr="009626A6">
        <w:rPr>
          <w:i/>
          <w:iCs/>
          <w:lang w:eastAsia="es-ES"/>
        </w:rPr>
        <w:t>”</w:t>
      </w:r>
      <w:r w:rsidRPr="000E6CED">
        <w:rPr>
          <w:lang w:eastAsia="es-ES"/>
        </w:rPr>
        <w:t>.</w:t>
      </w:r>
    </w:p>
    <w:p w14:paraId="52070969" w14:textId="5CDF16E0" w:rsidR="000E6CED" w:rsidRPr="000E6CED" w:rsidRDefault="000E6CED" w:rsidP="000E6CED">
      <w:pPr>
        <w:rPr>
          <w:lang w:eastAsia="es-ES"/>
        </w:rPr>
      </w:pPr>
      <w:r w:rsidRPr="000E6CED">
        <w:rPr>
          <w:lang w:eastAsia="es-ES"/>
        </w:rPr>
        <w:t>Recordemos que los llamados gastos fiscales o tributarios (beneficios fiscales en términos de los Presupuestos Generales del Estado) son el conjunto de deducciones, exenciones, desgravaciones, reducciones e incentivos de las distintas figuras tributarias (IVA, IRPF e impuesto de sociedades, fundamentalmente). Suponen un importante coste en términos de recaudación impositiva y que en la mayoría de los casos tienen además efectos perversos negativos sobre la equidad y la eficiencia impositiva.</w:t>
      </w:r>
    </w:p>
    <w:p w14:paraId="01EF31F5" w14:textId="78098F54" w:rsidR="000E6CED" w:rsidRPr="000E6CED" w:rsidRDefault="000E6CED" w:rsidP="000E6CED">
      <w:pPr>
        <w:rPr>
          <w:rFonts w:ascii="Times New Roman" w:hAnsi="Times New Roman"/>
          <w:lang w:eastAsia="es-ES"/>
        </w:rPr>
      </w:pPr>
      <w:r w:rsidRPr="000E6CED">
        <w:rPr>
          <w:lang w:eastAsia="es-ES"/>
        </w:rPr>
        <w:t>Por un lado, en los Presupuestos Generales del Estado para 2023 se prevén unos beneficios fiscales totales de</w:t>
      </w:r>
      <w:r>
        <w:rPr>
          <w:lang w:eastAsia="es-ES"/>
        </w:rPr>
        <w:t xml:space="preserve"> </w:t>
      </w:r>
      <w:r w:rsidRPr="000E6CED">
        <w:rPr>
          <w:color w:val="FF0000"/>
          <w:lang w:eastAsia="es-ES"/>
        </w:rPr>
        <w:t>45.269</w:t>
      </w:r>
      <w:r w:rsidR="00E72F0E">
        <w:rPr>
          <w:color w:val="FF0000"/>
          <w:lang w:eastAsia="es-ES"/>
        </w:rPr>
        <w:t> </w:t>
      </w:r>
      <w:r w:rsidRPr="000E6CED">
        <w:rPr>
          <w:color w:val="FF0000"/>
          <w:lang w:eastAsia="es-ES"/>
        </w:rPr>
        <w:t>millones de euros</w:t>
      </w:r>
      <w:r w:rsidRPr="000E6CED">
        <w:rPr>
          <w:lang w:eastAsia="es-ES"/>
        </w:rPr>
        <w:t>, que suponen una pérdida de recaudación fiscal asumida ex-ante y legal en todos las figuras impositivas, tal y como se puede ver en el siguiente cuadro.</w:t>
      </w:r>
    </w:p>
    <w:p w14:paraId="68368AA7" w14:textId="2A7DEF36" w:rsidR="004B5707" w:rsidRDefault="000E6CED" w:rsidP="000E6CED">
      <w:pPr>
        <w:rPr>
          <w:rFonts w:ascii="Times New Roman" w:hAnsi="Times New Roman"/>
          <w:lang w:eastAsia="es-ES"/>
        </w:rPr>
      </w:pPr>
      <w:r w:rsidRPr="000E6CED">
        <w:rPr>
          <w:rFonts w:ascii="Times New Roman" w:hAnsi="Times New Roman"/>
          <w:noProof/>
          <w:color w:val="993300"/>
          <w:lang w:eastAsia="es-ES"/>
        </w:rPr>
        <w:lastRenderedPageBreak/>
        <w:drawing>
          <wp:inline distT="0" distB="0" distL="0" distR="0" wp14:anchorId="78DFA84F" wp14:editId="2053970C">
            <wp:extent cx="3042000" cy="4378849"/>
            <wp:effectExtent l="0" t="0" r="6350" b="3175"/>
            <wp:docPr id="730609159" name="Imagen 10" descr="Tabla&#10;&#10;Descripción generada automáticament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09159" name="Imagen 10" descr="Tabla&#10;&#10;Descripción generada automáticamente">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2000" cy="4378849"/>
                    </a:xfrm>
                    <a:prstGeom prst="rect">
                      <a:avLst/>
                    </a:prstGeom>
                    <a:noFill/>
                    <a:ln>
                      <a:noFill/>
                    </a:ln>
                  </pic:spPr>
                </pic:pic>
              </a:graphicData>
            </a:graphic>
          </wp:inline>
        </w:drawing>
      </w:r>
      <w:r w:rsidRPr="000E6CED">
        <w:rPr>
          <w:rFonts w:ascii="Times New Roman" w:hAnsi="Times New Roman"/>
          <w:noProof/>
          <w:color w:val="993300"/>
          <w:lang w:eastAsia="es-ES"/>
        </w:rPr>
        <w:drawing>
          <wp:inline distT="0" distB="0" distL="0" distR="0" wp14:anchorId="3748D3D0" wp14:editId="106FC91B">
            <wp:extent cx="3042000" cy="4053465"/>
            <wp:effectExtent l="0" t="0" r="6350" b="4445"/>
            <wp:docPr id="1722295941" name="Imagen 9" descr="Tabla&#10;&#10;Descripción generada automáticamen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95941" name="Imagen 9" descr="Tabla&#10;&#10;Descripción generada automáticamente">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42000" cy="4053465"/>
                    </a:xfrm>
                    <a:prstGeom prst="rect">
                      <a:avLst/>
                    </a:prstGeom>
                    <a:noFill/>
                    <a:ln>
                      <a:noFill/>
                    </a:ln>
                  </pic:spPr>
                </pic:pic>
              </a:graphicData>
            </a:graphic>
          </wp:inline>
        </w:drawing>
      </w:r>
      <w:r w:rsidRPr="000E6CED">
        <w:rPr>
          <w:rFonts w:ascii="Times New Roman" w:hAnsi="Times New Roman"/>
          <w:noProof/>
          <w:color w:val="993300"/>
          <w:lang w:eastAsia="es-ES"/>
        </w:rPr>
        <w:drawing>
          <wp:inline distT="0" distB="0" distL="0" distR="0" wp14:anchorId="7FF2A8CD" wp14:editId="4C230F2A">
            <wp:extent cx="3042000" cy="2187801"/>
            <wp:effectExtent l="0" t="0" r="6350" b="3175"/>
            <wp:docPr id="8216141" name="Imagen 8" descr="Tabla&#10;&#10;Descripción generada automáticament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141" name="Imagen 8" descr="Tabla&#10;&#10;Descripción generada automáticamente">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2000" cy="2187801"/>
                    </a:xfrm>
                    <a:prstGeom prst="rect">
                      <a:avLst/>
                    </a:prstGeom>
                    <a:noFill/>
                    <a:ln>
                      <a:noFill/>
                    </a:ln>
                  </pic:spPr>
                </pic:pic>
              </a:graphicData>
            </a:graphic>
          </wp:inline>
        </w:drawing>
      </w:r>
    </w:p>
    <w:p w14:paraId="1A9910F0" w14:textId="773DDFC0" w:rsidR="00F63C28" w:rsidRPr="00F63C28" w:rsidRDefault="00F63C28" w:rsidP="00F63C28">
      <w:pPr>
        <w:pStyle w:val="Ttulo5"/>
        <w:rPr>
          <w:u w:val="none"/>
        </w:rPr>
      </w:pPr>
      <w:r w:rsidRPr="00F63C28">
        <w:t>Anexo </w:t>
      </w:r>
      <w:r>
        <w:t>2</w:t>
      </w:r>
      <w:r w:rsidRPr="00F63C28">
        <w:rPr>
          <w:u w:val="none"/>
        </w:rPr>
        <w:t>: Elementos definidores de los impuestos españoles</w:t>
      </w:r>
    </w:p>
    <w:tbl>
      <w:tblPr>
        <w:tblStyle w:val="Tablaconcuadrcula"/>
        <w:tblW w:w="11440" w:type="dxa"/>
        <w:tblInd w:w="-851" w:type="dxa"/>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1560"/>
        <w:gridCol w:w="1190"/>
        <w:gridCol w:w="1190"/>
        <w:gridCol w:w="1190"/>
        <w:gridCol w:w="1230"/>
        <w:gridCol w:w="1230"/>
        <w:gridCol w:w="1230"/>
        <w:gridCol w:w="1310"/>
        <w:gridCol w:w="1310"/>
      </w:tblGrid>
      <w:tr w:rsidR="002E4A4D" w:rsidRPr="00B87FD8" w14:paraId="0BAD8CD1" w14:textId="77777777" w:rsidTr="002E4A4D">
        <w:tc>
          <w:tcPr>
            <w:tcW w:w="1560" w:type="dxa"/>
            <w:tcBorders>
              <w:top w:val="nil"/>
              <w:left w:val="nil"/>
            </w:tcBorders>
            <w:vAlign w:val="center"/>
          </w:tcPr>
          <w:p w14:paraId="7D2B7C32" w14:textId="77777777" w:rsidR="002E4A4D" w:rsidRPr="00B87FD8" w:rsidRDefault="002E4A4D" w:rsidP="002E4A4D">
            <w:pPr>
              <w:spacing w:after="0"/>
              <w:jc w:val="center"/>
              <w:rPr>
                <w:i/>
                <w:iCs/>
                <w:sz w:val="16"/>
                <w:szCs w:val="16"/>
                <w:lang w:val="es-ES"/>
              </w:rPr>
            </w:pPr>
          </w:p>
        </w:tc>
        <w:tc>
          <w:tcPr>
            <w:tcW w:w="1190" w:type="dxa"/>
            <w:tcBorders>
              <w:bottom w:val="single" w:sz="4" w:space="0" w:color="5F2987"/>
            </w:tcBorders>
            <w:shd w:val="clear" w:color="auto" w:fill="E2EFD9" w:themeFill="accent6" w:themeFillTint="33"/>
            <w:vAlign w:val="center"/>
          </w:tcPr>
          <w:p w14:paraId="08488AC8" w14:textId="77777777" w:rsidR="002E4A4D" w:rsidRPr="00B87FD8" w:rsidRDefault="002E4A4D" w:rsidP="002E4A4D">
            <w:pPr>
              <w:spacing w:after="0"/>
              <w:jc w:val="center"/>
              <w:rPr>
                <w:b/>
                <w:bCs/>
                <w:i/>
                <w:iCs/>
                <w:color w:val="5F2987"/>
                <w:sz w:val="16"/>
                <w:szCs w:val="16"/>
                <w:lang w:val="es-ES"/>
              </w:rPr>
            </w:pPr>
            <w:r w:rsidRPr="00B87FD8">
              <w:rPr>
                <w:b/>
                <w:bCs/>
                <w:i/>
                <w:iCs/>
                <w:color w:val="5F2987"/>
                <w:sz w:val="16"/>
                <w:szCs w:val="16"/>
                <w:lang w:val="es-ES"/>
              </w:rPr>
              <w:t>IRPF</w:t>
            </w:r>
          </w:p>
        </w:tc>
        <w:tc>
          <w:tcPr>
            <w:tcW w:w="1190" w:type="dxa"/>
            <w:tcBorders>
              <w:bottom w:val="single" w:sz="4" w:space="0" w:color="5F2987"/>
            </w:tcBorders>
            <w:shd w:val="clear" w:color="auto" w:fill="E2EFD9" w:themeFill="accent6" w:themeFillTint="33"/>
            <w:vAlign w:val="center"/>
          </w:tcPr>
          <w:p w14:paraId="6200D938" w14:textId="77777777" w:rsidR="002E4A4D" w:rsidRPr="00B87FD8" w:rsidRDefault="002E4A4D" w:rsidP="002E4A4D">
            <w:pPr>
              <w:spacing w:after="0"/>
              <w:jc w:val="center"/>
              <w:rPr>
                <w:b/>
                <w:bCs/>
                <w:i/>
                <w:iCs/>
                <w:color w:val="5F2987"/>
                <w:sz w:val="16"/>
                <w:szCs w:val="16"/>
              </w:rPr>
            </w:pPr>
            <w:r w:rsidRPr="00B87FD8">
              <w:rPr>
                <w:b/>
                <w:bCs/>
                <w:i/>
                <w:iCs/>
                <w:color w:val="5F2987"/>
                <w:sz w:val="16"/>
                <w:szCs w:val="16"/>
                <w:lang w:val="es-ES"/>
              </w:rPr>
              <w:t>IVA</w:t>
            </w:r>
          </w:p>
        </w:tc>
        <w:tc>
          <w:tcPr>
            <w:tcW w:w="1190" w:type="dxa"/>
            <w:tcBorders>
              <w:bottom w:val="single" w:sz="4" w:space="0" w:color="5F2987"/>
            </w:tcBorders>
            <w:shd w:val="clear" w:color="auto" w:fill="E2EFD9" w:themeFill="accent6" w:themeFillTint="33"/>
            <w:vAlign w:val="center"/>
          </w:tcPr>
          <w:p w14:paraId="559A2CE2" w14:textId="77777777" w:rsidR="002E4A4D" w:rsidRPr="00B87FD8" w:rsidRDefault="002E4A4D" w:rsidP="002E4A4D">
            <w:pPr>
              <w:spacing w:after="0"/>
              <w:jc w:val="center"/>
              <w:rPr>
                <w:b/>
                <w:bCs/>
                <w:i/>
                <w:iCs/>
                <w:color w:val="5F2987"/>
                <w:sz w:val="16"/>
                <w:szCs w:val="16"/>
                <w:lang w:val="es-ES"/>
              </w:rPr>
            </w:pPr>
            <w:r w:rsidRPr="00B87FD8">
              <w:rPr>
                <w:b/>
                <w:bCs/>
                <w:i/>
                <w:iCs/>
                <w:color w:val="5F2987"/>
                <w:sz w:val="16"/>
                <w:szCs w:val="16"/>
                <w:lang w:val="es-ES"/>
              </w:rPr>
              <w:t>IS</w:t>
            </w:r>
          </w:p>
        </w:tc>
        <w:tc>
          <w:tcPr>
            <w:tcW w:w="1230" w:type="dxa"/>
            <w:tcBorders>
              <w:bottom w:val="single" w:sz="4" w:space="0" w:color="5F2987"/>
            </w:tcBorders>
            <w:shd w:val="clear" w:color="auto" w:fill="E2EFD9" w:themeFill="accent6" w:themeFillTint="33"/>
            <w:vAlign w:val="center"/>
          </w:tcPr>
          <w:p w14:paraId="16B8B764" w14:textId="77777777" w:rsidR="002E4A4D" w:rsidRPr="00B87FD8" w:rsidRDefault="002E4A4D" w:rsidP="002E4A4D">
            <w:pPr>
              <w:spacing w:after="0"/>
              <w:jc w:val="center"/>
              <w:rPr>
                <w:b/>
                <w:bCs/>
                <w:i/>
                <w:iCs/>
                <w:color w:val="5F2987"/>
                <w:sz w:val="16"/>
                <w:szCs w:val="16"/>
                <w:lang w:val="es-ES"/>
              </w:rPr>
            </w:pPr>
            <w:r w:rsidRPr="00B87FD8">
              <w:rPr>
                <w:b/>
                <w:bCs/>
                <w:i/>
                <w:iCs/>
                <w:color w:val="5F2987"/>
                <w:sz w:val="16"/>
                <w:szCs w:val="16"/>
                <w:lang w:val="es-ES"/>
              </w:rPr>
              <w:t>IIEE</w:t>
            </w:r>
          </w:p>
        </w:tc>
        <w:tc>
          <w:tcPr>
            <w:tcW w:w="1230" w:type="dxa"/>
            <w:tcBorders>
              <w:bottom w:val="single" w:sz="4" w:space="0" w:color="5F2987"/>
            </w:tcBorders>
            <w:shd w:val="clear" w:color="auto" w:fill="E2EFD9" w:themeFill="accent6" w:themeFillTint="33"/>
            <w:vAlign w:val="center"/>
          </w:tcPr>
          <w:p w14:paraId="6B4561C8" w14:textId="6C170B3F" w:rsidR="002E4A4D" w:rsidRPr="00B87FD8" w:rsidRDefault="002E4A4D" w:rsidP="002E4A4D">
            <w:pPr>
              <w:spacing w:after="0"/>
              <w:jc w:val="center"/>
              <w:rPr>
                <w:b/>
                <w:bCs/>
                <w:i/>
                <w:iCs/>
                <w:color w:val="5F2987"/>
                <w:sz w:val="16"/>
                <w:szCs w:val="16"/>
              </w:rPr>
            </w:pPr>
            <w:r w:rsidRPr="00B87FD8">
              <w:rPr>
                <w:b/>
                <w:bCs/>
                <w:i/>
                <w:iCs/>
                <w:color w:val="5F2987"/>
                <w:sz w:val="16"/>
                <w:szCs w:val="16"/>
                <w:lang w:val="es-ES"/>
              </w:rPr>
              <w:t>IBI</w:t>
            </w:r>
          </w:p>
        </w:tc>
        <w:tc>
          <w:tcPr>
            <w:tcW w:w="1230" w:type="dxa"/>
            <w:tcBorders>
              <w:bottom w:val="single" w:sz="4" w:space="0" w:color="5F2987"/>
            </w:tcBorders>
            <w:shd w:val="clear" w:color="auto" w:fill="E2EFD9" w:themeFill="accent6" w:themeFillTint="33"/>
            <w:vAlign w:val="center"/>
          </w:tcPr>
          <w:p w14:paraId="277E0B70" w14:textId="245393D5" w:rsidR="002E4A4D" w:rsidRPr="00B87FD8" w:rsidRDefault="002E4A4D" w:rsidP="002E4A4D">
            <w:pPr>
              <w:spacing w:after="0"/>
              <w:jc w:val="center"/>
              <w:rPr>
                <w:b/>
                <w:bCs/>
                <w:i/>
                <w:iCs/>
                <w:color w:val="5F2987"/>
                <w:sz w:val="16"/>
                <w:szCs w:val="16"/>
              </w:rPr>
            </w:pPr>
            <w:r w:rsidRPr="00B87FD8">
              <w:rPr>
                <w:b/>
                <w:bCs/>
                <w:i/>
                <w:iCs/>
                <w:color w:val="5F2987"/>
                <w:sz w:val="16"/>
                <w:szCs w:val="16"/>
                <w:lang w:val="es-ES"/>
              </w:rPr>
              <w:t>ITPyAJD</w:t>
            </w:r>
          </w:p>
        </w:tc>
        <w:tc>
          <w:tcPr>
            <w:tcW w:w="1310" w:type="dxa"/>
            <w:tcBorders>
              <w:bottom w:val="single" w:sz="4" w:space="0" w:color="5F2987"/>
            </w:tcBorders>
            <w:shd w:val="clear" w:color="auto" w:fill="E2EFD9" w:themeFill="accent6" w:themeFillTint="33"/>
            <w:vAlign w:val="center"/>
          </w:tcPr>
          <w:p w14:paraId="1529F792" w14:textId="1BC716C7" w:rsidR="002E4A4D" w:rsidRPr="00B87FD8" w:rsidRDefault="002E4A4D" w:rsidP="002E4A4D">
            <w:pPr>
              <w:spacing w:after="0"/>
              <w:jc w:val="center"/>
              <w:rPr>
                <w:b/>
                <w:bCs/>
                <w:i/>
                <w:iCs/>
                <w:color w:val="5F2987"/>
                <w:sz w:val="16"/>
                <w:szCs w:val="16"/>
              </w:rPr>
            </w:pPr>
            <w:r w:rsidRPr="00B87FD8">
              <w:rPr>
                <w:b/>
                <w:bCs/>
                <w:i/>
                <w:iCs/>
                <w:color w:val="5F2987"/>
                <w:sz w:val="16"/>
                <w:szCs w:val="16"/>
                <w:lang w:val="es-ES"/>
              </w:rPr>
              <w:t>ISD</w:t>
            </w:r>
          </w:p>
        </w:tc>
        <w:tc>
          <w:tcPr>
            <w:tcW w:w="1310" w:type="dxa"/>
            <w:tcBorders>
              <w:bottom w:val="single" w:sz="4" w:space="0" w:color="5F2987"/>
            </w:tcBorders>
            <w:shd w:val="clear" w:color="auto" w:fill="E2EFD9" w:themeFill="accent6" w:themeFillTint="33"/>
            <w:vAlign w:val="center"/>
          </w:tcPr>
          <w:p w14:paraId="6E66BF16" w14:textId="332EA12D" w:rsidR="002E4A4D" w:rsidRPr="00B87FD8" w:rsidRDefault="002E4A4D" w:rsidP="002E4A4D">
            <w:pPr>
              <w:spacing w:after="0"/>
              <w:jc w:val="center"/>
              <w:rPr>
                <w:b/>
                <w:bCs/>
                <w:i/>
                <w:iCs/>
                <w:color w:val="5F2987"/>
                <w:sz w:val="16"/>
                <w:szCs w:val="16"/>
              </w:rPr>
            </w:pPr>
            <w:r w:rsidRPr="00B87FD8">
              <w:rPr>
                <w:b/>
                <w:bCs/>
                <w:i/>
                <w:iCs/>
                <w:color w:val="5F2987"/>
                <w:sz w:val="16"/>
                <w:szCs w:val="16"/>
                <w:lang w:val="es-ES"/>
              </w:rPr>
              <w:t>IP</w:t>
            </w:r>
          </w:p>
        </w:tc>
      </w:tr>
      <w:tr w:rsidR="002E4A4D" w:rsidRPr="00B87FD8" w14:paraId="4475448F" w14:textId="77777777" w:rsidTr="002E4A4D">
        <w:tc>
          <w:tcPr>
            <w:tcW w:w="1560" w:type="dxa"/>
            <w:tcBorders>
              <w:right w:val="single" w:sz="4" w:space="0" w:color="5F2987"/>
            </w:tcBorders>
            <w:shd w:val="clear" w:color="auto" w:fill="E2EFD9" w:themeFill="accent6" w:themeFillTint="33"/>
            <w:vAlign w:val="center"/>
          </w:tcPr>
          <w:p w14:paraId="1BFFF1E3" w14:textId="77777777" w:rsidR="002E4A4D" w:rsidRPr="00B87FD8" w:rsidRDefault="002E4A4D" w:rsidP="002E4A4D">
            <w:pPr>
              <w:spacing w:after="0"/>
              <w:jc w:val="center"/>
              <w:rPr>
                <w:i/>
                <w:iCs/>
                <w:color w:val="5F2987"/>
                <w:sz w:val="16"/>
                <w:szCs w:val="16"/>
                <w:lang w:val="es-ES"/>
              </w:rPr>
            </w:pPr>
            <w:r w:rsidRPr="00B87FD8">
              <w:rPr>
                <w:i/>
                <w:iCs/>
                <w:color w:val="5F2987"/>
                <w:sz w:val="16"/>
                <w:szCs w:val="16"/>
                <w:lang w:val="es-ES"/>
              </w:rPr>
              <w:t>Sujeto pasivo</w:t>
            </w:r>
          </w:p>
        </w:tc>
        <w:tc>
          <w:tcPr>
            <w:tcW w:w="1190" w:type="dxa"/>
            <w:tcBorders>
              <w:top w:val="single" w:sz="4" w:space="0" w:color="5F2987"/>
              <w:left w:val="single" w:sz="4" w:space="0" w:color="5F2987"/>
              <w:bottom w:val="single" w:sz="4" w:space="0" w:color="auto"/>
              <w:right w:val="single" w:sz="4" w:space="0" w:color="auto"/>
            </w:tcBorders>
            <w:vAlign w:val="center"/>
          </w:tcPr>
          <w:p w14:paraId="44EF61A3" w14:textId="77777777" w:rsidR="002E4A4D" w:rsidRPr="00B87FD8" w:rsidRDefault="002E4A4D" w:rsidP="002E4A4D">
            <w:pPr>
              <w:spacing w:after="0"/>
              <w:jc w:val="center"/>
              <w:rPr>
                <w:sz w:val="16"/>
                <w:szCs w:val="16"/>
                <w:lang w:val="es-ES"/>
              </w:rPr>
            </w:pPr>
            <w:r w:rsidRPr="00B87FD8">
              <w:rPr>
                <w:sz w:val="16"/>
                <w:szCs w:val="16"/>
                <w:lang w:val="es-ES"/>
              </w:rPr>
              <w:t>Personal</w:t>
            </w:r>
          </w:p>
        </w:tc>
        <w:tc>
          <w:tcPr>
            <w:tcW w:w="1190" w:type="dxa"/>
            <w:tcBorders>
              <w:top w:val="single" w:sz="4" w:space="0" w:color="5F2987"/>
              <w:left w:val="single" w:sz="4" w:space="0" w:color="auto"/>
              <w:bottom w:val="single" w:sz="4" w:space="0" w:color="auto"/>
              <w:right w:val="single" w:sz="4" w:space="0" w:color="auto"/>
            </w:tcBorders>
            <w:vAlign w:val="center"/>
          </w:tcPr>
          <w:p w14:paraId="2E8191B1" w14:textId="77777777" w:rsidR="002E4A4D" w:rsidRPr="00B87FD8" w:rsidRDefault="002E4A4D" w:rsidP="002E4A4D">
            <w:pPr>
              <w:spacing w:after="0"/>
              <w:jc w:val="center"/>
              <w:rPr>
                <w:sz w:val="16"/>
                <w:szCs w:val="16"/>
              </w:rPr>
            </w:pPr>
            <w:r w:rsidRPr="00B87FD8">
              <w:rPr>
                <w:sz w:val="16"/>
                <w:szCs w:val="16"/>
                <w:lang w:val="es-ES"/>
              </w:rPr>
              <w:t>Personal</w:t>
            </w:r>
          </w:p>
        </w:tc>
        <w:tc>
          <w:tcPr>
            <w:tcW w:w="1190" w:type="dxa"/>
            <w:tcBorders>
              <w:top w:val="single" w:sz="4" w:space="0" w:color="5F2987"/>
              <w:left w:val="single" w:sz="4" w:space="0" w:color="auto"/>
              <w:bottom w:val="single" w:sz="4" w:space="0" w:color="auto"/>
              <w:right w:val="single" w:sz="4" w:space="0" w:color="auto"/>
            </w:tcBorders>
            <w:vAlign w:val="center"/>
          </w:tcPr>
          <w:p w14:paraId="3BBF0739" w14:textId="77777777" w:rsidR="002E4A4D" w:rsidRPr="00B87FD8" w:rsidRDefault="002E4A4D" w:rsidP="002E4A4D">
            <w:pPr>
              <w:spacing w:after="0"/>
              <w:jc w:val="center"/>
              <w:rPr>
                <w:sz w:val="16"/>
                <w:szCs w:val="16"/>
                <w:lang w:val="es-ES"/>
              </w:rPr>
            </w:pPr>
            <w:r w:rsidRPr="00B87FD8">
              <w:rPr>
                <w:sz w:val="16"/>
                <w:szCs w:val="16"/>
                <w:lang w:val="es-ES"/>
              </w:rPr>
              <w:t>Personal</w:t>
            </w:r>
          </w:p>
        </w:tc>
        <w:tc>
          <w:tcPr>
            <w:tcW w:w="1230" w:type="dxa"/>
            <w:tcBorders>
              <w:top w:val="single" w:sz="4" w:space="0" w:color="5F2987"/>
              <w:left w:val="single" w:sz="4" w:space="0" w:color="auto"/>
              <w:bottom w:val="single" w:sz="4" w:space="0" w:color="auto"/>
              <w:right w:val="single" w:sz="4" w:space="0" w:color="auto"/>
            </w:tcBorders>
            <w:vAlign w:val="center"/>
          </w:tcPr>
          <w:p w14:paraId="2A84D9F8" w14:textId="77777777" w:rsidR="002E4A4D" w:rsidRPr="00B87FD8" w:rsidRDefault="002E4A4D" w:rsidP="002E4A4D">
            <w:pPr>
              <w:spacing w:after="0"/>
              <w:jc w:val="center"/>
              <w:rPr>
                <w:sz w:val="16"/>
                <w:szCs w:val="16"/>
                <w:lang w:val="es-ES"/>
              </w:rPr>
            </w:pPr>
            <w:r w:rsidRPr="00B87FD8">
              <w:rPr>
                <w:sz w:val="16"/>
                <w:szCs w:val="16"/>
                <w:lang w:val="es-ES"/>
              </w:rPr>
              <w:t>Personales</w:t>
            </w:r>
          </w:p>
        </w:tc>
        <w:tc>
          <w:tcPr>
            <w:tcW w:w="1230" w:type="dxa"/>
            <w:tcBorders>
              <w:top w:val="single" w:sz="4" w:space="0" w:color="5F2987"/>
              <w:left w:val="single" w:sz="4" w:space="0" w:color="auto"/>
              <w:bottom w:val="single" w:sz="4" w:space="0" w:color="auto"/>
              <w:right w:val="single" w:sz="4" w:space="0" w:color="auto"/>
            </w:tcBorders>
            <w:vAlign w:val="center"/>
          </w:tcPr>
          <w:p w14:paraId="27745B80" w14:textId="4B176D8B" w:rsidR="002E4A4D" w:rsidRPr="00B87FD8" w:rsidRDefault="002E4A4D" w:rsidP="002E4A4D">
            <w:pPr>
              <w:spacing w:after="0"/>
              <w:jc w:val="center"/>
              <w:rPr>
                <w:sz w:val="16"/>
                <w:szCs w:val="16"/>
              </w:rPr>
            </w:pPr>
            <w:r w:rsidRPr="00B87FD8">
              <w:rPr>
                <w:sz w:val="16"/>
                <w:szCs w:val="16"/>
                <w:lang w:val="es-ES"/>
              </w:rPr>
              <w:t>Real</w:t>
            </w:r>
          </w:p>
        </w:tc>
        <w:tc>
          <w:tcPr>
            <w:tcW w:w="1230" w:type="dxa"/>
            <w:tcBorders>
              <w:top w:val="single" w:sz="4" w:space="0" w:color="5F2987"/>
              <w:left w:val="single" w:sz="4" w:space="0" w:color="auto"/>
              <w:bottom w:val="single" w:sz="4" w:space="0" w:color="auto"/>
              <w:right w:val="single" w:sz="4" w:space="0" w:color="auto"/>
            </w:tcBorders>
            <w:vAlign w:val="center"/>
          </w:tcPr>
          <w:p w14:paraId="1D20EB15" w14:textId="0440C317" w:rsidR="002E4A4D" w:rsidRPr="00B87FD8" w:rsidRDefault="002E4A4D" w:rsidP="002E4A4D">
            <w:pPr>
              <w:spacing w:after="0"/>
              <w:jc w:val="center"/>
              <w:rPr>
                <w:sz w:val="16"/>
                <w:szCs w:val="16"/>
              </w:rPr>
            </w:pPr>
            <w:r w:rsidRPr="00B87FD8">
              <w:rPr>
                <w:sz w:val="16"/>
                <w:szCs w:val="16"/>
                <w:lang w:val="es-ES"/>
              </w:rPr>
              <w:t>Real</w:t>
            </w:r>
          </w:p>
        </w:tc>
        <w:tc>
          <w:tcPr>
            <w:tcW w:w="1310" w:type="dxa"/>
            <w:tcBorders>
              <w:top w:val="single" w:sz="4" w:space="0" w:color="5F2987"/>
              <w:left w:val="single" w:sz="4" w:space="0" w:color="auto"/>
              <w:bottom w:val="single" w:sz="4" w:space="0" w:color="auto"/>
              <w:right w:val="single" w:sz="4" w:space="0" w:color="auto"/>
            </w:tcBorders>
            <w:vAlign w:val="center"/>
          </w:tcPr>
          <w:p w14:paraId="7B7D668B" w14:textId="3FC1984D" w:rsidR="002E4A4D" w:rsidRPr="00B87FD8" w:rsidRDefault="002E4A4D" w:rsidP="002E4A4D">
            <w:pPr>
              <w:spacing w:after="0"/>
              <w:jc w:val="center"/>
              <w:rPr>
                <w:sz w:val="16"/>
                <w:szCs w:val="16"/>
              </w:rPr>
            </w:pPr>
            <w:r w:rsidRPr="00B87FD8">
              <w:rPr>
                <w:sz w:val="16"/>
                <w:szCs w:val="16"/>
                <w:lang w:val="es-ES"/>
              </w:rPr>
              <w:t>Real</w:t>
            </w:r>
          </w:p>
        </w:tc>
        <w:tc>
          <w:tcPr>
            <w:tcW w:w="1310" w:type="dxa"/>
            <w:tcBorders>
              <w:top w:val="single" w:sz="4" w:space="0" w:color="5F2987"/>
              <w:left w:val="single" w:sz="4" w:space="0" w:color="auto"/>
              <w:bottom w:val="single" w:sz="4" w:space="0" w:color="auto"/>
              <w:right w:val="single" w:sz="4" w:space="0" w:color="auto"/>
            </w:tcBorders>
            <w:vAlign w:val="center"/>
          </w:tcPr>
          <w:p w14:paraId="613419BE" w14:textId="1EEA157D" w:rsidR="002E4A4D" w:rsidRPr="00B87FD8" w:rsidRDefault="002E4A4D" w:rsidP="002E4A4D">
            <w:pPr>
              <w:spacing w:after="0"/>
              <w:jc w:val="center"/>
              <w:rPr>
                <w:sz w:val="16"/>
                <w:szCs w:val="16"/>
              </w:rPr>
            </w:pPr>
            <w:r w:rsidRPr="00B87FD8">
              <w:rPr>
                <w:sz w:val="16"/>
                <w:szCs w:val="16"/>
                <w:lang w:val="es-ES"/>
              </w:rPr>
              <w:t xml:space="preserve">Personal/ </w:t>
            </w:r>
            <w:r w:rsidRPr="00B87FD8">
              <w:rPr>
                <w:sz w:val="10"/>
                <w:szCs w:val="10"/>
                <w:lang w:val="es-ES"/>
              </w:rPr>
              <w:t>Real</w:t>
            </w:r>
          </w:p>
        </w:tc>
      </w:tr>
      <w:tr w:rsidR="002E4A4D" w:rsidRPr="00B87FD8" w14:paraId="2289BBC9" w14:textId="77777777" w:rsidTr="002E4A4D">
        <w:tc>
          <w:tcPr>
            <w:tcW w:w="1560" w:type="dxa"/>
            <w:tcBorders>
              <w:right w:val="single" w:sz="4" w:space="0" w:color="5F2987"/>
            </w:tcBorders>
            <w:shd w:val="clear" w:color="auto" w:fill="E2EFD9" w:themeFill="accent6" w:themeFillTint="33"/>
            <w:vAlign w:val="center"/>
          </w:tcPr>
          <w:p w14:paraId="61D4006F" w14:textId="77777777" w:rsidR="002E4A4D" w:rsidRPr="00B87FD8" w:rsidRDefault="002E4A4D" w:rsidP="002E4A4D">
            <w:pPr>
              <w:spacing w:after="0"/>
              <w:jc w:val="center"/>
              <w:rPr>
                <w:i/>
                <w:iCs/>
                <w:color w:val="5F2987"/>
                <w:sz w:val="16"/>
                <w:szCs w:val="16"/>
                <w:lang w:val="es-ES"/>
              </w:rPr>
            </w:pPr>
            <w:r w:rsidRPr="00B87FD8">
              <w:rPr>
                <w:i/>
                <w:iCs/>
                <w:color w:val="5F2987"/>
                <w:sz w:val="16"/>
                <w:szCs w:val="16"/>
                <w:lang w:val="es-ES"/>
              </w:rPr>
              <w:t>Hecho imponible</w:t>
            </w:r>
          </w:p>
        </w:tc>
        <w:tc>
          <w:tcPr>
            <w:tcW w:w="1190" w:type="dxa"/>
            <w:tcBorders>
              <w:top w:val="single" w:sz="4" w:space="0" w:color="auto"/>
              <w:left w:val="single" w:sz="4" w:space="0" w:color="5F2987"/>
              <w:bottom w:val="single" w:sz="4" w:space="0" w:color="auto"/>
              <w:right w:val="single" w:sz="4" w:space="0" w:color="auto"/>
            </w:tcBorders>
            <w:vAlign w:val="center"/>
          </w:tcPr>
          <w:p w14:paraId="1D217E0A" w14:textId="77777777" w:rsidR="002E4A4D" w:rsidRPr="00B87FD8" w:rsidRDefault="002E4A4D" w:rsidP="002E4A4D">
            <w:pPr>
              <w:spacing w:after="0"/>
              <w:jc w:val="center"/>
              <w:rPr>
                <w:sz w:val="16"/>
                <w:szCs w:val="16"/>
                <w:lang w:val="es-ES"/>
              </w:rPr>
            </w:pPr>
            <w:r w:rsidRPr="00B87FD8">
              <w:rPr>
                <w:sz w:val="16"/>
                <w:szCs w:val="16"/>
                <w:lang w:val="es-ES"/>
              </w:rPr>
              <w:t>Directo</w:t>
            </w:r>
          </w:p>
        </w:tc>
        <w:tc>
          <w:tcPr>
            <w:tcW w:w="1190" w:type="dxa"/>
            <w:tcBorders>
              <w:top w:val="single" w:sz="4" w:space="0" w:color="auto"/>
              <w:left w:val="single" w:sz="4" w:space="0" w:color="auto"/>
              <w:bottom w:val="single" w:sz="4" w:space="0" w:color="auto"/>
              <w:right w:val="single" w:sz="4" w:space="0" w:color="auto"/>
            </w:tcBorders>
            <w:vAlign w:val="center"/>
          </w:tcPr>
          <w:p w14:paraId="28ED05B3" w14:textId="77777777" w:rsidR="002E4A4D" w:rsidRPr="00B87FD8" w:rsidRDefault="002E4A4D" w:rsidP="002E4A4D">
            <w:pPr>
              <w:spacing w:after="0"/>
              <w:jc w:val="center"/>
              <w:rPr>
                <w:sz w:val="16"/>
                <w:szCs w:val="16"/>
              </w:rPr>
            </w:pPr>
            <w:r w:rsidRPr="00B87FD8">
              <w:rPr>
                <w:sz w:val="16"/>
                <w:szCs w:val="16"/>
                <w:lang w:val="es-ES"/>
              </w:rPr>
              <w:t>Indirecto</w:t>
            </w:r>
          </w:p>
        </w:tc>
        <w:tc>
          <w:tcPr>
            <w:tcW w:w="1190" w:type="dxa"/>
            <w:tcBorders>
              <w:top w:val="single" w:sz="4" w:space="0" w:color="auto"/>
              <w:left w:val="single" w:sz="4" w:space="0" w:color="auto"/>
              <w:bottom w:val="single" w:sz="4" w:space="0" w:color="auto"/>
              <w:right w:val="single" w:sz="4" w:space="0" w:color="auto"/>
            </w:tcBorders>
            <w:vAlign w:val="center"/>
          </w:tcPr>
          <w:p w14:paraId="2800631E" w14:textId="77777777" w:rsidR="002E4A4D" w:rsidRPr="00B87FD8" w:rsidRDefault="002E4A4D" w:rsidP="002E4A4D">
            <w:pPr>
              <w:spacing w:after="0"/>
              <w:jc w:val="center"/>
              <w:rPr>
                <w:sz w:val="16"/>
                <w:szCs w:val="16"/>
                <w:lang w:val="es-ES"/>
              </w:rPr>
            </w:pPr>
            <w:r w:rsidRPr="00B87FD8">
              <w:rPr>
                <w:sz w:val="16"/>
                <w:szCs w:val="16"/>
                <w:lang w:val="es-ES"/>
              </w:rPr>
              <w:t>Directo</w:t>
            </w:r>
          </w:p>
        </w:tc>
        <w:tc>
          <w:tcPr>
            <w:tcW w:w="1230" w:type="dxa"/>
            <w:tcBorders>
              <w:top w:val="single" w:sz="4" w:space="0" w:color="auto"/>
              <w:left w:val="single" w:sz="4" w:space="0" w:color="auto"/>
              <w:bottom w:val="single" w:sz="4" w:space="0" w:color="auto"/>
              <w:right w:val="single" w:sz="4" w:space="0" w:color="auto"/>
            </w:tcBorders>
            <w:vAlign w:val="center"/>
          </w:tcPr>
          <w:p w14:paraId="31E74D7E" w14:textId="77777777" w:rsidR="002E4A4D" w:rsidRPr="00B87FD8" w:rsidRDefault="002E4A4D" w:rsidP="002E4A4D">
            <w:pPr>
              <w:spacing w:after="0"/>
              <w:jc w:val="center"/>
              <w:rPr>
                <w:sz w:val="16"/>
                <w:szCs w:val="16"/>
                <w:lang w:val="es-ES"/>
              </w:rPr>
            </w:pPr>
            <w:r w:rsidRPr="00B87FD8">
              <w:rPr>
                <w:sz w:val="16"/>
                <w:szCs w:val="16"/>
                <w:lang w:val="es-ES"/>
              </w:rPr>
              <w:t>Indirectos</w:t>
            </w:r>
          </w:p>
        </w:tc>
        <w:tc>
          <w:tcPr>
            <w:tcW w:w="1230" w:type="dxa"/>
            <w:tcBorders>
              <w:top w:val="single" w:sz="4" w:space="0" w:color="auto"/>
              <w:left w:val="single" w:sz="4" w:space="0" w:color="auto"/>
              <w:bottom w:val="single" w:sz="4" w:space="0" w:color="auto"/>
              <w:right w:val="single" w:sz="4" w:space="0" w:color="auto"/>
            </w:tcBorders>
            <w:vAlign w:val="center"/>
          </w:tcPr>
          <w:p w14:paraId="7C99E03B" w14:textId="5CD2387F" w:rsidR="002E4A4D" w:rsidRPr="00B87FD8" w:rsidRDefault="002E4A4D" w:rsidP="002E4A4D">
            <w:pPr>
              <w:spacing w:after="0"/>
              <w:jc w:val="center"/>
              <w:rPr>
                <w:sz w:val="16"/>
                <w:szCs w:val="16"/>
              </w:rPr>
            </w:pPr>
            <w:r w:rsidRPr="00B87FD8">
              <w:rPr>
                <w:sz w:val="16"/>
                <w:szCs w:val="16"/>
                <w:lang w:val="es-ES"/>
              </w:rPr>
              <w:t>Directo</w:t>
            </w:r>
          </w:p>
        </w:tc>
        <w:tc>
          <w:tcPr>
            <w:tcW w:w="1230" w:type="dxa"/>
            <w:tcBorders>
              <w:top w:val="single" w:sz="4" w:space="0" w:color="auto"/>
              <w:left w:val="single" w:sz="4" w:space="0" w:color="auto"/>
              <w:bottom w:val="single" w:sz="4" w:space="0" w:color="auto"/>
              <w:right w:val="single" w:sz="4" w:space="0" w:color="auto"/>
            </w:tcBorders>
            <w:vAlign w:val="center"/>
          </w:tcPr>
          <w:p w14:paraId="4F6B06EC" w14:textId="7A4F7DED" w:rsidR="002E4A4D" w:rsidRPr="00B87FD8" w:rsidRDefault="002E4A4D" w:rsidP="002E4A4D">
            <w:pPr>
              <w:spacing w:after="0"/>
              <w:jc w:val="center"/>
              <w:rPr>
                <w:sz w:val="16"/>
                <w:szCs w:val="16"/>
              </w:rPr>
            </w:pPr>
            <w:r w:rsidRPr="00B87FD8">
              <w:rPr>
                <w:sz w:val="16"/>
                <w:szCs w:val="16"/>
                <w:lang w:val="es-ES"/>
              </w:rPr>
              <w:t>Indirecto</w:t>
            </w:r>
          </w:p>
        </w:tc>
        <w:tc>
          <w:tcPr>
            <w:tcW w:w="1310" w:type="dxa"/>
            <w:tcBorders>
              <w:top w:val="single" w:sz="4" w:space="0" w:color="auto"/>
              <w:left w:val="single" w:sz="4" w:space="0" w:color="auto"/>
              <w:bottom w:val="single" w:sz="4" w:space="0" w:color="auto"/>
              <w:right w:val="single" w:sz="4" w:space="0" w:color="auto"/>
            </w:tcBorders>
            <w:vAlign w:val="center"/>
          </w:tcPr>
          <w:p w14:paraId="1F53A2B6" w14:textId="00FC8ACF" w:rsidR="002E4A4D" w:rsidRPr="00B87FD8" w:rsidRDefault="002E4A4D" w:rsidP="002E4A4D">
            <w:pPr>
              <w:spacing w:after="0"/>
              <w:jc w:val="center"/>
              <w:rPr>
                <w:sz w:val="16"/>
                <w:szCs w:val="16"/>
              </w:rPr>
            </w:pPr>
            <w:r w:rsidRPr="00B87FD8">
              <w:rPr>
                <w:sz w:val="16"/>
                <w:szCs w:val="16"/>
                <w:lang w:val="es-ES"/>
              </w:rPr>
              <w:t>Directo</w:t>
            </w:r>
          </w:p>
        </w:tc>
        <w:tc>
          <w:tcPr>
            <w:tcW w:w="1310" w:type="dxa"/>
            <w:tcBorders>
              <w:top w:val="single" w:sz="4" w:space="0" w:color="auto"/>
              <w:left w:val="single" w:sz="4" w:space="0" w:color="auto"/>
              <w:bottom w:val="single" w:sz="4" w:space="0" w:color="auto"/>
              <w:right w:val="single" w:sz="4" w:space="0" w:color="auto"/>
            </w:tcBorders>
            <w:vAlign w:val="center"/>
          </w:tcPr>
          <w:p w14:paraId="0EDB2B5E" w14:textId="15472398" w:rsidR="002E4A4D" w:rsidRPr="00B87FD8" w:rsidRDefault="002E4A4D" w:rsidP="002E4A4D">
            <w:pPr>
              <w:spacing w:after="0"/>
              <w:jc w:val="center"/>
              <w:rPr>
                <w:sz w:val="16"/>
                <w:szCs w:val="16"/>
              </w:rPr>
            </w:pPr>
            <w:r w:rsidRPr="00B87FD8">
              <w:rPr>
                <w:sz w:val="16"/>
                <w:szCs w:val="16"/>
                <w:lang w:val="es-ES"/>
              </w:rPr>
              <w:t>Directo</w:t>
            </w:r>
          </w:p>
        </w:tc>
      </w:tr>
      <w:tr w:rsidR="002E4A4D" w:rsidRPr="00B87FD8" w14:paraId="124FDDE2" w14:textId="77777777" w:rsidTr="002E4A4D">
        <w:tc>
          <w:tcPr>
            <w:tcW w:w="1560" w:type="dxa"/>
            <w:tcBorders>
              <w:right w:val="single" w:sz="4" w:space="0" w:color="5F2987"/>
            </w:tcBorders>
            <w:shd w:val="clear" w:color="auto" w:fill="E2EFD9" w:themeFill="accent6" w:themeFillTint="33"/>
            <w:vAlign w:val="center"/>
          </w:tcPr>
          <w:p w14:paraId="18F5DD12" w14:textId="77777777" w:rsidR="002E4A4D" w:rsidRPr="00B87FD8" w:rsidRDefault="002E4A4D" w:rsidP="002E4A4D">
            <w:pPr>
              <w:spacing w:after="0"/>
              <w:jc w:val="center"/>
              <w:rPr>
                <w:i/>
                <w:iCs/>
                <w:color w:val="5F2987"/>
                <w:sz w:val="16"/>
                <w:szCs w:val="16"/>
                <w:lang w:val="es-ES"/>
              </w:rPr>
            </w:pPr>
            <w:r w:rsidRPr="00B87FD8">
              <w:rPr>
                <w:i/>
                <w:iCs/>
                <w:color w:val="5F2987"/>
                <w:sz w:val="16"/>
                <w:szCs w:val="16"/>
                <w:lang w:val="es-ES"/>
              </w:rPr>
              <w:t>Tipo de gravamen</w:t>
            </w:r>
          </w:p>
        </w:tc>
        <w:tc>
          <w:tcPr>
            <w:tcW w:w="1190" w:type="dxa"/>
            <w:tcBorders>
              <w:top w:val="single" w:sz="4" w:space="0" w:color="auto"/>
              <w:left w:val="single" w:sz="4" w:space="0" w:color="5F2987"/>
              <w:bottom w:val="single" w:sz="4" w:space="0" w:color="auto"/>
              <w:right w:val="single" w:sz="4" w:space="0" w:color="auto"/>
            </w:tcBorders>
            <w:vAlign w:val="center"/>
          </w:tcPr>
          <w:p w14:paraId="2B2EC738" w14:textId="77777777" w:rsidR="002E4A4D" w:rsidRPr="00B87FD8" w:rsidRDefault="002E4A4D" w:rsidP="002E4A4D">
            <w:pPr>
              <w:spacing w:after="0"/>
              <w:jc w:val="center"/>
              <w:rPr>
                <w:sz w:val="16"/>
                <w:szCs w:val="16"/>
                <w:lang w:val="es-ES"/>
              </w:rPr>
            </w:pPr>
            <w:r w:rsidRPr="00B87FD8">
              <w:rPr>
                <w:sz w:val="16"/>
                <w:szCs w:val="16"/>
                <w:lang w:val="es-ES"/>
              </w:rPr>
              <w:t>Analítico</w:t>
            </w:r>
            <w:r w:rsidRPr="00B87FD8">
              <w:rPr>
                <w:sz w:val="16"/>
                <w:szCs w:val="16"/>
                <w:lang w:val="es-ES"/>
              </w:rPr>
              <w:br/>
              <w:t>Progresivo</w:t>
            </w:r>
          </w:p>
        </w:tc>
        <w:tc>
          <w:tcPr>
            <w:tcW w:w="1190" w:type="dxa"/>
            <w:tcBorders>
              <w:top w:val="single" w:sz="4" w:space="0" w:color="auto"/>
              <w:left w:val="single" w:sz="4" w:space="0" w:color="auto"/>
              <w:bottom w:val="single" w:sz="4" w:space="0" w:color="auto"/>
              <w:right w:val="single" w:sz="4" w:space="0" w:color="auto"/>
            </w:tcBorders>
            <w:vAlign w:val="center"/>
          </w:tcPr>
          <w:p w14:paraId="3C9D745A" w14:textId="77777777" w:rsidR="002E4A4D" w:rsidRDefault="002E4A4D" w:rsidP="002E4A4D">
            <w:pPr>
              <w:spacing w:after="0"/>
              <w:jc w:val="center"/>
              <w:rPr>
                <w:sz w:val="16"/>
                <w:szCs w:val="16"/>
              </w:rPr>
            </w:pPr>
            <w:r w:rsidRPr="00B87FD8">
              <w:rPr>
                <w:sz w:val="16"/>
                <w:szCs w:val="16"/>
                <w:lang w:val="es-ES"/>
              </w:rPr>
              <w:t>Analítico</w:t>
            </w:r>
            <w:r w:rsidRPr="00B87FD8">
              <w:rPr>
                <w:sz w:val="16"/>
                <w:szCs w:val="16"/>
                <w:lang w:val="es-ES"/>
              </w:rPr>
              <w:br/>
              <w:t>Pro</w:t>
            </w:r>
            <w:r>
              <w:rPr>
                <w:sz w:val="16"/>
                <w:szCs w:val="16"/>
                <w:lang w:val="es-ES"/>
              </w:rPr>
              <w:t>porcional</w:t>
            </w:r>
          </w:p>
        </w:tc>
        <w:tc>
          <w:tcPr>
            <w:tcW w:w="1190" w:type="dxa"/>
            <w:tcBorders>
              <w:top w:val="single" w:sz="4" w:space="0" w:color="auto"/>
              <w:left w:val="single" w:sz="4" w:space="0" w:color="auto"/>
              <w:bottom w:val="single" w:sz="4" w:space="0" w:color="auto"/>
              <w:right w:val="single" w:sz="4" w:space="0" w:color="auto"/>
            </w:tcBorders>
            <w:vAlign w:val="center"/>
          </w:tcPr>
          <w:p w14:paraId="7F8585B2" w14:textId="77777777" w:rsidR="002E4A4D" w:rsidRPr="00B87FD8" w:rsidRDefault="002E4A4D" w:rsidP="002E4A4D">
            <w:pPr>
              <w:spacing w:after="0"/>
              <w:jc w:val="center"/>
              <w:rPr>
                <w:sz w:val="16"/>
                <w:szCs w:val="16"/>
                <w:lang w:val="es-ES"/>
              </w:rPr>
            </w:pPr>
            <w:r>
              <w:rPr>
                <w:sz w:val="16"/>
                <w:szCs w:val="16"/>
                <w:lang w:val="es-ES"/>
              </w:rPr>
              <w:t>Sintétic</w:t>
            </w:r>
            <w:r w:rsidRPr="00B87FD8">
              <w:rPr>
                <w:sz w:val="16"/>
                <w:szCs w:val="16"/>
                <w:lang w:val="es-ES"/>
              </w:rPr>
              <w:t>o</w:t>
            </w:r>
            <w:r w:rsidRPr="00B87FD8">
              <w:rPr>
                <w:sz w:val="16"/>
                <w:szCs w:val="16"/>
                <w:lang w:val="es-ES"/>
              </w:rPr>
              <w:br/>
              <w:t>Pro</w:t>
            </w:r>
            <w:r>
              <w:rPr>
                <w:sz w:val="16"/>
                <w:szCs w:val="16"/>
                <w:lang w:val="es-ES"/>
              </w:rPr>
              <w:t>porcional</w:t>
            </w:r>
          </w:p>
        </w:tc>
        <w:tc>
          <w:tcPr>
            <w:tcW w:w="1230" w:type="dxa"/>
            <w:tcBorders>
              <w:top w:val="single" w:sz="4" w:space="0" w:color="auto"/>
              <w:left w:val="single" w:sz="4" w:space="0" w:color="auto"/>
              <w:bottom w:val="single" w:sz="4" w:space="0" w:color="auto"/>
              <w:right w:val="single" w:sz="4" w:space="0" w:color="auto"/>
            </w:tcBorders>
            <w:vAlign w:val="center"/>
          </w:tcPr>
          <w:p w14:paraId="4066F82C" w14:textId="77777777" w:rsidR="002E4A4D" w:rsidRPr="00B87FD8" w:rsidRDefault="002E4A4D" w:rsidP="002E4A4D">
            <w:pPr>
              <w:spacing w:after="0"/>
              <w:jc w:val="center"/>
              <w:rPr>
                <w:sz w:val="16"/>
                <w:szCs w:val="16"/>
                <w:lang w:val="es-ES"/>
              </w:rPr>
            </w:pPr>
            <w:r w:rsidRPr="00B87FD8">
              <w:rPr>
                <w:sz w:val="16"/>
                <w:szCs w:val="16"/>
                <w:lang w:val="es-ES"/>
              </w:rPr>
              <w:t>Analítico</w:t>
            </w:r>
            <w:r>
              <w:rPr>
                <w:sz w:val="16"/>
                <w:szCs w:val="16"/>
                <w:lang w:val="es-ES"/>
              </w:rPr>
              <w:t>s</w:t>
            </w:r>
            <w:r w:rsidRPr="00B87FD8">
              <w:rPr>
                <w:sz w:val="16"/>
                <w:szCs w:val="16"/>
                <w:lang w:val="es-ES"/>
              </w:rPr>
              <w:br/>
            </w:r>
            <w:proofErr w:type="spellStart"/>
            <w:r>
              <w:rPr>
                <w:sz w:val="16"/>
                <w:szCs w:val="16"/>
                <w:lang w:val="es-ES"/>
              </w:rPr>
              <w:t>Prop</w:t>
            </w:r>
            <w:proofErr w:type="spellEnd"/>
            <w:r>
              <w:rPr>
                <w:sz w:val="16"/>
                <w:szCs w:val="16"/>
                <w:lang w:val="es-ES"/>
              </w:rPr>
              <w:t>./</w:t>
            </w:r>
            <w:proofErr w:type="spellStart"/>
            <w:r>
              <w:rPr>
                <w:sz w:val="16"/>
                <w:szCs w:val="16"/>
                <w:lang w:val="es-ES"/>
              </w:rPr>
              <w:t>Espec</w:t>
            </w:r>
            <w:proofErr w:type="spellEnd"/>
            <w:r>
              <w:rPr>
                <w:sz w:val="16"/>
                <w:szCs w:val="16"/>
                <w:lang w:val="es-ES"/>
              </w:rPr>
              <w:t>.</w:t>
            </w:r>
          </w:p>
        </w:tc>
        <w:tc>
          <w:tcPr>
            <w:tcW w:w="1230" w:type="dxa"/>
            <w:tcBorders>
              <w:top w:val="single" w:sz="4" w:space="0" w:color="auto"/>
              <w:left w:val="single" w:sz="4" w:space="0" w:color="auto"/>
              <w:bottom w:val="single" w:sz="4" w:space="0" w:color="auto"/>
              <w:right w:val="single" w:sz="4" w:space="0" w:color="auto"/>
            </w:tcBorders>
            <w:vAlign w:val="center"/>
          </w:tcPr>
          <w:p w14:paraId="40AD88B0" w14:textId="07CE5986" w:rsidR="002E4A4D" w:rsidRPr="00B87FD8" w:rsidRDefault="002E4A4D" w:rsidP="002E4A4D">
            <w:pPr>
              <w:spacing w:after="0"/>
              <w:jc w:val="center"/>
              <w:rPr>
                <w:sz w:val="16"/>
                <w:szCs w:val="16"/>
              </w:rPr>
            </w:pPr>
            <w:r>
              <w:rPr>
                <w:sz w:val="16"/>
                <w:szCs w:val="16"/>
                <w:lang w:val="es-ES"/>
              </w:rPr>
              <w:t>Sintétic</w:t>
            </w:r>
            <w:r w:rsidRPr="00B87FD8">
              <w:rPr>
                <w:sz w:val="16"/>
                <w:szCs w:val="16"/>
                <w:lang w:val="es-ES"/>
              </w:rPr>
              <w:t>o</w:t>
            </w:r>
            <w:r w:rsidRPr="00B87FD8">
              <w:rPr>
                <w:sz w:val="16"/>
                <w:szCs w:val="16"/>
                <w:lang w:val="es-ES"/>
              </w:rPr>
              <w:br/>
              <w:t>Pro</w:t>
            </w:r>
            <w:r>
              <w:rPr>
                <w:sz w:val="16"/>
                <w:szCs w:val="16"/>
                <w:lang w:val="es-ES"/>
              </w:rPr>
              <w:t>porcional</w:t>
            </w:r>
          </w:p>
        </w:tc>
        <w:tc>
          <w:tcPr>
            <w:tcW w:w="1230" w:type="dxa"/>
            <w:tcBorders>
              <w:top w:val="single" w:sz="4" w:space="0" w:color="auto"/>
              <w:left w:val="single" w:sz="4" w:space="0" w:color="auto"/>
              <w:bottom w:val="single" w:sz="4" w:space="0" w:color="auto"/>
              <w:right w:val="single" w:sz="4" w:space="0" w:color="auto"/>
            </w:tcBorders>
            <w:vAlign w:val="center"/>
          </w:tcPr>
          <w:p w14:paraId="7E18351F" w14:textId="28928546" w:rsidR="002E4A4D" w:rsidRDefault="002E4A4D" w:rsidP="002E4A4D">
            <w:pPr>
              <w:spacing w:after="0"/>
              <w:jc w:val="center"/>
              <w:rPr>
                <w:sz w:val="16"/>
                <w:szCs w:val="16"/>
              </w:rPr>
            </w:pPr>
            <w:r w:rsidRPr="00B87FD8">
              <w:rPr>
                <w:sz w:val="16"/>
                <w:szCs w:val="16"/>
                <w:lang w:val="es-ES"/>
              </w:rPr>
              <w:t>Analítico</w:t>
            </w:r>
            <w:r w:rsidRPr="00B87FD8">
              <w:rPr>
                <w:sz w:val="16"/>
                <w:szCs w:val="16"/>
                <w:lang w:val="es-ES"/>
              </w:rPr>
              <w:br/>
              <w:t>Pro</w:t>
            </w:r>
            <w:r>
              <w:rPr>
                <w:sz w:val="16"/>
                <w:szCs w:val="16"/>
                <w:lang w:val="es-ES"/>
              </w:rPr>
              <w:t>porcional</w:t>
            </w:r>
          </w:p>
        </w:tc>
        <w:tc>
          <w:tcPr>
            <w:tcW w:w="1310" w:type="dxa"/>
            <w:tcBorders>
              <w:top w:val="single" w:sz="4" w:space="0" w:color="auto"/>
              <w:left w:val="single" w:sz="4" w:space="0" w:color="auto"/>
              <w:bottom w:val="single" w:sz="4" w:space="0" w:color="auto"/>
              <w:right w:val="single" w:sz="4" w:space="0" w:color="auto"/>
            </w:tcBorders>
            <w:vAlign w:val="center"/>
          </w:tcPr>
          <w:p w14:paraId="1EB7CAD0" w14:textId="7365C997" w:rsidR="002E4A4D" w:rsidRDefault="002E4A4D" w:rsidP="002E4A4D">
            <w:pPr>
              <w:spacing w:after="0"/>
              <w:jc w:val="center"/>
              <w:rPr>
                <w:sz w:val="16"/>
                <w:szCs w:val="16"/>
              </w:rPr>
            </w:pPr>
            <w:r>
              <w:rPr>
                <w:sz w:val="16"/>
                <w:szCs w:val="16"/>
                <w:lang w:val="es-ES"/>
              </w:rPr>
              <w:t>Sintético</w:t>
            </w:r>
            <w:r w:rsidRPr="00B87FD8">
              <w:rPr>
                <w:sz w:val="16"/>
                <w:szCs w:val="16"/>
                <w:lang w:val="es-ES"/>
              </w:rPr>
              <w:br/>
              <w:t>Progresivo</w:t>
            </w:r>
          </w:p>
        </w:tc>
        <w:tc>
          <w:tcPr>
            <w:tcW w:w="1310" w:type="dxa"/>
            <w:tcBorders>
              <w:top w:val="single" w:sz="4" w:space="0" w:color="auto"/>
              <w:left w:val="single" w:sz="4" w:space="0" w:color="auto"/>
              <w:bottom w:val="single" w:sz="4" w:space="0" w:color="auto"/>
              <w:right w:val="single" w:sz="4" w:space="0" w:color="auto"/>
            </w:tcBorders>
            <w:vAlign w:val="center"/>
          </w:tcPr>
          <w:p w14:paraId="7E2A3588" w14:textId="652D471F" w:rsidR="002E4A4D" w:rsidRDefault="002E4A4D" w:rsidP="002E4A4D">
            <w:pPr>
              <w:spacing w:after="0"/>
              <w:jc w:val="center"/>
              <w:rPr>
                <w:sz w:val="16"/>
                <w:szCs w:val="16"/>
              </w:rPr>
            </w:pPr>
            <w:r>
              <w:rPr>
                <w:sz w:val="16"/>
                <w:szCs w:val="16"/>
                <w:lang w:val="es-ES"/>
              </w:rPr>
              <w:t>Sintético</w:t>
            </w:r>
            <w:r w:rsidRPr="00B87FD8">
              <w:rPr>
                <w:sz w:val="16"/>
                <w:szCs w:val="16"/>
                <w:lang w:val="es-ES"/>
              </w:rPr>
              <w:br/>
              <w:t>Progresivo</w:t>
            </w:r>
          </w:p>
        </w:tc>
      </w:tr>
      <w:tr w:rsidR="002E4A4D" w:rsidRPr="00B87FD8" w14:paraId="3B3A4583" w14:textId="77777777" w:rsidTr="002E4A4D">
        <w:tc>
          <w:tcPr>
            <w:tcW w:w="1560" w:type="dxa"/>
            <w:tcBorders>
              <w:right w:val="single" w:sz="4" w:space="0" w:color="5F2987"/>
            </w:tcBorders>
            <w:shd w:val="clear" w:color="auto" w:fill="E2EFD9" w:themeFill="accent6" w:themeFillTint="33"/>
            <w:vAlign w:val="center"/>
          </w:tcPr>
          <w:p w14:paraId="1CFFD3FC" w14:textId="77777777" w:rsidR="002E4A4D" w:rsidRPr="00B87FD8" w:rsidRDefault="002E4A4D" w:rsidP="002E4A4D">
            <w:pPr>
              <w:spacing w:after="0"/>
              <w:jc w:val="center"/>
              <w:rPr>
                <w:i/>
                <w:iCs/>
                <w:color w:val="5F2987"/>
                <w:sz w:val="16"/>
                <w:szCs w:val="16"/>
                <w:lang w:val="es-ES"/>
              </w:rPr>
            </w:pPr>
            <w:r w:rsidRPr="00B87FD8">
              <w:rPr>
                <w:i/>
                <w:iCs/>
                <w:color w:val="5F2987"/>
                <w:sz w:val="16"/>
                <w:szCs w:val="16"/>
                <w:lang w:val="es-ES"/>
              </w:rPr>
              <w:t>Cuota liquidable</w:t>
            </w:r>
          </w:p>
        </w:tc>
        <w:tc>
          <w:tcPr>
            <w:tcW w:w="1190" w:type="dxa"/>
            <w:tcBorders>
              <w:top w:val="single" w:sz="4" w:space="0" w:color="auto"/>
              <w:left w:val="single" w:sz="4" w:space="0" w:color="5F2987"/>
              <w:bottom w:val="single" w:sz="4" w:space="0" w:color="auto"/>
              <w:right w:val="single" w:sz="4" w:space="0" w:color="auto"/>
            </w:tcBorders>
            <w:vAlign w:val="center"/>
          </w:tcPr>
          <w:p w14:paraId="1D743CD2" w14:textId="77777777" w:rsidR="002E4A4D" w:rsidRPr="00B87FD8" w:rsidRDefault="002E4A4D" w:rsidP="002E4A4D">
            <w:pPr>
              <w:spacing w:after="0"/>
              <w:jc w:val="center"/>
              <w:rPr>
                <w:sz w:val="16"/>
                <w:szCs w:val="16"/>
                <w:lang w:val="es-ES"/>
              </w:rPr>
            </w:pPr>
            <w:r>
              <w:rPr>
                <w:sz w:val="16"/>
                <w:szCs w:val="16"/>
                <w:lang w:val="es-ES"/>
              </w:rPr>
              <w:t>Subjetivo</w:t>
            </w:r>
          </w:p>
        </w:tc>
        <w:tc>
          <w:tcPr>
            <w:tcW w:w="1190" w:type="dxa"/>
            <w:tcBorders>
              <w:top w:val="single" w:sz="4" w:space="0" w:color="auto"/>
              <w:left w:val="single" w:sz="4" w:space="0" w:color="auto"/>
              <w:bottom w:val="single" w:sz="4" w:space="0" w:color="auto"/>
              <w:right w:val="single" w:sz="4" w:space="0" w:color="auto"/>
            </w:tcBorders>
            <w:vAlign w:val="center"/>
          </w:tcPr>
          <w:p w14:paraId="0F4E08B4" w14:textId="77777777" w:rsidR="002E4A4D" w:rsidRDefault="002E4A4D" w:rsidP="002E4A4D">
            <w:pPr>
              <w:spacing w:after="0"/>
              <w:jc w:val="center"/>
              <w:rPr>
                <w:sz w:val="16"/>
                <w:szCs w:val="16"/>
              </w:rPr>
            </w:pPr>
            <w:r>
              <w:rPr>
                <w:sz w:val="16"/>
                <w:szCs w:val="16"/>
                <w:lang w:val="es-ES"/>
              </w:rPr>
              <w:t>Objetivo</w:t>
            </w:r>
          </w:p>
        </w:tc>
        <w:tc>
          <w:tcPr>
            <w:tcW w:w="1190" w:type="dxa"/>
            <w:tcBorders>
              <w:top w:val="single" w:sz="4" w:space="0" w:color="auto"/>
              <w:left w:val="single" w:sz="4" w:space="0" w:color="auto"/>
              <w:bottom w:val="single" w:sz="4" w:space="0" w:color="auto"/>
              <w:right w:val="single" w:sz="4" w:space="0" w:color="auto"/>
            </w:tcBorders>
            <w:vAlign w:val="center"/>
          </w:tcPr>
          <w:p w14:paraId="3FB08EA6" w14:textId="77777777" w:rsidR="002E4A4D" w:rsidRPr="00B87FD8" w:rsidRDefault="002E4A4D" w:rsidP="002E4A4D">
            <w:pPr>
              <w:spacing w:after="0"/>
              <w:jc w:val="center"/>
              <w:rPr>
                <w:sz w:val="16"/>
                <w:szCs w:val="16"/>
                <w:lang w:val="es-ES"/>
              </w:rPr>
            </w:pPr>
            <w:r>
              <w:rPr>
                <w:sz w:val="16"/>
                <w:szCs w:val="16"/>
                <w:lang w:val="es-ES"/>
              </w:rPr>
              <w:t>Objetivo</w:t>
            </w:r>
          </w:p>
        </w:tc>
        <w:tc>
          <w:tcPr>
            <w:tcW w:w="1230" w:type="dxa"/>
            <w:tcBorders>
              <w:top w:val="single" w:sz="4" w:space="0" w:color="auto"/>
              <w:left w:val="single" w:sz="4" w:space="0" w:color="auto"/>
              <w:bottom w:val="single" w:sz="4" w:space="0" w:color="auto"/>
              <w:right w:val="single" w:sz="4" w:space="0" w:color="auto"/>
            </w:tcBorders>
            <w:vAlign w:val="center"/>
          </w:tcPr>
          <w:p w14:paraId="735D450D" w14:textId="77777777" w:rsidR="002E4A4D" w:rsidRPr="00B87FD8" w:rsidRDefault="002E4A4D" w:rsidP="002E4A4D">
            <w:pPr>
              <w:spacing w:after="0"/>
              <w:jc w:val="center"/>
              <w:rPr>
                <w:sz w:val="16"/>
                <w:szCs w:val="16"/>
                <w:lang w:val="es-ES"/>
              </w:rPr>
            </w:pPr>
            <w:r>
              <w:rPr>
                <w:sz w:val="16"/>
                <w:szCs w:val="16"/>
                <w:lang w:val="es-ES"/>
              </w:rPr>
              <w:t>Objetivos</w:t>
            </w:r>
          </w:p>
        </w:tc>
        <w:tc>
          <w:tcPr>
            <w:tcW w:w="1230" w:type="dxa"/>
            <w:tcBorders>
              <w:top w:val="single" w:sz="4" w:space="0" w:color="auto"/>
              <w:left w:val="single" w:sz="4" w:space="0" w:color="auto"/>
              <w:bottom w:val="single" w:sz="4" w:space="0" w:color="auto"/>
              <w:right w:val="single" w:sz="4" w:space="0" w:color="auto"/>
            </w:tcBorders>
            <w:vAlign w:val="center"/>
          </w:tcPr>
          <w:p w14:paraId="26D054C1" w14:textId="124D270D" w:rsidR="002E4A4D" w:rsidRDefault="002E4A4D" w:rsidP="002E4A4D">
            <w:pPr>
              <w:spacing w:after="0"/>
              <w:jc w:val="center"/>
              <w:rPr>
                <w:sz w:val="16"/>
                <w:szCs w:val="16"/>
              </w:rPr>
            </w:pPr>
            <w:r>
              <w:rPr>
                <w:sz w:val="16"/>
                <w:szCs w:val="16"/>
                <w:lang w:val="es-ES"/>
              </w:rPr>
              <w:t>Objetivo</w:t>
            </w:r>
          </w:p>
        </w:tc>
        <w:tc>
          <w:tcPr>
            <w:tcW w:w="1230" w:type="dxa"/>
            <w:tcBorders>
              <w:top w:val="single" w:sz="4" w:space="0" w:color="auto"/>
              <w:left w:val="single" w:sz="4" w:space="0" w:color="auto"/>
              <w:bottom w:val="single" w:sz="4" w:space="0" w:color="auto"/>
              <w:right w:val="single" w:sz="4" w:space="0" w:color="auto"/>
            </w:tcBorders>
            <w:vAlign w:val="center"/>
          </w:tcPr>
          <w:p w14:paraId="77C6D064" w14:textId="2B41560B" w:rsidR="002E4A4D" w:rsidRDefault="002E4A4D" w:rsidP="002E4A4D">
            <w:pPr>
              <w:spacing w:after="0"/>
              <w:jc w:val="center"/>
              <w:rPr>
                <w:sz w:val="16"/>
                <w:szCs w:val="16"/>
              </w:rPr>
            </w:pPr>
            <w:r>
              <w:rPr>
                <w:sz w:val="16"/>
                <w:szCs w:val="16"/>
                <w:lang w:val="es-ES"/>
              </w:rPr>
              <w:t>Objetivo</w:t>
            </w:r>
          </w:p>
        </w:tc>
        <w:tc>
          <w:tcPr>
            <w:tcW w:w="1310" w:type="dxa"/>
            <w:tcBorders>
              <w:top w:val="single" w:sz="4" w:space="0" w:color="auto"/>
              <w:left w:val="single" w:sz="4" w:space="0" w:color="auto"/>
              <w:bottom w:val="single" w:sz="4" w:space="0" w:color="auto"/>
              <w:right w:val="single" w:sz="4" w:space="0" w:color="auto"/>
            </w:tcBorders>
            <w:vAlign w:val="center"/>
          </w:tcPr>
          <w:p w14:paraId="04482EA0" w14:textId="22F38E02" w:rsidR="002E4A4D" w:rsidRDefault="002E4A4D" w:rsidP="002E4A4D">
            <w:pPr>
              <w:spacing w:after="0"/>
              <w:jc w:val="center"/>
              <w:rPr>
                <w:sz w:val="16"/>
                <w:szCs w:val="16"/>
              </w:rPr>
            </w:pPr>
            <w:r>
              <w:rPr>
                <w:sz w:val="16"/>
                <w:szCs w:val="16"/>
                <w:lang w:val="es-ES"/>
              </w:rPr>
              <w:t>Subjetivo</w:t>
            </w:r>
          </w:p>
        </w:tc>
        <w:tc>
          <w:tcPr>
            <w:tcW w:w="1310" w:type="dxa"/>
            <w:tcBorders>
              <w:top w:val="single" w:sz="4" w:space="0" w:color="auto"/>
              <w:left w:val="single" w:sz="4" w:space="0" w:color="auto"/>
              <w:bottom w:val="single" w:sz="4" w:space="0" w:color="auto"/>
              <w:right w:val="single" w:sz="4" w:space="0" w:color="auto"/>
            </w:tcBorders>
            <w:vAlign w:val="center"/>
          </w:tcPr>
          <w:p w14:paraId="2D149640" w14:textId="150E665A" w:rsidR="002E4A4D" w:rsidRDefault="002E4A4D" w:rsidP="002E4A4D">
            <w:pPr>
              <w:spacing w:after="0"/>
              <w:jc w:val="center"/>
              <w:rPr>
                <w:sz w:val="16"/>
                <w:szCs w:val="16"/>
              </w:rPr>
            </w:pPr>
            <w:r>
              <w:rPr>
                <w:sz w:val="16"/>
                <w:szCs w:val="16"/>
                <w:lang w:val="es-ES"/>
              </w:rPr>
              <w:t>Objetivo</w:t>
            </w:r>
          </w:p>
        </w:tc>
      </w:tr>
      <w:tr w:rsidR="002E4A4D" w:rsidRPr="00B87FD8" w14:paraId="674A8F3D" w14:textId="77777777" w:rsidTr="002E4A4D">
        <w:tc>
          <w:tcPr>
            <w:tcW w:w="1560" w:type="dxa"/>
            <w:tcBorders>
              <w:right w:val="single" w:sz="4" w:space="0" w:color="5F2987"/>
            </w:tcBorders>
            <w:shd w:val="clear" w:color="auto" w:fill="E2EFD9" w:themeFill="accent6" w:themeFillTint="33"/>
            <w:vAlign w:val="center"/>
          </w:tcPr>
          <w:p w14:paraId="458983BD" w14:textId="77777777" w:rsidR="002E4A4D" w:rsidRPr="00B87FD8" w:rsidRDefault="002E4A4D" w:rsidP="002E4A4D">
            <w:pPr>
              <w:spacing w:after="0"/>
              <w:jc w:val="center"/>
              <w:rPr>
                <w:i/>
                <w:iCs/>
                <w:color w:val="5F2987"/>
                <w:sz w:val="16"/>
                <w:szCs w:val="16"/>
                <w:lang w:val="es-ES"/>
              </w:rPr>
            </w:pPr>
            <w:r w:rsidRPr="00B87FD8">
              <w:rPr>
                <w:i/>
                <w:iCs/>
                <w:color w:val="5F2987"/>
                <w:sz w:val="16"/>
                <w:szCs w:val="16"/>
                <w:lang w:val="es-ES"/>
              </w:rPr>
              <w:t>Período impositivo</w:t>
            </w:r>
          </w:p>
        </w:tc>
        <w:tc>
          <w:tcPr>
            <w:tcW w:w="1190" w:type="dxa"/>
            <w:tcBorders>
              <w:top w:val="single" w:sz="4" w:space="0" w:color="auto"/>
              <w:left w:val="single" w:sz="4" w:space="0" w:color="5F2987"/>
              <w:bottom w:val="single" w:sz="4" w:space="0" w:color="auto"/>
              <w:right w:val="single" w:sz="4" w:space="0" w:color="auto"/>
            </w:tcBorders>
            <w:vAlign w:val="center"/>
          </w:tcPr>
          <w:p w14:paraId="478FB8A2" w14:textId="77777777" w:rsidR="002E4A4D" w:rsidRPr="00B87FD8" w:rsidRDefault="002E4A4D" w:rsidP="002E4A4D">
            <w:pPr>
              <w:spacing w:after="0"/>
              <w:jc w:val="center"/>
              <w:rPr>
                <w:sz w:val="16"/>
                <w:szCs w:val="16"/>
                <w:lang w:val="es-ES"/>
              </w:rPr>
            </w:pPr>
            <w:r>
              <w:rPr>
                <w:sz w:val="16"/>
                <w:szCs w:val="16"/>
                <w:lang w:val="es-ES"/>
              </w:rPr>
              <w:t>Periódico</w:t>
            </w:r>
          </w:p>
        </w:tc>
        <w:tc>
          <w:tcPr>
            <w:tcW w:w="1190" w:type="dxa"/>
            <w:tcBorders>
              <w:top w:val="single" w:sz="4" w:space="0" w:color="auto"/>
              <w:left w:val="single" w:sz="4" w:space="0" w:color="auto"/>
              <w:bottom w:val="single" w:sz="4" w:space="0" w:color="auto"/>
              <w:right w:val="single" w:sz="4" w:space="0" w:color="auto"/>
            </w:tcBorders>
            <w:vAlign w:val="center"/>
          </w:tcPr>
          <w:p w14:paraId="6FAB09EC" w14:textId="77777777" w:rsidR="002E4A4D" w:rsidRDefault="002E4A4D" w:rsidP="002E4A4D">
            <w:pPr>
              <w:spacing w:after="0"/>
              <w:jc w:val="center"/>
              <w:rPr>
                <w:sz w:val="16"/>
                <w:szCs w:val="16"/>
              </w:rPr>
            </w:pPr>
            <w:r>
              <w:rPr>
                <w:sz w:val="16"/>
                <w:szCs w:val="16"/>
                <w:lang w:val="es-ES"/>
              </w:rPr>
              <w:t>Instantáneo</w:t>
            </w:r>
          </w:p>
        </w:tc>
        <w:tc>
          <w:tcPr>
            <w:tcW w:w="1190" w:type="dxa"/>
            <w:tcBorders>
              <w:top w:val="single" w:sz="4" w:space="0" w:color="auto"/>
              <w:left w:val="single" w:sz="4" w:space="0" w:color="auto"/>
              <w:bottom w:val="single" w:sz="4" w:space="0" w:color="auto"/>
              <w:right w:val="single" w:sz="4" w:space="0" w:color="auto"/>
            </w:tcBorders>
            <w:vAlign w:val="center"/>
          </w:tcPr>
          <w:p w14:paraId="0FA8923B" w14:textId="77777777" w:rsidR="002E4A4D" w:rsidRPr="00B87FD8" w:rsidRDefault="002E4A4D" w:rsidP="002E4A4D">
            <w:pPr>
              <w:spacing w:after="0"/>
              <w:jc w:val="center"/>
              <w:rPr>
                <w:sz w:val="16"/>
                <w:szCs w:val="16"/>
                <w:lang w:val="es-ES"/>
              </w:rPr>
            </w:pPr>
            <w:r>
              <w:rPr>
                <w:sz w:val="16"/>
                <w:szCs w:val="16"/>
                <w:lang w:val="es-ES"/>
              </w:rPr>
              <w:t>Periódico</w:t>
            </w:r>
          </w:p>
        </w:tc>
        <w:tc>
          <w:tcPr>
            <w:tcW w:w="1230" w:type="dxa"/>
            <w:tcBorders>
              <w:top w:val="single" w:sz="4" w:space="0" w:color="auto"/>
              <w:left w:val="single" w:sz="4" w:space="0" w:color="auto"/>
              <w:bottom w:val="single" w:sz="4" w:space="0" w:color="auto"/>
              <w:right w:val="single" w:sz="4" w:space="0" w:color="auto"/>
            </w:tcBorders>
            <w:vAlign w:val="center"/>
          </w:tcPr>
          <w:p w14:paraId="50FE9FB3" w14:textId="77777777" w:rsidR="002E4A4D" w:rsidRPr="00B87FD8" w:rsidRDefault="002E4A4D" w:rsidP="002E4A4D">
            <w:pPr>
              <w:spacing w:after="0"/>
              <w:jc w:val="center"/>
              <w:rPr>
                <w:sz w:val="16"/>
                <w:szCs w:val="16"/>
                <w:lang w:val="es-ES"/>
              </w:rPr>
            </w:pPr>
            <w:r>
              <w:rPr>
                <w:sz w:val="16"/>
                <w:szCs w:val="16"/>
                <w:lang w:val="es-ES"/>
              </w:rPr>
              <w:t>Instantáneos</w:t>
            </w:r>
          </w:p>
        </w:tc>
        <w:tc>
          <w:tcPr>
            <w:tcW w:w="1230" w:type="dxa"/>
            <w:tcBorders>
              <w:top w:val="single" w:sz="4" w:space="0" w:color="auto"/>
              <w:left w:val="single" w:sz="4" w:space="0" w:color="auto"/>
              <w:bottom w:val="single" w:sz="4" w:space="0" w:color="auto"/>
              <w:right w:val="single" w:sz="4" w:space="0" w:color="auto"/>
            </w:tcBorders>
            <w:vAlign w:val="center"/>
          </w:tcPr>
          <w:p w14:paraId="1CE1ED77" w14:textId="34DFC822" w:rsidR="002E4A4D" w:rsidRDefault="002E4A4D" w:rsidP="002E4A4D">
            <w:pPr>
              <w:spacing w:after="0"/>
              <w:jc w:val="center"/>
              <w:rPr>
                <w:sz w:val="16"/>
                <w:szCs w:val="16"/>
              </w:rPr>
            </w:pPr>
            <w:r>
              <w:rPr>
                <w:sz w:val="16"/>
                <w:szCs w:val="16"/>
                <w:lang w:val="es-ES"/>
              </w:rPr>
              <w:t>Periódico</w:t>
            </w:r>
          </w:p>
        </w:tc>
        <w:tc>
          <w:tcPr>
            <w:tcW w:w="1230" w:type="dxa"/>
            <w:tcBorders>
              <w:top w:val="single" w:sz="4" w:space="0" w:color="auto"/>
              <w:left w:val="single" w:sz="4" w:space="0" w:color="auto"/>
              <w:bottom w:val="single" w:sz="4" w:space="0" w:color="auto"/>
              <w:right w:val="single" w:sz="4" w:space="0" w:color="auto"/>
            </w:tcBorders>
            <w:vAlign w:val="center"/>
          </w:tcPr>
          <w:p w14:paraId="1E09C9E9" w14:textId="6F9794A2" w:rsidR="002E4A4D" w:rsidRDefault="002E4A4D" w:rsidP="002E4A4D">
            <w:pPr>
              <w:spacing w:after="0"/>
              <w:jc w:val="center"/>
              <w:rPr>
                <w:sz w:val="16"/>
                <w:szCs w:val="16"/>
              </w:rPr>
            </w:pPr>
            <w:r>
              <w:rPr>
                <w:sz w:val="16"/>
                <w:szCs w:val="16"/>
                <w:lang w:val="es-ES"/>
              </w:rPr>
              <w:t>Instantáneo</w:t>
            </w:r>
          </w:p>
        </w:tc>
        <w:tc>
          <w:tcPr>
            <w:tcW w:w="1310" w:type="dxa"/>
            <w:tcBorders>
              <w:top w:val="single" w:sz="4" w:space="0" w:color="auto"/>
              <w:left w:val="single" w:sz="4" w:space="0" w:color="auto"/>
              <w:bottom w:val="single" w:sz="4" w:space="0" w:color="auto"/>
              <w:right w:val="single" w:sz="4" w:space="0" w:color="auto"/>
            </w:tcBorders>
            <w:vAlign w:val="center"/>
          </w:tcPr>
          <w:p w14:paraId="5FE11279" w14:textId="749BB42C" w:rsidR="002E4A4D" w:rsidRDefault="002E4A4D" w:rsidP="002E4A4D">
            <w:pPr>
              <w:spacing w:after="0"/>
              <w:jc w:val="center"/>
              <w:rPr>
                <w:sz w:val="16"/>
                <w:szCs w:val="16"/>
              </w:rPr>
            </w:pPr>
            <w:r>
              <w:rPr>
                <w:sz w:val="16"/>
                <w:szCs w:val="16"/>
                <w:lang w:val="es-ES"/>
              </w:rPr>
              <w:t>Instantáneo</w:t>
            </w:r>
          </w:p>
        </w:tc>
        <w:tc>
          <w:tcPr>
            <w:tcW w:w="1310" w:type="dxa"/>
            <w:tcBorders>
              <w:top w:val="single" w:sz="4" w:space="0" w:color="auto"/>
              <w:left w:val="single" w:sz="4" w:space="0" w:color="auto"/>
              <w:bottom w:val="single" w:sz="4" w:space="0" w:color="auto"/>
              <w:right w:val="single" w:sz="4" w:space="0" w:color="auto"/>
            </w:tcBorders>
            <w:vAlign w:val="center"/>
          </w:tcPr>
          <w:p w14:paraId="4510E321" w14:textId="6479485C" w:rsidR="002E4A4D" w:rsidRDefault="002E4A4D" w:rsidP="002E4A4D">
            <w:pPr>
              <w:spacing w:after="0"/>
              <w:jc w:val="center"/>
              <w:rPr>
                <w:sz w:val="16"/>
                <w:szCs w:val="16"/>
              </w:rPr>
            </w:pPr>
            <w:r>
              <w:rPr>
                <w:sz w:val="16"/>
                <w:szCs w:val="16"/>
                <w:lang w:val="es-ES"/>
              </w:rPr>
              <w:t>Periódico</w:t>
            </w:r>
          </w:p>
        </w:tc>
      </w:tr>
      <w:tr w:rsidR="002E4A4D" w:rsidRPr="00B87FD8" w14:paraId="546EDDF8" w14:textId="77777777" w:rsidTr="002E4A4D">
        <w:tc>
          <w:tcPr>
            <w:tcW w:w="1560" w:type="dxa"/>
            <w:tcBorders>
              <w:right w:val="single" w:sz="4" w:space="0" w:color="5F2987"/>
            </w:tcBorders>
            <w:shd w:val="clear" w:color="auto" w:fill="E2EFD9" w:themeFill="accent6" w:themeFillTint="33"/>
            <w:vAlign w:val="center"/>
          </w:tcPr>
          <w:p w14:paraId="3265F93E" w14:textId="77777777" w:rsidR="002E4A4D" w:rsidRPr="00B87FD8" w:rsidRDefault="002E4A4D" w:rsidP="002E4A4D">
            <w:pPr>
              <w:spacing w:after="0"/>
              <w:jc w:val="center"/>
              <w:rPr>
                <w:i/>
                <w:iCs/>
                <w:color w:val="5F2987"/>
                <w:sz w:val="16"/>
                <w:szCs w:val="16"/>
                <w:lang w:val="es-ES"/>
              </w:rPr>
            </w:pPr>
            <w:r w:rsidRPr="00B87FD8">
              <w:rPr>
                <w:i/>
                <w:iCs/>
                <w:color w:val="5F2987"/>
                <w:sz w:val="16"/>
                <w:szCs w:val="16"/>
                <w:lang w:val="es-ES"/>
              </w:rPr>
              <w:t xml:space="preserve">Recaudación </w:t>
            </w:r>
            <w:r w:rsidRPr="00C60898">
              <w:rPr>
                <w:i/>
                <w:iCs/>
                <w:color w:val="5F2987"/>
                <w:sz w:val="12"/>
                <w:szCs w:val="12"/>
                <w:lang w:val="es-ES"/>
              </w:rPr>
              <w:t>(M€)</w:t>
            </w:r>
          </w:p>
        </w:tc>
        <w:tc>
          <w:tcPr>
            <w:tcW w:w="1190" w:type="dxa"/>
            <w:tcBorders>
              <w:top w:val="single" w:sz="4" w:space="0" w:color="auto"/>
              <w:left w:val="single" w:sz="4" w:space="0" w:color="5F2987"/>
              <w:bottom w:val="single" w:sz="4" w:space="0" w:color="auto"/>
              <w:right w:val="single" w:sz="4" w:space="0" w:color="auto"/>
            </w:tcBorders>
            <w:vAlign w:val="center"/>
          </w:tcPr>
          <w:p w14:paraId="0D179073" w14:textId="77777777" w:rsidR="002E4A4D" w:rsidRPr="00B87FD8" w:rsidRDefault="002E4A4D" w:rsidP="002E4A4D">
            <w:pPr>
              <w:spacing w:after="0"/>
              <w:jc w:val="center"/>
              <w:rPr>
                <w:sz w:val="16"/>
                <w:szCs w:val="16"/>
                <w:lang w:val="es-ES"/>
              </w:rPr>
            </w:pPr>
            <w:r>
              <w:rPr>
                <w:sz w:val="16"/>
                <w:szCs w:val="16"/>
                <w:lang w:val="es-ES"/>
              </w:rPr>
              <w:t>110.000 M€</w:t>
            </w:r>
          </w:p>
        </w:tc>
        <w:tc>
          <w:tcPr>
            <w:tcW w:w="1190" w:type="dxa"/>
            <w:tcBorders>
              <w:top w:val="single" w:sz="4" w:space="0" w:color="auto"/>
              <w:left w:val="single" w:sz="4" w:space="0" w:color="auto"/>
              <w:bottom w:val="single" w:sz="4" w:space="0" w:color="auto"/>
              <w:right w:val="single" w:sz="4" w:space="0" w:color="auto"/>
            </w:tcBorders>
            <w:vAlign w:val="center"/>
          </w:tcPr>
          <w:p w14:paraId="5C0D45D8" w14:textId="77777777" w:rsidR="002E4A4D" w:rsidRDefault="002E4A4D" w:rsidP="002E4A4D">
            <w:pPr>
              <w:spacing w:after="0"/>
              <w:jc w:val="center"/>
              <w:rPr>
                <w:sz w:val="16"/>
                <w:szCs w:val="16"/>
              </w:rPr>
            </w:pPr>
            <w:r>
              <w:rPr>
                <w:sz w:val="16"/>
                <w:szCs w:val="16"/>
                <w:lang w:val="es-ES"/>
              </w:rPr>
              <w:t>82.000 M€</w:t>
            </w:r>
          </w:p>
        </w:tc>
        <w:tc>
          <w:tcPr>
            <w:tcW w:w="1190" w:type="dxa"/>
            <w:tcBorders>
              <w:top w:val="single" w:sz="4" w:space="0" w:color="auto"/>
              <w:left w:val="single" w:sz="4" w:space="0" w:color="auto"/>
              <w:bottom w:val="single" w:sz="4" w:space="0" w:color="auto"/>
              <w:right w:val="single" w:sz="4" w:space="0" w:color="auto"/>
            </w:tcBorders>
            <w:vAlign w:val="center"/>
          </w:tcPr>
          <w:p w14:paraId="043D66E9" w14:textId="77777777" w:rsidR="002E4A4D" w:rsidRPr="00B87FD8" w:rsidRDefault="002E4A4D" w:rsidP="002E4A4D">
            <w:pPr>
              <w:spacing w:after="0"/>
              <w:jc w:val="center"/>
              <w:rPr>
                <w:sz w:val="16"/>
                <w:szCs w:val="16"/>
                <w:lang w:val="es-ES"/>
              </w:rPr>
            </w:pPr>
            <w:r>
              <w:rPr>
                <w:sz w:val="16"/>
                <w:szCs w:val="16"/>
                <w:lang w:val="es-ES"/>
              </w:rPr>
              <w:t>32.000 M€</w:t>
            </w:r>
          </w:p>
        </w:tc>
        <w:tc>
          <w:tcPr>
            <w:tcW w:w="1230" w:type="dxa"/>
            <w:tcBorders>
              <w:top w:val="single" w:sz="4" w:space="0" w:color="auto"/>
              <w:left w:val="single" w:sz="4" w:space="0" w:color="auto"/>
              <w:bottom w:val="single" w:sz="4" w:space="0" w:color="auto"/>
              <w:right w:val="single" w:sz="4" w:space="0" w:color="auto"/>
            </w:tcBorders>
            <w:vAlign w:val="center"/>
          </w:tcPr>
          <w:p w14:paraId="42A19A4A" w14:textId="77777777" w:rsidR="002E4A4D" w:rsidRPr="00B87FD8" w:rsidRDefault="002E4A4D" w:rsidP="002E4A4D">
            <w:pPr>
              <w:spacing w:after="0"/>
              <w:jc w:val="center"/>
              <w:rPr>
                <w:sz w:val="16"/>
                <w:szCs w:val="16"/>
                <w:lang w:val="es-ES"/>
              </w:rPr>
            </w:pPr>
            <w:r>
              <w:rPr>
                <w:sz w:val="16"/>
                <w:szCs w:val="16"/>
                <w:lang w:val="es-ES"/>
              </w:rPr>
              <w:t>20.000 M€</w:t>
            </w:r>
          </w:p>
        </w:tc>
        <w:tc>
          <w:tcPr>
            <w:tcW w:w="1230" w:type="dxa"/>
            <w:tcBorders>
              <w:top w:val="single" w:sz="4" w:space="0" w:color="auto"/>
              <w:left w:val="single" w:sz="4" w:space="0" w:color="auto"/>
              <w:bottom w:val="single" w:sz="4" w:space="0" w:color="auto"/>
              <w:right w:val="single" w:sz="4" w:space="0" w:color="auto"/>
            </w:tcBorders>
            <w:vAlign w:val="center"/>
          </w:tcPr>
          <w:p w14:paraId="4DB0E18D" w14:textId="080D92DA" w:rsidR="002E4A4D" w:rsidRPr="005808F1" w:rsidRDefault="002E4A4D" w:rsidP="002E4A4D">
            <w:pPr>
              <w:spacing w:after="0"/>
              <w:jc w:val="center"/>
              <w:rPr>
                <w:sz w:val="16"/>
                <w:szCs w:val="16"/>
                <w:highlight w:val="yellow"/>
              </w:rPr>
            </w:pPr>
            <w:r w:rsidRPr="005808F1">
              <w:rPr>
                <w:sz w:val="16"/>
                <w:szCs w:val="16"/>
                <w:highlight w:val="yellow"/>
                <w:lang w:val="es-ES"/>
              </w:rPr>
              <w:t>13.000 M€</w:t>
            </w:r>
          </w:p>
        </w:tc>
        <w:tc>
          <w:tcPr>
            <w:tcW w:w="1230" w:type="dxa"/>
            <w:tcBorders>
              <w:top w:val="single" w:sz="4" w:space="0" w:color="auto"/>
              <w:left w:val="single" w:sz="4" w:space="0" w:color="auto"/>
              <w:bottom w:val="single" w:sz="4" w:space="0" w:color="auto"/>
              <w:right w:val="single" w:sz="4" w:space="0" w:color="auto"/>
            </w:tcBorders>
            <w:vAlign w:val="center"/>
          </w:tcPr>
          <w:p w14:paraId="532D8AB3" w14:textId="6EF2B1DE" w:rsidR="002E4A4D" w:rsidRDefault="002E4A4D" w:rsidP="002E4A4D">
            <w:pPr>
              <w:spacing w:after="0"/>
              <w:jc w:val="center"/>
              <w:rPr>
                <w:sz w:val="16"/>
                <w:szCs w:val="16"/>
              </w:rPr>
            </w:pPr>
            <w:r w:rsidRPr="005808F1">
              <w:rPr>
                <w:sz w:val="16"/>
                <w:szCs w:val="16"/>
                <w:highlight w:val="yellow"/>
                <w:lang w:val="es-ES"/>
              </w:rPr>
              <w:t>6.000 M€</w:t>
            </w:r>
          </w:p>
        </w:tc>
        <w:tc>
          <w:tcPr>
            <w:tcW w:w="1310" w:type="dxa"/>
            <w:tcBorders>
              <w:top w:val="single" w:sz="4" w:space="0" w:color="auto"/>
              <w:left w:val="single" w:sz="4" w:space="0" w:color="auto"/>
              <w:bottom w:val="single" w:sz="4" w:space="0" w:color="auto"/>
              <w:right w:val="single" w:sz="4" w:space="0" w:color="auto"/>
            </w:tcBorders>
            <w:vAlign w:val="center"/>
          </w:tcPr>
          <w:p w14:paraId="6F818B56" w14:textId="145BE6D6" w:rsidR="002E4A4D" w:rsidRPr="000610C4" w:rsidRDefault="002E4A4D" w:rsidP="002E4A4D">
            <w:pPr>
              <w:spacing w:after="0"/>
              <w:jc w:val="center"/>
              <w:rPr>
                <w:sz w:val="16"/>
                <w:szCs w:val="16"/>
                <w:highlight w:val="yellow"/>
              </w:rPr>
            </w:pPr>
            <w:r w:rsidRPr="000610C4">
              <w:rPr>
                <w:sz w:val="16"/>
                <w:szCs w:val="16"/>
                <w:highlight w:val="yellow"/>
                <w:lang w:val="es-ES"/>
              </w:rPr>
              <w:t>2.500 M€</w:t>
            </w:r>
          </w:p>
        </w:tc>
        <w:tc>
          <w:tcPr>
            <w:tcW w:w="1310" w:type="dxa"/>
            <w:tcBorders>
              <w:top w:val="single" w:sz="4" w:space="0" w:color="auto"/>
              <w:left w:val="single" w:sz="4" w:space="0" w:color="auto"/>
              <w:bottom w:val="single" w:sz="4" w:space="0" w:color="auto"/>
              <w:right w:val="single" w:sz="4" w:space="0" w:color="auto"/>
            </w:tcBorders>
            <w:vAlign w:val="center"/>
          </w:tcPr>
          <w:p w14:paraId="216E09E8" w14:textId="1BD9DE12" w:rsidR="002E4A4D" w:rsidRPr="000610C4" w:rsidRDefault="002E4A4D" w:rsidP="002E4A4D">
            <w:pPr>
              <w:spacing w:after="0"/>
              <w:jc w:val="center"/>
              <w:rPr>
                <w:sz w:val="16"/>
                <w:szCs w:val="16"/>
                <w:highlight w:val="yellow"/>
              </w:rPr>
            </w:pPr>
            <w:r>
              <w:rPr>
                <w:sz w:val="16"/>
                <w:szCs w:val="16"/>
                <w:lang w:val="es-ES"/>
              </w:rPr>
              <w:t>1.800 M€</w:t>
            </w:r>
          </w:p>
        </w:tc>
      </w:tr>
      <w:tr w:rsidR="002E4A4D" w:rsidRPr="00B87FD8" w14:paraId="64FF9672" w14:textId="77777777" w:rsidTr="002E4A4D">
        <w:tc>
          <w:tcPr>
            <w:tcW w:w="1560" w:type="dxa"/>
            <w:tcBorders>
              <w:right w:val="single" w:sz="4" w:space="0" w:color="5F2987"/>
            </w:tcBorders>
            <w:shd w:val="clear" w:color="auto" w:fill="E2EFD9" w:themeFill="accent6" w:themeFillTint="33"/>
            <w:vAlign w:val="center"/>
          </w:tcPr>
          <w:p w14:paraId="3C466283" w14:textId="77777777" w:rsidR="002E4A4D" w:rsidRPr="00C60898" w:rsidRDefault="002E4A4D" w:rsidP="002E4A4D">
            <w:pPr>
              <w:spacing w:after="0"/>
              <w:jc w:val="center"/>
              <w:rPr>
                <w:i/>
                <w:iCs/>
                <w:color w:val="5F2987"/>
                <w:sz w:val="16"/>
                <w:szCs w:val="16"/>
                <w:lang w:val="es-ES"/>
              </w:rPr>
            </w:pPr>
            <w:r w:rsidRPr="00C60898">
              <w:rPr>
                <w:i/>
                <w:iCs/>
                <w:color w:val="5F2987"/>
                <w:sz w:val="16"/>
                <w:szCs w:val="16"/>
                <w:lang w:val="es-ES"/>
              </w:rPr>
              <w:t xml:space="preserve">Recaudación </w:t>
            </w:r>
            <w:r w:rsidRPr="00C60898">
              <w:rPr>
                <w:i/>
                <w:iCs/>
                <w:color w:val="5F2987"/>
                <w:sz w:val="12"/>
                <w:szCs w:val="12"/>
                <w:lang w:val="es-ES"/>
              </w:rPr>
              <w:t>(%/Ingresos públicos)</w:t>
            </w:r>
            <w:r w:rsidRPr="00C60898">
              <w:rPr>
                <w:i/>
                <w:iCs/>
                <w:color w:val="5F2987"/>
                <w:sz w:val="12"/>
                <w:szCs w:val="12"/>
                <w:lang w:val="es-ES"/>
              </w:rPr>
              <w:br/>
              <w:t>(%/</w:t>
            </w:r>
            <w:r>
              <w:rPr>
                <w:i/>
                <w:iCs/>
                <w:color w:val="5F2987"/>
                <w:sz w:val="12"/>
                <w:szCs w:val="12"/>
                <w:lang w:val="es-ES"/>
              </w:rPr>
              <w:t>Total</w:t>
            </w:r>
            <w:r w:rsidRPr="00C60898">
              <w:rPr>
                <w:i/>
                <w:iCs/>
                <w:color w:val="5F2987"/>
                <w:sz w:val="12"/>
                <w:szCs w:val="12"/>
                <w:lang w:val="es-ES"/>
              </w:rPr>
              <w:t>)</w:t>
            </w:r>
            <w:r>
              <w:rPr>
                <w:i/>
                <w:iCs/>
                <w:color w:val="5F2987"/>
                <w:sz w:val="12"/>
                <w:szCs w:val="12"/>
                <w:lang w:val="es-ES"/>
              </w:rPr>
              <w:br/>
            </w:r>
            <w:r w:rsidRPr="00C60898">
              <w:rPr>
                <w:i/>
                <w:iCs/>
                <w:color w:val="5F2987"/>
                <w:sz w:val="12"/>
                <w:szCs w:val="12"/>
                <w:lang w:val="es-ES"/>
              </w:rPr>
              <w:t>(%/</w:t>
            </w:r>
            <w:r>
              <w:rPr>
                <w:i/>
                <w:iCs/>
                <w:color w:val="5F2987"/>
                <w:sz w:val="12"/>
                <w:szCs w:val="12"/>
                <w:lang w:val="es-ES"/>
              </w:rPr>
              <w:t>PIB</w:t>
            </w:r>
            <w:r w:rsidRPr="00C60898">
              <w:rPr>
                <w:i/>
                <w:iCs/>
                <w:color w:val="5F2987"/>
                <w:sz w:val="12"/>
                <w:szCs w:val="12"/>
                <w:lang w:val="es-ES"/>
              </w:rPr>
              <w:t>)</w:t>
            </w:r>
          </w:p>
        </w:tc>
        <w:tc>
          <w:tcPr>
            <w:tcW w:w="1190" w:type="dxa"/>
            <w:tcBorders>
              <w:top w:val="single" w:sz="4" w:space="0" w:color="auto"/>
              <w:left w:val="single" w:sz="4" w:space="0" w:color="5F2987"/>
              <w:bottom w:val="single" w:sz="4" w:space="0" w:color="auto"/>
              <w:right w:val="single" w:sz="4" w:space="0" w:color="auto"/>
            </w:tcBorders>
            <w:vAlign w:val="center"/>
          </w:tcPr>
          <w:p w14:paraId="733E193F" w14:textId="77777777" w:rsidR="002E4A4D" w:rsidRPr="00252673" w:rsidRDefault="002E4A4D" w:rsidP="002E4A4D">
            <w:pPr>
              <w:spacing w:after="0"/>
              <w:jc w:val="center"/>
              <w:rPr>
                <w:sz w:val="16"/>
                <w:szCs w:val="16"/>
              </w:rPr>
            </w:pPr>
            <w:r w:rsidRPr="00252673">
              <w:rPr>
                <w:sz w:val="16"/>
                <w:szCs w:val="16"/>
              </w:rPr>
              <w:t>~40 </w:t>
            </w:r>
            <w:r w:rsidRPr="00252673">
              <w:rPr>
                <w:sz w:val="12"/>
                <w:szCs w:val="12"/>
              </w:rPr>
              <w:t>%/</w:t>
            </w:r>
            <w:proofErr w:type="spellStart"/>
            <w:r w:rsidRPr="00252673">
              <w:rPr>
                <w:sz w:val="12"/>
                <w:szCs w:val="12"/>
              </w:rPr>
              <w:t>Impuestos</w:t>
            </w:r>
            <w:proofErr w:type="spellEnd"/>
            <w:r w:rsidRPr="00252673">
              <w:rPr>
                <w:sz w:val="16"/>
                <w:szCs w:val="16"/>
              </w:rPr>
              <w:br/>
              <w:t>~20 </w:t>
            </w:r>
            <w:r w:rsidRPr="00252673">
              <w:rPr>
                <w:sz w:val="12"/>
                <w:szCs w:val="12"/>
              </w:rPr>
              <w:t>%/IP</w:t>
            </w:r>
            <w:r w:rsidRPr="00252673">
              <w:rPr>
                <w:sz w:val="12"/>
                <w:szCs w:val="12"/>
              </w:rPr>
              <w:br/>
            </w:r>
            <w:r w:rsidRPr="00252673">
              <w:rPr>
                <w:sz w:val="16"/>
                <w:szCs w:val="16"/>
              </w:rPr>
              <w:t>~7,5 </w:t>
            </w:r>
            <w:r w:rsidRPr="00252673">
              <w:rPr>
                <w:sz w:val="12"/>
                <w:szCs w:val="12"/>
              </w:rPr>
              <w:t>%/PIB</w:t>
            </w:r>
          </w:p>
        </w:tc>
        <w:tc>
          <w:tcPr>
            <w:tcW w:w="1190" w:type="dxa"/>
            <w:tcBorders>
              <w:top w:val="single" w:sz="4" w:space="0" w:color="auto"/>
              <w:left w:val="single" w:sz="4" w:space="0" w:color="auto"/>
              <w:bottom w:val="single" w:sz="4" w:space="0" w:color="auto"/>
              <w:right w:val="single" w:sz="4" w:space="0" w:color="auto"/>
            </w:tcBorders>
            <w:vAlign w:val="center"/>
          </w:tcPr>
          <w:p w14:paraId="305B880A" w14:textId="77777777" w:rsidR="002E4A4D" w:rsidRPr="007979AA" w:rsidRDefault="002E4A4D" w:rsidP="002E4A4D">
            <w:pPr>
              <w:spacing w:after="0"/>
              <w:jc w:val="center"/>
              <w:rPr>
                <w:sz w:val="16"/>
                <w:szCs w:val="16"/>
              </w:rPr>
            </w:pPr>
            <w:r w:rsidRPr="007979AA">
              <w:rPr>
                <w:sz w:val="16"/>
                <w:szCs w:val="16"/>
              </w:rPr>
              <w:t>~30 </w:t>
            </w:r>
            <w:r w:rsidRPr="007979AA">
              <w:rPr>
                <w:sz w:val="12"/>
                <w:szCs w:val="12"/>
              </w:rPr>
              <w:t>%/</w:t>
            </w:r>
            <w:proofErr w:type="spellStart"/>
            <w:r w:rsidRPr="007979AA">
              <w:rPr>
                <w:sz w:val="12"/>
                <w:szCs w:val="12"/>
              </w:rPr>
              <w:t>Impuestos</w:t>
            </w:r>
            <w:proofErr w:type="spellEnd"/>
            <w:r w:rsidRPr="007979AA">
              <w:rPr>
                <w:sz w:val="16"/>
                <w:szCs w:val="16"/>
              </w:rPr>
              <w:br/>
              <w:t>~15 </w:t>
            </w:r>
            <w:r w:rsidRPr="007979AA">
              <w:rPr>
                <w:sz w:val="12"/>
                <w:szCs w:val="12"/>
              </w:rPr>
              <w:t>%/IP</w:t>
            </w:r>
            <w:r w:rsidRPr="007979AA">
              <w:rPr>
                <w:sz w:val="12"/>
                <w:szCs w:val="12"/>
              </w:rPr>
              <w:br/>
            </w:r>
            <w:r w:rsidRPr="007979AA">
              <w:rPr>
                <w:sz w:val="16"/>
                <w:szCs w:val="16"/>
              </w:rPr>
              <w:t>~5,6 </w:t>
            </w:r>
            <w:r w:rsidRPr="007979AA">
              <w:rPr>
                <w:sz w:val="12"/>
                <w:szCs w:val="12"/>
              </w:rPr>
              <w:t>%/PIB</w:t>
            </w:r>
          </w:p>
        </w:tc>
        <w:tc>
          <w:tcPr>
            <w:tcW w:w="1190" w:type="dxa"/>
            <w:tcBorders>
              <w:top w:val="single" w:sz="4" w:space="0" w:color="auto"/>
              <w:left w:val="single" w:sz="4" w:space="0" w:color="auto"/>
              <w:bottom w:val="single" w:sz="4" w:space="0" w:color="auto"/>
              <w:right w:val="single" w:sz="4" w:space="0" w:color="auto"/>
            </w:tcBorders>
            <w:vAlign w:val="center"/>
          </w:tcPr>
          <w:p w14:paraId="427EAEBD" w14:textId="77777777" w:rsidR="002E4A4D" w:rsidRPr="007979AA" w:rsidRDefault="002E4A4D" w:rsidP="002E4A4D">
            <w:pPr>
              <w:spacing w:after="0"/>
              <w:jc w:val="center"/>
              <w:rPr>
                <w:sz w:val="16"/>
                <w:szCs w:val="16"/>
              </w:rPr>
            </w:pPr>
            <w:r w:rsidRPr="007979AA">
              <w:rPr>
                <w:sz w:val="16"/>
                <w:szCs w:val="16"/>
              </w:rPr>
              <w:t>~12 </w:t>
            </w:r>
            <w:r w:rsidRPr="007979AA">
              <w:rPr>
                <w:sz w:val="12"/>
                <w:szCs w:val="12"/>
              </w:rPr>
              <w:t>%/</w:t>
            </w:r>
            <w:proofErr w:type="spellStart"/>
            <w:r w:rsidRPr="007979AA">
              <w:rPr>
                <w:sz w:val="12"/>
                <w:szCs w:val="12"/>
              </w:rPr>
              <w:t>Impuestos</w:t>
            </w:r>
            <w:proofErr w:type="spellEnd"/>
            <w:r w:rsidRPr="007979AA">
              <w:rPr>
                <w:sz w:val="16"/>
                <w:szCs w:val="16"/>
              </w:rPr>
              <w:br/>
              <w:t>~6 </w:t>
            </w:r>
            <w:r w:rsidRPr="007979AA">
              <w:rPr>
                <w:sz w:val="12"/>
                <w:szCs w:val="12"/>
              </w:rPr>
              <w:t>%/IP</w:t>
            </w:r>
            <w:r w:rsidRPr="007979AA">
              <w:rPr>
                <w:sz w:val="12"/>
                <w:szCs w:val="12"/>
              </w:rPr>
              <w:br/>
            </w:r>
            <w:r w:rsidRPr="007979AA">
              <w:rPr>
                <w:sz w:val="16"/>
                <w:szCs w:val="16"/>
              </w:rPr>
              <w:t>~2,2 </w:t>
            </w:r>
            <w:r w:rsidRPr="007979AA">
              <w:rPr>
                <w:sz w:val="12"/>
                <w:szCs w:val="12"/>
              </w:rPr>
              <w:t>%/PIB</w:t>
            </w:r>
          </w:p>
        </w:tc>
        <w:tc>
          <w:tcPr>
            <w:tcW w:w="1230" w:type="dxa"/>
            <w:tcBorders>
              <w:top w:val="single" w:sz="4" w:space="0" w:color="auto"/>
              <w:left w:val="single" w:sz="4" w:space="0" w:color="auto"/>
              <w:bottom w:val="single" w:sz="4" w:space="0" w:color="auto"/>
              <w:right w:val="single" w:sz="4" w:space="0" w:color="auto"/>
            </w:tcBorders>
            <w:vAlign w:val="center"/>
          </w:tcPr>
          <w:p w14:paraId="110270F7" w14:textId="77777777" w:rsidR="002E4A4D" w:rsidRPr="00C60898" w:rsidRDefault="002E4A4D" w:rsidP="002E4A4D">
            <w:pPr>
              <w:spacing w:after="0"/>
              <w:jc w:val="center"/>
              <w:rPr>
                <w:sz w:val="16"/>
                <w:szCs w:val="16"/>
                <w:highlight w:val="yellow"/>
              </w:rPr>
            </w:pPr>
            <w:r w:rsidRPr="007979AA">
              <w:rPr>
                <w:sz w:val="16"/>
                <w:szCs w:val="16"/>
              </w:rPr>
              <w:t>~7,3 </w:t>
            </w:r>
            <w:r w:rsidRPr="007979AA">
              <w:rPr>
                <w:sz w:val="12"/>
                <w:szCs w:val="12"/>
              </w:rPr>
              <w:t>%/</w:t>
            </w:r>
            <w:proofErr w:type="spellStart"/>
            <w:r w:rsidRPr="007979AA">
              <w:rPr>
                <w:sz w:val="12"/>
                <w:szCs w:val="12"/>
              </w:rPr>
              <w:t>Impuestos</w:t>
            </w:r>
            <w:proofErr w:type="spellEnd"/>
            <w:r w:rsidRPr="007979AA">
              <w:rPr>
                <w:sz w:val="16"/>
                <w:szCs w:val="16"/>
              </w:rPr>
              <w:br/>
              <w:t>~3,6 </w:t>
            </w:r>
            <w:r w:rsidRPr="007979AA">
              <w:rPr>
                <w:sz w:val="12"/>
                <w:szCs w:val="12"/>
              </w:rPr>
              <w:t>%/IP</w:t>
            </w:r>
            <w:r w:rsidRPr="007979AA">
              <w:rPr>
                <w:sz w:val="12"/>
                <w:szCs w:val="12"/>
              </w:rPr>
              <w:br/>
            </w:r>
            <w:r w:rsidRPr="007979AA">
              <w:rPr>
                <w:sz w:val="16"/>
                <w:szCs w:val="16"/>
              </w:rPr>
              <w:t>~1,4 </w:t>
            </w:r>
            <w:r w:rsidRPr="007979AA">
              <w:rPr>
                <w:sz w:val="12"/>
                <w:szCs w:val="12"/>
              </w:rPr>
              <w:t>%/PIB</w:t>
            </w:r>
          </w:p>
        </w:tc>
        <w:tc>
          <w:tcPr>
            <w:tcW w:w="1230" w:type="dxa"/>
            <w:tcBorders>
              <w:top w:val="single" w:sz="4" w:space="0" w:color="auto"/>
              <w:left w:val="single" w:sz="4" w:space="0" w:color="auto"/>
              <w:bottom w:val="single" w:sz="4" w:space="0" w:color="auto"/>
              <w:right w:val="single" w:sz="4" w:space="0" w:color="auto"/>
            </w:tcBorders>
            <w:vAlign w:val="center"/>
          </w:tcPr>
          <w:p w14:paraId="7500827E" w14:textId="0BC76826" w:rsidR="002E4A4D" w:rsidRPr="00C60898" w:rsidRDefault="002E4A4D" w:rsidP="002E4A4D">
            <w:pPr>
              <w:spacing w:after="0"/>
              <w:jc w:val="center"/>
              <w:rPr>
                <w:sz w:val="16"/>
                <w:szCs w:val="16"/>
                <w:highlight w:val="yellow"/>
              </w:rPr>
            </w:pPr>
            <w:r w:rsidRPr="00C60898">
              <w:rPr>
                <w:sz w:val="16"/>
                <w:szCs w:val="16"/>
                <w:highlight w:val="yellow"/>
              </w:rPr>
              <w:t>~4</w:t>
            </w:r>
            <w:r>
              <w:rPr>
                <w:sz w:val="16"/>
                <w:szCs w:val="16"/>
                <w:highlight w:val="yellow"/>
              </w:rPr>
              <w:t>,7</w:t>
            </w:r>
            <w:r w:rsidRPr="00C60898">
              <w:rPr>
                <w:sz w:val="16"/>
                <w:szCs w:val="16"/>
                <w:highlight w:val="yellow"/>
              </w:rPr>
              <w:t> </w:t>
            </w:r>
            <w:r w:rsidRPr="00C60898">
              <w:rPr>
                <w:sz w:val="12"/>
                <w:szCs w:val="12"/>
                <w:highlight w:val="yellow"/>
              </w:rPr>
              <w:t>%/</w:t>
            </w:r>
            <w:proofErr w:type="spellStart"/>
            <w:r w:rsidRPr="00C60898">
              <w:rPr>
                <w:sz w:val="12"/>
                <w:szCs w:val="12"/>
                <w:highlight w:val="yellow"/>
              </w:rPr>
              <w:t>Impuestos</w:t>
            </w:r>
            <w:proofErr w:type="spellEnd"/>
            <w:r w:rsidRPr="00C60898">
              <w:rPr>
                <w:sz w:val="16"/>
                <w:szCs w:val="16"/>
                <w:highlight w:val="yellow"/>
              </w:rPr>
              <w:br/>
              <w:t>~</w:t>
            </w:r>
            <w:r>
              <w:rPr>
                <w:sz w:val="16"/>
                <w:szCs w:val="16"/>
                <w:highlight w:val="yellow"/>
              </w:rPr>
              <w:t>2,4</w:t>
            </w:r>
            <w:r w:rsidRPr="00C60898">
              <w:rPr>
                <w:sz w:val="16"/>
                <w:szCs w:val="16"/>
                <w:highlight w:val="yellow"/>
              </w:rPr>
              <w:t> </w:t>
            </w:r>
            <w:r w:rsidRPr="00C60898">
              <w:rPr>
                <w:sz w:val="12"/>
                <w:szCs w:val="12"/>
                <w:highlight w:val="yellow"/>
              </w:rPr>
              <w:t>%/IP</w:t>
            </w:r>
            <w:r w:rsidRPr="00C60898">
              <w:rPr>
                <w:sz w:val="12"/>
                <w:szCs w:val="12"/>
                <w:highlight w:val="yellow"/>
              </w:rPr>
              <w:br/>
            </w:r>
            <w:r w:rsidRPr="00C60898">
              <w:rPr>
                <w:sz w:val="16"/>
                <w:szCs w:val="16"/>
                <w:highlight w:val="yellow"/>
              </w:rPr>
              <w:t>~</w:t>
            </w:r>
            <w:r>
              <w:rPr>
                <w:sz w:val="16"/>
                <w:szCs w:val="16"/>
                <w:highlight w:val="yellow"/>
              </w:rPr>
              <w:t>0</w:t>
            </w:r>
            <w:r w:rsidRPr="00C60898">
              <w:rPr>
                <w:sz w:val="16"/>
                <w:szCs w:val="16"/>
                <w:highlight w:val="yellow"/>
              </w:rPr>
              <w:t>,</w:t>
            </w:r>
            <w:r>
              <w:rPr>
                <w:sz w:val="16"/>
                <w:szCs w:val="16"/>
                <w:highlight w:val="yellow"/>
              </w:rPr>
              <w:t>9</w:t>
            </w:r>
            <w:r w:rsidRPr="00C60898">
              <w:rPr>
                <w:sz w:val="16"/>
                <w:szCs w:val="16"/>
                <w:highlight w:val="yellow"/>
              </w:rPr>
              <w:t> </w:t>
            </w:r>
            <w:r w:rsidRPr="00C60898">
              <w:rPr>
                <w:sz w:val="12"/>
                <w:szCs w:val="12"/>
                <w:highlight w:val="yellow"/>
              </w:rPr>
              <w:t>%/PIB</w:t>
            </w:r>
          </w:p>
        </w:tc>
        <w:tc>
          <w:tcPr>
            <w:tcW w:w="1230" w:type="dxa"/>
            <w:tcBorders>
              <w:top w:val="single" w:sz="4" w:space="0" w:color="auto"/>
              <w:left w:val="single" w:sz="4" w:space="0" w:color="auto"/>
              <w:bottom w:val="single" w:sz="4" w:space="0" w:color="auto"/>
              <w:right w:val="single" w:sz="4" w:space="0" w:color="auto"/>
            </w:tcBorders>
            <w:vAlign w:val="center"/>
          </w:tcPr>
          <w:p w14:paraId="41835825" w14:textId="2EB06827" w:rsidR="002E4A4D" w:rsidRPr="00AA2496" w:rsidRDefault="002E4A4D" w:rsidP="002E4A4D">
            <w:pPr>
              <w:spacing w:after="0"/>
              <w:jc w:val="center"/>
              <w:rPr>
                <w:sz w:val="16"/>
                <w:szCs w:val="16"/>
              </w:rPr>
            </w:pPr>
            <w:r w:rsidRPr="00C60898">
              <w:rPr>
                <w:sz w:val="16"/>
                <w:szCs w:val="16"/>
                <w:highlight w:val="yellow"/>
              </w:rPr>
              <w:t>~</w:t>
            </w:r>
            <w:r>
              <w:rPr>
                <w:sz w:val="16"/>
                <w:szCs w:val="16"/>
                <w:highlight w:val="yellow"/>
              </w:rPr>
              <w:t>2,2</w:t>
            </w:r>
            <w:r w:rsidRPr="00C60898">
              <w:rPr>
                <w:sz w:val="16"/>
                <w:szCs w:val="16"/>
                <w:highlight w:val="yellow"/>
              </w:rPr>
              <w:t> </w:t>
            </w:r>
            <w:r w:rsidRPr="00C60898">
              <w:rPr>
                <w:sz w:val="12"/>
                <w:szCs w:val="12"/>
                <w:highlight w:val="yellow"/>
              </w:rPr>
              <w:t>%/</w:t>
            </w:r>
            <w:proofErr w:type="spellStart"/>
            <w:r w:rsidRPr="00C60898">
              <w:rPr>
                <w:sz w:val="12"/>
                <w:szCs w:val="12"/>
                <w:highlight w:val="yellow"/>
              </w:rPr>
              <w:t>Impuestos</w:t>
            </w:r>
            <w:proofErr w:type="spellEnd"/>
            <w:r w:rsidRPr="00C60898">
              <w:rPr>
                <w:sz w:val="16"/>
                <w:szCs w:val="16"/>
                <w:highlight w:val="yellow"/>
              </w:rPr>
              <w:br/>
              <w:t>~</w:t>
            </w:r>
            <w:r>
              <w:rPr>
                <w:sz w:val="16"/>
                <w:szCs w:val="16"/>
                <w:highlight w:val="yellow"/>
              </w:rPr>
              <w:t>1,1</w:t>
            </w:r>
            <w:r w:rsidRPr="00C60898">
              <w:rPr>
                <w:sz w:val="16"/>
                <w:szCs w:val="16"/>
                <w:highlight w:val="yellow"/>
              </w:rPr>
              <w:t> </w:t>
            </w:r>
            <w:r w:rsidRPr="00C60898">
              <w:rPr>
                <w:sz w:val="12"/>
                <w:szCs w:val="12"/>
                <w:highlight w:val="yellow"/>
              </w:rPr>
              <w:t>%/IP</w:t>
            </w:r>
            <w:r w:rsidRPr="00C60898">
              <w:rPr>
                <w:sz w:val="12"/>
                <w:szCs w:val="12"/>
                <w:highlight w:val="yellow"/>
              </w:rPr>
              <w:br/>
            </w:r>
            <w:r w:rsidRPr="00C60898">
              <w:rPr>
                <w:sz w:val="16"/>
                <w:szCs w:val="16"/>
                <w:highlight w:val="yellow"/>
              </w:rPr>
              <w:t>~</w:t>
            </w:r>
            <w:r>
              <w:rPr>
                <w:sz w:val="16"/>
                <w:szCs w:val="16"/>
                <w:highlight w:val="yellow"/>
              </w:rPr>
              <w:t>0</w:t>
            </w:r>
            <w:r w:rsidRPr="00C60898">
              <w:rPr>
                <w:sz w:val="16"/>
                <w:szCs w:val="16"/>
                <w:highlight w:val="yellow"/>
              </w:rPr>
              <w:t>,</w:t>
            </w:r>
            <w:r>
              <w:rPr>
                <w:sz w:val="16"/>
                <w:szCs w:val="16"/>
                <w:highlight w:val="yellow"/>
              </w:rPr>
              <w:t>4</w:t>
            </w:r>
            <w:r w:rsidRPr="00C60898">
              <w:rPr>
                <w:sz w:val="16"/>
                <w:szCs w:val="16"/>
                <w:highlight w:val="yellow"/>
              </w:rPr>
              <w:t> </w:t>
            </w:r>
            <w:r w:rsidRPr="00C60898">
              <w:rPr>
                <w:sz w:val="12"/>
                <w:szCs w:val="12"/>
                <w:highlight w:val="yellow"/>
              </w:rPr>
              <w:t>%/PIB</w:t>
            </w:r>
          </w:p>
        </w:tc>
        <w:tc>
          <w:tcPr>
            <w:tcW w:w="1310" w:type="dxa"/>
            <w:tcBorders>
              <w:top w:val="single" w:sz="4" w:space="0" w:color="auto"/>
              <w:left w:val="single" w:sz="4" w:space="0" w:color="auto"/>
              <w:bottom w:val="single" w:sz="4" w:space="0" w:color="auto"/>
              <w:right w:val="single" w:sz="4" w:space="0" w:color="auto"/>
            </w:tcBorders>
            <w:vAlign w:val="center"/>
          </w:tcPr>
          <w:p w14:paraId="3164178A" w14:textId="24B3541E" w:rsidR="002E4A4D" w:rsidRPr="000610C4" w:rsidRDefault="002E4A4D" w:rsidP="002E4A4D">
            <w:pPr>
              <w:spacing w:after="0"/>
              <w:jc w:val="center"/>
              <w:rPr>
                <w:sz w:val="16"/>
                <w:szCs w:val="16"/>
                <w:highlight w:val="yellow"/>
              </w:rPr>
            </w:pPr>
            <w:r w:rsidRPr="000610C4">
              <w:rPr>
                <w:sz w:val="16"/>
                <w:szCs w:val="16"/>
                <w:highlight w:val="yellow"/>
              </w:rPr>
              <w:t>~0,94 </w:t>
            </w:r>
            <w:r w:rsidRPr="000610C4">
              <w:rPr>
                <w:sz w:val="12"/>
                <w:szCs w:val="12"/>
                <w:highlight w:val="yellow"/>
              </w:rPr>
              <w:t>%/</w:t>
            </w:r>
            <w:proofErr w:type="spellStart"/>
            <w:r w:rsidRPr="000610C4">
              <w:rPr>
                <w:sz w:val="12"/>
                <w:szCs w:val="12"/>
                <w:highlight w:val="yellow"/>
              </w:rPr>
              <w:t>Impuestos</w:t>
            </w:r>
            <w:proofErr w:type="spellEnd"/>
            <w:r w:rsidRPr="000610C4">
              <w:rPr>
                <w:sz w:val="16"/>
                <w:szCs w:val="16"/>
                <w:highlight w:val="yellow"/>
              </w:rPr>
              <w:br/>
              <w:t>~0,47 </w:t>
            </w:r>
            <w:r w:rsidRPr="000610C4">
              <w:rPr>
                <w:sz w:val="12"/>
                <w:szCs w:val="12"/>
                <w:highlight w:val="yellow"/>
              </w:rPr>
              <w:t>%/IP</w:t>
            </w:r>
            <w:r w:rsidRPr="000610C4">
              <w:rPr>
                <w:sz w:val="12"/>
                <w:szCs w:val="12"/>
                <w:highlight w:val="yellow"/>
              </w:rPr>
              <w:br/>
            </w:r>
            <w:r w:rsidRPr="000610C4">
              <w:rPr>
                <w:sz w:val="16"/>
                <w:szCs w:val="16"/>
                <w:highlight w:val="yellow"/>
              </w:rPr>
              <w:t>~0,17 </w:t>
            </w:r>
            <w:r w:rsidRPr="000610C4">
              <w:rPr>
                <w:sz w:val="12"/>
                <w:szCs w:val="12"/>
                <w:highlight w:val="yellow"/>
              </w:rPr>
              <w:t>%/PIB</w:t>
            </w:r>
          </w:p>
        </w:tc>
        <w:tc>
          <w:tcPr>
            <w:tcW w:w="1310" w:type="dxa"/>
            <w:tcBorders>
              <w:top w:val="single" w:sz="4" w:space="0" w:color="auto"/>
              <w:left w:val="single" w:sz="4" w:space="0" w:color="auto"/>
              <w:bottom w:val="single" w:sz="4" w:space="0" w:color="auto"/>
              <w:right w:val="single" w:sz="4" w:space="0" w:color="auto"/>
            </w:tcBorders>
            <w:vAlign w:val="center"/>
          </w:tcPr>
          <w:p w14:paraId="3F7D1234" w14:textId="10291A8E" w:rsidR="002E4A4D" w:rsidRPr="000610C4" w:rsidRDefault="002E4A4D" w:rsidP="002E4A4D">
            <w:pPr>
              <w:spacing w:after="0"/>
              <w:jc w:val="center"/>
              <w:rPr>
                <w:sz w:val="16"/>
                <w:szCs w:val="16"/>
                <w:highlight w:val="yellow"/>
              </w:rPr>
            </w:pPr>
            <w:r w:rsidRPr="00AA2496">
              <w:rPr>
                <w:sz w:val="16"/>
                <w:szCs w:val="16"/>
              </w:rPr>
              <w:t>~0,67 </w:t>
            </w:r>
            <w:r w:rsidRPr="00AA2496">
              <w:rPr>
                <w:sz w:val="12"/>
                <w:szCs w:val="12"/>
              </w:rPr>
              <w:t>%/</w:t>
            </w:r>
            <w:proofErr w:type="spellStart"/>
            <w:r w:rsidRPr="00AA2496">
              <w:rPr>
                <w:sz w:val="12"/>
                <w:szCs w:val="12"/>
              </w:rPr>
              <w:t>Impuestos</w:t>
            </w:r>
            <w:proofErr w:type="spellEnd"/>
            <w:r w:rsidRPr="00AA2496">
              <w:rPr>
                <w:sz w:val="16"/>
                <w:szCs w:val="16"/>
              </w:rPr>
              <w:br/>
              <w:t>~0,33 </w:t>
            </w:r>
            <w:r w:rsidRPr="00AA2496">
              <w:rPr>
                <w:sz w:val="12"/>
                <w:szCs w:val="12"/>
              </w:rPr>
              <w:t>%/IP</w:t>
            </w:r>
            <w:r w:rsidRPr="00AA2496">
              <w:rPr>
                <w:sz w:val="12"/>
                <w:szCs w:val="12"/>
              </w:rPr>
              <w:br/>
            </w:r>
            <w:r w:rsidRPr="00AA2496">
              <w:rPr>
                <w:sz w:val="16"/>
                <w:szCs w:val="16"/>
              </w:rPr>
              <w:t>~0,12 </w:t>
            </w:r>
            <w:r w:rsidRPr="00AA2496">
              <w:rPr>
                <w:sz w:val="12"/>
                <w:szCs w:val="12"/>
              </w:rPr>
              <w:t>%/PIB</w:t>
            </w:r>
          </w:p>
        </w:tc>
      </w:tr>
    </w:tbl>
    <w:sectPr w:rsidR="00F63C28" w:rsidRPr="00F81872" w:rsidSect="00986ECE">
      <w:headerReference w:type="even" r:id="rId37"/>
      <w:headerReference w:type="default" r:id="rId38"/>
      <w:footerReference w:type="even" r:id="rId39"/>
      <w:footerReference w:type="default" r:id="rId40"/>
      <w:headerReference w:type="first" r:id="rId41"/>
      <w:footerReference w:type="first" r:id="rId4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DC3B3" w14:textId="77777777" w:rsidR="006003F3" w:rsidRDefault="006003F3">
      <w:r>
        <w:separator/>
      </w:r>
    </w:p>
  </w:endnote>
  <w:endnote w:type="continuationSeparator" w:id="0">
    <w:p w14:paraId="01B4056F" w14:textId="77777777" w:rsidR="006003F3" w:rsidRDefault="00600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986ECE" w:rsidRPr="009B5FC2" w14:paraId="07B19D3A" w14:textId="77777777" w:rsidTr="00986ECE">
      <w:trPr>
        <w:trHeight w:val="138"/>
        <w:jc w:val="center"/>
      </w:trPr>
      <w:tc>
        <w:tcPr>
          <w:tcW w:w="1134" w:type="dxa"/>
        </w:tcPr>
        <w:p w14:paraId="6EEF9DF1" w14:textId="77777777" w:rsidR="00986ECE" w:rsidRPr="00986ECE" w:rsidRDefault="00986ECE" w:rsidP="00986ECE">
          <w:pPr>
            <w:pStyle w:val="Encabezado"/>
            <w:tabs>
              <w:tab w:val="clear" w:pos="4252"/>
              <w:tab w:val="clear" w:pos="8504"/>
              <w:tab w:val="right" w:pos="924"/>
              <w:tab w:val="center" w:pos="1310"/>
            </w:tabs>
            <w:spacing w:after="0"/>
            <w:contextualSpacing/>
            <w:jc w:val="left"/>
            <w:rPr>
              <w:i/>
              <w:iCs/>
              <w:color w:val="5F2987"/>
              <w:sz w:val="18"/>
              <w:szCs w:val="18"/>
            </w:rPr>
          </w:pPr>
          <w:r w:rsidRPr="00986ECE">
            <w:rPr>
              <w:b/>
              <w:bCs/>
              <w:i/>
              <w:iCs/>
              <w:color w:val="5F2987"/>
              <w:spacing w:val="-6"/>
              <w:sz w:val="18"/>
              <w:szCs w:val="18"/>
            </w:rPr>
            <w:fldChar w:fldCharType="begin"/>
          </w:r>
          <w:r w:rsidRPr="00986ECE">
            <w:rPr>
              <w:b/>
              <w:bCs/>
              <w:i/>
              <w:iCs/>
              <w:color w:val="5F2987"/>
              <w:spacing w:val="-6"/>
              <w:sz w:val="18"/>
              <w:szCs w:val="18"/>
            </w:rPr>
            <w:instrText>PAGE  \* Arabic  \* MERGEFORMAT</w:instrText>
          </w:r>
          <w:r w:rsidRPr="00986ECE">
            <w:rPr>
              <w:b/>
              <w:bCs/>
              <w:i/>
              <w:iCs/>
              <w:color w:val="5F2987"/>
              <w:spacing w:val="-6"/>
              <w:sz w:val="18"/>
              <w:szCs w:val="18"/>
            </w:rPr>
            <w:fldChar w:fldCharType="separate"/>
          </w:r>
          <w:r w:rsidRPr="00986ECE">
            <w:rPr>
              <w:b/>
              <w:bCs/>
              <w:i/>
              <w:iCs/>
              <w:color w:val="5F2987"/>
              <w:spacing w:val="-6"/>
              <w:sz w:val="18"/>
              <w:szCs w:val="18"/>
            </w:rPr>
            <w:t>2</w:t>
          </w:r>
          <w:r w:rsidRPr="00986ECE">
            <w:rPr>
              <w:b/>
              <w:bCs/>
              <w:i/>
              <w:iCs/>
              <w:color w:val="5F2987"/>
              <w:spacing w:val="-6"/>
              <w:sz w:val="18"/>
              <w:szCs w:val="18"/>
            </w:rPr>
            <w:fldChar w:fldCharType="end"/>
          </w:r>
          <w:r w:rsidRPr="00986ECE">
            <w:rPr>
              <w:b/>
              <w:bCs/>
              <w:i/>
              <w:iCs/>
              <w:color w:val="5F2987"/>
              <w:spacing w:val="-6"/>
              <w:sz w:val="18"/>
              <w:szCs w:val="18"/>
            </w:rPr>
            <w:t>/</w:t>
          </w:r>
          <w:r w:rsidRPr="00986ECE">
            <w:rPr>
              <w:b/>
              <w:bCs/>
              <w:i/>
              <w:iCs/>
              <w:color w:val="5F2987"/>
              <w:spacing w:val="-6"/>
              <w:sz w:val="18"/>
              <w:szCs w:val="18"/>
            </w:rPr>
            <w:fldChar w:fldCharType="begin"/>
          </w:r>
          <w:r w:rsidRPr="00986ECE">
            <w:rPr>
              <w:b/>
              <w:bCs/>
              <w:i/>
              <w:iCs/>
              <w:color w:val="5F2987"/>
              <w:spacing w:val="-6"/>
              <w:sz w:val="18"/>
              <w:szCs w:val="18"/>
            </w:rPr>
            <w:instrText>NUMPAGES  \* Arabic  \* MERGEFORMAT</w:instrText>
          </w:r>
          <w:r w:rsidRPr="00986ECE">
            <w:rPr>
              <w:b/>
              <w:bCs/>
              <w:i/>
              <w:iCs/>
              <w:color w:val="5F2987"/>
              <w:spacing w:val="-6"/>
              <w:sz w:val="18"/>
              <w:szCs w:val="18"/>
            </w:rPr>
            <w:fldChar w:fldCharType="separate"/>
          </w:r>
          <w:r w:rsidRPr="00986ECE">
            <w:rPr>
              <w:b/>
              <w:bCs/>
              <w:i/>
              <w:iCs/>
              <w:color w:val="5F2987"/>
              <w:spacing w:val="-6"/>
              <w:sz w:val="18"/>
              <w:szCs w:val="18"/>
            </w:rPr>
            <w:t>9</w:t>
          </w:r>
          <w:r w:rsidRPr="00986ECE">
            <w:rPr>
              <w:b/>
              <w:bCs/>
              <w:i/>
              <w:iCs/>
              <w:color w:val="5F2987"/>
              <w:spacing w:val="-6"/>
              <w:sz w:val="18"/>
              <w:szCs w:val="18"/>
            </w:rPr>
            <w:fldChar w:fldCharType="end"/>
          </w:r>
        </w:p>
      </w:tc>
      <w:tc>
        <w:tcPr>
          <w:tcW w:w="7088" w:type="dxa"/>
          <w:vAlign w:val="center"/>
        </w:tcPr>
        <w:p w14:paraId="798B17C4" w14:textId="77777777" w:rsidR="00986ECE" w:rsidRPr="00986ECE" w:rsidRDefault="00986ECE" w:rsidP="00986ECE">
          <w:pPr>
            <w:pStyle w:val="Encabezado"/>
            <w:spacing w:after="0"/>
            <w:ind w:right="-110"/>
            <w:contextualSpacing/>
            <w:jc w:val="center"/>
            <w:rPr>
              <w:i/>
              <w:iCs/>
              <w:color w:val="5F2987"/>
              <w:sz w:val="18"/>
              <w:szCs w:val="18"/>
            </w:rPr>
          </w:pPr>
        </w:p>
      </w:tc>
      <w:tc>
        <w:tcPr>
          <w:tcW w:w="2551" w:type="dxa"/>
          <w:vAlign w:val="center"/>
        </w:tcPr>
        <w:p w14:paraId="681BA5B9" w14:textId="77777777" w:rsidR="00986ECE" w:rsidRPr="00986ECE" w:rsidRDefault="00986ECE" w:rsidP="00986ECE">
          <w:pPr>
            <w:pStyle w:val="Encabezado"/>
            <w:spacing w:after="0"/>
            <w:contextualSpacing/>
            <w:jc w:val="right"/>
            <w:rPr>
              <w:b/>
              <w:bCs/>
              <w:i/>
              <w:iCs/>
              <w:color w:val="5F2987"/>
              <w:spacing w:val="-6"/>
              <w:sz w:val="18"/>
              <w:szCs w:val="18"/>
            </w:rPr>
          </w:pPr>
        </w:p>
      </w:tc>
    </w:tr>
  </w:tbl>
  <w:p w14:paraId="43E96694" w14:textId="77777777" w:rsidR="00986ECE" w:rsidRPr="009C61AF" w:rsidRDefault="00986ECE"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986ECE" w:rsidRPr="00C44422" w14:paraId="0A7D5F56" w14:textId="77777777" w:rsidTr="00986ECE">
      <w:trPr>
        <w:trHeight w:val="138"/>
        <w:jc w:val="center"/>
      </w:trPr>
      <w:tc>
        <w:tcPr>
          <w:tcW w:w="1134" w:type="dxa"/>
          <w:vAlign w:val="center"/>
        </w:tcPr>
        <w:p w14:paraId="00C89128" w14:textId="77777777" w:rsidR="00986ECE" w:rsidRPr="00986ECE" w:rsidRDefault="00986ECE" w:rsidP="00986EC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97557E4" w14:textId="77777777" w:rsidR="00986ECE" w:rsidRPr="00986ECE" w:rsidRDefault="00986ECE" w:rsidP="00986ECE">
          <w:pPr>
            <w:pStyle w:val="Encabezado"/>
            <w:spacing w:after="0"/>
            <w:ind w:right="-110"/>
            <w:contextualSpacing/>
            <w:jc w:val="center"/>
            <w:rPr>
              <w:i/>
              <w:iCs/>
              <w:color w:val="5F2987"/>
              <w:sz w:val="18"/>
              <w:szCs w:val="18"/>
            </w:rPr>
          </w:pPr>
        </w:p>
      </w:tc>
      <w:tc>
        <w:tcPr>
          <w:tcW w:w="2551" w:type="dxa"/>
          <w:vAlign w:val="center"/>
        </w:tcPr>
        <w:p w14:paraId="15B98DB0" w14:textId="77777777" w:rsidR="00986ECE" w:rsidRPr="00986ECE" w:rsidRDefault="00986ECE" w:rsidP="00986ECE">
          <w:pPr>
            <w:pStyle w:val="Encabezado"/>
            <w:spacing w:after="0"/>
            <w:contextualSpacing/>
            <w:jc w:val="right"/>
            <w:rPr>
              <w:b/>
              <w:bCs/>
              <w:i/>
              <w:iCs/>
              <w:color w:val="5F2987"/>
              <w:spacing w:val="-6"/>
              <w:sz w:val="18"/>
              <w:szCs w:val="18"/>
            </w:rPr>
          </w:pPr>
          <w:r w:rsidRPr="00986ECE">
            <w:rPr>
              <w:b/>
              <w:bCs/>
              <w:i/>
              <w:iCs/>
              <w:color w:val="5F2987"/>
              <w:spacing w:val="-6"/>
              <w:sz w:val="18"/>
              <w:szCs w:val="18"/>
            </w:rPr>
            <w:fldChar w:fldCharType="begin"/>
          </w:r>
          <w:r w:rsidRPr="00986ECE">
            <w:rPr>
              <w:b/>
              <w:bCs/>
              <w:i/>
              <w:iCs/>
              <w:color w:val="5F2987"/>
              <w:spacing w:val="-6"/>
              <w:sz w:val="18"/>
              <w:szCs w:val="18"/>
            </w:rPr>
            <w:instrText>PAGE  \* Arabic  \* MERGEFORMAT</w:instrText>
          </w:r>
          <w:r w:rsidRPr="00986ECE">
            <w:rPr>
              <w:b/>
              <w:bCs/>
              <w:i/>
              <w:iCs/>
              <w:color w:val="5F2987"/>
              <w:spacing w:val="-6"/>
              <w:sz w:val="18"/>
              <w:szCs w:val="18"/>
            </w:rPr>
            <w:fldChar w:fldCharType="separate"/>
          </w:r>
          <w:r w:rsidRPr="00986ECE">
            <w:rPr>
              <w:b/>
              <w:bCs/>
              <w:i/>
              <w:iCs/>
              <w:color w:val="5F2987"/>
              <w:spacing w:val="-6"/>
              <w:sz w:val="18"/>
              <w:szCs w:val="18"/>
            </w:rPr>
            <w:t>1</w:t>
          </w:r>
          <w:r w:rsidRPr="00986ECE">
            <w:rPr>
              <w:b/>
              <w:bCs/>
              <w:i/>
              <w:iCs/>
              <w:color w:val="5F2987"/>
              <w:spacing w:val="-6"/>
              <w:sz w:val="18"/>
              <w:szCs w:val="18"/>
            </w:rPr>
            <w:fldChar w:fldCharType="end"/>
          </w:r>
          <w:r w:rsidRPr="00986ECE">
            <w:rPr>
              <w:b/>
              <w:bCs/>
              <w:i/>
              <w:iCs/>
              <w:color w:val="5F2987"/>
              <w:spacing w:val="-6"/>
              <w:sz w:val="18"/>
              <w:szCs w:val="18"/>
            </w:rPr>
            <w:t>/</w:t>
          </w:r>
          <w:r w:rsidRPr="00986ECE">
            <w:rPr>
              <w:b/>
              <w:bCs/>
              <w:i/>
              <w:iCs/>
              <w:color w:val="5F2987"/>
              <w:spacing w:val="-6"/>
              <w:sz w:val="18"/>
              <w:szCs w:val="18"/>
            </w:rPr>
            <w:fldChar w:fldCharType="begin"/>
          </w:r>
          <w:r w:rsidRPr="00986ECE">
            <w:rPr>
              <w:b/>
              <w:bCs/>
              <w:i/>
              <w:iCs/>
              <w:color w:val="5F2987"/>
              <w:spacing w:val="-6"/>
              <w:sz w:val="18"/>
              <w:szCs w:val="18"/>
            </w:rPr>
            <w:instrText>NUMPAGES  \* Arabic  \* MERGEFORMAT</w:instrText>
          </w:r>
          <w:r w:rsidRPr="00986ECE">
            <w:rPr>
              <w:b/>
              <w:bCs/>
              <w:i/>
              <w:iCs/>
              <w:color w:val="5F2987"/>
              <w:spacing w:val="-6"/>
              <w:sz w:val="18"/>
              <w:szCs w:val="18"/>
            </w:rPr>
            <w:fldChar w:fldCharType="separate"/>
          </w:r>
          <w:r w:rsidRPr="00986ECE">
            <w:rPr>
              <w:b/>
              <w:bCs/>
              <w:i/>
              <w:iCs/>
              <w:color w:val="5F2987"/>
              <w:spacing w:val="-6"/>
              <w:sz w:val="18"/>
              <w:szCs w:val="18"/>
            </w:rPr>
            <w:t>2</w:t>
          </w:r>
          <w:r w:rsidRPr="00986ECE">
            <w:rPr>
              <w:b/>
              <w:bCs/>
              <w:i/>
              <w:iCs/>
              <w:color w:val="5F2987"/>
              <w:spacing w:val="-6"/>
              <w:sz w:val="18"/>
              <w:szCs w:val="18"/>
            </w:rPr>
            <w:fldChar w:fldCharType="end"/>
          </w:r>
        </w:p>
      </w:tc>
    </w:tr>
  </w:tbl>
  <w:p w14:paraId="06BF1F87" w14:textId="77777777" w:rsidR="00986ECE" w:rsidRPr="00BE1B62" w:rsidRDefault="00986ECE"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986ECE" w:rsidRPr="00C44422" w14:paraId="55BECE78" w14:textId="77777777" w:rsidTr="00986ECE">
      <w:trPr>
        <w:trHeight w:val="138"/>
        <w:jc w:val="center"/>
      </w:trPr>
      <w:tc>
        <w:tcPr>
          <w:tcW w:w="1134" w:type="dxa"/>
          <w:vAlign w:val="center"/>
        </w:tcPr>
        <w:p w14:paraId="2B6E4142" w14:textId="77777777" w:rsidR="00986ECE" w:rsidRPr="00986ECE" w:rsidRDefault="00986ECE" w:rsidP="00986EC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FCA3C52" w14:textId="77777777" w:rsidR="00986ECE" w:rsidRPr="00986ECE" w:rsidRDefault="00986ECE" w:rsidP="00986ECE">
          <w:pPr>
            <w:pStyle w:val="Encabezado"/>
            <w:spacing w:after="0"/>
            <w:ind w:right="-110"/>
            <w:contextualSpacing/>
            <w:jc w:val="center"/>
            <w:rPr>
              <w:i/>
              <w:iCs/>
              <w:color w:val="5F2987"/>
              <w:sz w:val="18"/>
              <w:szCs w:val="18"/>
            </w:rPr>
          </w:pPr>
        </w:p>
      </w:tc>
      <w:tc>
        <w:tcPr>
          <w:tcW w:w="2551" w:type="dxa"/>
          <w:vAlign w:val="center"/>
        </w:tcPr>
        <w:p w14:paraId="4C78EA3C" w14:textId="77777777" w:rsidR="00986ECE" w:rsidRPr="00986ECE" w:rsidRDefault="00986ECE" w:rsidP="00986ECE">
          <w:pPr>
            <w:pStyle w:val="Encabezado"/>
            <w:spacing w:after="0"/>
            <w:contextualSpacing/>
            <w:jc w:val="right"/>
            <w:rPr>
              <w:b/>
              <w:bCs/>
              <w:i/>
              <w:iCs/>
              <w:color w:val="5F2987"/>
              <w:spacing w:val="-6"/>
              <w:sz w:val="18"/>
              <w:szCs w:val="18"/>
            </w:rPr>
          </w:pPr>
          <w:r w:rsidRPr="00986ECE">
            <w:rPr>
              <w:b/>
              <w:bCs/>
              <w:i/>
              <w:iCs/>
              <w:color w:val="5F2987"/>
              <w:spacing w:val="-6"/>
              <w:sz w:val="18"/>
              <w:szCs w:val="18"/>
            </w:rPr>
            <w:fldChar w:fldCharType="begin"/>
          </w:r>
          <w:r w:rsidRPr="00986ECE">
            <w:rPr>
              <w:b/>
              <w:bCs/>
              <w:i/>
              <w:iCs/>
              <w:color w:val="5F2987"/>
              <w:spacing w:val="-6"/>
              <w:sz w:val="18"/>
              <w:szCs w:val="18"/>
            </w:rPr>
            <w:instrText>PAGE  \* Arabic  \* MERGEFORMAT</w:instrText>
          </w:r>
          <w:r w:rsidRPr="00986ECE">
            <w:rPr>
              <w:b/>
              <w:bCs/>
              <w:i/>
              <w:iCs/>
              <w:color w:val="5F2987"/>
              <w:spacing w:val="-6"/>
              <w:sz w:val="18"/>
              <w:szCs w:val="18"/>
            </w:rPr>
            <w:fldChar w:fldCharType="separate"/>
          </w:r>
          <w:r w:rsidRPr="00986ECE">
            <w:rPr>
              <w:b/>
              <w:bCs/>
              <w:i/>
              <w:iCs/>
              <w:color w:val="5F2987"/>
              <w:spacing w:val="-6"/>
              <w:sz w:val="18"/>
              <w:szCs w:val="18"/>
            </w:rPr>
            <w:t>1</w:t>
          </w:r>
          <w:r w:rsidRPr="00986ECE">
            <w:rPr>
              <w:b/>
              <w:bCs/>
              <w:i/>
              <w:iCs/>
              <w:color w:val="5F2987"/>
              <w:spacing w:val="-6"/>
              <w:sz w:val="18"/>
              <w:szCs w:val="18"/>
            </w:rPr>
            <w:fldChar w:fldCharType="end"/>
          </w:r>
          <w:r w:rsidRPr="00986ECE">
            <w:rPr>
              <w:b/>
              <w:bCs/>
              <w:i/>
              <w:iCs/>
              <w:color w:val="5F2987"/>
              <w:spacing w:val="-6"/>
              <w:sz w:val="18"/>
              <w:szCs w:val="18"/>
            </w:rPr>
            <w:t>/</w:t>
          </w:r>
          <w:r w:rsidRPr="00986ECE">
            <w:rPr>
              <w:b/>
              <w:bCs/>
              <w:i/>
              <w:iCs/>
              <w:color w:val="5F2987"/>
              <w:spacing w:val="-6"/>
              <w:sz w:val="18"/>
              <w:szCs w:val="18"/>
            </w:rPr>
            <w:fldChar w:fldCharType="begin"/>
          </w:r>
          <w:r w:rsidRPr="00986ECE">
            <w:rPr>
              <w:b/>
              <w:bCs/>
              <w:i/>
              <w:iCs/>
              <w:color w:val="5F2987"/>
              <w:spacing w:val="-6"/>
              <w:sz w:val="18"/>
              <w:szCs w:val="18"/>
            </w:rPr>
            <w:instrText>NUMPAGES  \* Arabic  \* MERGEFORMAT</w:instrText>
          </w:r>
          <w:r w:rsidRPr="00986ECE">
            <w:rPr>
              <w:b/>
              <w:bCs/>
              <w:i/>
              <w:iCs/>
              <w:color w:val="5F2987"/>
              <w:spacing w:val="-6"/>
              <w:sz w:val="18"/>
              <w:szCs w:val="18"/>
            </w:rPr>
            <w:fldChar w:fldCharType="separate"/>
          </w:r>
          <w:r w:rsidRPr="00986ECE">
            <w:rPr>
              <w:b/>
              <w:bCs/>
              <w:i/>
              <w:iCs/>
              <w:color w:val="5F2987"/>
              <w:spacing w:val="-6"/>
              <w:sz w:val="18"/>
              <w:szCs w:val="18"/>
            </w:rPr>
            <w:t>2</w:t>
          </w:r>
          <w:r w:rsidRPr="00986ECE">
            <w:rPr>
              <w:b/>
              <w:bCs/>
              <w:i/>
              <w:iCs/>
              <w:color w:val="5F2987"/>
              <w:spacing w:val="-6"/>
              <w:sz w:val="18"/>
              <w:szCs w:val="18"/>
            </w:rPr>
            <w:fldChar w:fldCharType="end"/>
          </w:r>
        </w:p>
      </w:tc>
    </w:tr>
  </w:tbl>
  <w:p w14:paraId="1403C729" w14:textId="77777777" w:rsidR="00986ECE" w:rsidRPr="00BE1B62" w:rsidRDefault="00986ECE"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1BA67" w14:textId="77777777" w:rsidR="006003F3" w:rsidRPr="00F94CE1" w:rsidRDefault="006003F3" w:rsidP="00F94CE1">
      <w:pPr>
        <w:spacing w:after="0" w:line="240" w:lineRule="auto"/>
        <w:rPr>
          <w:sz w:val="16"/>
          <w:szCs w:val="16"/>
        </w:rPr>
      </w:pPr>
      <w:r w:rsidRPr="00F94CE1">
        <w:rPr>
          <w:sz w:val="16"/>
          <w:szCs w:val="16"/>
        </w:rPr>
        <w:separator/>
      </w:r>
    </w:p>
  </w:footnote>
  <w:footnote w:type="continuationSeparator" w:id="0">
    <w:p w14:paraId="380FFE2F" w14:textId="77777777" w:rsidR="006003F3" w:rsidRPr="00F94CE1" w:rsidRDefault="006003F3" w:rsidP="00F94CE1">
      <w:pPr>
        <w:spacing w:after="0" w:line="240" w:lineRule="auto"/>
        <w:rPr>
          <w:sz w:val="16"/>
          <w:szCs w:val="16"/>
        </w:rPr>
      </w:pPr>
      <w:r w:rsidRPr="00F94CE1">
        <w:rPr>
          <w:sz w:val="16"/>
          <w:szCs w:val="16"/>
        </w:rPr>
        <w:continuationSeparator/>
      </w:r>
    </w:p>
  </w:footnote>
  <w:footnote w:type="continuationNotice" w:id="1">
    <w:p w14:paraId="3822C97E" w14:textId="77777777" w:rsidR="006003F3" w:rsidRPr="00F94CE1" w:rsidRDefault="006003F3" w:rsidP="00F94CE1">
      <w:pPr>
        <w:spacing w:after="0" w:line="192" w:lineRule="auto"/>
        <w:jc w:val="right"/>
        <w:rPr>
          <w:rFonts w:ascii="Arial" w:eastAsia="Times New Roman" w:hAnsi="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2532F3DC" w14:textId="77777777" w:rsidR="00F94CE1" w:rsidRDefault="00F94CE1" w:rsidP="00F94CE1">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2EC208F4" w14:textId="77777777" w:rsidR="00F94CE1" w:rsidRDefault="00F94CE1" w:rsidP="00F94CE1">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64DE3DCC" w14:textId="77777777" w:rsidR="00F94CE1" w:rsidRPr="00446C0D" w:rsidRDefault="00F94CE1" w:rsidP="00F94CE1">
      <w:pPr>
        <w:pStyle w:val="Textonotapie"/>
      </w:pPr>
      <w:r>
        <w:t>Además, la microeconomía también estudia a otros agentes como las instituciones financieras o el Estado.</w:t>
      </w:r>
    </w:p>
  </w:footnote>
  <w:footnote w:id="4">
    <w:p w14:paraId="3CF5AE0D" w14:textId="77777777" w:rsidR="00F94CE1" w:rsidRDefault="00F94CE1" w:rsidP="00F94CE1">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3822F4A0" w14:textId="4D4AE912" w:rsidR="00F94CE1" w:rsidRDefault="00F94CE1" w:rsidP="00734DC7">
      <w:pPr>
        <w:pStyle w:val="Textonotapie"/>
        <w:numPr>
          <w:ilvl w:val="0"/>
          <w:numId w:val="12"/>
        </w:numPr>
        <w:spacing w:after="0"/>
        <w:ind w:left="567" w:hanging="207"/>
      </w:pPr>
      <w:r>
        <w:t xml:space="preserve">Demostrar que en el estado actual </w:t>
      </w:r>
      <m:oMath>
        <m:r>
          <m:rPr>
            <m:nor/>
          </m:rPr>
          <w:rPr>
            <w:rFonts w:eastAsia="Times New Roman"/>
            <w:i/>
            <w:iCs/>
          </w:rPr>
          <m:t>W</m:t>
        </m:r>
        <m:r>
          <w:rPr>
            <w:rFonts w:ascii="Cambria Math" w:eastAsia="Times New Roman" w:hAnsi="Cambria Math"/>
          </w:rPr>
          <m:t>&lt;</m:t>
        </m:r>
        <m:r>
          <m:rPr>
            <m:nor/>
          </m:rPr>
          <w:rPr>
            <w:rFonts w:eastAsia="Times New Roman"/>
            <w:i/>
            <w:iCs/>
          </w:rPr>
          <m:t>W*</m:t>
        </m:r>
      </m:oMath>
      <w:r>
        <w:t>, y</w:t>
      </w:r>
    </w:p>
    <w:p w14:paraId="300F780A" w14:textId="4D5EB4F7" w:rsidR="00F94CE1" w:rsidRDefault="00F94CE1" w:rsidP="00734DC7">
      <w:pPr>
        <w:pStyle w:val="Textonotapie"/>
        <w:numPr>
          <w:ilvl w:val="0"/>
          <w:numId w:val="12"/>
        </w:numPr>
        <w:ind w:left="567" w:hanging="207"/>
      </w:pPr>
      <w:r>
        <w:t xml:space="preserve">Sugerir las formas de elevar </w:t>
      </w:r>
      <m:oMath>
        <m:r>
          <m:rPr>
            <m:nor/>
          </m:rPr>
          <w:rPr>
            <w:rFonts w:eastAsia="Times New Roman"/>
            <w:i/>
            <w:iCs/>
          </w:rPr>
          <m:t>W</m:t>
        </m:r>
      </m:oMath>
      <w:r>
        <w:t xml:space="preserve"> hacia </w:t>
      </w:r>
      <m:oMath>
        <m:r>
          <m:rPr>
            <m:nor/>
          </m:rPr>
          <w:rPr>
            <w:rFonts w:eastAsia="Times New Roman"/>
            <w:i/>
            <w:iCs/>
          </w:rPr>
          <m:t>W*</m:t>
        </m:r>
      </m:oMath>
      <w:r>
        <w:t>.</w:t>
      </w:r>
    </w:p>
  </w:footnote>
  <w:footnote w:id="5">
    <w:p w14:paraId="5C7CF046" w14:textId="77777777" w:rsidR="00F94CE1" w:rsidRPr="002A08C4" w:rsidRDefault="00F94CE1" w:rsidP="00F94CE1">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401A82B3" w14:textId="77777777" w:rsidR="00F94CE1" w:rsidRPr="002A08C4" w:rsidRDefault="00F94CE1" w:rsidP="006072A5">
      <w:pPr>
        <w:pStyle w:val="Textonotapie"/>
        <w:spacing w:after="0"/>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58AB4D0E" w14:textId="77777777" w:rsidR="007B2150" w:rsidRDefault="007B2150" w:rsidP="007B2150">
      <w:pPr>
        <w:pStyle w:val="Textonotapie"/>
      </w:pPr>
      <w:r>
        <w:rPr>
          <w:rStyle w:val="Refdenotaalpie"/>
        </w:rPr>
        <w:footnoteRef/>
      </w:r>
      <w:r>
        <w:t xml:space="preserve"> En el caso de España se aplica el arancel exterior común de la UE, gestionado por los Estados miembros que retienen el 25 % en concepto de gastos de recaudación (sirviendo así de incentivo para garantizar una recaudación diligente de los importes adeudados).</w:t>
      </w:r>
    </w:p>
  </w:footnote>
  <w:footnote w:id="7">
    <w:p w14:paraId="3FE18B41" w14:textId="77777777" w:rsidR="00944DAF" w:rsidRPr="009507B1" w:rsidRDefault="00944DAF" w:rsidP="00944DAF">
      <w:pPr>
        <w:pStyle w:val="Textonotapie"/>
      </w:pPr>
      <w:r>
        <w:rPr>
          <w:rStyle w:val="Refdenotaalpie"/>
        </w:rPr>
        <w:footnoteRef/>
      </w:r>
      <w:r w:rsidRPr="009507B1">
        <w:rPr>
          <w:sz w:val="14"/>
          <w:szCs w:val="14"/>
        </w:rPr>
        <w:t xml:space="preserve"> </w:t>
      </w:r>
      <w:hyperlink r:id="rId1" w:history="1">
        <w:r w:rsidRPr="009507B1">
          <w:rPr>
            <w:rStyle w:val="Hipervnculo"/>
            <w:sz w:val="12"/>
            <w:szCs w:val="12"/>
          </w:rPr>
          <w:t>https://www.sepg.pap.hacienda.gob.es/sitios/sepg/es-ES/Presupuestos/InformeEconomicoFinanciero/Documents/Informe%20Economico%20Financiero%202023.pdf</w:t>
        </w:r>
      </w:hyperlink>
      <w:r w:rsidRPr="009507B1">
        <w:rPr>
          <w:sz w:val="12"/>
          <w:szCs w:val="12"/>
        </w:rPr>
        <w:t xml:space="preserve"> (pág. 50</w:t>
      </w:r>
      <w:r>
        <w:rPr>
          <w:sz w:val="12"/>
          <w:szCs w:val="12"/>
        </w:rPr>
        <w:t>5</w:t>
      </w:r>
      <w:r w:rsidRPr="009507B1">
        <w:rPr>
          <w:sz w:val="12"/>
          <w:szCs w:val="12"/>
        </w:rPr>
        <w:t>)</w:t>
      </w:r>
    </w:p>
  </w:footnote>
  <w:footnote w:id="8">
    <w:p w14:paraId="4AA81DA5" w14:textId="77777777" w:rsidR="00944DAF" w:rsidRDefault="00944DAF" w:rsidP="00944DAF">
      <w:pPr>
        <w:pStyle w:val="Textonotapie"/>
      </w:pPr>
      <w:r>
        <w:rPr>
          <w:rStyle w:val="Refdenotaalpie"/>
        </w:rPr>
        <w:footnoteRef/>
      </w:r>
      <w:r>
        <w:t xml:space="preserve"> Los fondos Next Generation EU suponen 18.212 M€, es decir, un 5,92 % de los ingresos (en concepto de ingresos no tributarios).</w:t>
      </w:r>
    </w:p>
  </w:footnote>
  <w:footnote w:id="9">
    <w:p w14:paraId="2DD23EF6" w14:textId="77777777" w:rsidR="007D78C5" w:rsidRDefault="007D78C5" w:rsidP="007D78C5">
      <w:pPr>
        <w:pStyle w:val="Textonotapie"/>
      </w:pPr>
      <w:r>
        <w:rPr>
          <w:rStyle w:val="Refdenotaalpie"/>
        </w:rPr>
        <w:footnoteRef/>
      </w:r>
      <w:r>
        <w:t xml:space="preserve"> Se excluyen los impuestos sobre la propiedad o la riqueza que se exigen con poca frecuencia y a intervalos irregulares o en circunstancias excepcionales (p.ej. derechos de sucesión), los cuales se tratan como impuestos de capital.</w:t>
      </w:r>
    </w:p>
  </w:footnote>
  <w:footnote w:id="10">
    <w:p w14:paraId="75C61E08" w14:textId="77777777" w:rsidR="007D78C5" w:rsidRPr="005F04D8" w:rsidRDefault="007D78C5" w:rsidP="007D78C5">
      <w:pPr>
        <w:pStyle w:val="Textonotapie"/>
      </w:pPr>
      <w:r>
        <w:rPr>
          <w:rStyle w:val="Refdenotaalpie"/>
        </w:rPr>
        <w:footnoteRef/>
      </w:r>
      <w:r>
        <w:t xml:space="preserve"> Los impuestos de capitación (</w:t>
      </w:r>
      <w:r>
        <w:rPr>
          <w:i/>
          <w:iCs/>
        </w:rPr>
        <w:t>poll taxes</w:t>
      </w:r>
      <w:r>
        <w:t>) son un caso particular de los impuestos de suma fija en los que cada sujeto tributario debe pagar una cantidad igual al resto de los obligados y determinada independientemente de sus circunstancias individuales.</w:t>
      </w:r>
    </w:p>
  </w:footnote>
  <w:footnote w:id="11">
    <w:p w14:paraId="66CCBD86" w14:textId="77777777" w:rsidR="00095EC0" w:rsidRDefault="00095EC0" w:rsidP="00095EC0">
      <w:pPr>
        <w:pStyle w:val="Textonotapie"/>
        <w:keepNext/>
        <w:spacing w:after="0"/>
      </w:pPr>
      <w:r>
        <w:rPr>
          <w:rStyle w:val="Refdenotaalpie"/>
        </w:rPr>
        <w:footnoteRef/>
      </w:r>
      <w:r>
        <w:t xml:space="preserve"> ¡Ojo! La renta por la que tributa el contribuyente es una renta neta, no bruta. Por tanto hay una serie de gastos que son fiscalmente deducibles. La determinación de qué gastos son fiscalmente deducibles o no depende del legislador de cada sistema tributario, pero una norma más o menos universal es la siguiente:</w:t>
      </w:r>
    </w:p>
    <w:p w14:paraId="578FB4E4" w14:textId="77777777" w:rsidR="00095EC0" w:rsidRPr="004649A8" w:rsidRDefault="00095EC0" w:rsidP="00095EC0">
      <w:pPr>
        <w:pStyle w:val="Textonotapie"/>
        <w:jc w:val="center"/>
        <w:rPr>
          <w:i/>
          <w:iCs/>
        </w:rPr>
      </w:pPr>
      <w:r>
        <w:rPr>
          <w:i/>
          <w:iCs/>
        </w:rPr>
        <w:t>“Será deducible todo gasto en el que se haya incurrido para generar la renta.”</w:t>
      </w:r>
    </w:p>
  </w:footnote>
  <w:footnote w:id="12">
    <w:p w14:paraId="4F39DB23" w14:textId="1030917A" w:rsidR="00193939" w:rsidRDefault="00193939">
      <w:pPr>
        <w:pStyle w:val="Textonotapie"/>
      </w:pPr>
      <w:r>
        <w:rPr>
          <w:rStyle w:val="Refdenotaalpie"/>
        </w:rPr>
        <w:footnoteRef/>
      </w:r>
      <w:r>
        <w:t xml:space="preserve"> El devengo del impuesto se produce el último día del período impositivo. La declaración del impuesto debe realizarse en el plazo de los 25 días naturales siguientes a los 6 meses posteriores a la finalización del período impositivo (con carácter general: hasta el 25 de julio).</w:t>
      </w:r>
    </w:p>
  </w:footnote>
  <w:footnote w:id="13">
    <w:p w14:paraId="56895327" w14:textId="77777777" w:rsidR="00D46344" w:rsidRDefault="00D46344" w:rsidP="00D46344">
      <w:pPr>
        <w:pStyle w:val="Textonotapie"/>
        <w:keepNext/>
        <w:spacing w:after="0"/>
      </w:pPr>
      <w:r>
        <w:rPr>
          <w:rStyle w:val="Refdenotaalpie"/>
        </w:rPr>
        <w:footnoteRef/>
      </w:r>
      <w:r>
        <w:t xml:space="preserve"> </w:t>
      </w:r>
      <w:r w:rsidRPr="009A511A">
        <w:t>Otros países, como Francia, Italia, Bélgica y Portugal, también gravan el patrimonio, pero limitado a determinados activos.</w:t>
      </w:r>
    </w:p>
    <w:p w14:paraId="6D47D149" w14:textId="0277806E" w:rsidR="00D46344" w:rsidRPr="00343276" w:rsidRDefault="00D46344" w:rsidP="00D46344">
      <w:pPr>
        <w:pStyle w:val="Textonotapie"/>
        <w:keepNext/>
        <w:spacing w:after="0"/>
        <w:rPr>
          <w:sz w:val="18"/>
          <w:szCs w:val="22"/>
        </w:rPr>
      </w:pPr>
      <w:r>
        <w:t xml:space="preserve">En </w:t>
      </w:r>
      <w:r w:rsidRPr="00343276">
        <w:t xml:space="preserve">Francia se </w:t>
      </w:r>
      <w:r>
        <w:t>aplicaba hasta 2018 el</w:t>
      </w:r>
      <w:r w:rsidRPr="00343276">
        <w:t xml:space="preserve"> Impuesto de Solidaridad sobre la Riqueza</w:t>
      </w:r>
      <w:r>
        <w:t xml:space="preserve"> con un tipo impositivo medio del 1,5 %. Sin embargo, este fue sustituido por el nuevo </w:t>
      </w:r>
      <w:proofErr w:type="spellStart"/>
      <w:r w:rsidRPr="00343276">
        <w:t>nuevo</w:t>
      </w:r>
      <w:proofErr w:type="spellEnd"/>
      <w:r>
        <w:t xml:space="preserve"> </w:t>
      </w:r>
      <w:proofErr w:type="spellStart"/>
      <w:r w:rsidRPr="00343276">
        <w:rPr>
          <w:i/>
          <w:iCs/>
        </w:rPr>
        <w:t>Impôt</w:t>
      </w:r>
      <w:proofErr w:type="spellEnd"/>
      <w:r w:rsidRPr="00343276">
        <w:rPr>
          <w:i/>
          <w:iCs/>
        </w:rPr>
        <w:t xml:space="preserve"> sur la </w:t>
      </w:r>
      <w:proofErr w:type="spellStart"/>
      <w:r w:rsidRPr="00343276">
        <w:rPr>
          <w:i/>
          <w:iCs/>
        </w:rPr>
        <w:t>fortune</w:t>
      </w:r>
      <w:proofErr w:type="spellEnd"/>
      <w:r w:rsidRPr="00343276">
        <w:rPr>
          <w:i/>
          <w:iCs/>
        </w:rPr>
        <w:t xml:space="preserve"> </w:t>
      </w:r>
      <w:proofErr w:type="spellStart"/>
      <w:r w:rsidRPr="00343276">
        <w:rPr>
          <w:i/>
          <w:iCs/>
        </w:rPr>
        <w:t>immobilière</w:t>
      </w:r>
      <w:proofErr w:type="spellEnd"/>
      <w:r w:rsidRPr="00343276">
        <w:t xml:space="preserve"> (Impuesto a la Fortuna Inmobiliaria o IFI), que grava exclusivamente los activos inmobiliarios (incluyendo, bajo ciertas condiciones, las participaciones en entidades inmobiliarias) cuando el valor neto supere 1,3</w:t>
      </w:r>
      <w:r>
        <w:t> </w:t>
      </w:r>
      <w:r w:rsidRPr="00343276">
        <w:t>millones de euros.</w:t>
      </w:r>
      <w:r>
        <w:t xml:space="preserve"> </w:t>
      </w:r>
      <w:r w:rsidRPr="009A511A">
        <w:t>Los tipos van desde el 0,5% hasta el 1,5% y, al igual que el Impuesto sobre el Patrimonio español, existe un límite conjunto por el cual el total de IRPF más IFI no puede superar el 75% del ingreso percibido en el año.</w:t>
      </w:r>
    </w:p>
    <w:p w14:paraId="7734E0B7" w14:textId="77777777" w:rsidR="00D46344" w:rsidRDefault="00D46344" w:rsidP="00D46344">
      <w:pPr>
        <w:pStyle w:val="Textonotapie"/>
        <w:jc w:val="right"/>
      </w:pPr>
      <w:hyperlink r:id="rId2" w:history="1">
        <w:r w:rsidRPr="00D77041">
          <w:rPr>
            <w:rStyle w:val="Hipervnculo"/>
          </w:rPr>
          <w:t>https://cincodias.elpais.com/opinion/2023-02-27/impuesto-sobre-la-riqueza-es-espana-distinta-de-europa.html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986ECE" w:rsidRPr="00986ECE" w14:paraId="5FB74DF9" w14:textId="77777777" w:rsidTr="00986ECE">
      <w:trPr>
        <w:trHeight w:val="136"/>
        <w:jc w:val="center"/>
      </w:trPr>
      <w:tc>
        <w:tcPr>
          <w:tcW w:w="1134" w:type="dxa"/>
          <w:vAlign w:val="center"/>
        </w:tcPr>
        <w:p w14:paraId="5ED594CA" w14:textId="69511286" w:rsidR="00986ECE" w:rsidRPr="00986ECE" w:rsidRDefault="00986ECE" w:rsidP="00986ECE">
          <w:pPr>
            <w:pStyle w:val="Encabezado"/>
            <w:tabs>
              <w:tab w:val="clear" w:pos="4252"/>
              <w:tab w:val="clear" w:pos="8504"/>
              <w:tab w:val="right" w:pos="924"/>
              <w:tab w:val="center" w:pos="1310"/>
            </w:tabs>
            <w:spacing w:after="0"/>
            <w:contextualSpacing/>
            <w:rPr>
              <w:i/>
              <w:iCs/>
              <w:color w:val="5F2987"/>
              <w:sz w:val="18"/>
              <w:szCs w:val="18"/>
            </w:rPr>
          </w:pPr>
          <w:r w:rsidRPr="00986ECE">
            <w:rPr>
              <w:b/>
              <w:bCs/>
              <w:i/>
              <w:iCs/>
              <w:caps/>
              <w:color w:val="5F2987"/>
              <w:sz w:val="18"/>
              <w:szCs w:val="18"/>
            </w:rPr>
            <w:t>4.B.13</w:t>
          </w:r>
        </w:p>
      </w:tc>
      <w:tc>
        <w:tcPr>
          <w:tcW w:w="7088" w:type="dxa"/>
          <w:vAlign w:val="center"/>
        </w:tcPr>
        <w:p w14:paraId="42B9F103" w14:textId="0AB161AC" w:rsidR="00986ECE" w:rsidRPr="00986ECE" w:rsidRDefault="00986ECE" w:rsidP="00986ECE">
          <w:pPr>
            <w:pStyle w:val="Encabezado"/>
            <w:spacing w:after="0"/>
            <w:ind w:right="-110"/>
            <w:contextualSpacing/>
            <w:jc w:val="center"/>
            <w:rPr>
              <w:i/>
              <w:iCs/>
              <w:color w:val="5F2987"/>
              <w:sz w:val="18"/>
              <w:szCs w:val="18"/>
            </w:rPr>
          </w:pPr>
          <w:r w:rsidRPr="00986ECE">
            <w:rPr>
              <w:i/>
              <w:iCs/>
              <w:color w:val="5F2987"/>
              <w:sz w:val="18"/>
              <w:szCs w:val="18"/>
            </w:rPr>
            <w:t>Teoría de la imposición directa. Comparaciones internacionales.</w:t>
          </w:r>
        </w:p>
      </w:tc>
      <w:tc>
        <w:tcPr>
          <w:tcW w:w="2551" w:type="dxa"/>
          <w:vAlign w:val="center"/>
        </w:tcPr>
        <w:p w14:paraId="725FC938" w14:textId="4628A638" w:rsidR="00986ECE" w:rsidRPr="00986ECE" w:rsidRDefault="00986ECE" w:rsidP="00986ECE">
          <w:pPr>
            <w:pStyle w:val="Encabezado"/>
            <w:spacing w:after="0"/>
            <w:contextualSpacing/>
            <w:jc w:val="right"/>
            <w:rPr>
              <w:b/>
              <w:bCs/>
              <w:i/>
              <w:iCs/>
              <w:color w:val="5F2987"/>
              <w:spacing w:val="-6"/>
              <w:sz w:val="18"/>
              <w:szCs w:val="18"/>
            </w:rPr>
          </w:pPr>
          <w:r w:rsidRPr="00986ECE">
            <w:rPr>
              <w:b/>
              <w:bCs/>
              <w:i/>
              <w:iCs/>
              <w:color w:val="5F2987"/>
              <w:spacing w:val="-6"/>
              <w:sz w:val="18"/>
              <w:szCs w:val="18"/>
            </w:rPr>
            <w:t>Víctor Gutiérrez Marcos</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986ECE" w:rsidRPr="00986ECE" w14:paraId="0C64E269" w14:textId="77777777" w:rsidTr="00986ECE">
      <w:trPr>
        <w:trHeight w:val="136"/>
        <w:jc w:val="center"/>
      </w:trPr>
      <w:tc>
        <w:tcPr>
          <w:tcW w:w="1134" w:type="dxa"/>
          <w:vAlign w:val="center"/>
        </w:tcPr>
        <w:p w14:paraId="53398177" w14:textId="4B7EA050" w:rsidR="00986ECE" w:rsidRPr="00986ECE" w:rsidRDefault="00986ECE" w:rsidP="00986ECE">
          <w:pPr>
            <w:pStyle w:val="Encabezado"/>
            <w:tabs>
              <w:tab w:val="clear" w:pos="4252"/>
              <w:tab w:val="clear" w:pos="8504"/>
              <w:tab w:val="right" w:pos="924"/>
              <w:tab w:val="center" w:pos="1310"/>
            </w:tabs>
            <w:spacing w:after="0"/>
            <w:contextualSpacing/>
            <w:rPr>
              <w:i/>
              <w:iCs/>
              <w:color w:val="5F2987"/>
              <w:sz w:val="18"/>
              <w:szCs w:val="18"/>
            </w:rPr>
          </w:pPr>
          <w:bookmarkStart w:id="44" w:name="_Hlk72149218"/>
          <w:r w:rsidRPr="00986ECE">
            <w:rPr>
              <w:b/>
              <w:bCs/>
              <w:i/>
              <w:iCs/>
              <w:caps/>
              <w:color w:val="5F2987"/>
              <w:sz w:val="18"/>
              <w:szCs w:val="18"/>
            </w:rPr>
            <w:t>4.B.13</w:t>
          </w:r>
        </w:p>
      </w:tc>
      <w:tc>
        <w:tcPr>
          <w:tcW w:w="7088" w:type="dxa"/>
          <w:vAlign w:val="center"/>
        </w:tcPr>
        <w:p w14:paraId="60289CED" w14:textId="7FF5A4EA" w:rsidR="00986ECE" w:rsidRPr="00986ECE" w:rsidRDefault="00986ECE" w:rsidP="00986ECE">
          <w:pPr>
            <w:pStyle w:val="Encabezado"/>
            <w:spacing w:after="0"/>
            <w:ind w:right="-110"/>
            <w:contextualSpacing/>
            <w:jc w:val="center"/>
            <w:rPr>
              <w:i/>
              <w:iCs/>
              <w:color w:val="5F2987"/>
              <w:sz w:val="18"/>
              <w:szCs w:val="18"/>
            </w:rPr>
          </w:pPr>
          <w:r w:rsidRPr="00986ECE">
            <w:rPr>
              <w:i/>
              <w:iCs/>
              <w:color w:val="5F2987"/>
              <w:sz w:val="18"/>
              <w:szCs w:val="18"/>
            </w:rPr>
            <w:t>Teoría de la imposición directa. Comparaciones internacionales</w:t>
          </w:r>
        </w:p>
      </w:tc>
      <w:tc>
        <w:tcPr>
          <w:tcW w:w="2551" w:type="dxa"/>
          <w:vAlign w:val="center"/>
        </w:tcPr>
        <w:p w14:paraId="1119231E" w14:textId="4C4FBC8A" w:rsidR="00986ECE" w:rsidRPr="00986ECE" w:rsidRDefault="00986ECE" w:rsidP="00986ECE">
          <w:pPr>
            <w:pStyle w:val="Encabezado"/>
            <w:spacing w:after="0"/>
            <w:contextualSpacing/>
            <w:jc w:val="right"/>
            <w:rPr>
              <w:b/>
              <w:bCs/>
              <w:i/>
              <w:iCs/>
              <w:color w:val="5F2987"/>
              <w:spacing w:val="-6"/>
              <w:sz w:val="18"/>
              <w:szCs w:val="18"/>
            </w:rPr>
          </w:pPr>
          <w:r w:rsidRPr="00986ECE">
            <w:rPr>
              <w:b/>
              <w:bCs/>
              <w:i/>
              <w:iCs/>
              <w:color w:val="5F2987"/>
              <w:spacing w:val="-6"/>
              <w:sz w:val="18"/>
              <w:szCs w:val="18"/>
            </w:rPr>
            <w:t>Víctor Gutiérrez Marcos</w:t>
          </w:r>
        </w:p>
      </w:tc>
    </w:tr>
    <w:bookmarkEnd w:id="44"/>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986ECE" w:rsidRPr="00986ECE" w14:paraId="0B15D036" w14:textId="77777777" w:rsidTr="00F94CE1">
      <w:tc>
        <w:tcPr>
          <w:tcW w:w="3261" w:type="dxa"/>
          <w:tcBorders>
            <w:bottom w:val="thickThinSmallGap" w:sz="12" w:space="0" w:color="5F2987"/>
          </w:tcBorders>
        </w:tcPr>
        <w:p w14:paraId="413A693D" w14:textId="71F5FD47" w:rsidR="00986ECE" w:rsidRPr="00986ECE" w:rsidRDefault="00986ECE" w:rsidP="00986ECE">
          <w:pPr>
            <w:pStyle w:val="Encabezado"/>
            <w:spacing w:after="0"/>
            <w:jc w:val="left"/>
            <w:rPr>
              <w:i/>
              <w:iCs/>
              <w:color w:val="5F2987"/>
              <w:spacing w:val="-6"/>
              <w:sz w:val="18"/>
              <w:szCs w:val="18"/>
            </w:rPr>
          </w:pPr>
          <w:r w:rsidRPr="00986ECE">
            <w:rPr>
              <w:i/>
              <w:iCs/>
              <w:color w:val="5F2987"/>
              <w:spacing w:val="-6"/>
              <w:sz w:val="14"/>
              <w:szCs w:val="14"/>
            </w:rPr>
            <w:t>Fecha de la última actualización:</w:t>
          </w:r>
          <w:r w:rsidRPr="00986ECE">
            <w:rPr>
              <w:i/>
              <w:iCs/>
              <w:color w:val="5F2987"/>
              <w:spacing w:val="-6"/>
              <w:sz w:val="18"/>
              <w:szCs w:val="18"/>
            </w:rPr>
            <w:t xml:space="preserve"> </w:t>
          </w:r>
          <w:r w:rsidRPr="00986ECE">
            <w:rPr>
              <w:i/>
              <w:iCs/>
              <w:color w:val="5F2987"/>
              <w:spacing w:val="-6"/>
              <w:sz w:val="18"/>
              <w:szCs w:val="18"/>
            </w:rPr>
            <w:fldChar w:fldCharType="begin"/>
          </w:r>
          <w:r w:rsidRPr="00986ECE">
            <w:rPr>
              <w:i/>
              <w:iCs/>
              <w:color w:val="5F2987"/>
              <w:spacing w:val="-6"/>
              <w:sz w:val="18"/>
              <w:szCs w:val="18"/>
            </w:rPr>
            <w:instrText xml:space="preserve"> SAVEDATE  \@ "dd/MM/yyyy"  \* MERGEFORMAT </w:instrText>
          </w:r>
          <w:r w:rsidRPr="00986ECE">
            <w:rPr>
              <w:i/>
              <w:iCs/>
              <w:color w:val="5F2987"/>
              <w:spacing w:val="-6"/>
              <w:sz w:val="18"/>
              <w:szCs w:val="18"/>
            </w:rPr>
            <w:fldChar w:fldCharType="separate"/>
          </w:r>
          <w:r w:rsidR="00CA64DA">
            <w:rPr>
              <w:i/>
              <w:iCs/>
              <w:noProof/>
              <w:color w:val="5F2987"/>
              <w:spacing w:val="-6"/>
              <w:sz w:val="18"/>
              <w:szCs w:val="18"/>
            </w:rPr>
            <w:t>16/01/2026</w:t>
          </w:r>
          <w:r w:rsidRPr="00986ECE">
            <w:rPr>
              <w:i/>
              <w:iCs/>
              <w:color w:val="5F2987"/>
              <w:spacing w:val="-6"/>
              <w:sz w:val="18"/>
              <w:szCs w:val="18"/>
            </w:rPr>
            <w:fldChar w:fldCharType="end"/>
          </w:r>
        </w:p>
      </w:tc>
      <w:tc>
        <w:tcPr>
          <w:tcW w:w="4819" w:type="dxa"/>
          <w:tcBorders>
            <w:bottom w:val="thickThinSmallGap" w:sz="12" w:space="0" w:color="5F2987"/>
          </w:tcBorders>
        </w:tcPr>
        <w:p w14:paraId="78E417E8" w14:textId="77777777" w:rsidR="00986ECE" w:rsidRPr="00986ECE" w:rsidRDefault="00986ECE" w:rsidP="00986ECE">
          <w:pPr>
            <w:pStyle w:val="Encabezado"/>
            <w:spacing w:after="0"/>
            <w:jc w:val="center"/>
            <w:rPr>
              <w:i/>
              <w:iCs/>
              <w:color w:val="5F2987"/>
              <w:spacing w:val="-6"/>
              <w:sz w:val="18"/>
              <w:szCs w:val="18"/>
            </w:rPr>
          </w:pPr>
          <w:r w:rsidRPr="00986ECE">
            <w:rPr>
              <w:i/>
              <w:iCs/>
              <w:color w:val="5F2987"/>
              <w:spacing w:val="-6"/>
              <w:sz w:val="18"/>
              <w:szCs w:val="18"/>
            </w:rPr>
            <w:t>Oposición a Técnico Comercial y Economista del Estado</w:t>
          </w:r>
        </w:p>
      </w:tc>
      <w:tc>
        <w:tcPr>
          <w:tcW w:w="3544" w:type="dxa"/>
          <w:tcBorders>
            <w:bottom w:val="thickThinSmallGap" w:sz="12" w:space="0" w:color="5F2987"/>
          </w:tcBorders>
        </w:tcPr>
        <w:p w14:paraId="61761BCF" w14:textId="663411CC" w:rsidR="00986ECE" w:rsidRPr="00986ECE" w:rsidRDefault="00986ECE" w:rsidP="00986ECE">
          <w:pPr>
            <w:pStyle w:val="Encabezado"/>
            <w:spacing w:after="0"/>
            <w:jc w:val="right"/>
            <w:rPr>
              <w:i/>
              <w:iCs/>
              <w:color w:val="5F2987"/>
              <w:spacing w:val="-6"/>
              <w:sz w:val="18"/>
              <w:szCs w:val="18"/>
            </w:rPr>
          </w:pPr>
          <w:r w:rsidRPr="00986ECE">
            <w:rPr>
              <w:i/>
              <w:iCs/>
              <w:color w:val="5F2987"/>
              <w:spacing w:val="-6"/>
              <w:sz w:val="18"/>
              <w:szCs w:val="18"/>
            </w:rPr>
            <w:t>4.B.13</w:t>
          </w:r>
        </w:p>
      </w:tc>
    </w:tr>
  </w:tbl>
  <w:p w14:paraId="5EE14C55" w14:textId="77777777" w:rsidR="00986ECE" w:rsidRPr="00C80BBD" w:rsidRDefault="00986ECE"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97C695E"/>
    <w:multiLevelType w:val="hybridMultilevel"/>
    <w:tmpl w:val="F7228184"/>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0459B7"/>
    <w:multiLevelType w:val="hybridMultilevel"/>
    <w:tmpl w:val="380C761C"/>
    <w:lvl w:ilvl="0" w:tplc="4DCCFA32">
      <w:numFmt w:val="decimal"/>
      <w:lvlText w:val="%1."/>
      <w:lvlJc w:val="right"/>
      <w:pPr>
        <w:ind w:left="157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9" w15:restartNumberingAfterBreak="0">
    <w:nsid w:val="27994ABF"/>
    <w:multiLevelType w:val="hybridMultilevel"/>
    <w:tmpl w:val="9914408E"/>
    <w:lvl w:ilvl="0" w:tplc="02CA3D0C">
      <w:start w:val="1"/>
      <w:numFmt w:val="decimal"/>
      <w:lvlText w:val="%1."/>
      <w:lvlJc w:val="righ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20" w15:restartNumberingAfterBreak="0">
    <w:nsid w:val="2AC16FEF"/>
    <w:multiLevelType w:val="hybridMultilevel"/>
    <w:tmpl w:val="0CF0A7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3B1418"/>
    <w:multiLevelType w:val="hybridMultilevel"/>
    <w:tmpl w:val="03E4BCE8"/>
    <w:lvl w:ilvl="0" w:tplc="487C54C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8A65399"/>
    <w:multiLevelType w:val="hybridMultilevel"/>
    <w:tmpl w:val="C884EFB4"/>
    <w:lvl w:ilvl="0" w:tplc="D4D44E0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AB128AE"/>
    <w:multiLevelType w:val="hybridMultilevel"/>
    <w:tmpl w:val="3BD4B134"/>
    <w:lvl w:ilvl="0" w:tplc="B7027B4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E1C5BB3"/>
    <w:multiLevelType w:val="multilevel"/>
    <w:tmpl w:val="76EA8450"/>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8" w15:restartNumberingAfterBreak="0">
    <w:nsid w:val="50FB7C1A"/>
    <w:multiLevelType w:val="multilevel"/>
    <w:tmpl w:val="0809001D"/>
    <w:numStyleLink w:val="Lista1"/>
  </w:abstractNum>
  <w:abstractNum w:abstractNumId="29"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E257E3"/>
    <w:multiLevelType w:val="hybridMultilevel"/>
    <w:tmpl w:val="340C17DC"/>
    <w:lvl w:ilvl="0" w:tplc="9AF4F196">
      <w:start w:val="1"/>
      <w:numFmt w:val="bullet"/>
      <w:pStyle w:val="Tercer"/>
      <w:lvlText w:val=""/>
      <w:lvlJc w:val="left"/>
      <w:pPr>
        <w:ind w:left="862" w:hanging="360"/>
      </w:pPr>
      <w:rPr>
        <w:rFonts w:ascii="Wingdings" w:hAnsi="Wingdings" w:hint="default"/>
      </w:rPr>
    </w:lvl>
    <w:lvl w:ilvl="1" w:tplc="0C0A0001">
      <w:start w:val="1"/>
      <w:numFmt w:val="bullet"/>
      <w:lvlText w:val=""/>
      <w:lvlJc w:val="left"/>
      <w:pPr>
        <w:ind w:left="1582" w:hanging="360"/>
      </w:pPr>
      <w:rPr>
        <w:rFonts w:ascii="Symbol" w:hAnsi="Symbol" w:hint="default"/>
      </w:rPr>
    </w:lvl>
    <w:lvl w:ilvl="2" w:tplc="0C0A0003">
      <w:start w:val="1"/>
      <w:numFmt w:val="bullet"/>
      <w:lvlText w:val="o"/>
      <w:lvlJc w:val="left"/>
      <w:pPr>
        <w:ind w:left="2302" w:hanging="360"/>
      </w:pPr>
      <w:rPr>
        <w:rFonts w:ascii="Courier New" w:hAnsi="Courier New" w:cs="Courier New" w:hint="default"/>
      </w:rPr>
    </w:lvl>
    <w:lvl w:ilvl="3" w:tplc="0C0A000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3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5" w15:restartNumberingAfterBreak="0">
    <w:nsid w:val="6B2B28D6"/>
    <w:multiLevelType w:val="hybridMultilevel"/>
    <w:tmpl w:val="B0649656"/>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0954345"/>
    <w:multiLevelType w:val="hybridMultilevel"/>
    <w:tmpl w:val="405A10FE"/>
    <w:lvl w:ilvl="0" w:tplc="29F630F2">
      <w:start w:val="1"/>
      <w:numFmt w:val="decimal"/>
      <w:lvlText w:val="%1)"/>
      <w:lvlJc w:val="right"/>
      <w:pPr>
        <w:ind w:left="720" w:hanging="360"/>
      </w:pPr>
      <w:rPr>
        <w:rFonts w:hint="default"/>
        <w:b w:val="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BA6C2E"/>
    <w:multiLevelType w:val="hybridMultilevel"/>
    <w:tmpl w:val="E0A6F816"/>
    <w:lvl w:ilvl="0" w:tplc="02CA3D0C">
      <w:start w:val="1"/>
      <w:numFmt w:val="decimal"/>
      <w:lvlText w:val="%1."/>
      <w:lvlJc w:val="righ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40"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333337880">
    <w:abstractNumId w:val="14"/>
  </w:num>
  <w:num w:numId="2" w16cid:durableId="501628799">
    <w:abstractNumId w:val="32"/>
  </w:num>
  <w:num w:numId="3" w16cid:durableId="1019962899">
    <w:abstractNumId w:val="11"/>
  </w:num>
  <w:num w:numId="4" w16cid:durableId="1423451286">
    <w:abstractNumId w:val="41"/>
  </w:num>
  <w:num w:numId="5" w16cid:durableId="1267272494">
    <w:abstractNumId w:val="17"/>
  </w:num>
  <w:num w:numId="6" w16cid:durableId="1864974316">
    <w:abstractNumId w:val="34"/>
  </w:num>
  <w:num w:numId="7" w16cid:durableId="2102404931">
    <w:abstractNumId w:val="18"/>
  </w:num>
  <w:num w:numId="8" w16cid:durableId="325978225">
    <w:abstractNumId w:val="24"/>
  </w:num>
  <w:num w:numId="9" w16cid:durableId="449594402">
    <w:abstractNumId w:val="12"/>
  </w:num>
  <w:num w:numId="10" w16cid:durableId="367997497">
    <w:abstractNumId w:val="33"/>
  </w:num>
  <w:num w:numId="11" w16cid:durableId="181868373">
    <w:abstractNumId w:val="21"/>
  </w:num>
  <w:num w:numId="12" w16cid:durableId="1061707322">
    <w:abstractNumId w:val="30"/>
  </w:num>
  <w:num w:numId="13" w16cid:durableId="1327435940">
    <w:abstractNumId w:val="23"/>
  </w:num>
  <w:num w:numId="14" w16cid:durableId="249973606">
    <w:abstractNumId w:val="26"/>
  </w:num>
  <w:num w:numId="15" w16cid:durableId="1742098453">
    <w:abstractNumId w:val="37"/>
  </w:num>
  <w:num w:numId="16" w16cid:durableId="1045954617">
    <w:abstractNumId w:val="19"/>
  </w:num>
  <w:num w:numId="17" w16cid:durableId="75710768">
    <w:abstractNumId w:val="15"/>
  </w:num>
  <w:num w:numId="18" w16cid:durableId="1587376488">
    <w:abstractNumId w:val="39"/>
  </w:num>
  <w:num w:numId="19" w16cid:durableId="624118885">
    <w:abstractNumId w:val="25"/>
  </w:num>
  <w:num w:numId="20" w16cid:durableId="1375540469">
    <w:abstractNumId w:val="24"/>
    <w:lvlOverride w:ilvl="0">
      <w:startOverride w:val="1"/>
    </w:lvlOverride>
    <w:lvlOverride w:ilvl="1">
      <w:startOverride w:val="3"/>
    </w:lvlOverride>
    <w:lvlOverride w:ilvl="2"/>
  </w:num>
  <w:num w:numId="21" w16cid:durableId="2097703800">
    <w:abstractNumId w:val="13"/>
  </w:num>
  <w:num w:numId="22" w16cid:durableId="2040544402">
    <w:abstractNumId w:val="35"/>
  </w:num>
  <w:num w:numId="23" w16cid:durableId="1193307137">
    <w:abstractNumId w:val="20"/>
  </w:num>
  <w:num w:numId="24" w16cid:durableId="1253317956">
    <w:abstractNumId w:val="36"/>
  </w:num>
  <w:num w:numId="25" w16cid:durableId="1572157210">
    <w:abstractNumId w:val="38"/>
  </w:num>
  <w:num w:numId="26" w16cid:durableId="293606003">
    <w:abstractNumId w:val="42"/>
  </w:num>
  <w:num w:numId="27" w16cid:durableId="8608141">
    <w:abstractNumId w:val="16"/>
  </w:num>
  <w:num w:numId="28" w16cid:durableId="1264148894">
    <w:abstractNumId w:val="31"/>
  </w:num>
  <w:num w:numId="29" w16cid:durableId="1101805177">
    <w:abstractNumId w:val="28"/>
  </w:num>
  <w:num w:numId="30" w16cid:durableId="55976097">
    <w:abstractNumId w:val="9"/>
  </w:num>
  <w:num w:numId="31" w16cid:durableId="1730155756">
    <w:abstractNumId w:val="7"/>
  </w:num>
  <w:num w:numId="32" w16cid:durableId="1283805518">
    <w:abstractNumId w:val="6"/>
  </w:num>
  <w:num w:numId="33" w16cid:durableId="1719433549">
    <w:abstractNumId w:val="5"/>
  </w:num>
  <w:num w:numId="34" w16cid:durableId="1146705467">
    <w:abstractNumId w:val="4"/>
  </w:num>
  <w:num w:numId="35" w16cid:durableId="1862863250">
    <w:abstractNumId w:val="8"/>
  </w:num>
  <w:num w:numId="36" w16cid:durableId="1345670722">
    <w:abstractNumId w:val="3"/>
  </w:num>
  <w:num w:numId="37" w16cid:durableId="253051141">
    <w:abstractNumId w:val="2"/>
  </w:num>
  <w:num w:numId="38" w16cid:durableId="359211959">
    <w:abstractNumId w:val="1"/>
  </w:num>
  <w:num w:numId="39" w16cid:durableId="1822767912">
    <w:abstractNumId w:val="0"/>
  </w:num>
  <w:num w:numId="40" w16cid:durableId="1007051156">
    <w:abstractNumId w:val="40"/>
  </w:num>
  <w:num w:numId="41" w16cid:durableId="1104693616">
    <w:abstractNumId w:val="22"/>
  </w:num>
  <w:num w:numId="42" w16cid:durableId="7665390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8310554">
    <w:abstractNumId w:val="29"/>
  </w:num>
  <w:num w:numId="44" w16cid:durableId="1940407888">
    <w:abstractNumId w:val="10"/>
  </w:num>
  <w:num w:numId="45" w16cid:durableId="943850280">
    <w:abstractNumId w:val="41"/>
    <w:lvlOverride w:ilvl="0">
      <w:startOverride w:val="1"/>
    </w:lvlOverride>
  </w:num>
  <w:num w:numId="46" w16cid:durableId="1005480930">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4B4"/>
    <w:rsid w:val="000008BD"/>
    <w:rsid w:val="00001448"/>
    <w:rsid w:val="0000166E"/>
    <w:rsid w:val="000016E3"/>
    <w:rsid w:val="00001E3D"/>
    <w:rsid w:val="000023C4"/>
    <w:rsid w:val="00002A09"/>
    <w:rsid w:val="00002B76"/>
    <w:rsid w:val="00002E3A"/>
    <w:rsid w:val="00002EB6"/>
    <w:rsid w:val="000032B1"/>
    <w:rsid w:val="00003A25"/>
    <w:rsid w:val="00003BAC"/>
    <w:rsid w:val="000040EA"/>
    <w:rsid w:val="00004264"/>
    <w:rsid w:val="00004A2C"/>
    <w:rsid w:val="000050B2"/>
    <w:rsid w:val="000051EF"/>
    <w:rsid w:val="000053F9"/>
    <w:rsid w:val="00005501"/>
    <w:rsid w:val="00005F38"/>
    <w:rsid w:val="00005F55"/>
    <w:rsid w:val="00006470"/>
    <w:rsid w:val="0000663D"/>
    <w:rsid w:val="000066BD"/>
    <w:rsid w:val="000066C0"/>
    <w:rsid w:val="0000675F"/>
    <w:rsid w:val="0000696D"/>
    <w:rsid w:val="00006E30"/>
    <w:rsid w:val="000072C5"/>
    <w:rsid w:val="000073AA"/>
    <w:rsid w:val="000076BF"/>
    <w:rsid w:val="000077E2"/>
    <w:rsid w:val="00007F0E"/>
    <w:rsid w:val="00007F55"/>
    <w:rsid w:val="00010D0C"/>
    <w:rsid w:val="00010EA5"/>
    <w:rsid w:val="000110EF"/>
    <w:rsid w:val="00011356"/>
    <w:rsid w:val="000115D9"/>
    <w:rsid w:val="00011A15"/>
    <w:rsid w:val="00012701"/>
    <w:rsid w:val="00012CD0"/>
    <w:rsid w:val="00013A71"/>
    <w:rsid w:val="00013BF9"/>
    <w:rsid w:val="0001470D"/>
    <w:rsid w:val="00015673"/>
    <w:rsid w:val="0001569A"/>
    <w:rsid w:val="000157F5"/>
    <w:rsid w:val="00015997"/>
    <w:rsid w:val="00015D93"/>
    <w:rsid w:val="000160C9"/>
    <w:rsid w:val="000161D0"/>
    <w:rsid w:val="00016574"/>
    <w:rsid w:val="0001668B"/>
    <w:rsid w:val="00017700"/>
    <w:rsid w:val="00017730"/>
    <w:rsid w:val="00017B40"/>
    <w:rsid w:val="00017C10"/>
    <w:rsid w:val="00017ED1"/>
    <w:rsid w:val="00017EDB"/>
    <w:rsid w:val="00017FAB"/>
    <w:rsid w:val="00020166"/>
    <w:rsid w:val="0002076A"/>
    <w:rsid w:val="00020816"/>
    <w:rsid w:val="00021052"/>
    <w:rsid w:val="00021279"/>
    <w:rsid w:val="00021492"/>
    <w:rsid w:val="000214D2"/>
    <w:rsid w:val="00021872"/>
    <w:rsid w:val="000219B4"/>
    <w:rsid w:val="00021C20"/>
    <w:rsid w:val="00021E32"/>
    <w:rsid w:val="00021FAC"/>
    <w:rsid w:val="00022463"/>
    <w:rsid w:val="000230C3"/>
    <w:rsid w:val="000233DD"/>
    <w:rsid w:val="0002361F"/>
    <w:rsid w:val="0002386C"/>
    <w:rsid w:val="0002394F"/>
    <w:rsid w:val="0002399C"/>
    <w:rsid w:val="00023D7A"/>
    <w:rsid w:val="00024095"/>
    <w:rsid w:val="00024146"/>
    <w:rsid w:val="00024A80"/>
    <w:rsid w:val="00024CD1"/>
    <w:rsid w:val="000254B1"/>
    <w:rsid w:val="00025A5C"/>
    <w:rsid w:val="00025C78"/>
    <w:rsid w:val="0002613E"/>
    <w:rsid w:val="00026E2C"/>
    <w:rsid w:val="000272EA"/>
    <w:rsid w:val="00027B20"/>
    <w:rsid w:val="00027DD5"/>
    <w:rsid w:val="00027DF3"/>
    <w:rsid w:val="00030BE9"/>
    <w:rsid w:val="000310A0"/>
    <w:rsid w:val="0003115D"/>
    <w:rsid w:val="0003122B"/>
    <w:rsid w:val="000317B6"/>
    <w:rsid w:val="000319FC"/>
    <w:rsid w:val="00031D49"/>
    <w:rsid w:val="000322BC"/>
    <w:rsid w:val="00032941"/>
    <w:rsid w:val="000329E8"/>
    <w:rsid w:val="00032AA1"/>
    <w:rsid w:val="00032AEA"/>
    <w:rsid w:val="00032E0F"/>
    <w:rsid w:val="00032EA1"/>
    <w:rsid w:val="00032EC1"/>
    <w:rsid w:val="00032ECC"/>
    <w:rsid w:val="0003313A"/>
    <w:rsid w:val="000335BC"/>
    <w:rsid w:val="000346B5"/>
    <w:rsid w:val="00036EAA"/>
    <w:rsid w:val="00037286"/>
    <w:rsid w:val="00037324"/>
    <w:rsid w:val="0003746A"/>
    <w:rsid w:val="000378B5"/>
    <w:rsid w:val="000379B1"/>
    <w:rsid w:val="00037BA7"/>
    <w:rsid w:val="00040760"/>
    <w:rsid w:val="00040C13"/>
    <w:rsid w:val="000411AD"/>
    <w:rsid w:val="0004175F"/>
    <w:rsid w:val="000419AD"/>
    <w:rsid w:val="00041A10"/>
    <w:rsid w:val="00041BFD"/>
    <w:rsid w:val="000421C1"/>
    <w:rsid w:val="000423AB"/>
    <w:rsid w:val="00042696"/>
    <w:rsid w:val="00042973"/>
    <w:rsid w:val="00042DAB"/>
    <w:rsid w:val="00043363"/>
    <w:rsid w:val="00043790"/>
    <w:rsid w:val="000439C9"/>
    <w:rsid w:val="00043AF6"/>
    <w:rsid w:val="00043B1C"/>
    <w:rsid w:val="00043E46"/>
    <w:rsid w:val="00043FA0"/>
    <w:rsid w:val="00044994"/>
    <w:rsid w:val="00044E0E"/>
    <w:rsid w:val="00044EEE"/>
    <w:rsid w:val="00045047"/>
    <w:rsid w:val="00045070"/>
    <w:rsid w:val="00045432"/>
    <w:rsid w:val="000456D4"/>
    <w:rsid w:val="00045F40"/>
    <w:rsid w:val="00045FC7"/>
    <w:rsid w:val="00046894"/>
    <w:rsid w:val="00046E12"/>
    <w:rsid w:val="00046F0A"/>
    <w:rsid w:val="000471DD"/>
    <w:rsid w:val="000472B2"/>
    <w:rsid w:val="00047596"/>
    <w:rsid w:val="000478BB"/>
    <w:rsid w:val="00047F74"/>
    <w:rsid w:val="0005073C"/>
    <w:rsid w:val="000508D3"/>
    <w:rsid w:val="00051268"/>
    <w:rsid w:val="000515EB"/>
    <w:rsid w:val="00052224"/>
    <w:rsid w:val="00052AD8"/>
    <w:rsid w:val="00052E5A"/>
    <w:rsid w:val="0005333B"/>
    <w:rsid w:val="00053393"/>
    <w:rsid w:val="00053B06"/>
    <w:rsid w:val="00053C54"/>
    <w:rsid w:val="00053CEF"/>
    <w:rsid w:val="000545A3"/>
    <w:rsid w:val="000547F2"/>
    <w:rsid w:val="000549AD"/>
    <w:rsid w:val="00054CB3"/>
    <w:rsid w:val="0005513E"/>
    <w:rsid w:val="0005534A"/>
    <w:rsid w:val="00056419"/>
    <w:rsid w:val="000567DF"/>
    <w:rsid w:val="0005681F"/>
    <w:rsid w:val="00056F79"/>
    <w:rsid w:val="000570D0"/>
    <w:rsid w:val="0005794D"/>
    <w:rsid w:val="000601B9"/>
    <w:rsid w:val="000603B8"/>
    <w:rsid w:val="00060B47"/>
    <w:rsid w:val="000612D3"/>
    <w:rsid w:val="00061379"/>
    <w:rsid w:val="00061865"/>
    <w:rsid w:val="0006187D"/>
    <w:rsid w:val="000621FB"/>
    <w:rsid w:val="00062584"/>
    <w:rsid w:val="00062667"/>
    <w:rsid w:val="00062B55"/>
    <w:rsid w:val="00063066"/>
    <w:rsid w:val="0006321F"/>
    <w:rsid w:val="00063610"/>
    <w:rsid w:val="00063852"/>
    <w:rsid w:val="0006495E"/>
    <w:rsid w:val="00064985"/>
    <w:rsid w:val="000649BE"/>
    <w:rsid w:val="00064AA9"/>
    <w:rsid w:val="000652D1"/>
    <w:rsid w:val="00065961"/>
    <w:rsid w:val="00065B51"/>
    <w:rsid w:val="00065D5E"/>
    <w:rsid w:val="00065F29"/>
    <w:rsid w:val="00066999"/>
    <w:rsid w:val="00066AD2"/>
    <w:rsid w:val="00066DB4"/>
    <w:rsid w:val="00066EA5"/>
    <w:rsid w:val="000675E4"/>
    <w:rsid w:val="0007015B"/>
    <w:rsid w:val="00070191"/>
    <w:rsid w:val="0007052A"/>
    <w:rsid w:val="000705E3"/>
    <w:rsid w:val="00070AB1"/>
    <w:rsid w:val="00070C1B"/>
    <w:rsid w:val="0007141A"/>
    <w:rsid w:val="00071619"/>
    <w:rsid w:val="0007194A"/>
    <w:rsid w:val="00072504"/>
    <w:rsid w:val="0007259E"/>
    <w:rsid w:val="000725F5"/>
    <w:rsid w:val="000745FB"/>
    <w:rsid w:val="000747FF"/>
    <w:rsid w:val="0007480F"/>
    <w:rsid w:val="00074AAF"/>
    <w:rsid w:val="0007508F"/>
    <w:rsid w:val="00076382"/>
    <w:rsid w:val="000764AD"/>
    <w:rsid w:val="00076575"/>
    <w:rsid w:val="00076B08"/>
    <w:rsid w:val="0007702B"/>
    <w:rsid w:val="0007729D"/>
    <w:rsid w:val="00077DFE"/>
    <w:rsid w:val="00077E05"/>
    <w:rsid w:val="00081B23"/>
    <w:rsid w:val="000823A3"/>
    <w:rsid w:val="00082C9E"/>
    <w:rsid w:val="00083112"/>
    <w:rsid w:val="0008375E"/>
    <w:rsid w:val="00084264"/>
    <w:rsid w:val="0008431F"/>
    <w:rsid w:val="00084408"/>
    <w:rsid w:val="00085177"/>
    <w:rsid w:val="00085FC9"/>
    <w:rsid w:val="00086659"/>
    <w:rsid w:val="0008688A"/>
    <w:rsid w:val="00086893"/>
    <w:rsid w:val="00086A82"/>
    <w:rsid w:val="00087BA9"/>
    <w:rsid w:val="00090006"/>
    <w:rsid w:val="0009025A"/>
    <w:rsid w:val="00090C80"/>
    <w:rsid w:val="00091307"/>
    <w:rsid w:val="00091BDA"/>
    <w:rsid w:val="00091DC2"/>
    <w:rsid w:val="000927C7"/>
    <w:rsid w:val="000934EA"/>
    <w:rsid w:val="00093C52"/>
    <w:rsid w:val="00094FE7"/>
    <w:rsid w:val="000954D2"/>
    <w:rsid w:val="00095EC0"/>
    <w:rsid w:val="00095F6E"/>
    <w:rsid w:val="00096069"/>
    <w:rsid w:val="00096521"/>
    <w:rsid w:val="000968C5"/>
    <w:rsid w:val="00096C51"/>
    <w:rsid w:val="00096DFA"/>
    <w:rsid w:val="0009707D"/>
    <w:rsid w:val="000974BE"/>
    <w:rsid w:val="00097953"/>
    <w:rsid w:val="000979F7"/>
    <w:rsid w:val="000A00F4"/>
    <w:rsid w:val="000A0126"/>
    <w:rsid w:val="000A0643"/>
    <w:rsid w:val="000A0E5A"/>
    <w:rsid w:val="000A11D2"/>
    <w:rsid w:val="000A12DC"/>
    <w:rsid w:val="000A16CE"/>
    <w:rsid w:val="000A1D85"/>
    <w:rsid w:val="000A27FB"/>
    <w:rsid w:val="000A280C"/>
    <w:rsid w:val="000A2927"/>
    <w:rsid w:val="000A2C48"/>
    <w:rsid w:val="000A2E63"/>
    <w:rsid w:val="000A312B"/>
    <w:rsid w:val="000A3861"/>
    <w:rsid w:val="000A39AE"/>
    <w:rsid w:val="000A3EEA"/>
    <w:rsid w:val="000A442B"/>
    <w:rsid w:val="000A454A"/>
    <w:rsid w:val="000A5531"/>
    <w:rsid w:val="000A554E"/>
    <w:rsid w:val="000A6519"/>
    <w:rsid w:val="000A6528"/>
    <w:rsid w:val="000A6D52"/>
    <w:rsid w:val="000A6DE8"/>
    <w:rsid w:val="000A6F27"/>
    <w:rsid w:val="000A6FA7"/>
    <w:rsid w:val="000A73E3"/>
    <w:rsid w:val="000A7DBE"/>
    <w:rsid w:val="000A7E52"/>
    <w:rsid w:val="000B0054"/>
    <w:rsid w:val="000B0096"/>
    <w:rsid w:val="000B0BAE"/>
    <w:rsid w:val="000B11F8"/>
    <w:rsid w:val="000B133D"/>
    <w:rsid w:val="000B15D8"/>
    <w:rsid w:val="000B17ED"/>
    <w:rsid w:val="000B19FF"/>
    <w:rsid w:val="000B1C3E"/>
    <w:rsid w:val="000B1D8F"/>
    <w:rsid w:val="000B1E8A"/>
    <w:rsid w:val="000B2526"/>
    <w:rsid w:val="000B30E2"/>
    <w:rsid w:val="000B3B89"/>
    <w:rsid w:val="000B3C7C"/>
    <w:rsid w:val="000B41CD"/>
    <w:rsid w:val="000B4924"/>
    <w:rsid w:val="000B4B3B"/>
    <w:rsid w:val="000B595D"/>
    <w:rsid w:val="000B5B11"/>
    <w:rsid w:val="000B6053"/>
    <w:rsid w:val="000B6476"/>
    <w:rsid w:val="000B69FA"/>
    <w:rsid w:val="000B7003"/>
    <w:rsid w:val="000B7180"/>
    <w:rsid w:val="000B7442"/>
    <w:rsid w:val="000B744C"/>
    <w:rsid w:val="000B7548"/>
    <w:rsid w:val="000B7EF0"/>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3DC2"/>
    <w:rsid w:val="000C3FA8"/>
    <w:rsid w:val="000C4B4C"/>
    <w:rsid w:val="000C4FD1"/>
    <w:rsid w:val="000C56EF"/>
    <w:rsid w:val="000C675D"/>
    <w:rsid w:val="000C703F"/>
    <w:rsid w:val="000C7454"/>
    <w:rsid w:val="000C762E"/>
    <w:rsid w:val="000C76CF"/>
    <w:rsid w:val="000C798B"/>
    <w:rsid w:val="000C7AB9"/>
    <w:rsid w:val="000D010B"/>
    <w:rsid w:val="000D0BD3"/>
    <w:rsid w:val="000D0FDC"/>
    <w:rsid w:val="000D1552"/>
    <w:rsid w:val="000D18D7"/>
    <w:rsid w:val="000D22F9"/>
    <w:rsid w:val="000D2489"/>
    <w:rsid w:val="000D2E97"/>
    <w:rsid w:val="000D2E98"/>
    <w:rsid w:val="000D324F"/>
    <w:rsid w:val="000D329E"/>
    <w:rsid w:val="000D3789"/>
    <w:rsid w:val="000D3B25"/>
    <w:rsid w:val="000D4047"/>
    <w:rsid w:val="000D4E26"/>
    <w:rsid w:val="000D5068"/>
    <w:rsid w:val="000D5122"/>
    <w:rsid w:val="000D530C"/>
    <w:rsid w:val="000D5388"/>
    <w:rsid w:val="000D5511"/>
    <w:rsid w:val="000D5658"/>
    <w:rsid w:val="000D571D"/>
    <w:rsid w:val="000D62F8"/>
    <w:rsid w:val="000D79D9"/>
    <w:rsid w:val="000D7B09"/>
    <w:rsid w:val="000D7FAC"/>
    <w:rsid w:val="000E0D36"/>
    <w:rsid w:val="000E1061"/>
    <w:rsid w:val="000E112F"/>
    <w:rsid w:val="000E11AF"/>
    <w:rsid w:val="000E1335"/>
    <w:rsid w:val="000E140A"/>
    <w:rsid w:val="000E144E"/>
    <w:rsid w:val="000E1949"/>
    <w:rsid w:val="000E1A81"/>
    <w:rsid w:val="000E1DBA"/>
    <w:rsid w:val="000E23AA"/>
    <w:rsid w:val="000E23EA"/>
    <w:rsid w:val="000E2D79"/>
    <w:rsid w:val="000E35B7"/>
    <w:rsid w:val="000E394F"/>
    <w:rsid w:val="000E39AF"/>
    <w:rsid w:val="000E3E9D"/>
    <w:rsid w:val="000E47C9"/>
    <w:rsid w:val="000E48DC"/>
    <w:rsid w:val="000E49B1"/>
    <w:rsid w:val="000E537D"/>
    <w:rsid w:val="000E599F"/>
    <w:rsid w:val="000E5A0A"/>
    <w:rsid w:val="000E5A42"/>
    <w:rsid w:val="000E6555"/>
    <w:rsid w:val="000E65E9"/>
    <w:rsid w:val="000E6621"/>
    <w:rsid w:val="000E6CED"/>
    <w:rsid w:val="000E6FA0"/>
    <w:rsid w:val="000E7029"/>
    <w:rsid w:val="000E70A6"/>
    <w:rsid w:val="000E73E9"/>
    <w:rsid w:val="000E7B38"/>
    <w:rsid w:val="000E7D9C"/>
    <w:rsid w:val="000E7E20"/>
    <w:rsid w:val="000F05E1"/>
    <w:rsid w:val="000F0914"/>
    <w:rsid w:val="000F0B43"/>
    <w:rsid w:val="000F12C9"/>
    <w:rsid w:val="000F12FD"/>
    <w:rsid w:val="000F1641"/>
    <w:rsid w:val="000F1995"/>
    <w:rsid w:val="000F32EE"/>
    <w:rsid w:val="000F3F7E"/>
    <w:rsid w:val="000F41A6"/>
    <w:rsid w:val="000F427B"/>
    <w:rsid w:val="000F430C"/>
    <w:rsid w:val="000F44DF"/>
    <w:rsid w:val="000F4CE6"/>
    <w:rsid w:val="000F51DA"/>
    <w:rsid w:val="000F5222"/>
    <w:rsid w:val="000F57A9"/>
    <w:rsid w:val="000F57CE"/>
    <w:rsid w:val="000F58E0"/>
    <w:rsid w:val="000F591C"/>
    <w:rsid w:val="000F595B"/>
    <w:rsid w:val="000F5E3F"/>
    <w:rsid w:val="000F6025"/>
    <w:rsid w:val="000F6266"/>
    <w:rsid w:val="000F6E15"/>
    <w:rsid w:val="000F7357"/>
    <w:rsid w:val="000F75ED"/>
    <w:rsid w:val="000F79E6"/>
    <w:rsid w:val="000F7F30"/>
    <w:rsid w:val="001002DD"/>
    <w:rsid w:val="00100DE1"/>
    <w:rsid w:val="00101138"/>
    <w:rsid w:val="00101768"/>
    <w:rsid w:val="0010191A"/>
    <w:rsid w:val="00101A75"/>
    <w:rsid w:val="00101AD7"/>
    <w:rsid w:val="00101CA5"/>
    <w:rsid w:val="00101CB9"/>
    <w:rsid w:val="001025D7"/>
    <w:rsid w:val="001033DC"/>
    <w:rsid w:val="00103552"/>
    <w:rsid w:val="001039D3"/>
    <w:rsid w:val="00103C93"/>
    <w:rsid w:val="00103CAD"/>
    <w:rsid w:val="00103D94"/>
    <w:rsid w:val="00103FD3"/>
    <w:rsid w:val="00104262"/>
    <w:rsid w:val="00104428"/>
    <w:rsid w:val="00104A2E"/>
    <w:rsid w:val="00104A41"/>
    <w:rsid w:val="00104AAD"/>
    <w:rsid w:val="001061BE"/>
    <w:rsid w:val="001062F1"/>
    <w:rsid w:val="00106401"/>
    <w:rsid w:val="0010663A"/>
    <w:rsid w:val="00106C24"/>
    <w:rsid w:val="00107791"/>
    <w:rsid w:val="00107C93"/>
    <w:rsid w:val="001100D5"/>
    <w:rsid w:val="0011046A"/>
    <w:rsid w:val="001107AC"/>
    <w:rsid w:val="00110A50"/>
    <w:rsid w:val="00110B69"/>
    <w:rsid w:val="00110C5E"/>
    <w:rsid w:val="00110FE6"/>
    <w:rsid w:val="0011118B"/>
    <w:rsid w:val="001111EE"/>
    <w:rsid w:val="00111F70"/>
    <w:rsid w:val="001123A7"/>
    <w:rsid w:val="001125D0"/>
    <w:rsid w:val="00112A64"/>
    <w:rsid w:val="00113181"/>
    <w:rsid w:val="001138C0"/>
    <w:rsid w:val="001138F3"/>
    <w:rsid w:val="00113926"/>
    <w:rsid w:val="00113C92"/>
    <w:rsid w:val="00113F74"/>
    <w:rsid w:val="0011405A"/>
    <w:rsid w:val="00114121"/>
    <w:rsid w:val="00114156"/>
    <w:rsid w:val="00114458"/>
    <w:rsid w:val="0011502D"/>
    <w:rsid w:val="001150C5"/>
    <w:rsid w:val="00115210"/>
    <w:rsid w:val="001152BD"/>
    <w:rsid w:val="00115FDC"/>
    <w:rsid w:val="001160ED"/>
    <w:rsid w:val="001164CB"/>
    <w:rsid w:val="00116821"/>
    <w:rsid w:val="001168B8"/>
    <w:rsid w:val="00116B7B"/>
    <w:rsid w:val="001170B7"/>
    <w:rsid w:val="00117B8A"/>
    <w:rsid w:val="001204C9"/>
    <w:rsid w:val="001205E1"/>
    <w:rsid w:val="00120ACC"/>
    <w:rsid w:val="0012126B"/>
    <w:rsid w:val="00121369"/>
    <w:rsid w:val="001221B5"/>
    <w:rsid w:val="00122278"/>
    <w:rsid w:val="00122371"/>
    <w:rsid w:val="00122900"/>
    <w:rsid w:val="00122936"/>
    <w:rsid w:val="00123AF0"/>
    <w:rsid w:val="001244FF"/>
    <w:rsid w:val="001247FA"/>
    <w:rsid w:val="001249B3"/>
    <w:rsid w:val="001249BE"/>
    <w:rsid w:val="00124E01"/>
    <w:rsid w:val="00125188"/>
    <w:rsid w:val="00125993"/>
    <w:rsid w:val="00125A75"/>
    <w:rsid w:val="00125B31"/>
    <w:rsid w:val="00125D43"/>
    <w:rsid w:val="00125D87"/>
    <w:rsid w:val="001260A9"/>
    <w:rsid w:val="001263B1"/>
    <w:rsid w:val="0012684F"/>
    <w:rsid w:val="001269C5"/>
    <w:rsid w:val="00126B77"/>
    <w:rsid w:val="001274F1"/>
    <w:rsid w:val="0012792C"/>
    <w:rsid w:val="00127935"/>
    <w:rsid w:val="00127D1A"/>
    <w:rsid w:val="00127D7D"/>
    <w:rsid w:val="00127E2B"/>
    <w:rsid w:val="00130361"/>
    <w:rsid w:val="001306CD"/>
    <w:rsid w:val="00130AAD"/>
    <w:rsid w:val="00131138"/>
    <w:rsid w:val="001313B0"/>
    <w:rsid w:val="0013168E"/>
    <w:rsid w:val="00131782"/>
    <w:rsid w:val="00131D37"/>
    <w:rsid w:val="00131DCF"/>
    <w:rsid w:val="00131E07"/>
    <w:rsid w:val="001320C8"/>
    <w:rsid w:val="001324E7"/>
    <w:rsid w:val="0013296C"/>
    <w:rsid w:val="00132CA4"/>
    <w:rsid w:val="00132D93"/>
    <w:rsid w:val="00133991"/>
    <w:rsid w:val="00133B56"/>
    <w:rsid w:val="00133D52"/>
    <w:rsid w:val="00133F37"/>
    <w:rsid w:val="00134704"/>
    <w:rsid w:val="00134944"/>
    <w:rsid w:val="00134A8E"/>
    <w:rsid w:val="00134D17"/>
    <w:rsid w:val="00134E18"/>
    <w:rsid w:val="001354B7"/>
    <w:rsid w:val="0013556B"/>
    <w:rsid w:val="00135570"/>
    <w:rsid w:val="00135622"/>
    <w:rsid w:val="001356E5"/>
    <w:rsid w:val="0013573A"/>
    <w:rsid w:val="00135795"/>
    <w:rsid w:val="00135A9E"/>
    <w:rsid w:val="0013632D"/>
    <w:rsid w:val="00136690"/>
    <w:rsid w:val="00136C70"/>
    <w:rsid w:val="001373DE"/>
    <w:rsid w:val="00137705"/>
    <w:rsid w:val="00137B2E"/>
    <w:rsid w:val="00137C0D"/>
    <w:rsid w:val="0014061B"/>
    <w:rsid w:val="00141494"/>
    <w:rsid w:val="00141AE8"/>
    <w:rsid w:val="00142095"/>
    <w:rsid w:val="00142B61"/>
    <w:rsid w:val="00142BF8"/>
    <w:rsid w:val="00142C48"/>
    <w:rsid w:val="0014336D"/>
    <w:rsid w:val="00143B41"/>
    <w:rsid w:val="00143F4A"/>
    <w:rsid w:val="00144545"/>
    <w:rsid w:val="0014462B"/>
    <w:rsid w:val="00144C4F"/>
    <w:rsid w:val="00144DAA"/>
    <w:rsid w:val="0014577B"/>
    <w:rsid w:val="001459B6"/>
    <w:rsid w:val="00145BD6"/>
    <w:rsid w:val="001463EC"/>
    <w:rsid w:val="001467B0"/>
    <w:rsid w:val="001468C6"/>
    <w:rsid w:val="001468F2"/>
    <w:rsid w:val="00146924"/>
    <w:rsid w:val="001469AF"/>
    <w:rsid w:val="00146ACA"/>
    <w:rsid w:val="00146D04"/>
    <w:rsid w:val="00147934"/>
    <w:rsid w:val="00147EAD"/>
    <w:rsid w:val="00150090"/>
    <w:rsid w:val="00150E32"/>
    <w:rsid w:val="00151742"/>
    <w:rsid w:val="0015199E"/>
    <w:rsid w:val="001520F3"/>
    <w:rsid w:val="00152780"/>
    <w:rsid w:val="00153316"/>
    <w:rsid w:val="0015419A"/>
    <w:rsid w:val="0015430F"/>
    <w:rsid w:val="001545D6"/>
    <w:rsid w:val="00154E47"/>
    <w:rsid w:val="00154EE3"/>
    <w:rsid w:val="00155144"/>
    <w:rsid w:val="00155319"/>
    <w:rsid w:val="00155472"/>
    <w:rsid w:val="001555E0"/>
    <w:rsid w:val="001558F1"/>
    <w:rsid w:val="00155B6D"/>
    <w:rsid w:val="00155D0A"/>
    <w:rsid w:val="00155EE2"/>
    <w:rsid w:val="0015661F"/>
    <w:rsid w:val="00156641"/>
    <w:rsid w:val="001567CD"/>
    <w:rsid w:val="001569BA"/>
    <w:rsid w:val="00156EFF"/>
    <w:rsid w:val="00156F36"/>
    <w:rsid w:val="001577A2"/>
    <w:rsid w:val="00157C44"/>
    <w:rsid w:val="00157DE8"/>
    <w:rsid w:val="00157E61"/>
    <w:rsid w:val="00160011"/>
    <w:rsid w:val="00160023"/>
    <w:rsid w:val="00160061"/>
    <w:rsid w:val="00160698"/>
    <w:rsid w:val="001606DB"/>
    <w:rsid w:val="00160842"/>
    <w:rsid w:val="00160A2E"/>
    <w:rsid w:val="00160CF7"/>
    <w:rsid w:val="00161146"/>
    <w:rsid w:val="001611A7"/>
    <w:rsid w:val="00161F76"/>
    <w:rsid w:val="001633DA"/>
    <w:rsid w:val="001637CC"/>
    <w:rsid w:val="001639C2"/>
    <w:rsid w:val="00163DDF"/>
    <w:rsid w:val="00163E43"/>
    <w:rsid w:val="001646C4"/>
    <w:rsid w:val="00164977"/>
    <w:rsid w:val="00164C6B"/>
    <w:rsid w:val="00164D68"/>
    <w:rsid w:val="00164E25"/>
    <w:rsid w:val="00164F52"/>
    <w:rsid w:val="0016500C"/>
    <w:rsid w:val="001650FE"/>
    <w:rsid w:val="00165D87"/>
    <w:rsid w:val="00165EAD"/>
    <w:rsid w:val="00166877"/>
    <w:rsid w:val="00166FDC"/>
    <w:rsid w:val="00167617"/>
    <w:rsid w:val="00167DC8"/>
    <w:rsid w:val="00170321"/>
    <w:rsid w:val="001705BE"/>
    <w:rsid w:val="00170835"/>
    <w:rsid w:val="0017098E"/>
    <w:rsid w:val="00171335"/>
    <w:rsid w:val="001714B6"/>
    <w:rsid w:val="00171FA8"/>
    <w:rsid w:val="00172068"/>
    <w:rsid w:val="001727E7"/>
    <w:rsid w:val="00173386"/>
    <w:rsid w:val="0017386A"/>
    <w:rsid w:val="001738A9"/>
    <w:rsid w:val="00173968"/>
    <w:rsid w:val="00173D3A"/>
    <w:rsid w:val="0017427D"/>
    <w:rsid w:val="0017486E"/>
    <w:rsid w:val="00174A9E"/>
    <w:rsid w:val="0017516C"/>
    <w:rsid w:val="001751AD"/>
    <w:rsid w:val="0017556A"/>
    <w:rsid w:val="001757B8"/>
    <w:rsid w:val="00176324"/>
    <w:rsid w:val="00176991"/>
    <w:rsid w:val="00176A0F"/>
    <w:rsid w:val="0017709E"/>
    <w:rsid w:val="0017722C"/>
    <w:rsid w:val="00177664"/>
    <w:rsid w:val="0017771E"/>
    <w:rsid w:val="00177836"/>
    <w:rsid w:val="001778CD"/>
    <w:rsid w:val="00177A61"/>
    <w:rsid w:val="00177D42"/>
    <w:rsid w:val="0018013F"/>
    <w:rsid w:val="00180335"/>
    <w:rsid w:val="00180AFF"/>
    <w:rsid w:val="001817E7"/>
    <w:rsid w:val="00181C36"/>
    <w:rsid w:val="00182034"/>
    <w:rsid w:val="00182310"/>
    <w:rsid w:val="00182462"/>
    <w:rsid w:val="00182AFD"/>
    <w:rsid w:val="00182CAE"/>
    <w:rsid w:val="00182F6F"/>
    <w:rsid w:val="00183427"/>
    <w:rsid w:val="00184D75"/>
    <w:rsid w:val="0018589E"/>
    <w:rsid w:val="00185B9F"/>
    <w:rsid w:val="001861D1"/>
    <w:rsid w:val="0018673F"/>
    <w:rsid w:val="0018728D"/>
    <w:rsid w:val="001878DE"/>
    <w:rsid w:val="00190397"/>
    <w:rsid w:val="00190405"/>
    <w:rsid w:val="00190785"/>
    <w:rsid w:val="00190D02"/>
    <w:rsid w:val="00190F33"/>
    <w:rsid w:val="0019127C"/>
    <w:rsid w:val="00191285"/>
    <w:rsid w:val="00191311"/>
    <w:rsid w:val="001913DF"/>
    <w:rsid w:val="00191492"/>
    <w:rsid w:val="00191DC1"/>
    <w:rsid w:val="00192870"/>
    <w:rsid w:val="0019287E"/>
    <w:rsid w:val="001930F3"/>
    <w:rsid w:val="00193939"/>
    <w:rsid w:val="00193CB3"/>
    <w:rsid w:val="00193F15"/>
    <w:rsid w:val="0019438D"/>
    <w:rsid w:val="00194B47"/>
    <w:rsid w:val="00194EAD"/>
    <w:rsid w:val="001953E5"/>
    <w:rsid w:val="00195400"/>
    <w:rsid w:val="001958A6"/>
    <w:rsid w:val="00195F6D"/>
    <w:rsid w:val="00196044"/>
    <w:rsid w:val="001960E5"/>
    <w:rsid w:val="00196147"/>
    <w:rsid w:val="001966F5"/>
    <w:rsid w:val="00196972"/>
    <w:rsid w:val="00196B4B"/>
    <w:rsid w:val="00196C5B"/>
    <w:rsid w:val="00197282"/>
    <w:rsid w:val="001A03F7"/>
    <w:rsid w:val="001A0631"/>
    <w:rsid w:val="001A06D9"/>
    <w:rsid w:val="001A09E4"/>
    <w:rsid w:val="001A0CAC"/>
    <w:rsid w:val="001A0FD0"/>
    <w:rsid w:val="001A1ABF"/>
    <w:rsid w:val="001A1B2C"/>
    <w:rsid w:val="001A25CD"/>
    <w:rsid w:val="001A2639"/>
    <w:rsid w:val="001A2719"/>
    <w:rsid w:val="001A27CF"/>
    <w:rsid w:val="001A2890"/>
    <w:rsid w:val="001A2BFD"/>
    <w:rsid w:val="001A37B6"/>
    <w:rsid w:val="001A388D"/>
    <w:rsid w:val="001A45AD"/>
    <w:rsid w:val="001A4BB3"/>
    <w:rsid w:val="001A5B6C"/>
    <w:rsid w:val="001A5E4B"/>
    <w:rsid w:val="001A6380"/>
    <w:rsid w:val="001A67F5"/>
    <w:rsid w:val="001A6C6C"/>
    <w:rsid w:val="001A6FAD"/>
    <w:rsid w:val="001A729F"/>
    <w:rsid w:val="001A75D8"/>
    <w:rsid w:val="001A7844"/>
    <w:rsid w:val="001A7895"/>
    <w:rsid w:val="001A7B4D"/>
    <w:rsid w:val="001B074F"/>
    <w:rsid w:val="001B0CAD"/>
    <w:rsid w:val="001B111A"/>
    <w:rsid w:val="001B15CC"/>
    <w:rsid w:val="001B1E01"/>
    <w:rsid w:val="001B1FF4"/>
    <w:rsid w:val="001B22E1"/>
    <w:rsid w:val="001B23B4"/>
    <w:rsid w:val="001B26CF"/>
    <w:rsid w:val="001B2BA5"/>
    <w:rsid w:val="001B3038"/>
    <w:rsid w:val="001B3172"/>
    <w:rsid w:val="001B34E9"/>
    <w:rsid w:val="001B416B"/>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9AA"/>
    <w:rsid w:val="001B7C2F"/>
    <w:rsid w:val="001B7C46"/>
    <w:rsid w:val="001B7DF0"/>
    <w:rsid w:val="001B7E94"/>
    <w:rsid w:val="001C031B"/>
    <w:rsid w:val="001C0940"/>
    <w:rsid w:val="001C135E"/>
    <w:rsid w:val="001C148A"/>
    <w:rsid w:val="001C17E9"/>
    <w:rsid w:val="001C18BE"/>
    <w:rsid w:val="001C1DC8"/>
    <w:rsid w:val="001C1F92"/>
    <w:rsid w:val="001C2236"/>
    <w:rsid w:val="001C293D"/>
    <w:rsid w:val="001C2A5B"/>
    <w:rsid w:val="001C2CAD"/>
    <w:rsid w:val="001C2EE4"/>
    <w:rsid w:val="001C3046"/>
    <w:rsid w:val="001C3ACE"/>
    <w:rsid w:val="001C3D0B"/>
    <w:rsid w:val="001C3DB7"/>
    <w:rsid w:val="001C4500"/>
    <w:rsid w:val="001C4953"/>
    <w:rsid w:val="001C4C26"/>
    <w:rsid w:val="001C4EA1"/>
    <w:rsid w:val="001C535E"/>
    <w:rsid w:val="001C5D0A"/>
    <w:rsid w:val="001C6141"/>
    <w:rsid w:val="001C6951"/>
    <w:rsid w:val="001C6BB0"/>
    <w:rsid w:val="001C7721"/>
    <w:rsid w:val="001C797C"/>
    <w:rsid w:val="001C7AF0"/>
    <w:rsid w:val="001C7E0C"/>
    <w:rsid w:val="001D049E"/>
    <w:rsid w:val="001D09A3"/>
    <w:rsid w:val="001D22E5"/>
    <w:rsid w:val="001D2AD9"/>
    <w:rsid w:val="001D2E0E"/>
    <w:rsid w:val="001D2EA1"/>
    <w:rsid w:val="001D391F"/>
    <w:rsid w:val="001D3C3D"/>
    <w:rsid w:val="001D3DEB"/>
    <w:rsid w:val="001D4096"/>
    <w:rsid w:val="001D4865"/>
    <w:rsid w:val="001D4E9B"/>
    <w:rsid w:val="001D559C"/>
    <w:rsid w:val="001D6930"/>
    <w:rsid w:val="001D69E0"/>
    <w:rsid w:val="001D6A97"/>
    <w:rsid w:val="001D6C3D"/>
    <w:rsid w:val="001D6E1A"/>
    <w:rsid w:val="001D6EA3"/>
    <w:rsid w:val="001D73D5"/>
    <w:rsid w:val="001D7745"/>
    <w:rsid w:val="001E014D"/>
    <w:rsid w:val="001E0354"/>
    <w:rsid w:val="001E03FE"/>
    <w:rsid w:val="001E0479"/>
    <w:rsid w:val="001E065A"/>
    <w:rsid w:val="001E0910"/>
    <w:rsid w:val="001E0D4E"/>
    <w:rsid w:val="001E1160"/>
    <w:rsid w:val="001E11BE"/>
    <w:rsid w:val="001E12E2"/>
    <w:rsid w:val="001E14A2"/>
    <w:rsid w:val="001E155C"/>
    <w:rsid w:val="001E1A52"/>
    <w:rsid w:val="001E1DA3"/>
    <w:rsid w:val="001E2164"/>
    <w:rsid w:val="001E3320"/>
    <w:rsid w:val="001E3D44"/>
    <w:rsid w:val="001E3ED4"/>
    <w:rsid w:val="001E5634"/>
    <w:rsid w:val="001E5BBB"/>
    <w:rsid w:val="001E603D"/>
    <w:rsid w:val="001E6095"/>
    <w:rsid w:val="001E65E6"/>
    <w:rsid w:val="001E68C5"/>
    <w:rsid w:val="001E6E7B"/>
    <w:rsid w:val="001E7455"/>
    <w:rsid w:val="001E7465"/>
    <w:rsid w:val="001E7791"/>
    <w:rsid w:val="001E798B"/>
    <w:rsid w:val="001E7BDD"/>
    <w:rsid w:val="001E7C03"/>
    <w:rsid w:val="001F00AD"/>
    <w:rsid w:val="001F0432"/>
    <w:rsid w:val="001F061D"/>
    <w:rsid w:val="001F09F2"/>
    <w:rsid w:val="001F0AD8"/>
    <w:rsid w:val="001F0E0E"/>
    <w:rsid w:val="001F0FBD"/>
    <w:rsid w:val="001F0FC5"/>
    <w:rsid w:val="001F12B2"/>
    <w:rsid w:val="001F1C5A"/>
    <w:rsid w:val="001F206A"/>
    <w:rsid w:val="001F2484"/>
    <w:rsid w:val="001F262F"/>
    <w:rsid w:val="001F26F9"/>
    <w:rsid w:val="001F27C7"/>
    <w:rsid w:val="001F2EF2"/>
    <w:rsid w:val="001F3893"/>
    <w:rsid w:val="001F3A28"/>
    <w:rsid w:val="001F3AB2"/>
    <w:rsid w:val="001F3CAB"/>
    <w:rsid w:val="001F4573"/>
    <w:rsid w:val="001F4889"/>
    <w:rsid w:val="001F4DDF"/>
    <w:rsid w:val="001F5178"/>
    <w:rsid w:val="001F525A"/>
    <w:rsid w:val="001F5592"/>
    <w:rsid w:val="001F57D9"/>
    <w:rsid w:val="001F5B49"/>
    <w:rsid w:val="001F5C43"/>
    <w:rsid w:val="001F5F42"/>
    <w:rsid w:val="001F6399"/>
    <w:rsid w:val="001F63C6"/>
    <w:rsid w:val="001F6FAA"/>
    <w:rsid w:val="001F737C"/>
    <w:rsid w:val="001F73CB"/>
    <w:rsid w:val="001F7856"/>
    <w:rsid w:val="001F7896"/>
    <w:rsid w:val="0020044B"/>
    <w:rsid w:val="002004F7"/>
    <w:rsid w:val="0020091D"/>
    <w:rsid w:val="00200B0E"/>
    <w:rsid w:val="00200C78"/>
    <w:rsid w:val="00200DE2"/>
    <w:rsid w:val="00200E22"/>
    <w:rsid w:val="00200EFE"/>
    <w:rsid w:val="002011D7"/>
    <w:rsid w:val="002015C1"/>
    <w:rsid w:val="002015F2"/>
    <w:rsid w:val="002017A6"/>
    <w:rsid w:val="0020182E"/>
    <w:rsid w:val="00201E27"/>
    <w:rsid w:val="002022B2"/>
    <w:rsid w:val="00202384"/>
    <w:rsid w:val="00202B5D"/>
    <w:rsid w:val="00202BDF"/>
    <w:rsid w:val="00202FE3"/>
    <w:rsid w:val="0020322D"/>
    <w:rsid w:val="002032BD"/>
    <w:rsid w:val="002035BB"/>
    <w:rsid w:val="00203AAD"/>
    <w:rsid w:val="00203E2F"/>
    <w:rsid w:val="00203F2D"/>
    <w:rsid w:val="00203F81"/>
    <w:rsid w:val="002040CF"/>
    <w:rsid w:val="002042F4"/>
    <w:rsid w:val="00204797"/>
    <w:rsid w:val="00204948"/>
    <w:rsid w:val="00204BCA"/>
    <w:rsid w:val="00204E5D"/>
    <w:rsid w:val="00205221"/>
    <w:rsid w:val="00205552"/>
    <w:rsid w:val="0020598B"/>
    <w:rsid w:val="00206587"/>
    <w:rsid w:val="00206A8B"/>
    <w:rsid w:val="00206AC7"/>
    <w:rsid w:val="00207B84"/>
    <w:rsid w:val="002103E5"/>
    <w:rsid w:val="002109A7"/>
    <w:rsid w:val="00210B62"/>
    <w:rsid w:val="0021161B"/>
    <w:rsid w:val="00211E9D"/>
    <w:rsid w:val="00211F87"/>
    <w:rsid w:val="00212224"/>
    <w:rsid w:val="002129EF"/>
    <w:rsid w:val="0021349C"/>
    <w:rsid w:val="0021352E"/>
    <w:rsid w:val="00213604"/>
    <w:rsid w:val="00213694"/>
    <w:rsid w:val="00213A95"/>
    <w:rsid w:val="00213C4E"/>
    <w:rsid w:val="00214595"/>
    <w:rsid w:val="00214ABD"/>
    <w:rsid w:val="00214BD2"/>
    <w:rsid w:val="00214D29"/>
    <w:rsid w:val="00214E4A"/>
    <w:rsid w:val="002152E7"/>
    <w:rsid w:val="00215757"/>
    <w:rsid w:val="00215AA6"/>
    <w:rsid w:val="00215CAF"/>
    <w:rsid w:val="00215DD8"/>
    <w:rsid w:val="0021631D"/>
    <w:rsid w:val="002165E0"/>
    <w:rsid w:val="00216792"/>
    <w:rsid w:val="0021696D"/>
    <w:rsid w:val="00217336"/>
    <w:rsid w:val="0021737E"/>
    <w:rsid w:val="00217C4A"/>
    <w:rsid w:val="00217D9E"/>
    <w:rsid w:val="00217DFD"/>
    <w:rsid w:val="002202ED"/>
    <w:rsid w:val="002204FC"/>
    <w:rsid w:val="00220558"/>
    <w:rsid w:val="0022093F"/>
    <w:rsid w:val="00220EDF"/>
    <w:rsid w:val="002211DB"/>
    <w:rsid w:val="00221390"/>
    <w:rsid w:val="0022185E"/>
    <w:rsid w:val="00221E5A"/>
    <w:rsid w:val="00222140"/>
    <w:rsid w:val="002221E3"/>
    <w:rsid w:val="002226D7"/>
    <w:rsid w:val="00222879"/>
    <w:rsid w:val="00223852"/>
    <w:rsid w:val="00223940"/>
    <w:rsid w:val="00224451"/>
    <w:rsid w:val="002244EB"/>
    <w:rsid w:val="00225A4A"/>
    <w:rsid w:val="00225BB0"/>
    <w:rsid w:val="00226A1A"/>
    <w:rsid w:val="00226D92"/>
    <w:rsid w:val="0022753A"/>
    <w:rsid w:val="0022784E"/>
    <w:rsid w:val="00227A67"/>
    <w:rsid w:val="00227B0C"/>
    <w:rsid w:val="00227CEB"/>
    <w:rsid w:val="00227EA0"/>
    <w:rsid w:val="00227F49"/>
    <w:rsid w:val="0023047B"/>
    <w:rsid w:val="0023064E"/>
    <w:rsid w:val="0023072F"/>
    <w:rsid w:val="0023073A"/>
    <w:rsid w:val="0023091A"/>
    <w:rsid w:val="00230A96"/>
    <w:rsid w:val="00230F34"/>
    <w:rsid w:val="002310E7"/>
    <w:rsid w:val="00231771"/>
    <w:rsid w:val="00231F63"/>
    <w:rsid w:val="002321D2"/>
    <w:rsid w:val="00232273"/>
    <w:rsid w:val="002325D0"/>
    <w:rsid w:val="00232977"/>
    <w:rsid w:val="00232D6F"/>
    <w:rsid w:val="0023328C"/>
    <w:rsid w:val="002334F9"/>
    <w:rsid w:val="00233538"/>
    <w:rsid w:val="00233CC7"/>
    <w:rsid w:val="00233FF0"/>
    <w:rsid w:val="00234361"/>
    <w:rsid w:val="00234569"/>
    <w:rsid w:val="00235884"/>
    <w:rsid w:val="00236081"/>
    <w:rsid w:val="0023619B"/>
    <w:rsid w:val="002366E4"/>
    <w:rsid w:val="00236D8B"/>
    <w:rsid w:val="00236ED0"/>
    <w:rsid w:val="00236F85"/>
    <w:rsid w:val="00237369"/>
    <w:rsid w:val="002373A2"/>
    <w:rsid w:val="00237599"/>
    <w:rsid w:val="0023792E"/>
    <w:rsid w:val="00237A1C"/>
    <w:rsid w:val="002401C4"/>
    <w:rsid w:val="00240471"/>
    <w:rsid w:val="00242152"/>
    <w:rsid w:val="0024217B"/>
    <w:rsid w:val="002422A9"/>
    <w:rsid w:val="00242F49"/>
    <w:rsid w:val="00242F80"/>
    <w:rsid w:val="0024324F"/>
    <w:rsid w:val="002436C1"/>
    <w:rsid w:val="002437DE"/>
    <w:rsid w:val="00243B69"/>
    <w:rsid w:val="00243BEC"/>
    <w:rsid w:val="0024415A"/>
    <w:rsid w:val="002450CD"/>
    <w:rsid w:val="002455EA"/>
    <w:rsid w:val="00245669"/>
    <w:rsid w:val="00245BE4"/>
    <w:rsid w:val="002460FB"/>
    <w:rsid w:val="00247220"/>
    <w:rsid w:val="0024728D"/>
    <w:rsid w:val="00247C23"/>
    <w:rsid w:val="00250B87"/>
    <w:rsid w:val="00250EF6"/>
    <w:rsid w:val="0025135D"/>
    <w:rsid w:val="002513D1"/>
    <w:rsid w:val="00251D9C"/>
    <w:rsid w:val="0025205A"/>
    <w:rsid w:val="0025207F"/>
    <w:rsid w:val="00252362"/>
    <w:rsid w:val="00253F2E"/>
    <w:rsid w:val="0025411D"/>
    <w:rsid w:val="002542B0"/>
    <w:rsid w:val="00254A2E"/>
    <w:rsid w:val="00255325"/>
    <w:rsid w:val="00255352"/>
    <w:rsid w:val="00255AD9"/>
    <w:rsid w:val="00255BDA"/>
    <w:rsid w:val="002562DB"/>
    <w:rsid w:val="00256D5F"/>
    <w:rsid w:val="00256E4B"/>
    <w:rsid w:val="00257085"/>
    <w:rsid w:val="00257F09"/>
    <w:rsid w:val="00260022"/>
    <w:rsid w:val="002600A5"/>
    <w:rsid w:val="002606E7"/>
    <w:rsid w:val="0026094A"/>
    <w:rsid w:val="0026124E"/>
    <w:rsid w:val="00261919"/>
    <w:rsid w:val="00261A24"/>
    <w:rsid w:val="00261DF2"/>
    <w:rsid w:val="00262EBB"/>
    <w:rsid w:val="00262EFF"/>
    <w:rsid w:val="0026300C"/>
    <w:rsid w:val="002635F6"/>
    <w:rsid w:val="00264633"/>
    <w:rsid w:val="00264AD3"/>
    <w:rsid w:val="00264CB8"/>
    <w:rsid w:val="00264F4B"/>
    <w:rsid w:val="00265E3F"/>
    <w:rsid w:val="0026611F"/>
    <w:rsid w:val="002665DE"/>
    <w:rsid w:val="002666DB"/>
    <w:rsid w:val="00266A7E"/>
    <w:rsid w:val="00266C46"/>
    <w:rsid w:val="002671E8"/>
    <w:rsid w:val="00267369"/>
    <w:rsid w:val="00267E3F"/>
    <w:rsid w:val="00270042"/>
    <w:rsid w:val="00270597"/>
    <w:rsid w:val="00270602"/>
    <w:rsid w:val="002709BD"/>
    <w:rsid w:val="00270F58"/>
    <w:rsid w:val="00270FAD"/>
    <w:rsid w:val="002713C0"/>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85F"/>
    <w:rsid w:val="00276A31"/>
    <w:rsid w:val="0027735D"/>
    <w:rsid w:val="00277B20"/>
    <w:rsid w:val="00277BC3"/>
    <w:rsid w:val="0028039A"/>
    <w:rsid w:val="00281016"/>
    <w:rsid w:val="002813C7"/>
    <w:rsid w:val="0028164C"/>
    <w:rsid w:val="00281DBD"/>
    <w:rsid w:val="002820A0"/>
    <w:rsid w:val="00282575"/>
    <w:rsid w:val="002829DB"/>
    <w:rsid w:val="00282F5B"/>
    <w:rsid w:val="00283057"/>
    <w:rsid w:val="00283300"/>
    <w:rsid w:val="00283388"/>
    <w:rsid w:val="002833B4"/>
    <w:rsid w:val="00283B9C"/>
    <w:rsid w:val="00283EAB"/>
    <w:rsid w:val="00283FC1"/>
    <w:rsid w:val="002845C9"/>
    <w:rsid w:val="00284CA2"/>
    <w:rsid w:val="00284D9F"/>
    <w:rsid w:val="00284F63"/>
    <w:rsid w:val="002850CA"/>
    <w:rsid w:val="002851AA"/>
    <w:rsid w:val="002855C3"/>
    <w:rsid w:val="002855CF"/>
    <w:rsid w:val="00285B27"/>
    <w:rsid w:val="00286BB6"/>
    <w:rsid w:val="002877C8"/>
    <w:rsid w:val="002900F8"/>
    <w:rsid w:val="00291208"/>
    <w:rsid w:val="00291B4B"/>
    <w:rsid w:val="00291DD0"/>
    <w:rsid w:val="00291E53"/>
    <w:rsid w:val="00291EE3"/>
    <w:rsid w:val="00292021"/>
    <w:rsid w:val="002921C7"/>
    <w:rsid w:val="002927FF"/>
    <w:rsid w:val="0029284A"/>
    <w:rsid w:val="0029285F"/>
    <w:rsid w:val="00292C24"/>
    <w:rsid w:val="00293D85"/>
    <w:rsid w:val="00294745"/>
    <w:rsid w:val="00294A3E"/>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D4B"/>
    <w:rsid w:val="00297F55"/>
    <w:rsid w:val="002A0153"/>
    <w:rsid w:val="002A0346"/>
    <w:rsid w:val="002A0515"/>
    <w:rsid w:val="002A0F3C"/>
    <w:rsid w:val="002A1427"/>
    <w:rsid w:val="002A1A48"/>
    <w:rsid w:val="002A1C11"/>
    <w:rsid w:val="002A1C56"/>
    <w:rsid w:val="002A229C"/>
    <w:rsid w:val="002A23EB"/>
    <w:rsid w:val="002A291C"/>
    <w:rsid w:val="002A29B7"/>
    <w:rsid w:val="002A2CD8"/>
    <w:rsid w:val="002A2EB1"/>
    <w:rsid w:val="002A3240"/>
    <w:rsid w:val="002A3A6D"/>
    <w:rsid w:val="002A3F66"/>
    <w:rsid w:val="002A409D"/>
    <w:rsid w:val="002A4195"/>
    <w:rsid w:val="002A4383"/>
    <w:rsid w:val="002A4CD3"/>
    <w:rsid w:val="002A590B"/>
    <w:rsid w:val="002A5D72"/>
    <w:rsid w:val="002A5FC3"/>
    <w:rsid w:val="002A5FEA"/>
    <w:rsid w:val="002A6354"/>
    <w:rsid w:val="002A6641"/>
    <w:rsid w:val="002A730E"/>
    <w:rsid w:val="002A7C26"/>
    <w:rsid w:val="002A7CF1"/>
    <w:rsid w:val="002B0122"/>
    <w:rsid w:val="002B0276"/>
    <w:rsid w:val="002B0819"/>
    <w:rsid w:val="002B08AA"/>
    <w:rsid w:val="002B093F"/>
    <w:rsid w:val="002B0C52"/>
    <w:rsid w:val="002B0E44"/>
    <w:rsid w:val="002B0EF7"/>
    <w:rsid w:val="002B1226"/>
    <w:rsid w:val="002B1465"/>
    <w:rsid w:val="002B1CE6"/>
    <w:rsid w:val="002B1D31"/>
    <w:rsid w:val="002B2072"/>
    <w:rsid w:val="002B2111"/>
    <w:rsid w:val="002B32B7"/>
    <w:rsid w:val="002B404A"/>
    <w:rsid w:val="002B435A"/>
    <w:rsid w:val="002B46EF"/>
    <w:rsid w:val="002B4856"/>
    <w:rsid w:val="002B50AE"/>
    <w:rsid w:val="002B601D"/>
    <w:rsid w:val="002B652F"/>
    <w:rsid w:val="002B668A"/>
    <w:rsid w:val="002B6878"/>
    <w:rsid w:val="002B6BE4"/>
    <w:rsid w:val="002B6EBC"/>
    <w:rsid w:val="002B6F45"/>
    <w:rsid w:val="002B74B5"/>
    <w:rsid w:val="002B7700"/>
    <w:rsid w:val="002B79A4"/>
    <w:rsid w:val="002B7D10"/>
    <w:rsid w:val="002C04D4"/>
    <w:rsid w:val="002C1334"/>
    <w:rsid w:val="002C151D"/>
    <w:rsid w:val="002C1559"/>
    <w:rsid w:val="002C1572"/>
    <w:rsid w:val="002C159B"/>
    <w:rsid w:val="002C22D0"/>
    <w:rsid w:val="002C2BC0"/>
    <w:rsid w:val="002C2E9C"/>
    <w:rsid w:val="002C2F29"/>
    <w:rsid w:val="002C3060"/>
    <w:rsid w:val="002C355C"/>
    <w:rsid w:val="002C3A97"/>
    <w:rsid w:val="002C3AB9"/>
    <w:rsid w:val="002C3DFA"/>
    <w:rsid w:val="002C41D5"/>
    <w:rsid w:val="002C4352"/>
    <w:rsid w:val="002C43AD"/>
    <w:rsid w:val="002C47CF"/>
    <w:rsid w:val="002C49FF"/>
    <w:rsid w:val="002C4BD3"/>
    <w:rsid w:val="002C51BC"/>
    <w:rsid w:val="002C537C"/>
    <w:rsid w:val="002C5791"/>
    <w:rsid w:val="002C58B1"/>
    <w:rsid w:val="002C5D6F"/>
    <w:rsid w:val="002C60D1"/>
    <w:rsid w:val="002C6DD9"/>
    <w:rsid w:val="002C6E92"/>
    <w:rsid w:val="002C7212"/>
    <w:rsid w:val="002C79BB"/>
    <w:rsid w:val="002D012B"/>
    <w:rsid w:val="002D04C1"/>
    <w:rsid w:val="002D074D"/>
    <w:rsid w:val="002D0D0E"/>
    <w:rsid w:val="002D0F55"/>
    <w:rsid w:val="002D0F97"/>
    <w:rsid w:val="002D1690"/>
    <w:rsid w:val="002D17EA"/>
    <w:rsid w:val="002D1943"/>
    <w:rsid w:val="002D1A73"/>
    <w:rsid w:val="002D1B88"/>
    <w:rsid w:val="002D2871"/>
    <w:rsid w:val="002D2937"/>
    <w:rsid w:val="002D2F39"/>
    <w:rsid w:val="002D3151"/>
    <w:rsid w:val="002D35FE"/>
    <w:rsid w:val="002D3700"/>
    <w:rsid w:val="002D3C97"/>
    <w:rsid w:val="002D3F74"/>
    <w:rsid w:val="002D41CF"/>
    <w:rsid w:val="002D4F5E"/>
    <w:rsid w:val="002D581C"/>
    <w:rsid w:val="002D6445"/>
    <w:rsid w:val="002D65ED"/>
    <w:rsid w:val="002D6633"/>
    <w:rsid w:val="002D67F9"/>
    <w:rsid w:val="002D694D"/>
    <w:rsid w:val="002D6FBA"/>
    <w:rsid w:val="002D704B"/>
    <w:rsid w:val="002D7650"/>
    <w:rsid w:val="002D7DB7"/>
    <w:rsid w:val="002D7DEC"/>
    <w:rsid w:val="002E02FF"/>
    <w:rsid w:val="002E0427"/>
    <w:rsid w:val="002E0509"/>
    <w:rsid w:val="002E0C5D"/>
    <w:rsid w:val="002E1545"/>
    <w:rsid w:val="002E1E46"/>
    <w:rsid w:val="002E2344"/>
    <w:rsid w:val="002E28A5"/>
    <w:rsid w:val="002E2BA7"/>
    <w:rsid w:val="002E35A7"/>
    <w:rsid w:val="002E3857"/>
    <w:rsid w:val="002E3B09"/>
    <w:rsid w:val="002E3F29"/>
    <w:rsid w:val="002E46F8"/>
    <w:rsid w:val="002E4952"/>
    <w:rsid w:val="002E49BD"/>
    <w:rsid w:val="002E4A4D"/>
    <w:rsid w:val="002E51A2"/>
    <w:rsid w:val="002E5CDA"/>
    <w:rsid w:val="002E60C7"/>
    <w:rsid w:val="002E6182"/>
    <w:rsid w:val="002E622D"/>
    <w:rsid w:val="002E6641"/>
    <w:rsid w:val="002E66A6"/>
    <w:rsid w:val="002E6A02"/>
    <w:rsid w:val="002E6B49"/>
    <w:rsid w:val="002E7189"/>
    <w:rsid w:val="002E7600"/>
    <w:rsid w:val="002E7815"/>
    <w:rsid w:val="002F0DC1"/>
    <w:rsid w:val="002F13B1"/>
    <w:rsid w:val="002F1556"/>
    <w:rsid w:val="002F1661"/>
    <w:rsid w:val="002F1700"/>
    <w:rsid w:val="002F184D"/>
    <w:rsid w:val="002F1CA7"/>
    <w:rsid w:val="002F22D6"/>
    <w:rsid w:val="002F2459"/>
    <w:rsid w:val="002F2F23"/>
    <w:rsid w:val="002F2F49"/>
    <w:rsid w:val="002F3188"/>
    <w:rsid w:val="002F3B14"/>
    <w:rsid w:val="002F404C"/>
    <w:rsid w:val="002F414F"/>
    <w:rsid w:val="002F4534"/>
    <w:rsid w:val="002F4AD0"/>
    <w:rsid w:val="002F4C9D"/>
    <w:rsid w:val="002F4F33"/>
    <w:rsid w:val="002F594E"/>
    <w:rsid w:val="002F59F8"/>
    <w:rsid w:val="002F5F22"/>
    <w:rsid w:val="002F60BB"/>
    <w:rsid w:val="002F6AD8"/>
    <w:rsid w:val="002F6BB4"/>
    <w:rsid w:val="002F6F47"/>
    <w:rsid w:val="002F7113"/>
    <w:rsid w:val="002F728D"/>
    <w:rsid w:val="002F7760"/>
    <w:rsid w:val="002F7C05"/>
    <w:rsid w:val="00300EF3"/>
    <w:rsid w:val="00301345"/>
    <w:rsid w:val="00301677"/>
    <w:rsid w:val="003017D1"/>
    <w:rsid w:val="003019C7"/>
    <w:rsid w:val="00301C50"/>
    <w:rsid w:val="00301C76"/>
    <w:rsid w:val="0030204F"/>
    <w:rsid w:val="003023FB"/>
    <w:rsid w:val="003024A3"/>
    <w:rsid w:val="003026D6"/>
    <w:rsid w:val="00302F90"/>
    <w:rsid w:val="003033DF"/>
    <w:rsid w:val="00303714"/>
    <w:rsid w:val="00303A91"/>
    <w:rsid w:val="00303AC6"/>
    <w:rsid w:val="00303B26"/>
    <w:rsid w:val="003045D2"/>
    <w:rsid w:val="00305451"/>
    <w:rsid w:val="003056BC"/>
    <w:rsid w:val="00305D84"/>
    <w:rsid w:val="003060C9"/>
    <w:rsid w:val="00306111"/>
    <w:rsid w:val="003061EA"/>
    <w:rsid w:val="003068C2"/>
    <w:rsid w:val="0030690C"/>
    <w:rsid w:val="003069B9"/>
    <w:rsid w:val="00306B9C"/>
    <w:rsid w:val="00306D9E"/>
    <w:rsid w:val="00306DD4"/>
    <w:rsid w:val="00306E78"/>
    <w:rsid w:val="00306ED4"/>
    <w:rsid w:val="00307FCB"/>
    <w:rsid w:val="003104F3"/>
    <w:rsid w:val="00310B41"/>
    <w:rsid w:val="00311181"/>
    <w:rsid w:val="00311A20"/>
    <w:rsid w:val="0031202A"/>
    <w:rsid w:val="00312034"/>
    <w:rsid w:val="00312401"/>
    <w:rsid w:val="00312535"/>
    <w:rsid w:val="00312B1A"/>
    <w:rsid w:val="00312C58"/>
    <w:rsid w:val="00312FA3"/>
    <w:rsid w:val="00313643"/>
    <w:rsid w:val="00313C0B"/>
    <w:rsid w:val="00314096"/>
    <w:rsid w:val="003143FB"/>
    <w:rsid w:val="0031476B"/>
    <w:rsid w:val="0031483F"/>
    <w:rsid w:val="0031491B"/>
    <w:rsid w:val="003159D5"/>
    <w:rsid w:val="00315CA4"/>
    <w:rsid w:val="0031626A"/>
    <w:rsid w:val="003164EA"/>
    <w:rsid w:val="003173F0"/>
    <w:rsid w:val="00317447"/>
    <w:rsid w:val="00317C80"/>
    <w:rsid w:val="00320AB2"/>
    <w:rsid w:val="00320E74"/>
    <w:rsid w:val="00320FED"/>
    <w:rsid w:val="00321147"/>
    <w:rsid w:val="00321BA0"/>
    <w:rsid w:val="00321EEF"/>
    <w:rsid w:val="00321F9C"/>
    <w:rsid w:val="003226F9"/>
    <w:rsid w:val="00322815"/>
    <w:rsid w:val="003231EF"/>
    <w:rsid w:val="00323872"/>
    <w:rsid w:val="00323B38"/>
    <w:rsid w:val="00323C1C"/>
    <w:rsid w:val="00323D74"/>
    <w:rsid w:val="0032416D"/>
    <w:rsid w:val="00324755"/>
    <w:rsid w:val="003247AF"/>
    <w:rsid w:val="003249F0"/>
    <w:rsid w:val="00324D19"/>
    <w:rsid w:val="0032501D"/>
    <w:rsid w:val="003253BE"/>
    <w:rsid w:val="00325406"/>
    <w:rsid w:val="0032558C"/>
    <w:rsid w:val="0032580C"/>
    <w:rsid w:val="00325F5C"/>
    <w:rsid w:val="00326794"/>
    <w:rsid w:val="00326970"/>
    <w:rsid w:val="003269BC"/>
    <w:rsid w:val="003269E7"/>
    <w:rsid w:val="00327019"/>
    <w:rsid w:val="00327346"/>
    <w:rsid w:val="00327368"/>
    <w:rsid w:val="003279C0"/>
    <w:rsid w:val="00327ADC"/>
    <w:rsid w:val="00327B2C"/>
    <w:rsid w:val="00327CCF"/>
    <w:rsid w:val="00327EBC"/>
    <w:rsid w:val="0033037C"/>
    <w:rsid w:val="0033083B"/>
    <w:rsid w:val="00330AB2"/>
    <w:rsid w:val="00330D06"/>
    <w:rsid w:val="00330FA9"/>
    <w:rsid w:val="0033130F"/>
    <w:rsid w:val="00331414"/>
    <w:rsid w:val="00331752"/>
    <w:rsid w:val="0033197E"/>
    <w:rsid w:val="00331E23"/>
    <w:rsid w:val="00331FC9"/>
    <w:rsid w:val="003320DD"/>
    <w:rsid w:val="00333628"/>
    <w:rsid w:val="00333AA0"/>
    <w:rsid w:val="00333D8F"/>
    <w:rsid w:val="00333E87"/>
    <w:rsid w:val="00333F01"/>
    <w:rsid w:val="00334465"/>
    <w:rsid w:val="003348E4"/>
    <w:rsid w:val="00334B4F"/>
    <w:rsid w:val="00334C3B"/>
    <w:rsid w:val="00334E73"/>
    <w:rsid w:val="00334F3D"/>
    <w:rsid w:val="0033519B"/>
    <w:rsid w:val="00335261"/>
    <w:rsid w:val="003355AF"/>
    <w:rsid w:val="003357F5"/>
    <w:rsid w:val="00336993"/>
    <w:rsid w:val="003369F5"/>
    <w:rsid w:val="00336C24"/>
    <w:rsid w:val="00336E6C"/>
    <w:rsid w:val="003371DB"/>
    <w:rsid w:val="00337A39"/>
    <w:rsid w:val="00337EE9"/>
    <w:rsid w:val="0034023F"/>
    <w:rsid w:val="003405F0"/>
    <w:rsid w:val="00340F2B"/>
    <w:rsid w:val="00341177"/>
    <w:rsid w:val="00341A14"/>
    <w:rsid w:val="00341C4D"/>
    <w:rsid w:val="00341D94"/>
    <w:rsid w:val="0034223E"/>
    <w:rsid w:val="003422B6"/>
    <w:rsid w:val="00342675"/>
    <w:rsid w:val="003426A9"/>
    <w:rsid w:val="00342B0D"/>
    <w:rsid w:val="00342D34"/>
    <w:rsid w:val="00343276"/>
    <w:rsid w:val="00343C24"/>
    <w:rsid w:val="00343F79"/>
    <w:rsid w:val="003447CC"/>
    <w:rsid w:val="00344BFC"/>
    <w:rsid w:val="00344F32"/>
    <w:rsid w:val="003455BF"/>
    <w:rsid w:val="00345BC0"/>
    <w:rsid w:val="0034657E"/>
    <w:rsid w:val="00346632"/>
    <w:rsid w:val="00346BD7"/>
    <w:rsid w:val="00346FE0"/>
    <w:rsid w:val="0034741C"/>
    <w:rsid w:val="003479C3"/>
    <w:rsid w:val="003500E4"/>
    <w:rsid w:val="0035016E"/>
    <w:rsid w:val="0035068E"/>
    <w:rsid w:val="003506BE"/>
    <w:rsid w:val="00350B7F"/>
    <w:rsid w:val="00350DF3"/>
    <w:rsid w:val="0035129A"/>
    <w:rsid w:val="0035195B"/>
    <w:rsid w:val="00351BF1"/>
    <w:rsid w:val="00352301"/>
    <w:rsid w:val="0035232C"/>
    <w:rsid w:val="00352776"/>
    <w:rsid w:val="00352A43"/>
    <w:rsid w:val="00352D60"/>
    <w:rsid w:val="003533A1"/>
    <w:rsid w:val="00353478"/>
    <w:rsid w:val="003535DB"/>
    <w:rsid w:val="00353CB5"/>
    <w:rsid w:val="00353E1E"/>
    <w:rsid w:val="0035487A"/>
    <w:rsid w:val="00354D9A"/>
    <w:rsid w:val="00355F82"/>
    <w:rsid w:val="003566D2"/>
    <w:rsid w:val="00356AB7"/>
    <w:rsid w:val="003573E0"/>
    <w:rsid w:val="00357782"/>
    <w:rsid w:val="003578DC"/>
    <w:rsid w:val="00357F3A"/>
    <w:rsid w:val="0036036B"/>
    <w:rsid w:val="0036060F"/>
    <w:rsid w:val="00360A57"/>
    <w:rsid w:val="00360BCC"/>
    <w:rsid w:val="00360F63"/>
    <w:rsid w:val="003611AC"/>
    <w:rsid w:val="003613E3"/>
    <w:rsid w:val="003618D6"/>
    <w:rsid w:val="00361E5B"/>
    <w:rsid w:val="00361EA2"/>
    <w:rsid w:val="003620B4"/>
    <w:rsid w:val="003626B5"/>
    <w:rsid w:val="00362C5A"/>
    <w:rsid w:val="003630F0"/>
    <w:rsid w:val="003633DE"/>
    <w:rsid w:val="003635AA"/>
    <w:rsid w:val="003637D8"/>
    <w:rsid w:val="00363C16"/>
    <w:rsid w:val="00363D1E"/>
    <w:rsid w:val="003649C8"/>
    <w:rsid w:val="0036513B"/>
    <w:rsid w:val="003652FA"/>
    <w:rsid w:val="003656EB"/>
    <w:rsid w:val="00365731"/>
    <w:rsid w:val="00365A29"/>
    <w:rsid w:val="00365D33"/>
    <w:rsid w:val="00366668"/>
    <w:rsid w:val="00366C0A"/>
    <w:rsid w:val="00367103"/>
    <w:rsid w:val="0036752B"/>
    <w:rsid w:val="00367568"/>
    <w:rsid w:val="00367AAD"/>
    <w:rsid w:val="00367CDD"/>
    <w:rsid w:val="00367CEA"/>
    <w:rsid w:val="00370ADE"/>
    <w:rsid w:val="00370CCF"/>
    <w:rsid w:val="00370DBC"/>
    <w:rsid w:val="00370FAB"/>
    <w:rsid w:val="0037106F"/>
    <w:rsid w:val="00371723"/>
    <w:rsid w:val="0037178E"/>
    <w:rsid w:val="00371B46"/>
    <w:rsid w:val="00371C9D"/>
    <w:rsid w:val="00371EBE"/>
    <w:rsid w:val="003720AE"/>
    <w:rsid w:val="0037241F"/>
    <w:rsid w:val="00372772"/>
    <w:rsid w:val="00373925"/>
    <w:rsid w:val="0037397B"/>
    <w:rsid w:val="00373A63"/>
    <w:rsid w:val="00373AD0"/>
    <w:rsid w:val="00373DF0"/>
    <w:rsid w:val="0037442E"/>
    <w:rsid w:val="0037456A"/>
    <w:rsid w:val="00374694"/>
    <w:rsid w:val="003746BB"/>
    <w:rsid w:val="00374713"/>
    <w:rsid w:val="0037485E"/>
    <w:rsid w:val="00374FD2"/>
    <w:rsid w:val="003750FA"/>
    <w:rsid w:val="003759AA"/>
    <w:rsid w:val="003766E3"/>
    <w:rsid w:val="0037774A"/>
    <w:rsid w:val="003777BA"/>
    <w:rsid w:val="00380620"/>
    <w:rsid w:val="00380826"/>
    <w:rsid w:val="0038090E"/>
    <w:rsid w:val="00380BF7"/>
    <w:rsid w:val="00380C05"/>
    <w:rsid w:val="00380DCC"/>
    <w:rsid w:val="00380F94"/>
    <w:rsid w:val="00380FC5"/>
    <w:rsid w:val="0038139C"/>
    <w:rsid w:val="0038141E"/>
    <w:rsid w:val="00381649"/>
    <w:rsid w:val="00381912"/>
    <w:rsid w:val="003824BC"/>
    <w:rsid w:val="00382555"/>
    <w:rsid w:val="003825BE"/>
    <w:rsid w:val="003826D9"/>
    <w:rsid w:val="00382CAD"/>
    <w:rsid w:val="00383A82"/>
    <w:rsid w:val="00383BD1"/>
    <w:rsid w:val="00383DC2"/>
    <w:rsid w:val="003851D9"/>
    <w:rsid w:val="00385564"/>
    <w:rsid w:val="00386540"/>
    <w:rsid w:val="003874D1"/>
    <w:rsid w:val="00387B4B"/>
    <w:rsid w:val="003901DE"/>
    <w:rsid w:val="00390454"/>
    <w:rsid w:val="0039086F"/>
    <w:rsid w:val="00390BEB"/>
    <w:rsid w:val="003915DA"/>
    <w:rsid w:val="00391B48"/>
    <w:rsid w:val="00391F49"/>
    <w:rsid w:val="00391F4C"/>
    <w:rsid w:val="00392C51"/>
    <w:rsid w:val="00392C90"/>
    <w:rsid w:val="00392CF9"/>
    <w:rsid w:val="00392DEE"/>
    <w:rsid w:val="003931F7"/>
    <w:rsid w:val="0039341D"/>
    <w:rsid w:val="00393BA1"/>
    <w:rsid w:val="003941DC"/>
    <w:rsid w:val="003945FE"/>
    <w:rsid w:val="00394818"/>
    <w:rsid w:val="00394945"/>
    <w:rsid w:val="00394A46"/>
    <w:rsid w:val="003954CB"/>
    <w:rsid w:val="00395BE6"/>
    <w:rsid w:val="0039614D"/>
    <w:rsid w:val="003962A8"/>
    <w:rsid w:val="0039661E"/>
    <w:rsid w:val="003967EC"/>
    <w:rsid w:val="00396C98"/>
    <w:rsid w:val="00397665"/>
    <w:rsid w:val="00397F4A"/>
    <w:rsid w:val="003A006F"/>
    <w:rsid w:val="003A0680"/>
    <w:rsid w:val="003A13AE"/>
    <w:rsid w:val="003A2BCB"/>
    <w:rsid w:val="003A2F4D"/>
    <w:rsid w:val="003A3050"/>
    <w:rsid w:val="003A34F1"/>
    <w:rsid w:val="003A3605"/>
    <w:rsid w:val="003A3658"/>
    <w:rsid w:val="003A394F"/>
    <w:rsid w:val="003A3EF3"/>
    <w:rsid w:val="003A43C1"/>
    <w:rsid w:val="003A4827"/>
    <w:rsid w:val="003A499F"/>
    <w:rsid w:val="003A4FBA"/>
    <w:rsid w:val="003A5040"/>
    <w:rsid w:val="003A51CF"/>
    <w:rsid w:val="003A6238"/>
    <w:rsid w:val="003A6826"/>
    <w:rsid w:val="003A68FD"/>
    <w:rsid w:val="003A6942"/>
    <w:rsid w:val="003A6ADC"/>
    <w:rsid w:val="003A6C85"/>
    <w:rsid w:val="003A6F93"/>
    <w:rsid w:val="003A6FEE"/>
    <w:rsid w:val="003A721F"/>
    <w:rsid w:val="003A7F37"/>
    <w:rsid w:val="003B014C"/>
    <w:rsid w:val="003B0914"/>
    <w:rsid w:val="003B0B7F"/>
    <w:rsid w:val="003B1416"/>
    <w:rsid w:val="003B1B1D"/>
    <w:rsid w:val="003B2F26"/>
    <w:rsid w:val="003B32A6"/>
    <w:rsid w:val="003B3490"/>
    <w:rsid w:val="003B3D0E"/>
    <w:rsid w:val="003B42A8"/>
    <w:rsid w:val="003B439F"/>
    <w:rsid w:val="003B46BE"/>
    <w:rsid w:val="003B507D"/>
    <w:rsid w:val="003B5A30"/>
    <w:rsid w:val="003B5E14"/>
    <w:rsid w:val="003B6F84"/>
    <w:rsid w:val="003B77FB"/>
    <w:rsid w:val="003B7CF2"/>
    <w:rsid w:val="003C0322"/>
    <w:rsid w:val="003C0BA9"/>
    <w:rsid w:val="003C135D"/>
    <w:rsid w:val="003C1D9F"/>
    <w:rsid w:val="003C26C1"/>
    <w:rsid w:val="003C2A95"/>
    <w:rsid w:val="003C33B1"/>
    <w:rsid w:val="003C3BB4"/>
    <w:rsid w:val="003C4218"/>
    <w:rsid w:val="003C42DC"/>
    <w:rsid w:val="003C4426"/>
    <w:rsid w:val="003C4573"/>
    <w:rsid w:val="003C4ADA"/>
    <w:rsid w:val="003C4D01"/>
    <w:rsid w:val="003C4DA2"/>
    <w:rsid w:val="003C5060"/>
    <w:rsid w:val="003C5787"/>
    <w:rsid w:val="003C5C2B"/>
    <w:rsid w:val="003C5DA0"/>
    <w:rsid w:val="003C5E17"/>
    <w:rsid w:val="003C6EC8"/>
    <w:rsid w:val="003C70FF"/>
    <w:rsid w:val="003C77AE"/>
    <w:rsid w:val="003C7AEA"/>
    <w:rsid w:val="003D079A"/>
    <w:rsid w:val="003D0963"/>
    <w:rsid w:val="003D18E6"/>
    <w:rsid w:val="003D1A11"/>
    <w:rsid w:val="003D1D6F"/>
    <w:rsid w:val="003D2529"/>
    <w:rsid w:val="003D25C9"/>
    <w:rsid w:val="003D2DEE"/>
    <w:rsid w:val="003D2EBE"/>
    <w:rsid w:val="003D3178"/>
    <w:rsid w:val="003D4159"/>
    <w:rsid w:val="003D433B"/>
    <w:rsid w:val="003D4C09"/>
    <w:rsid w:val="003D4F68"/>
    <w:rsid w:val="003D5374"/>
    <w:rsid w:val="003D58E7"/>
    <w:rsid w:val="003D5DC8"/>
    <w:rsid w:val="003D6062"/>
    <w:rsid w:val="003D60DE"/>
    <w:rsid w:val="003D616A"/>
    <w:rsid w:val="003D6A1A"/>
    <w:rsid w:val="003D6CAC"/>
    <w:rsid w:val="003D716D"/>
    <w:rsid w:val="003D7C32"/>
    <w:rsid w:val="003D7D46"/>
    <w:rsid w:val="003E05E7"/>
    <w:rsid w:val="003E081B"/>
    <w:rsid w:val="003E09B9"/>
    <w:rsid w:val="003E0B6B"/>
    <w:rsid w:val="003E1129"/>
    <w:rsid w:val="003E13F9"/>
    <w:rsid w:val="003E20B2"/>
    <w:rsid w:val="003E20D6"/>
    <w:rsid w:val="003E2205"/>
    <w:rsid w:val="003E2858"/>
    <w:rsid w:val="003E336E"/>
    <w:rsid w:val="003E3BD5"/>
    <w:rsid w:val="003E3CA7"/>
    <w:rsid w:val="003E3D2C"/>
    <w:rsid w:val="003E415B"/>
    <w:rsid w:val="003E444A"/>
    <w:rsid w:val="003E44DC"/>
    <w:rsid w:val="003E4512"/>
    <w:rsid w:val="003E462C"/>
    <w:rsid w:val="003E4E46"/>
    <w:rsid w:val="003E4F6F"/>
    <w:rsid w:val="003E505A"/>
    <w:rsid w:val="003E506E"/>
    <w:rsid w:val="003E50C4"/>
    <w:rsid w:val="003E514E"/>
    <w:rsid w:val="003E53FC"/>
    <w:rsid w:val="003E5ED9"/>
    <w:rsid w:val="003E6624"/>
    <w:rsid w:val="003E6AC1"/>
    <w:rsid w:val="003E6CC8"/>
    <w:rsid w:val="003E6D9D"/>
    <w:rsid w:val="003E6EEB"/>
    <w:rsid w:val="003E71CA"/>
    <w:rsid w:val="003E74F7"/>
    <w:rsid w:val="003E76B7"/>
    <w:rsid w:val="003E7F82"/>
    <w:rsid w:val="003F019D"/>
    <w:rsid w:val="003F027D"/>
    <w:rsid w:val="003F071C"/>
    <w:rsid w:val="003F07FB"/>
    <w:rsid w:val="003F0CF5"/>
    <w:rsid w:val="003F0E27"/>
    <w:rsid w:val="003F12DB"/>
    <w:rsid w:val="003F150C"/>
    <w:rsid w:val="003F1E1D"/>
    <w:rsid w:val="003F2202"/>
    <w:rsid w:val="003F25EF"/>
    <w:rsid w:val="003F273D"/>
    <w:rsid w:val="003F2A76"/>
    <w:rsid w:val="003F3803"/>
    <w:rsid w:val="003F39E4"/>
    <w:rsid w:val="003F3A8D"/>
    <w:rsid w:val="003F3AB8"/>
    <w:rsid w:val="003F3C01"/>
    <w:rsid w:val="003F3D95"/>
    <w:rsid w:val="003F3DD4"/>
    <w:rsid w:val="003F4724"/>
    <w:rsid w:val="003F5430"/>
    <w:rsid w:val="003F55F4"/>
    <w:rsid w:val="003F566B"/>
    <w:rsid w:val="003F589A"/>
    <w:rsid w:val="003F5DED"/>
    <w:rsid w:val="003F5F0F"/>
    <w:rsid w:val="003F6221"/>
    <w:rsid w:val="003F66C2"/>
    <w:rsid w:val="003F6B6B"/>
    <w:rsid w:val="003F6FBA"/>
    <w:rsid w:val="003F7672"/>
    <w:rsid w:val="003F7889"/>
    <w:rsid w:val="003F7CE5"/>
    <w:rsid w:val="003F7FE4"/>
    <w:rsid w:val="004006B9"/>
    <w:rsid w:val="00400736"/>
    <w:rsid w:val="0040089B"/>
    <w:rsid w:val="00400B7A"/>
    <w:rsid w:val="004013CD"/>
    <w:rsid w:val="0040185F"/>
    <w:rsid w:val="004018D1"/>
    <w:rsid w:val="00401B94"/>
    <w:rsid w:val="004022CE"/>
    <w:rsid w:val="004028BA"/>
    <w:rsid w:val="004035A7"/>
    <w:rsid w:val="004039C5"/>
    <w:rsid w:val="00403B22"/>
    <w:rsid w:val="00403D3E"/>
    <w:rsid w:val="00403DEA"/>
    <w:rsid w:val="00403E5A"/>
    <w:rsid w:val="00404177"/>
    <w:rsid w:val="004044F1"/>
    <w:rsid w:val="004045C3"/>
    <w:rsid w:val="00404EE3"/>
    <w:rsid w:val="00405007"/>
    <w:rsid w:val="00405520"/>
    <w:rsid w:val="0040572B"/>
    <w:rsid w:val="00405882"/>
    <w:rsid w:val="00405D03"/>
    <w:rsid w:val="004060B3"/>
    <w:rsid w:val="00406201"/>
    <w:rsid w:val="00406AA6"/>
    <w:rsid w:val="004074B9"/>
    <w:rsid w:val="0041002A"/>
    <w:rsid w:val="004104FC"/>
    <w:rsid w:val="004107C1"/>
    <w:rsid w:val="004107D8"/>
    <w:rsid w:val="0041127B"/>
    <w:rsid w:val="0041158D"/>
    <w:rsid w:val="00411AB2"/>
    <w:rsid w:val="00411EF1"/>
    <w:rsid w:val="00411F1F"/>
    <w:rsid w:val="004122E3"/>
    <w:rsid w:val="004133F3"/>
    <w:rsid w:val="00413ECE"/>
    <w:rsid w:val="0041464A"/>
    <w:rsid w:val="00414682"/>
    <w:rsid w:val="004149CB"/>
    <w:rsid w:val="00414CEB"/>
    <w:rsid w:val="0041513D"/>
    <w:rsid w:val="004158AA"/>
    <w:rsid w:val="0041599F"/>
    <w:rsid w:val="00415E37"/>
    <w:rsid w:val="00415F5E"/>
    <w:rsid w:val="00415FC0"/>
    <w:rsid w:val="00416056"/>
    <w:rsid w:val="00416080"/>
    <w:rsid w:val="00416983"/>
    <w:rsid w:val="00417007"/>
    <w:rsid w:val="0041702D"/>
    <w:rsid w:val="00417132"/>
    <w:rsid w:val="00417902"/>
    <w:rsid w:val="00417FE3"/>
    <w:rsid w:val="004202B5"/>
    <w:rsid w:val="0042068F"/>
    <w:rsid w:val="00420C59"/>
    <w:rsid w:val="00420F31"/>
    <w:rsid w:val="004211B1"/>
    <w:rsid w:val="0042187D"/>
    <w:rsid w:val="00421A31"/>
    <w:rsid w:val="00422122"/>
    <w:rsid w:val="004224B4"/>
    <w:rsid w:val="00422787"/>
    <w:rsid w:val="00422F93"/>
    <w:rsid w:val="004232ED"/>
    <w:rsid w:val="004237C9"/>
    <w:rsid w:val="0042424E"/>
    <w:rsid w:val="0042538D"/>
    <w:rsid w:val="00425A1A"/>
    <w:rsid w:val="00425BCF"/>
    <w:rsid w:val="00426006"/>
    <w:rsid w:val="004262AA"/>
    <w:rsid w:val="00426747"/>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0CA7"/>
    <w:rsid w:val="00431744"/>
    <w:rsid w:val="00431A11"/>
    <w:rsid w:val="00431AD6"/>
    <w:rsid w:val="00431B48"/>
    <w:rsid w:val="00431D0E"/>
    <w:rsid w:val="0043242A"/>
    <w:rsid w:val="0043265C"/>
    <w:rsid w:val="00432F99"/>
    <w:rsid w:val="00433013"/>
    <w:rsid w:val="004337C9"/>
    <w:rsid w:val="00433A0E"/>
    <w:rsid w:val="00433A3E"/>
    <w:rsid w:val="00433DEB"/>
    <w:rsid w:val="00434113"/>
    <w:rsid w:val="0043413D"/>
    <w:rsid w:val="0043442C"/>
    <w:rsid w:val="0043486A"/>
    <w:rsid w:val="00434B3D"/>
    <w:rsid w:val="00434DE9"/>
    <w:rsid w:val="00435495"/>
    <w:rsid w:val="0043595A"/>
    <w:rsid w:val="00435A3C"/>
    <w:rsid w:val="00435C91"/>
    <w:rsid w:val="004362A2"/>
    <w:rsid w:val="0043677C"/>
    <w:rsid w:val="004368AA"/>
    <w:rsid w:val="00436DC1"/>
    <w:rsid w:val="00436F15"/>
    <w:rsid w:val="004371DE"/>
    <w:rsid w:val="00437528"/>
    <w:rsid w:val="00437581"/>
    <w:rsid w:val="00437B06"/>
    <w:rsid w:val="0044015A"/>
    <w:rsid w:val="00440380"/>
    <w:rsid w:val="004403AA"/>
    <w:rsid w:val="004420DF"/>
    <w:rsid w:val="0044265F"/>
    <w:rsid w:val="004427DB"/>
    <w:rsid w:val="00442809"/>
    <w:rsid w:val="00442BE4"/>
    <w:rsid w:val="00442CEF"/>
    <w:rsid w:val="00442D3C"/>
    <w:rsid w:val="00442D9B"/>
    <w:rsid w:val="004430FA"/>
    <w:rsid w:val="00443159"/>
    <w:rsid w:val="004433BD"/>
    <w:rsid w:val="0044355D"/>
    <w:rsid w:val="00443C87"/>
    <w:rsid w:val="00443F50"/>
    <w:rsid w:val="00443FB2"/>
    <w:rsid w:val="004447B5"/>
    <w:rsid w:val="004456C3"/>
    <w:rsid w:val="00446594"/>
    <w:rsid w:val="004465D0"/>
    <w:rsid w:val="00446790"/>
    <w:rsid w:val="00446B03"/>
    <w:rsid w:val="00447B07"/>
    <w:rsid w:val="004502B2"/>
    <w:rsid w:val="0045068C"/>
    <w:rsid w:val="00450CAB"/>
    <w:rsid w:val="00450F85"/>
    <w:rsid w:val="004517AF"/>
    <w:rsid w:val="00451FF2"/>
    <w:rsid w:val="0045379D"/>
    <w:rsid w:val="00453B76"/>
    <w:rsid w:val="00453E2D"/>
    <w:rsid w:val="00453F07"/>
    <w:rsid w:val="00454181"/>
    <w:rsid w:val="0045434F"/>
    <w:rsid w:val="0045438C"/>
    <w:rsid w:val="00454477"/>
    <w:rsid w:val="00454C5A"/>
    <w:rsid w:val="00455701"/>
    <w:rsid w:val="004559F9"/>
    <w:rsid w:val="00455C80"/>
    <w:rsid w:val="0045611C"/>
    <w:rsid w:val="00456140"/>
    <w:rsid w:val="004563DD"/>
    <w:rsid w:val="00456CDF"/>
    <w:rsid w:val="00456F6D"/>
    <w:rsid w:val="00457458"/>
    <w:rsid w:val="00457741"/>
    <w:rsid w:val="00457F73"/>
    <w:rsid w:val="0046061C"/>
    <w:rsid w:val="00460B9F"/>
    <w:rsid w:val="00460DE4"/>
    <w:rsid w:val="0046107F"/>
    <w:rsid w:val="0046115B"/>
    <w:rsid w:val="00461274"/>
    <w:rsid w:val="004614B2"/>
    <w:rsid w:val="004614B4"/>
    <w:rsid w:val="0046193D"/>
    <w:rsid w:val="00463603"/>
    <w:rsid w:val="004649A8"/>
    <w:rsid w:val="004654B1"/>
    <w:rsid w:val="0046557B"/>
    <w:rsid w:val="0046557C"/>
    <w:rsid w:val="00465B3C"/>
    <w:rsid w:val="00465C79"/>
    <w:rsid w:val="00465E83"/>
    <w:rsid w:val="00465EAF"/>
    <w:rsid w:val="00466114"/>
    <w:rsid w:val="004666EB"/>
    <w:rsid w:val="00466845"/>
    <w:rsid w:val="0046684E"/>
    <w:rsid w:val="0046692F"/>
    <w:rsid w:val="00466971"/>
    <w:rsid w:val="0046757E"/>
    <w:rsid w:val="00467BAF"/>
    <w:rsid w:val="00470338"/>
    <w:rsid w:val="0047033E"/>
    <w:rsid w:val="00470B59"/>
    <w:rsid w:val="00470E80"/>
    <w:rsid w:val="00470EFE"/>
    <w:rsid w:val="00471F10"/>
    <w:rsid w:val="00472568"/>
    <w:rsid w:val="00472C70"/>
    <w:rsid w:val="004730EF"/>
    <w:rsid w:val="004736B1"/>
    <w:rsid w:val="004738F5"/>
    <w:rsid w:val="004740F2"/>
    <w:rsid w:val="0047417D"/>
    <w:rsid w:val="00474C4C"/>
    <w:rsid w:val="00474E77"/>
    <w:rsid w:val="00475708"/>
    <w:rsid w:val="0047577B"/>
    <w:rsid w:val="0047581F"/>
    <w:rsid w:val="004766B7"/>
    <w:rsid w:val="004767F5"/>
    <w:rsid w:val="00476C8F"/>
    <w:rsid w:val="00477416"/>
    <w:rsid w:val="00477FAB"/>
    <w:rsid w:val="00480D1E"/>
    <w:rsid w:val="00481D33"/>
    <w:rsid w:val="00482295"/>
    <w:rsid w:val="004822A0"/>
    <w:rsid w:val="004822E9"/>
    <w:rsid w:val="0048269D"/>
    <w:rsid w:val="00482D74"/>
    <w:rsid w:val="00482F6A"/>
    <w:rsid w:val="0048424F"/>
    <w:rsid w:val="00484659"/>
    <w:rsid w:val="00484678"/>
    <w:rsid w:val="004848D8"/>
    <w:rsid w:val="00484E04"/>
    <w:rsid w:val="00485015"/>
    <w:rsid w:val="004855BE"/>
    <w:rsid w:val="00485878"/>
    <w:rsid w:val="00485A57"/>
    <w:rsid w:val="00485E5B"/>
    <w:rsid w:val="00485E70"/>
    <w:rsid w:val="00486587"/>
    <w:rsid w:val="004867BC"/>
    <w:rsid w:val="00486A41"/>
    <w:rsid w:val="00486AA3"/>
    <w:rsid w:val="00486C68"/>
    <w:rsid w:val="00486D74"/>
    <w:rsid w:val="00486DEC"/>
    <w:rsid w:val="00486E69"/>
    <w:rsid w:val="004871B0"/>
    <w:rsid w:val="00487564"/>
    <w:rsid w:val="00487899"/>
    <w:rsid w:val="004902B4"/>
    <w:rsid w:val="004905F3"/>
    <w:rsid w:val="00490985"/>
    <w:rsid w:val="00490B10"/>
    <w:rsid w:val="00490B67"/>
    <w:rsid w:val="00490E53"/>
    <w:rsid w:val="00491305"/>
    <w:rsid w:val="0049147B"/>
    <w:rsid w:val="00491668"/>
    <w:rsid w:val="00491C14"/>
    <w:rsid w:val="0049261B"/>
    <w:rsid w:val="004927C4"/>
    <w:rsid w:val="004929E8"/>
    <w:rsid w:val="00492C98"/>
    <w:rsid w:val="00492F2D"/>
    <w:rsid w:val="00492FD6"/>
    <w:rsid w:val="00493369"/>
    <w:rsid w:val="00493412"/>
    <w:rsid w:val="004936E8"/>
    <w:rsid w:val="00493B80"/>
    <w:rsid w:val="0049401A"/>
    <w:rsid w:val="004941A5"/>
    <w:rsid w:val="00494332"/>
    <w:rsid w:val="00494BE0"/>
    <w:rsid w:val="00494D13"/>
    <w:rsid w:val="004958F6"/>
    <w:rsid w:val="00495AB3"/>
    <w:rsid w:val="00495EE8"/>
    <w:rsid w:val="004968C1"/>
    <w:rsid w:val="00496A8D"/>
    <w:rsid w:val="00496DD7"/>
    <w:rsid w:val="00497246"/>
    <w:rsid w:val="004974D9"/>
    <w:rsid w:val="004977C3"/>
    <w:rsid w:val="004A092A"/>
    <w:rsid w:val="004A09C8"/>
    <w:rsid w:val="004A11F0"/>
    <w:rsid w:val="004A1251"/>
    <w:rsid w:val="004A17BB"/>
    <w:rsid w:val="004A1AD7"/>
    <w:rsid w:val="004A1B5F"/>
    <w:rsid w:val="004A1FB2"/>
    <w:rsid w:val="004A2FA9"/>
    <w:rsid w:val="004A341F"/>
    <w:rsid w:val="004A3531"/>
    <w:rsid w:val="004A36CE"/>
    <w:rsid w:val="004A3CFE"/>
    <w:rsid w:val="004A4243"/>
    <w:rsid w:val="004A4621"/>
    <w:rsid w:val="004A4BDE"/>
    <w:rsid w:val="004A4D66"/>
    <w:rsid w:val="004A519F"/>
    <w:rsid w:val="004A5295"/>
    <w:rsid w:val="004A52A8"/>
    <w:rsid w:val="004A5500"/>
    <w:rsid w:val="004A5C1E"/>
    <w:rsid w:val="004A5DC5"/>
    <w:rsid w:val="004A63A9"/>
    <w:rsid w:val="004A63FA"/>
    <w:rsid w:val="004A6B1E"/>
    <w:rsid w:val="004A7631"/>
    <w:rsid w:val="004A77D6"/>
    <w:rsid w:val="004A7952"/>
    <w:rsid w:val="004A7A69"/>
    <w:rsid w:val="004A7D3E"/>
    <w:rsid w:val="004A7D74"/>
    <w:rsid w:val="004A7DE3"/>
    <w:rsid w:val="004B0148"/>
    <w:rsid w:val="004B052B"/>
    <w:rsid w:val="004B0AA1"/>
    <w:rsid w:val="004B0ABB"/>
    <w:rsid w:val="004B0C11"/>
    <w:rsid w:val="004B19BE"/>
    <w:rsid w:val="004B1A72"/>
    <w:rsid w:val="004B1A7A"/>
    <w:rsid w:val="004B1C77"/>
    <w:rsid w:val="004B20FA"/>
    <w:rsid w:val="004B2D91"/>
    <w:rsid w:val="004B2E81"/>
    <w:rsid w:val="004B3053"/>
    <w:rsid w:val="004B3247"/>
    <w:rsid w:val="004B32E0"/>
    <w:rsid w:val="004B3375"/>
    <w:rsid w:val="004B3A47"/>
    <w:rsid w:val="004B3BDB"/>
    <w:rsid w:val="004B40BF"/>
    <w:rsid w:val="004B41F9"/>
    <w:rsid w:val="004B4569"/>
    <w:rsid w:val="004B46A7"/>
    <w:rsid w:val="004B4863"/>
    <w:rsid w:val="004B4D7D"/>
    <w:rsid w:val="004B5707"/>
    <w:rsid w:val="004B603D"/>
    <w:rsid w:val="004B685E"/>
    <w:rsid w:val="004B69F5"/>
    <w:rsid w:val="004B6A26"/>
    <w:rsid w:val="004B6E5D"/>
    <w:rsid w:val="004B7264"/>
    <w:rsid w:val="004B7474"/>
    <w:rsid w:val="004B74D9"/>
    <w:rsid w:val="004B759D"/>
    <w:rsid w:val="004B7B4A"/>
    <w:rsid w:val="004B7C32"/>
    <w:rsid w:val="004B7E94"/>
    <w:rsid w:val="004B7FAD"/>
    <w:rsid w:val="004C00E1"/>
    <w:rsid w:val="004C0AA7"/>
    <w:rsid w:val="004C0BC5"/>
    <w:rsid w:val="004C0D96"/>
    <w:rsid w:val="004C1234"/>
    <w:rsid w:val="004C13CF"/>
    <w:rsid w:val="004C18E3"/>
    <w:rsid w:val="004C236A"/>
    <w:rsid w:val="004C2598"/>
    <w:rsid w:val="004C26F7"/>
    <w:rsid w:val="004C2DD9"/>
    <w:rsid w:val="004C2F45"/>
    <w:rsid w:val="004C3E60"/>
    <w:rsid w:val="004C4018"/>
    <w:rsid w:val="004C412F"/>
    <w:rsid w:val="004C42BE"/>
    <w:rsid w:val="004C4AF6"/>
    <w:rsid w:val="004C4C55"/>
    <w:rsid w:val="004C528A"/>
    <w:rsid w:val="004C52E4"/>
    <w:rsid w:val="004C57EF"/>
    <w:rsid w:val="004C6075"/>
    <w:rsid w:val="004C6175"/>
    <w:rsid w:val="004C6742"/>
    <w:rsid w:val="004C6A4A"/>
    <w:rsid w:val="004C6BCC"/>
    <w:rsid w:val="004C702A"/>
    <w:rsid w:val="004C7147"/>
    <w:rsid w:val="004C770B"/>
    <w:rsid w:val="004C7817"/>
    <w:rsid w:val="004C7C30"/>
    <w:rsid w:val="004D02FB"/>
    <w:rsid w:val="004D074A"/>
    <w:rsid w:val="004D0867"/>
    <w:rsid w:val="004D0A75"/>
    <w:rsid w:val="004D1311"/>
    <w:rsid w:val="004D135D"/>
    <w:rsid w:val="004D2382"/>
    <w:rsid w:val="004D246B"/>
    <w:rsid w:val="004D248F"/>
    <w:rsid w:val="004D26E5"/>
    <w:rsid w:val="004D2C1A"/>
    <w:rsid w:val="004D2C5E"/>
    <w:rsid w:val="004D2CB6"/>
    <w:rsid w:val="004D4293"/>
    <w:rsid w:val="004D5719"/>
    <w:rsid w:val="004D6739"/>
    <w:rsid w:val="004D6B3D"/>
    <w:rsid w:val="004D6CF9"/>
    <w:rsid w:val="004D6EC1"/>
    <w:rsid w:val="004D7370"/>
    <w:rsid w:val="004D7479"/>
    <w:rsid w:val="004D7BAF"/>
    <w:rsid w:val="004D7D6E"/>
    <w:rsid w:val="004D7D80"/>
    <w:rsid w:val="004D7E8D"/>
    <w:rsid w:val="004E017A"/>
    <w:rsid w:val="004E0480"/>
    <w:rsid w:val="004E10C9"/>
    <w:rsid w:val="004E155F"/>
    <w:rsid w:val="004E16EE"/>
    <w:rsid w:val="004E1948"/>
    <w:rsid w:val="004E1A3B"/>
    <w:rsid w:val="004E1AE9"/>
    <w:rsid w:val="004E1D13"/>
    <w:rsid w:val="004E1DEF"/>
    <w:rsid w:val="004E1E85"/>
    <w:rsid w:val="004E1FB8"/>
    <w:rsid w:val="004E217E"/>
    <w:rsid w:val="004E219E"/>
    <w:rsid w:val="004E22CD"/>
    <w:rsid w:val="004E238F"/>
    <w:rsid w:val="004E2929"/>
    <w:rsid w:val="004E2DDF"/>
    <w:rsid w:val="004E3223"/>
    <w:rsid w:val="004E3274"/>
    <w:rsid w:val="004E3916"/>
    <w:rsid w:val="004E41A4"/>
    <w:rsid w:val="004E4538"/>
    <w:rsid w:val="004E4E7E"/>
    <w:rsid w:val="004E4EE7"/>
    <w:rsid w:val="004E56E0"/>
    <w:rsid w:val="004E5A20"/>
    <w:rsid w:val="004E5D42"/>
    <w:rsid w:val="004E6399"/>
    <w:rsid w:val="004E6A41"/>
    <w:rsid w:val="004E6EAF"/>
    <w:rsid w:val="004E6ECC"/>
    <w:rsid w:val="004E73E0"/>
    <w:rsid w:val="004E7444"/>
    <w:rsid w:val="004E79FA"/>
    <w:rsid w:val="004E7BA4"/>
    <w:rsid w:val="004E7BE3"/>
    <w:rsid w:val="004E7CB4"/>
    <w:rsid w:val="004E7CF2"/>
    <w:rsid w:val="004E7DC1"/>
    <w:rsid w:val="004F0736"/>
    <w:rsid w:val="004F0865"/>
    <w:rsid w:val="004F0A00"/>
    <w:rsid w:val="004F12DA"/>
    <w:rsid w:val="004F204E"/>
    <w:rsid w:val="004F234D"/>
    <w:rsid w:val="004F25D5"/>
    <w:rsid w:val="004F2EED"/>
    <w:rsid w:val="004F2F78"/>
    <w:rsid w:val="004F31E5"/>
    <w:rsid w:val="004F3423"/>
    <w:rsid w:val="004F355B"/>
    <w:rsid w:val="004F3F93"/>
    <w:rsid w:val="004F43CD"/>
    <w:rsid w:val="004F44C1"/>
    <w:rsid w:val="004F45F5"/>
    <w:rsid w:val="004F4B4C"/>
    <w:rsid w:val="004F4FE5"/>
    <w:rsid w:val="004F504B"/>
    <w:rsid w:val="004F5424"/>
    <w:rsid w:val="004F57FE"/>
    <w:rsid w:val="004F5AF0"/>
    <w:rsid w:val="004F5E24"/>
    <w:rsid w:val="004F5E8D"/>
    <w:rsid w:val="004F66BD"/>
    <w:rsid w:val="004F6C91"/>
    <w:rsid w:val="00500040"/>
    <w:rsid w:val="00500238"/>
    <w:rsid w:val="005006C0"/>
    <w:rsid w:val="005007A6"/>
    <w:rsid w:val="0050086D"/>
    <w:rsid w:val="00500D8C"/>
    <w:rsid w:val="00500EF3"/>
    <w:rsid w:val="0050130D"/>
    <w:rsid w:val="005015CC"/>
    <w:rsid w:val="00501CDC"/>
    <w:rsid w:val="00502307"/>
    <w:rsid w:val="005024D3"/>
    <w:rsid w:val="005027AC"/>
    <w:rsid w:val="00502C69"/>
    <w:rsid w:val="00502CFA"/>
    <w:rsid w:val="00502E3E"/>
    <w:rsid w:val="00502F7A"/>
    <w:rsid w:val="00502F8D"/>
    <w:rsid w:val="005031B4"/>
    <w:rsid w:val="0050335D"/>
    <w:rsid w:val="0050397F"/>
    <w:rsid w:val="00503AAA"/>
    <w:rsid w:val="00503CD7"/>
    <w:rsid w:val="005040CD"/>
    <w:rsid w:val="00504865"/>
    <w:rsid w:val="00504A2C"/>
    <w:rsid w:val="00504F24"/>
    <w:rsid w:val="00505820"/>
    <w:rsid w:val="005058C6"/>
    <w:rsid w:val="00505F8A"/>
    <w:rsid w:val="00506069"/>
    <w:rsid w:val="005060D9"/>
    <w:rsid w:val="00506A30"/>
    <w:rsid w:val="00506EE2"/>
    <w:rsid w:val="00507067"/>
    <w:rsid w:val="005070EE"/>
    <w:rsid w:val="005078A5"/>
    <w:rsid w:val="00510464"/>
    <w:rsid w:val="00510EC1"/>
    <w:rsid w:val="005111CD"/>
    <w:rsid w:val="00511213"/>
    <w:rsid w:val="005119F8"/>
    <w:rsid w:val="00511BD1"/>
    <w:rsid w:val="00512384"/>
    <w:rsid w:val="005123B0"/>
    <w:rsid w:val="00513439"/>
    <w:rsid w:val="005135A3"/>
    <w:rsid w:val="00513630"/>
    <w:rsid w:val="00513707"/>
    <w:rsid w:val="0051375A"/>
    <w:rsid w:val="00513AA0"/>
    <w:rsid w:val="00513B8E"/>
    <w:rsid w:val="00513C25"/>
    <w:rsid w:val="005147AA"/>
    <w:rsid w:val="00514AFA"/>
    <w:rsid w:val="00514FED"/>
    <w:rsid w:val="00515427"/>
    <w:rsid w:val="00515606"/>
    <w:rsid w:val="00515711"/>
    <w:rsid w:val="00515B3B"/>
    <w:rsid w:val="00515B67"/>
    <w:rsid w:val="00516149"/>
    <w:rsid w:val="0051656F"/>
    <w:rsid w:val="00516814"/>
    <w:rsid w:val="00516DAF"/>
    <w:rsid w:val="00517084"/>
    <w:rsid w:val="00517FF0"/>
    <w:rsid w:val="0052028A"/>
    <w:rsid w:val="00520359"/>
    <w:rsid w:val="00520AED"/>
    <w:rsid w:val="00520D6D"/>
    <w:rsid w:val="00520E11"/>
    <w:rsid w:val="005216D7"/>
    <w:rsid w:val="00521BD6"/>
    <w:rsid w:val="00521C17"/>
    <w:rsid w:val="00521D24"/>
    <w:rsid w:val="00521EA0"/>
    <w:rsid w:val="0052252E"/>
    <w:rsid w:val="00522829"/>
    <w:rsid w:val="00523150"/>
    <w:rsid w:val="0052399F"/>
    <w:rsid w:val="00523C53"/>
    <w:rsid w:val="005241D0"/>
    <w:rsid w:val="005243F5"/>
    <w:rsid w:val="00524534"/>
    <w:rsid w:val="005245B2"/>
    <w:rsid w:val="00524EDB"/>
    <w:rsid w:val="005250CD"/>
    <w:rsid w:val="0052529A"/>
    <w:rsid w:val="00525677"/>
    <w:rsid w:val="00525DAE"/>
    <w:rsid w:val="00525F63"/>
    <w:rsid w:val="00525FE1"/>
    <w:rsid w:val="0052653C"/>
    <w:rsid w:val="005269AC"/>
    <w:rsid w:val="00526FB5"/>
    <w:rsid w:val="005273BA"/>
    <w:rsid w:val="005276FF"/>
    <w:rsid w:val="005305FC"/>
    <w:rsid w:val="00530B64"/>
    <w:rsid w:val="00530F5B"/>
    <w:rsid w:val="0053151C"/>
    <w:rsid w:val="00531581"/>
    <w:rsid w:val="005316E5"/>
    <w:rsid w:val="00531ECB"/>
    <w:rsid w:val="00532555"/>
    <w:rsid w:val="00532590"/>
    <w:rsid w:val="00533520"/>
    <w:rsid w:val="005336F5"/>
    <w:rsid w:val="005338F5"/>
    <w:rsid w:val="0053396B"/>
    <w:rsid w:val="00533B19"/>
    <w:rsid w:val="005343DC"/>
    <w:rsid w:val="00534469"/>
    <w:rsid w:val="00534A74"/>
    <w:rsid w:val="00535237"/>
    <w:rsid w:val="005359FD"/>
    <w:rsid w:val="00535FAB"/>
    <w:rsid w:val="00536170"/>
    <w:rsid w:val="00536614"/>
    <w:rsid w:val="005368C8"/>
    <w:rsid w:val="00536CAC"/>
    <w:rsid w:val="00536CD5"/>
    <w:rsid w:val="00536E4B"/>
    <w:rsid w:val="00536E4D"/>
    <w:rsid w:val="005372E4"/>
    <w:rsid w:val="0053796C"/>
    <w:rsid w:val="00537CC0"/>
    <w:rsid w:val="00537D9B"/>
    <w:rsid w:val="0054039C"/>
    <w:rsid w:val="00540CA3"/>
    <w:rsid w:val="00541283"/>
    <w:rsid w:val="00541743"/>
    <w:rsid w:val="00541AC4"/>
    <w:rsid w:val="00541B08"/>
    <w:rsid w:val="00541C62"/>
    <w:rsid w:val="00542509"/>
    <w:rsid w:val="005427B7"/>
    <w:rsid w:val="00542AB0"/>
    <w:rsid w:val="00543132"/>
    <w:rsid w:val="0054368B"/>
    <w:rsid w:val="00544538"/>
    <w:rsid w:val="005449A9"/>
    <w:rsid w:val="005449C6"/>
    <w:rsid w:val="00544E8D"/>
    <w:rsid w:val="00544FBD"/>
    <w:rsid w:val="00545049"/>
    <w:rsid w:val="005456D9"/>
    <w:rsid w:val="00545713"/>
    <w:rsid w:val="00545E9D"/>
    <w:rsid w:val="00546311"/>
    <w:rsid w:val="005464F3"/>
    <w:rsid w:val="00546A89"/>
    <w:rsid w:val="00546FED"/>
    <w:rsid w:val="00550004"/>
    <w:rsid w:val="00550329"/>
    <w:rsid w:val="00550467"/>
    <w:rsid w:val="005505B7"/>
    <w:rsid w:val="0055086E"/>
    <w:rsid w:val="00550D05"/>
    <w:rsid w:val="00551098"/>
    <w:rsid w:val="00551560"/>
    <w:rsid w:val="00551653"/>
    <w:rsid w:val="0055178B"/>
    <w:rsid w:val="00551A2E"/>
    <w:rsid w:val="0055204C"/>
    <w:rsid w:val="0055232B"/>
    <w:rsid w:val="00552B9C"/>
    <w:rsid w:val="00552BF9"/>
    <w:rsid w:val="005536B2"/>
    <w:rsid w:val="00553D8D"/>
    <w:rsid w:val="00554353"/>
    <w:rsid w:val="005545B2"/>
    <w:rsid w:val="0055460C"/>
    <w:rsid w:val="00554747"/>
    <w:rsid w:val="00554D73"/>
    <w:rsid w:val="005557E3"/>
    <w:rsid w:val="00555BEA"/>
    <w:rsid w:val="005560C7"/>
    <w:rsid w:val="005564C1"/>
    <w:rsid w:val="00556A0E"/>
    <w:rsid w:val="0055702D"/>
    <w:rsid w:val="00557487"/>
    <w:rsid w:val="005577B3"/>
    <w:rsid w:val="005577CD"/>
    <w:rsid w:val="005579EC"/>
    <w:rsid w:val="00557F3E"/>
    <w:rsid w:val="0056013E"/>
    <w:rsid w:val="005607F6"/>
    <w:rsid w:val="00561E4B"/>
    <w:rsid w:val="00561E7E"/>
    <w:rsid w:val="005623D5"/>
    <w:rsid w:val="00562481"/>
    <w:rsid w:val="005627AE"/>
    <w:rsid w:val="00562E6A"/>
    <w:rsid w:val="0056323F"/>
    <w:rsid w:val="00563498"/>
    <w:rsid w:val="0056389D"/>
    <w:rsid w:val="00563DAD"/>
    <w:rsid w:val="00563DE8"/>
    <w:rsid w:val="00563F57"/>
    <w:rsid w:val="005646E1"/>
    <w:rsid w:val="005648D9"/>
    <w:rsid w:val="00564A23"/>
    <w:rsid w:val="00564E47"/>
    <w:rsid w:val="0056508D"/>
    <w:rsid w:val="00565971"/>
    <w:rsid w:val="00565B86"/>
    <w:rsid w:val="00565D61"/>
    <w:rsid w:val="00566232"/>
    <w:rsid w:val="0056686F"/>
    <w:rsid w:val="00566C34"/>
    <w:rsid w:val="00566C6B"/>
    <w:rsid w:val="005673AA"/>
    <w:rsid w:val="005679E8"/>
    <w:rsid w:val="00567B19"/>
    <w:rsid w:val="00567D74"/>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067"/>
    <w:rsid w:val="00573225"/>
    <w:rsid w:val="0057383E"/>
    <w:rsid w:val="0057394E"/>
    <w:rsid w:val="005739A2"/>
    <w:rsid w:val="00573CE0"/>
    <w:rsid w:val="0057447D"/>
    <w:rsid w:val="0057475D"/>
    <w:rsid w:val="00574D9E"/>
    <w:rsid w:val="00575484"/>
    <w:rsid w:val="00575CFA"/>
    <w:rsid w:val="00576111"/>
    <w:rsid w:val="00576B33"/>
    <w:rsid w:val="00576E44"/>
    <w:rsid w:val="005772B4"/>
    <w:rsid w:val="0057752D"/>
    <w:rsid w:val="005777FB"/>
    <w:rsid w:val="005778E0"/>
    <w:rsid w:val="00577EC4"/>
    <w:rsid w:val="00580170"/>
    <w:rsid w:val="0058023D"/>
    <w:rsid w:val="00580A48"/>
    <w:rsid w:val="00580E4E"/>
    <w:rsid w:val="00581212"/>
    <w:rsid w:val="00581530"/>
    <w:rsid w:val="00581C01"/>
    <w:rsid w:val="00581FE4"/>
    <w:rsid w:val="005822F6"/>
    <w:rsid w:val="0058263F"/>
    <w:rsid w:val="005829F3"/>
    <w:rsid w:val="00582AD5"/>
    <w:rsid w:val="00582D9A"/>
    <w:rsid w:val="005833C6"/>
    <w:rsid w:val="005836EC"/>
    <w:rsid w:val="00583AF2"/>
    <w:rsid w:val="00583BA8"/>
    <w:rsid w:val="00584070"/>
    <w:rsid w:val="0058408C"/>
    <w:rsid w:val="00584485"/>
    <w:rsid w:val="005848FD"/>
    <w:rsid w:val="00584CB9"/>
    <w:rsid w:val="00584F4C"/>
    <w:rsid w:val="0058504C"/>
    <w:rsid w:val="00585AA0"/>
    <w:rsid w:val="005861B6"/>
    <w:rsid w:val="00586250"/>
    <w:rsid w:val="005865CE"/>
    <w:rsid w:val="0058674D"/>
    <w:rsid w:val="005873BB"/>
    <w:rsid w:val="00587A29"/>
    <w:rsid w:val="00587D87"/>
    <w:rsid w:val="005903CD"/>
    <w:rsid w:val="00590BE2"/>
    <w:rsid w:val="005917B6"/>
    <w:rsid w:val="005917D0"/>
    <w:rsid w:val="00592732"/>
    <w:rsid w:val="005928C4"/>
    <w:rsid w:val="00592A05"/>
    <w:rsid w:val="00592B97"/>
    <w:rsid w:val="00592BE4"/>
    <w:rsid w:val="00593BD2"/>
    <w:rsid w:val="00593F95"/>
    <w:rsid w:val="00593FF1"/>
    <w:rsid w:val="00594008"/>
    <w:rsid w:val="0059475F"/>
    <w:rsid w:val="00594CD7"/>
    <w:rsid w:val="00594ECB"/>
    <w:rsid w:val="00595791"/>
    <w:rsid w:val="005958AE"/>
    <w:rsid w:val="00595A4F"/>
    <w:rsid w:val="00595ED6"/>
    <w:rsid w:val="00596052"/>
    <w:rsid w:val="005965A9"/>
    <w:rsid w:val="00597283"/>
    <w:rsid w:val="00597448"/>
    <w:rsid w:val="00597575"/>
    <w:rsid w:val="00597804"/>
    <w:rsid w:val="00597AD0"/>
    <w:rsid w:val="00597BE4"/>
    <w:rsid w:val="005A019E"/>
    <w:rsid w:val="005A0347"/>
    <w:rsid w:val="005A09C2"/>
    <w:rsid w:val="005A0B45"/>
    <w:rsid w:val="005A1399"/>
    <w:rsid w:val="005A1418"/>
    <w:rsid w:val="005A1514"/>
    <w:rsid w:val="005A1A34"/>
    <w:rsid w:val="005A1D50"/>
    <w:rsid w:val="005A1E8C"/>
    <w:rsid w:val="005A21EE"/>
    <w:rsid w:val="005A2F41"/>
    <w:rsid w:val="005A33CB"/>
    <w:rsid w:val="005A350C"/>
    <w:rsid w:val="005A3693"/>
    <w:rsid w:val="005A396D"/>
    <w:rsid w:val="005A3D56"/>
    <w:rsid w:val="005A3DD0"/>
    <w:rsid w:val="005A3E58"/>
    <w:rsid w:val="005A3FED"/>
    <w:rsid w:val="005A47D5"/>
    <w:rsid w:val="005A52E6"/>
    <w:rsid w:val="005A5783"/>
    <w:rsid w:val="005A6108"/>
    <w:rsid w:val="005A6639"/>
    <w:rsid w:val="005A7376"/>
    <w:rsid w:val="005A7820"/>
    <w:rsid w:val="005A7879"/>
    <w:rsid w:val="005A788F"/>
    <w:rsid w:val="005A7E7F"/>
    <w:rsid w:val="005B02DF"/>
    <w:rsid w:val="005B0437"/>
    <w:rsid w:val="005B05B3"/>
    <w:rsid w:val="005B05F5"/>
    <w:rsid w:val="005B0677"/>
    <w:rsid w:val="005B0CF1"/>
    <w:rsid w:val="005B0F39"/>
    <w:rsid w:val="005B1205"/>
    <w:rsid w:val="005B1AB9"/>
    <w:rsid w:val="005B1BEA"/>
    <w:rsid w:val="005B1CC5"/>
    <w:rsid w:val="005B1DA5"/>
    <w:rsid w:val="005B202F"/>
    <w:rsid w:val="005B21DA"/>
    <w:rsid w:val="005B260E"/>
    <w:rsid w:val="005B2EA8"/>
    <w:rsid w:val="005B34C2"/>
    <w:rsid w:val="005B35F1"/>
    <w:rsid w:val="005B380E"/>
    <w:rsid w:val="005B3C3E"/>
    <w:rsid w:val="005B3D32"/>
    <w:rsid w:val="005B4306"/>
    <w:rsid w:val="005B51AC"/>
    <w:rsid w:val="005B5335"/>
    <w:rsid w:val="005B5853"/>
    <w:rsid w:val="005B5A1E"/>
    <w:rsid w:val="005B5EEC"/>
    <w:rsid w:val="005B647D"/>
    <w:rsid w:val="005B6B38"/>
    <w:rsid w:val="005B6EEC"/>
    <w:rsid w:val="005B6EF1"/>
    <w:rsid w:val="005B6F05"/>
    <w:rsid w:val="005B6F27"/>
    <w:rsid w:val="005B7F43"/>
    <w:rsid w:val="005C016E"/>
    <w:rsid w:val="005C02D9"/>
    <w:rsid w:val="005C031C"/>
    <w:rsid w:val="005C0D70"/>
    <w:rsid w:val="005C1182"/>
    <w:rsid w:val="005C11E1"/>
    <w:rsid w:val="005C1467"/>
    <w:rsid w:val="005C1502"/>
    <w:rsid w:val="005C1746"/>
    <w:rsid w:val="005C1A6D"/>
    <w:rsid w:val="005C1F6A"/>
    <w:rsid w:val="005C2F03"/>
    <w:rsid w:val="005C2F77"/>
    <w:rsid w:val="005C3717"/>
    <w:rsid w:val="005C38A2"/>
    <w:rsid w:val="005C3B75"/>
    <w:rsid w:val="005C4361"/>
    <w:rsid w:val="005C45E4"/>
    <w:rsid w:val="005C4B7F"/>
    <w:rsid w:val="005C4FBE"/>
    <w:rsid w:val="005C50FA"/>
    <w:rsid w:val="005C52C4"/>
    <w:rsid w:val="005C5A2E"/>
    <w:rsid w:val="005C6045"/>
    <w:rsid w:val="005C6149"/>
    <w:rsid w:val="005C63FF"/>
    <w:rsid w:val="005C6499"/>
    <w:rsid w:val="005C661A"/>
    <w:rsid w:val="005C6E7D"/>
    <w:rsid w:val="005C74C0"/>
    <w:rsid w:val="005C7E2E"/>
    <w:rsid w:val="005D00E2"/>
    <w:rsid w:val="005D0170"/>
    <w:rsid w:val="005D0566"/>
    <w:rsid w:val="005D0B0A"/>
    <w:rsid w:val="005D187A"/>
    <w:rsid w:val="005D1ACA"/>
    <w:rsid w:val="005D208C"/>
    <w:rsid w:val="005D2272"/>
    <w:rsid w:val="005D33E5"/>
    <w:rsid w:val="005D3557"/>
    <w:rsid w:val="005D3C95"/>
    <w:rsid w:val="005D451F"/>
    <w:rsid w:val="005D4AF6"/>
    <w:rsid w:val="005D4D9E"/>
    <w:rsid w:val="005D5072"/>
    <w:rsid w:val="005D516B"/>
    <w:rsid w:val="005D58C3"/>
    <w:rsid w:val="005D7678"/>
    <w:rsid w:val="005D76C8"/>
    <w:rsid w:val="005D76E3"/>
    <w:rsid w:val="005E09DA"/>
    <w:rsid w:val="005E1B51"/>
    <w:rsid w:val="005E25A6"/>
    <w:rsid w:val="005E270C"/>
    <w:rsid w:val="005E276A"/>
    <w:rsid w:val="005E2BE7"/>
    <w:rsid w:val="005E3036"/>
    <w:rsid w:val="005E334F"/>
    <w:rsid w:val="005E3557"/>
    <w:rsid w:val="005E3630"/>
    <w:rsid w:val="005E3B74"/>
    <w:rsid w:val="005E3BFB"/>
    <w:rsid w:val="005E41B1"/>
    <w:rsid w:val="005E435B"/>
    <w:rsid w:val="005E43C6"/>
    <w:rsid w:val="005E47DD"/>
    <w:rsid w:val="005E4942"/>
    <w:rsid w:val="005E4948"/>
    <w:rsid w:val="005E5AF5"/>
    <w:rsid w:val="005E5DE3"/>
    <w:rsid w:val="005E5F36"/>
    <w:rsid w:val="005E6744"/>
    <w:rsid w:val="005E6815"/>
    <w:rsid w:val="005E6F6E"/>
    <w:rsid w:val="005E711B"/>
    <w:rsid w:val="005E7604"/>
    <w:rsid w:val="005F0324"/>
    <w:rsid w:val="005F0747"/>
    <w:rsid w:val="005F07F5"/>
    <w:rsid w:val="005F0C58"/>
    <w:rsid w:val="005F0F49"/>
    <w:rsid w:val="005F1651"/>
    <w:rsid w:val="005F1B67"/>
    <w:rsid w:val="005F1F68"/>
    <w:rsid w:val="005F23DE"/>
    <w:rsid w:val="005F2E83"/>
    <w:rsid w:val="005F33FB"/>
    <w:rsid w:val="005F3E68"/>
    <w:rsid w:val="005F431A"/>
    <w:rsid w:val="005F4458"/>
    <w:rsid w:val="005F4532"/>
    <w:rsid w:val="005F472D"/>
    <w:rsid w:val="005F4815"/>
    <w:rsid w:val="005F4DAF"/>
    <w:rsid w:val="005F5141"/>
    <w:rsid w:val="005F51F2"/>
    <w:rsid w:val="005F5F0B"/>
    <w:rsid w:val="005F6230"/>
    <w:rsid w:val="005F668D"/>
    <w:rsid w:val="005F676F"/>
    <w:rsid w:val="005F6BAB"/>
    <w:rsid w:val="005F6BE6"/>
    <w:rsid w:val="005F70AD"/>
    <w:rsid w:val="005F730C"/>
    <w:rsid w:val="005F7584"/>
    <w:rsid w:val="005F77A1"/>
    <w:rsid w:val="005F77E4"/>
    <w:rsid w:val="005F784F"/>
    <w:rsid w:val="005F78BA"/>
    <w:rsid w:val="00600146"/>
    <w:rsid w:val="00600379"/>
    <w:rsid w:val="006003DE"/>
    <w:rsid w:val="006003F3"/>
    <w:rsid w:val="00600EC1"/>
    <w:rsid w:val="006015FF"/>
    <w:rsid w:val="006016CA"/>
    <w:rsid w:val="00601B60"/>
    <w:rsid w:val="00602183"/>
    <w:rsid w:val="006023EB"/>
    <w:rsid w:val="00602528"/>
    <w:rsid w:val="00603A3B"/>
    <w:rsid w:val="00603A7C"/>
    <w:rsid w:val="00603B58"/>
    <w:rsid w:val="00604544"/>
    <w:rsid w:val="00604BFB"/>
    <w:rsid w:val="00604C74"/>
    <w:rsid w:val="00605191"/>
    <w:rsid w:val="00605227"/>
    <w:rsid w:val="0060562E"/>
    <w:rsid w:val="006060DB"/>
    <w:rsid w:val="006064D4"/>
    <w:rsid w:val="006066EE"/>
    <w:rsid w:val="00606B28"/>
    <w:rsid w:val="00606EFA"/>
    <w:rsid w:val="006072A5"/>
    <w:rsid w:val="006072E6"/>
    <w:rsid w:val="00607679"/>
    <w:rsid w:val="006079C8"/>
    <w:rsid w:val="00607A44"/>
    <w:rsid w:val="00607A7B"/>
    <w:rsid w:val="00607A85"/>
    <w:rsid w:val="00607CE3"/>
    <w:rsid w:val="006107D3"/>
    <w:rsid w:val="00610E58"/>
    <w:rsid w:val="006112CB"/>
    <w:rsid w:val="00611D0D"/>
    <w:rsid w:val="006125BB"/>
    <w:rsid w:val="00612725"/>
    <w:rsid w:val="00612F11"/>
    <w:rsid w:val="0061308B"/>
    <w:rsid w:val="00613104"/>
    <w:rsid w:val="00613AE5"/>
    <w:rsid w:val="00613DC4"/>
    <w:rsid w:val="00614B3A"/>
    <w:rsid w:val="00614E2C"/>
    <w:rsid w:val="00615320"/>
    <w:rsid w:val="006161D7"/>
    <w:rsid w:val="006165DE"/>
    <w:rsid w:val="00616DC1"/>
    <w:rsid w:val="00616E2B"/>
    <w:rsid w:val="0061700A"/>
    <w:rsid w:val="0061718B"/>
    <w:rsid w:val="00617419"/>
    <w:rsid w:val="006175A0"/>
    <w:rsid w:val="00617828"/>
    <w:rsid w:val="00617A55"/>
    <w:rsid w:val="006201C7"/>
    <w:rsid w:val="006204DC"/>
    <w:rsid w:val="0062163E"/>
    <w:rsid w:val="0062180A"/>
    <w:rsid w:val="00621F48"/>
    <w:rsid w:val="00622415"/>
    <w:rsid w:val="0062246F"/>
    <w:rsid w:val="00622567"/>
    <w:rsid w:val="00622D25"/>
    <w:rsid w:val="00622D41"/>
    <w:rsid w:val="00622D6C"/>
    <w:rsid w:val="00622E72"/>
    <w:rsid w:val="00623287"/>
    <w:rsid w:val="006237D5"/>
    <w:rsid w:val="00623845"/>
    <w:rsid w:val="00623852"/>
    <w:rsid w:val="006248B4"/>
    <w:rsid w:val="006249DA"/>
    <w:rsid w:val="006256F9"/>
    <w:rsid w:val="00625DDF"/>
    <w:rsid w:val="00625E90"/>
    <w:rsid w:val="00626072"/>
    <w:rsid w:val="006267A6"/>
    <w:rsid w:val="00626D9F"/>
    <w:rsid w:val="00626E9E"/>
    <w:rsid w:val="00626F26"/>
    <w:rsid w:val="00627011"/>
    <w:rsid w:val="00627130"/>
    <w:rsid w:val="00627181"/>
    <w:rsid w:val="00627392"/>
    <w:rsid w:val="006273F6"/>
    <w:rsid w:val="00627579"/>
    <w:rsid w:val="00627CD7"/>
    <w:rsid w:val="006300AD"/>
    <w:rsid w:val="00630421"/>
    <w:rsid w:val="00631076"/>
    <w:rsid w:val="00631AC7"/>
    <w:rsid w:val="00631DE8"/>
    <w:rsid w:val="006324AB"/>
    <w:rsid w:val="00632644"/>
    <w:rsid w:val="00633C56"/>
    <w:rsid w:val="00634BCB"/>
    <w:rsid w:val="00635096"/>
    <w:rsid w:val="00635303"/>
    <w:rsid w:val="00635505"/>
    <w:rsid w:val="0063561F"/>
    <w:rsid w:val="0063583F"/>
    <w:rsid w:val="00635D52"/>
    <w:rsid w:val="006360A9"/>
    <w:rsid w:val="006363A7"/>
    <w:rsid w:val="00636618"/>
    <w:rsid w:val="006367C4"/>
    <w:rsid w:val="0063695F"/>
    <w:rsid w:val="00636DE3"/>
    <w:rsid w:val="00636F58"/>
    <w:rsid w:val="00637011"/>
    <w:rsid w:val="006371B3"/>
    <w:rsid w:val="006375DB"/>
    <w:rsid w:val="006378D3"/>
    <w:rsid w:val="006379AE"/>
    <w:rsid w:val="00637D8F"/>
    <w:rsid w:val="0064003F"/>
    <w:rsid w:val="006404E7"/>
    <w:rsid w:val="006405A1"/>
    <w:rsid w:val="00640B38"/>
    <w:rsid w:val="0064135A"/>
    <w:rsid w:val="00641640"/>
    <w:rsid w:val="00641B26"/>
    <w:rsid w:val="006421B4"/>
    <w:rsid w:val="006421F8"/>
    <w:rsid w:val="00642BD7"/>
    <w:rsid w:val="0064337B"/>
    <w:rsid w:val="006433F4"/>
    <w:rsid w:val="006434FC"/>
    <w:rsid w:val="00643804"/>
    <w:rsid w:val="006438CB"/>
    <w:rsid w:val="00643B67"/>
    <w:rsid w:val="0064405C"/>
    <w:rsid w:val="006441BA"/>
    <w:rsid w:val="006443F1"/>
    <w:rsid w:val="00644734"/>
    <w:rsid w:val="00644906"/>
    <w:rsid w:val="00644C72"/>
    <w:rsid w:val="0064519E"/>
    <w:rsid w:val="006451CF"/>
    <w:rsid w:val="00645B88"/>
    <w:rsid w:val="006463C9"/>
    <w:rsid w:val="00646BFE"/>
    <w:rsid w:val="006472F2"/>
    <w:rsid w:val="006500CC"/>
    <w:rsid w:val="00650A67"/>
    <w:rsid w:val="00650BDE"/>
    <w:rsid w:val="00650DF8"/>
    <w:rsid w:val="00650FE0"/>
    <w:rsid w:val="0065136A"/>
    <w:rsid w:val="00651566"/>
    <w:rsid w:val="006517B7"/>
    <w:rsid w:val="006518C6"/>
    <w:rsid w:val="00651949"/>
    <w:rsid w:val="00651E4F"/>
    <w:rsid w:val="006522C6"/>
    <w:rsid w:val="00652A4C"/>
    <w:rsid w:val="00653A3A"/>
    <w:rsid w:val="00653FBB"/>
    <w:rsid w:val="006541D5"/>
    <w:rsid w:val="006543F3"/>
    <w:rsid w:val="00654892"/>
    <w:rsid w:val="00654CFA"/>
    <w:rsid w:val="00655505"/>
    <w:rsid w:val="00655565"/>
    <w:rsid w:val="00655849"/>
    <w:rsid w:val="00655CC6"/>
    <w:rsid w:val="00656041"/>
    <w:rsid w:val="006560AD"/>
    <w:rsid w:val="006568B1"/>
    <w:rsid w:val="00656A9E"/>
    <w:rsid w:val="006576BB"/>
    <w:rsid w:val="006576CB"/>
    <w:rsid w:val="0065778E"/>
    <w:rsid w:val="006579D0"/>
    <w:rsid w:val="00657B85"/>
    <w:rsid w:val="00657B8A"/>
    <w:rsid w:val="00657E3E"/>
    <w:rsid w:val="00660854"/>
    <w:rsid w:val="0066092A"/>
    <w:rsid w:val="00661026"/>
    <w:rsid w:val="006614DF"/>
    <w:rsid w:val="00661772"/>
    <w:rsid w:val="00661D17"/>
    <w:rsid w:val="00661D2B"/>
    <w:rsid w:val="006624C6"/>
    <w:rsid w:val="0066280F"/>
    <w:rsid w:val="00662888"/>
    <w:rsid w:val="00662C78"/>
    <w:rsid w:val="00662E12"/>
    <w:rsid w:val="00663491"/>
    <w:rsid w:val="00663578"/>
    <w:rsid w:val="006636F8"/>
    <w:rsid w:val="00663C1B"/>
    <w:rsid w:val="00663E18"/>
    <w:rsid w:val="006645C2"/>
    <w:rsid w:val="00664839"/>
    <w:rsid w:val="0066507D"/>
    <w:rsid w:val="006652D0"/>
    <w:rsid w:val="006659D5"/>
    <w:rsid w:val="00665FC9"/>
    <w:rsid w:val="00666236"/>
    <w:rsid w:val="0066653E"/>
    <w:rsid w:val="0066738D"/>
    <w:rsid w:val="006679D7"/>
    <w:rsid w:val="0067004D"/>
    <w:rsid w:val="006702DC"/>
    <w:rsid w:val="00670507"/>
    <w:rsid w:val="00670E79"/>
    <w:rsid w:val="0067128E"/>
    <w:rsid w:val="00671B1E"/>
    <w:rsid w:val="00671B73"/>
    <w:rsid w:val="00672034"/>
    <w:rsid w:val="00672171"/>
    <w:rsid w:val="006735C3"/>
    <w:rsid w:val="00673A9D"/>
    <w:rsid w:val="00673FF8"/>
    <w:rsid w:val="00674B54"/>
    <w:rsid w:val="00674CD3"/>
    <w:rsid w:val="00674D6B"/>
    <w:rsid w:val="00674FD4"/>
    <w:rsid w:val="00675184"/>
    <w:rsid w:val="006751F1"/>
    <w:rsid w:val="0067520B"/>
    <w:rsid w:val="0067524A"/>
    <w:rsid w:val="006759D6"/>
    <w:rsid w:val="00675E6D"/>
    <w:rsid w:val="00676048"/>
    <w:rsid w:val="00676890"/>
    <w:rsid w:val="00676C3C"/>
    <w:rsid w:val="00677775"/>
    <w:rsid w:val="00677B72"/>
    <w:rsid w:val="00677BA6"/>
    <w:rsid w:val="00677FD1"/>
    <w:rsid w:val="0068038F"/>
    <w:rsid w:val="00680BFF"/>
    <w:rsid w:val="00680C4B"/>
    <w:rsid w:val="00680EB1"/>
    <w:rsid w:val="00680FD9"/>
    <w:rsid w:val="00681ACA"/>
    <w:rsid w:val="0068207D"/>
    <w:rsid w:val="00683134"/>
    <w:rsid w:val="0068324E"/>
    <w:rsid w:val="00683262"/>
    <w:rsid w:val="006839EF"/>
    <w:rsid w:val="00683B25"/>
    <w:rsid w:val="00683DF7"/>
    <w:rsid w:val="0068487E"/>
    <w:rsid w:val="00684BD7"/>
    <w:rsid w:val="00686041"/>
    <w:rsid w:val="0068666A"/>
    <w:rsid w:val="006869E6"/>
    <w:rsid w:val="00686B5C"/>
    <w:rsid w:val="00686DE3"/>
    <w:rsid w:val="00686F9D"/>
    <w:rsid w:val="00687372"/>
    <w:rsid w:val="00687373"/>
    <w:rsid w:val="006873C0"/>
    <w:rsid w:val="006877D5"/>
    <w:rsid w:val="00687BEE"/>
    <w:rsid w:val="0069106B"/>
    <w:rsid w:val="00691282"/>
    <w:rsid w:val="00691730"/>
    <w:rsid w:val="00692295"/>
    <w:rsid w:val="00692415"/>
    <w:rsid w:val="006929CC"/>
    <w:rsid w:val="00692B17"/>
    <w:rsid w:val="00693903"/>
    <w:rsid w:val="00693A21"/>
    <w:rsid w:val="00693A68"/>
    <w:rsid w:val="00693C79"/>
    <w:rsid w:val="00693E3D"/>
    <w:rsid w:val="0069494F"/>
    <w:rsid w:val="0069509F"/>
    <w:rsid w:val="00695C15"/>
    <w:rsid w:val="006962B1"/>
    <w:rsid w:val="0069657D"/>
    <w:rsid w:val="00696B3D"/>
    <w:rsid w:val="00696DA1"/>
    <w:rsid w:val="00697260"/>
    <w:rsid w:val="00697A66"/>
    <w:rsid w:val="006A0116"/>
    <w:rsid w:val="006A0308"/>
    <w:rsid w:val="006A0C41"/>
    <w:rsid w:val="006A14F2"/>
    <w:rsid w:val="006A16B8"/>
    <w:rsid w:val="006A1F28"/>
    <w:rsid w:val="006A2335"/>
    <w:rsid w:val="006A2748"/>
    <w:rsid w:val="006A2771"/>
    <w:rsid w:val="006A27FD"/>
    <w:rsid w:val="006A282B"/>
    <w:rsid w:val="006A289B"/>
    <w:rsid w:val="006A295A"/>
    <w:rsid w:val="006A3265"/>
    <w:rsid w:val="006A32EF"/>
    <w:rsid w:val="006A33CD"/>
    <w:rsid w:val="006A345E"/>
    <w:rsid w:val="006A361B"/>
    <w:rsid w:val="006A3961"/>
    <w:rsid w:val="006A3AAC"/>
    <w:rsid w:val="006A54C7"/>
    <w:rsid w:val="006A582D"/>
    <w:rsid w:val="006A582E"/>
    <w:rsid w:val="006A5E28"/>
    <w:rsid w:val="006A655B"/>
    <w:rsid w:val="006A67B9"/>
    <w:rsid w:val="006A6812"/>
    <w:rsid w:val="006A6959"/>
    <w:rsid w:val="006A6C70"/>
    <w:rsid w:val="006A6D2C"/>
    <w:rsid w:val="006A70C8"/>
    <w:rsid w:val="006A7250"/>
    <w:rsid w:val="006B0999"/>
    <w:rsid w:val="006B0A40"/>
    <w:rsid w:val="006B0D03"/>
    <w:rsid w:val="006B105C"/>
    <w:rsid w:val="006B10A3"/>
    <w:rsid w:val="006B10C3"/>
    <w:rsid w:val="006B1559"/>
    <w:rsid w:val="006B1858"/>
    <w:rsid w:val="006B18A5"/>
    <w:rsid w:val="006B19D9"/>
    <w:rsid w:val="006B1AB6"/>
    <w:rsid w:val="006B1BFE"/>
    <w:rsid w:val="006B1C1A"/>
    <w:rsid w:val="006B1F09"/>
    <w:rsid w:val="006B2263"/>
    <w:rsid w:val="006B2C7B"/>
    <w:rsid w:val="006B2D6C"/>
    <w:rsid w:val="006B3891"/>
    <w:rsid w:val="006B3CBF"/>
    <w:rsid w:val="006B43AA"/>
    <w:rsid w:val="006B4BB6"/>
    <w:rsid w:val="006B506A"/>
    <w:rsid w:val="006B51A5"/>
    <w:rsid w:val="006B5FA6"/>
    <w:rsid w:val="006B6278"/>
    <w:rsid w:val="006B65FB"/>
    <w:rsid w:val="006B662D"/>
    <w:rsid w:val="006B6842"/>
    <w:rsid w:val="006B6B97"/>
    <w:rsid w:val="006B6BF0"/>
    <w:rsid w:val="006B71B6"/>
    <w:rsid w:val="006B7865"/>
    <w:rsid w:val="006B7912"/>
    <w:rsid w:val="006B7DEE"/>
    <w:rsid w:val="006B7F9B"/>
    <w:rsid w:val="006C03FF"/>
    <w:rsid w:val="006C056E"/>
    <w:rsid w:val="006C09C6"/>
    <w:rsid w:val="006C0C3C"/>
    <w:rsid w:val="006C0FCE"/>
    <w:rsid w:val="006C1183"/>
    <w:rsid w:val="006C11F9"/>
    <w:rsid w:val="006C14FC"/>
    <w:rsid w:val="006C1505"/>
    <w:rsid w:val="006C2200"/>
    <w:rsid w:val="006C2203"/>
    <w:rsid w:val="006C25D4"/>
    <w:rsid w:val="006C26AE"/>
    <w:rsid w:val="006C2958"/>
    <w:rsid w:val="006C329C"/>
    <w:rsid w:val="006C3446"/>
    <w:rsid w:val="006C349C"/>
    <w:rsid w:val="006C3D25"/>
    <w:rsid w:val="006C4061"/>
    <w:rsid w:val="006C4101"/>
    <w:rsid w:val="006C42E6"/>
    <w:rsid w:val="006C4A8C"/>
    <w:rsid w:val="006C4B22"/>
    <w:rsid w:val="006C4F6A"/>
    <w:rsid w:val="006C5150"/>
    <w:rsid w:val="006C6125"/>
    <w:rsid w:val="006C69D0"/>
    <w:rsid w:val="006C6AA9"/>
    <w:rsid w:val="006C7739"/>
    <w:rsid w:val="006C7955"/>
    <w:rsid w:val="006C7B62"/>
    <w:rsid w:val="006D0008"/>
    <w:rsid w:val="006D005D"/>
    <w:rsid w:val="006D026B"/>
    <w:rsid w:val="006D03A5"/>
    <w:rsid w:val="006D08E4"/>
    <w:rsid w:val="006D091C"/>
    <w:rsid w:val="006D1E25"/>
    <w:rsid w:val="006D1E3F"/>
    <w:rsid w:val="006D1F98"/>
    <w:rsid w:val="006D238A"/>
    <w:rsid w:val="006D2500"/>
    <w:rsid w:val="006D2766"/>
    <w:rsid w:val="006D3214"/>
    <w:rsid w:val="006D3501"/>
    <w:rsid w:val="006D40A4"/>
    <w:rsid w:val="006D55DD"/>
    <w:rsid w:val="006D581A"/>
    <w:rsid w:val="006D5E35"/>
    <w:rsid w:val="006D60C5"/>
    <w:rsid w:val="006D61C8"/>
    <w:rsid w:val="006D62A8"/>
    <w:rsid w:val="006D6367"/>
    <w:rsid w:val="006D64E0"/>
    <w:rsid w:val="006D7705"/>
    <w:rsid w:val="006D7A29"/>
    <w:rsid w:val="006D7F74"/>
    <w:rsid w:val="006E0791"/>
    <w:rsid w:val="006E10AA"/>
    <w:rsid w:val="006E16DE"/>
    <w:rsid w:val="006E1DC8"/>
    <w:rsid w:val="006E1DD9"/>
    <w:rsid w:val="006E20B3"/>
    <w:rsid w:val="006E2206"/>
    <w:rsid w:val="006E260F"/>
    <w:rsid w:val="006E2AAF"/>
    <w:rsid w:val="006E2C7B"/>
    <w:rsid w:val="006E33F8"/>
    <w:rsid w:val="006E3D8B"/>
    <w:rsid w:val="006E3F6F"/>
    <w:rsid w:val="006E403F"/>
    <w:rsid w:val="006E4122"/>
    <w:rsid w:val="006E5629"/>
    <w:rsid w:val="006E565F"/>
    <w:rsid w:val="006E566B"/>
    <w:rsid w:val="006E5B5A"/>
    <w:rsid w:val="006E5BA3"/>
    <w:rsid w:val="006E5FB3"/>
    <w:rsid w:val="006E61A6"/>
    <w:rsid w:val="006E735F"/>
    <w:rsid w:val="006E76BF"/>
    <w:rsid w:val="006E78EE"/>
    <w:rsid w:val="006E7E8D"/>
    <w:rsid w:val="006F032D"/>
    <w:rsid w:val="006F06A1"/>
    <w:rsid w:val="006F14DE"/>
    <w:rsid w:val="006F154D"/>
    <w:rsid w:val="006F18AD"/>
    <w:rsid w:val="006F1C18"/>
    <w:rsid w:val="006F1E7F"/>
    <w:rsid w:val="006F1EFD"/>
    <w:rsid w:val="006F24E5"/>
    <w:rsid w:val="006F257A"/>
    <w:rsid w:val="006F25AB"/>
    <w:rsid w:val="006F269A"/>
    <w:rsid w:val="006F2CA0"/>
    <w:rsid w:val="006F2E7A"/>
    <w:rsid w:val="006F3098"/>
    <w:rsid w:val="006F33D5"/>
    <w:rsid w:val="006F33F3"/>
    <w:rsid w:val="006F3584"/>
    <w:rsid w:val="006F39E1"/>
    <w:rsid w:val="006F4E52"/>
    <w:rsid w:val="006F4F4C"/>
    <w:rsid w:val="006F4FE1"/>
    <w:rsid w:val="006F5550"/>
    <w:rsid w:val="006F6064"/>
    <w:rsid w:val="006F6A2B"/>
    <w:rsid w:val="006F6F76"/>
    <w:rsid w:val="006F7250"/>
    <w:rsid w:val="006F7410"/>
    <w:rsid w:val="00700663"/>
    <w:rsid w:val="0070071F"/>
    <w:rsid w:val="00700790"/>
    <w:rsid w:val="007007BD"/>
    <w:rsid w:val="00700ABD"/>
    <w:rsid w:val="00701524"/>
    <w:rsid w:val="007021CF"/>
    <w:rsid w:val="00702801"/>
    <w:rsid w:val="00702AF7"/>
    <w:rsid w:val="0070304E"/>
    <w:rsid w:val="00703395"/>
    <w:rsid w:val="00703501"/>
    <w:rsid w:val="0070450D"/>
    <w:rsid w:val="0070469F"/>
    <w:rsid w:val="007051A4"/>
    <w:rsid w:val="00706096"/>
    <w:rsid w:val="00706159"/>
    <w:rsid w:val="007064A8"/>
    <w:rsid w:val="007064B2"/>
    <w:rsid w:val="007068AB"/>
    <w:rsid w:val="007074FD"/>
    <w:rsid w:val="0070755C"/>
    <w:rsid w:val="007076BB"/>
    <w:rsid w:val="00710038"/>
    <w:rsid w:val="00710041"/>
    <w:rsid w:val="00710652"/>
    <w:rsid w:val="00710718"/>
    <w:rsid w:val="007109D0"/>
    <w:rsid w:val="0071114A"/>
    <w:rsid w:val="007116E6"/>
    <w:rsid w:val="00711733"/>
    <w:rsid w:val="007127DF"/>
    <w:rsid w:val="00712FC1"/>
    <w:rsid w:val="0071301B"/>
    <w:rsid w:val="007136F0"/>
    <w:rsid w:val="007141E6"/>
    <w:rsid w:val="007143E6"/>
    <w:rsid w:val="007147B0"/>
    <w:rsid w:val="00714BF7"/>
    <w:rsid w:val="00714C41"/>
    <w:rsid w:val="00714DC1"/>
    <w:rsid w:val="007152E8"/>
    <w:rsid w:val="007155A9"/>
    <w:rsid w:val="00715B83"/>
    <w:rsid w:val="007163B9"/>
    <w:rsid w:val="00716447"/>
    <w:rsid w:val="007165AC"/>
    <w:rsid w:val="0071675B"/>
    <w:rsid w:val="00716ACE"/>
    <w:rsid w:val="00716B63"/>
    <w:rsid w:val="00716DBF"/>
    <w:rsid w:val="00716EA5"/>
    <w:rsid w:val="007171A3"/>
    <w:rsid w:val="0071736D"/>
    <w:rsid w:val="00717481"/>
    <w:rsid w:val="00717BC0"/>
    <w:rsid w:val="007200C7"/>
    <w:rsid w:val="0072015D"/>
    <w:rsid w:val="00720494"/>
    <w:rsid w:val="00720E60"/>
    <w:rsid w:val="00720F7B"/>
    <w:rsid w:val="00721747"/>
    <w:rsid w:val="00722486"/>
    <w:rsid w:val="00722AC1"/>
    <w:rsid w:val="00724300"/>
    <w:rsid w:val="00724407"/>
    <w:rsid w:val="007248EE"/>
    <w:rsid w:val="00724A6F"/>
    <w:rsid w:val="00724AE9"/>
    <w:rsid w:val="00724D85"/>
    <w:rsid w:val="00725008"/>
    <w:rsid w:val="0072518F"/>
    <w:rsid w:val="007257E0"/>
    <w:rsid w:val="00725B73"/>
    <w:rsid w:val="00725D94"/>
    <w:rsid w:val="007261E6"/>
    <w:rsid w:val="0072715D"/>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303D"/>
    <w:rsid w:val="00733745"/>
    <w:rsid w:val="007346AA"/>
    <w:rsid w:val="00734801"/>
    <w:rsid w:val="00734DC7"/>
    <w:rsid w:val="00734E00"/>
    <w:rsid w:val="00735378"/>
    <w:rsid w:val="00735726"/>
    <w:rsid w:val="007359B3"/>
    <w:rsid w:val="00735CB8"/>
    <w:rsid w:val="00735F1C"/>
    <w:rsid w:val="00736116"/>
    <w:rsid w:val="007368ED"/>
    <w:rsid w:val="00740C09"/>
    <w:rsid w:val="00741350"/>
    <w:rsid w:val="00741830"/>
    <w:rsid w:val="007419A5"/>
    <w:rsid w:val="00742331"/>
    <w:rsid w:val="00742668"/>
    <w:rsid w:val="00742C4B"/>
    <w:rsid w:val="00742CC1"/>
    <w:rsid w:val="00742DE2"/>
    <w:rsid w:val="00743375"/>
    <w:rsid w:val="00743BE2"/>
    <w:rsid w:val="00744210"/>
    <w:rsid w:val="00744687"/>
    <w:rsid w:val="0074477F"/>
    <w:rsid w:val="00744989"/>
    <w:rsid w:val="00744E34"/>
    <w:rsid w:val="00744EF5"/>
    <w:rsid w:val="00745888"/>
    <w:rsid w:val="00745B23"/>
    <w:rsid w:val="0074601D"/>
    <w:rsid w:val="00746C0F"/>
    <w:rsid w:val="00747528"/>
    <w:rsid w:val="00747738"/>
    <w:rsid w:val="00747858"/>
    <w:rsid w:val="00747AE8"/>
    <w:rsid w:val="00747EB9"/>
    <w:rsid w:val="007501BA"/>
    <w:rsid w:val="0075025C"/>
    <w:rsid w:val="00750391"/>
    <w:rsid w:val="007506A7"/>
    <w:rsid w:val="00750AD6"/>
    <w:rsid w:val="00750DC5"/>
    <w:rsid w:val="00750ED6"/>
    <w:rsid w:val="007517E9"/>
    <w:rsid w:val="007521DE"/>
    <w:rsid w:val="007538BD"/>
    <w:rsid w:val="00753A3E"/>
    <w:rsid w:val="007543C4"/>
    <w:rsid w:val="00754989"/>
    <w:rsid w:val="00754E08"/>
    <w:rsid w:val="00754F62"/>
    <w:rsid w:val="00755668"/>
    <w:rsid w:val="00755801"/>
    <w:rsid w:val="00755B1F"/>
    <w:rsid w:val="00755F9C"/>
    <w:rsid w:val="00757B82"/>
    <w:rsid w:val="00757CCA"/>
    <w:rsid w:val="007602A1"/>
    <w:rsid w:val="007606F9"/>
    <w:rsid w:val="00760AEE"/>
    <w:rsid w:val="00760CC4"/>
    <w:rsid w:val="00760D45"/>
    <w:rsid w:val="007612C2"/>
    <w:rsid w:val="0076147E"/>
    <w:rsid w:val="007614F6"/>
    <w:rsid w:val="0076159C"/>
    <w:rsid w:val="0076182C"/>
    <w:rsid w:val="007618DB"/>
    <w:rsid w:val="00761997"/>
    <w:rsid w:val="00761B4A"/>
    <w:rsid w:val="00761F26"/>
    <w:rsid w:val="007626C2"/>
    <w:rsid w:val="007629E5"/>
    <w:rsid w:val="00763A8E"/>
    <w:rsid w:val="00763E10"/>
    <w:rsid w:val="00764642"/>
    <w:rsid w:val="00764B37"/>
    <w:rsid w:val="00764C1B"/>
    <w:rsid w:val="00764C22"/>
    <w:rsid w:val="007652A6"/>
    <w:rsid w:val="0076535B"/>
    <w:rsid w:val="00765847"/>
    <w:rsid w:val="0076592B"/>
    <w:rsid w:val="007659FE"/>
    <w:rsid w:val="00766280"/>
    <w:rsid w:val="00766318"/>
    <w:rsid w:val="007664A8"/>
    <w:rsid w:val="00766FED"/>
    <w:rsid w:val="007705C2"/>
    <w:rsid w:val="00770C02"/>
    <w:rsid w:val="0077101D"/>
    <w:rsid w:val="007714C1"/>
    <w:rsid w:val="00771832"/>
    <w:rsid w:val="007732FA"/>
    <w:rsid w:val="00773421"/>
    <w:rsid w:val="00774252"/>
    <w:rsid w:val="00774E52"/>
    <w:rsid w:val="007750D3"/>
    <w:rsid w:val="00775127"/>
    <w:rsid w:val="007759A5"/>
    <w:rsid w:val="00776179"/>
    <w:rsid w:val="007763A0"/>
    <w:rsid w:val="007767CE"/>
    <w:rsid w:val="00777364"/>
    <w:rsid w:val="007777C4"/>
    <w:rsid w:val="00777B0A"/>
    <w:rsid w:val="00777B7D"/>
    <w:rsid w:val="0078020F"/>
    <w:rsid w:val="00780BD0"/>
    <w:rsid w:val="00781FDF"/>
    <w:rsid w:val="0078201A"/>
    <w:rsid w:val="00782082"/>
    <w:rsid w:val="0078285F"/>
    <w:rsid w:val="00782A60"/>
    <w:rsid w:val="00782BA7"/>
    <w:rsid w:val="00783491"/>
    <w:rsid w:val="00783A30"/>
    <w:rsid w:val="00783ADB"/>
    <w:rsid w:val="00783B02"/>
    <w:rsid w:val="00784397"/>
    <w:rsid w:val="00784586"/>
    <w:rsid w:val="00784CBC"/>
    <w:rsid w:val="00785095"/>
    <w:rsid w:val="0078534A"/>
    <w:rsid w:val="00785585"/>
    <w:rsid w:val="00785604"/>
    <w:rsid w:val="00785C36"/>
    <w:rsid w:val="007867AE"/>
    <w:rsid w:val="00787A23"/>
    <w:rsid w:val="00787BDD"/>
    <w:rsid w:val="00787BFF"/>
    <w:rsid w:val="0079006F"/>
    <w:rsid w:val="007903C6"/>
    <w:rsid w:val="007906FC"/>
    <w:rsid w:val="00791628"/>
    <w:rsid w:val="00791DB6"/>
    <w:rsid w:val="00792912"/>
    <w:rsid w:val="00792A3D"/>
    <w:rsid w:val="007931DE"/>
    <w:rsid w:val="00793EE4"/>
    <w:rsid w:val="0079403F"/>
    <w:rsid w:val="00794216"/>
    <w:rsid w:val="00794817"/>
    <w:rsid w:val="007953D6"/>
    <w:rsid w:val="00795410"/>
    <w:rsid w:val="00795434"/>
    <w:rsid w:val="00795838"/>
    <w:rsid w:val="00795B30"/>
    <w:rsid w:val="00795C4D"/>
    <w:rsid w:val="00795CE7"/>
    <w:rsid w:val="00795FD8"/>
    <w:rsid w:val="00796222"/>
    <w:rsid w:val="0079626F"/>
    <w:rsid w:val="00796374"/>
    <w:rsid w:val="00796A9F"/>
    <w:rsid w:val="00796B93"/>
    <w:rsid w:val="00797044"/>
    <w:rsid w:val="007976FC"/>
    <w:rsid w:val="00797986"/>
    <w:rsid w:val="00797D15"/>
    <w:rsid w:val="007A0203"/>
    <w:rsid w:val="007A02BD"/>
    <w:rsid w:val="007A080E"/>
    <w:rsid w:val="007A1670"/>
    <w:rsid w:val="007A1F4B"/>
    <w:rsid w:val="007A20BE"/>
    <w:rsid w:val="007A226C"/>
    <w:rsid w:val="007A23C4"/>
    <w:rsid w:val="007A2610"/>
    <w:rsid w:val="007A2998"/>
    <w:rsid w:val="007A2BB2"/>
    <w:rsid w:val="007A3A38"/>
    <w:rsid w:val="007A3A94"/>
    <w:rsid w:val="007A4FFC"/>
    <w:rsid w:val="007A510C"/>
    <w:rsid w:val="007A58D8"/>
    <w:rsid w:val="007A5AEE"/>
    <w:rsid w:val="007A5F17"/>
    <w:rsid w:val="007A6516"/>
    <w:rsid w:val="007A65DF"/>
    <w:rsid w:val="007A66F6"/>
    <w:rsid w:val="007A687C"/>
    <w:rsid w:val="007A6D88"/>
    <w:rsid w:val="007A6FB2"/>
    <w:rsid w:val="007A724F"/>
    <w:rsid w:val="007A765C"/>
    <w:rsid w:val="007A7679"/>
    <w:rsid w:val="007A76EE"/>
    <w:rsid w:val="007A7E3E"/>
    <w:rsid w:val="007B067D"/>
    <w:rsid w:val="007B0889"/>
    <w:rsid w:val="007B0ABB"/>
    <w:rsid w:val="007B0B01"/>
    <w:rsid w:val="007B0DE0"/>
    <w:rsid w:val="007B1376"/>
    <w:rsid w:val="007B1558"/>
    <w:rsid w:val="007B1B06"/>
    <w:rsid w:val="007B2150"/>
    <w:rsid w:val="007B227F"/>
    <w:rsid w:val="007B2534"/>
    <w:rsid w:val="007B28D1"/>
    <w:rsid w:val="007B3BFF"/>
    <w:rsid w:val="007B3DF1"/>
    <w:rsid w:val="007B44B8"/>
    <w:rsid w:val="007B45C1"/>
    <w:rsid w:val="007B4664"/>
    <w:rsid w:val="007B4831"/>
    <w:rsid w:val="007B4990"/>
    <w:rsid w:val="007B5376"/>
    <w:rsid w:val="007B5587"/>
    <w:rsid w:val="007B55B9"/>
    <w:rsid w:val="007B585A"/>
    <w:rsid w:val="007B5A6D"/>
    <w:rsid w:val="007B5C7D"/>
    <w:rsid w:val="007B63FF"/>
    <w:rsid w:val="007B6786"/>
    <w:rsid w:val="007B6821"/>
    <w:rsid w:val="007B6A27"/>
    <w:rsid w:val="007B7529"/>
    <w:rsid w:val="007B76E7"/>
    <w:rsid w:val="007B7AC6"/>
    <w:rsid w:val="007C013F"/>
    <w:rsid w:val="007C015D"/>
    <w:rsid w:val="007C0726"/>
    <w:rsid w:val="007C1B87"/>
    <w:rsid w:val="007C1C44"/>
    <w:rsid w:val="007C2126"/>
    <w:rsid w:val="007C238E"/>
    <w:rsid w:val="007C2646"/>
    <w:rsid w:val="007C27D7"/>
    <w:rsid w:val="007C2A89"/>
    <w:rsid w:val="007C2EC3"/>
    <w:rsid w:val="007C3384"/>
    <w:rsid w:val="007C3A16"/>
    <w:rsid w:val="007C3A9E"/>
    <w:rsid w:val="007C4065"/>
    <w:rsid w:val="007C448C"/>
    <w:rsid w:val="007C4639"/>
    <w:rsid w:val="007C4ABA"/>
    <w:rsid w:val="007C4BBE"/>
    <w:rsid w:val="007C597E"/>
    <w:rsid w:val="007C59C2"/>
    <w:rsid w:val="007C5AF2"/>
    <w:rsid w:val="007C5D77"/>
    <w:rsid w:val="007C62BE"/>
    <w:rsid w:val="007C63DA"/>
    <w:rsid w:val="007C6EE5"/>
    <w:rsid w:val="007C6F5A"/>
    <w:rsid w:val="007C6FF4"/>
    <w:rsid w:val="007C71B9"/>
    <w:rsid w:val="007C78C8"/>
    <w:rsid w:val="007C7FA7"/>
    <w:rsid w:val="007C7FE9"/>
    <w:rsid w:val="007D06D3"/>
    <w:rsid w:val="007D1007"/>
    <w:rsid w:val="007D115A"/>
    <w:rsid w:val="007D1257"/>
    <w:rsid w:val="007D283F"/>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610B"/>
    <w:rsid w:val="007D621F"/>
    <w:rsid w:val="007D6248"/>
    <w:rsid w:val="007D6510"/>
    <w:rsid w:val="007D69A0"/>
    <w:rsid w:val="007D73B0"/>
    <w:rsid w:val="007D78C5"/>
    <w:rsid w:val="007D7952"/>
    <w:rsid w:val="007D7D13"/>
    <w:rsid w:val="007E0835"/>
    <w:rsid w:val="007E087D"/>
    <w:rsid w:val="007E0B89"/>
    <w:rsid w:val="007E1454"/>
    <w:rsid w:val="007E22C2"/>
    <w:rsid w:val="007E25D0"/>
    <w:rsid w:val="007E2ADF"/>
    <w:rsid w:val="007E33ED"/>
    <w:rsid w:val="007E353A"/>
    <w:rsid w:val="007E3623"/>
    <w:rsid w:val="007E3993"/>
    <w:rsid w:val="007E3B8C"/>
    <w:rsid w:val="007E3E9F"/>
    <w:rsid w:val="007E3EB4"/>
    <w:rsid w:val="007E45A8"/>
    <w:rsid w:val="007E484A"/>
    <w:rsid w:val="007E4B1B"/>
    <w:rsid w:val="007E4B49"/>
    <w:rsid w:val="007E4E18"/>
    <w:rsid w:val="007E53C3"/>
    <w:rsid w:val="007E56CD"/>
    <w:rsid w:val="007E5755"/>
    <w:rsid w:val="007E5990"/>
    <w:rsid w:val="007E6588"/>
    <w:rsid w:val="007E6841"/>
    <w:rsid w:val="007E6A4F"/>
    <w:rsid w:val="007E793C"/>
    <w:rsid w:val="007E7A39"/>
    <w:rsid w:val="007E7CC4"/>
    <w:rsid w:val="007E7D7A"/>
    <w:rsid w:val="007E7E66"/>
    <w:rsid w:val="007F00A1"/>
    <w:rsid w:val="007F0903"/>
    <w:rsid w:val="007F0E6A"/>
    <w:rsid w:val="007F22A7"/>
    <w:rsid w:val="007F2434"/>
    <w:rsid w:val="007F243D"/>
    <w:rsid w:val="007F26F9"/>
    <w:rsid w:val="007F2B53"/>
    <w:rsid w:val="007F2B91"/>
    <w:rsid w:val="007F2F5A"/>
    <w:rsid w:val="007F40B7"/>
    <w:rsid w:val="007F4256"/>
    <w:rsid w:val="007F4EA3"/>
    <w:rsid w:val="007F4EFB"/>
    <w:rsid w:val="007F5590"/>
    <w:rsid w:val="007F55CB"/>
    <w:rsid w:val="007F5632"/>
    <w:rsid w:val="007F5806"/>
    <w:rsid w:val="007F5D34"/>
    <w:rsid w:val="007F5EDD"/>
    <w:rsid w:val="007F5F90"/>
    <w:rsid w:val="007F605A"/>
    <w:rsid w:val="007F61D0"/>
    <w:rsid w:val="007F6E4E"/>
    <w:rsid w:val="007F6E77"/>
    <w:rsid w:val="007F75E9"/>
    <w:rsid w:val="007F7BDA"/>
    <w:rsid w:val="00800747"/>
    <w:rsid w:val="0080116C"/>
    <w:rsid w:val="00801416"/>
    <w:rsid w:val="00801AEC"/>
    <w:rsid w:val="00801DE5"/>
    <w:rsid w:val="00801F1E"/>
    <w:rsid w:val="008023E5"/>
    <w:rsid w:val="008023F2"/>
    <w:rsid w:val="00802401"/>
    <w:rsid w:val="00802D01"/>
    <w:rsid w:val="00803082"/>
    <w:rsid w:val="0080323A"/>
    <w:rsid w:val="008034DC"/>
    <w:rsid w:val="00803C0C"/>
    <w:rsid w:val="008042E8"/>
    <w:rsid w:val="008043B3"/>
    <w:rsid w:val="00804CCF"/>
    <w:rsid w:val="00805087"/>
    <w:rsid w:val="00805885"/>
    <w:rsid w:val="00805A45"/>
    <w:rsid w:val="00805BF5"/>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C07"/>
    <w:rsid w:val="00811CBB"/>
    <w:rsid w:val="00811E5E"/>
    <w:rsid w:val="008126C6"/>
    <w:rsid w:val="0081272D"/>
    <w:rsid w:val="008127D8"/>
    <w:rsid w:val="00812968"/>
    <w:rsid w:val="00812AB8"/>
    <w:rsid w:val="0081311D"/>
    <w:rsid w:val="0081367A"/>
    <w:rsid w:val="008136DE"/>
    <w:rsid w:val="0081399B"/>
    <w:rsid w:val="00813A50"/>
    <w:rsid w:val="00813EB6"/>
    <w:rsid w:val="00813F8F"/>
    <w:rsid w:val="00814109"/>
    <w:rsid w:val="008147D2"/>
    <w:rsid w:val="00814FE0"/>
    <w:rsid w:val="00815357"/>
    <w:rsid w:val="008154E0"/>
    <w:rsid w:val="00815EF4"/>
    <w:rsid w:val="0081674A"/>
    <w:rsid w:val="008168E7"/>
    <w:rsid w:val="00816E01"/>
    <w:rsid w:val="008171D5"/>
    <w:rsid w:val="00817551"/>
    <w:rsid w:val="008176EA"/>
    <w:rsid w:val="008201B4"/>
    <w:rsid w:val="00820698"/>
    <w:rsid w:val="0082093F"/>
    <w:rsid w:val="008209B5"/>
    <w:rsid w:val="00820A07"/>
    <w:rsid w:val="00820A81"/>
    <w:rsid w:val="00820B35"/>
    <w:rsid w:val="00820ECD"/>
    <w:rsid w:val="0082103D"/>
    <w:rsid w:val="00821A8D"/>
    <w:rsid w:val="00821ADD"/>
    <w:rsid w:val="00821B31"/>
    <w:rsid w:val="00821BB5"/>
    <w:rsid w:val="008221E8"/>
    <w:rsid w:val="00822289"/>
    <w:rsid w:val="00822549"/>
    <w:rsid w:val="0082269C"/>
    <w:rsid w:val="00822942"/>
    <w:rsid w:val="008230D5"/>
    <w:rsid w:val="00823295"/>
    <w:rsid w:val="0082420E"/>
    <w:rsid w:val="008242CB"/>
    <w:rsid w:val="00824608"/>
    <w:rsid w:val="00824CD4"/>
    <w:rsid w:val="00825167"/>
    <w:rsid w:val="00825314"/>
    <w:rsid w:val="00825567"/>
    <w:rsid w:val="008259B2"/>
    <w:rsid w:val="00825A69"/>
    <w:rsid w:val="00826404"/>
    <w:rsid w:val="00826440"/>
    <w:rsid w:val="00826744"/>
    <w:rsid w:val="008267C1"/>
    <w:rsid w:val="00826BC5"/>
    <w:rsid w:val="008275C4"/>
    <w:rsid w:val="00827FCD"/>
    <w:rsid w:val="0083008C"/>
    <w:rsid w:val="00830421"/>
    <w:rsid w:val="008309E7"/>
    <w:rsid w:val="00830C99"/>
    <w:rsid w:val="00830D22"/>
    <w:rsid w:val="0083118C"/>
    <w:rsid w:val="008319B3"/>
    <w:rsid w:val="00832835"/>
    <w:rsid w:val="00832AED"/>
    <w:rsid w:val="00832C8E"/>
    <w:rsid w:val="00833118"/>
    <w:rsid w:val="00833193"/>
    <w:rsid w:val="00833256"/>
    <w:rsid w:val="00833ABA"/>
    <w:rsid w:val="008341F0"/>
    <w:rsid w:val="00834A2D"/>
    <w:rsid w:val="00834AEF"/>
    <w:rsid w:val="00835215"/>
    <w:rsid w:val="00835ADF"/>
    <w:rsid w:val="00835D65"/>
    <w:rsid w:val="00836400"/>
    <w:rsid w:val="00836B3D"/>
    <w:rsid w:val="00836C68"/>
    <w:rsid w:val="00836D0B"/>
    <w:rsid w:val="00836EF8"/>
    <w:rsid w:val="008374CF"/>
    <w:rsid w:val="00837AC9"/>
    <w:rsid w:val="00837D21"/>
    <w:rsid w:val="00840291"/>
    <w:rsid w:val="008402BF"/>
    <w:rsid w:val="00840498"/>
    <w:rsid w:val="00840523"/>
    <w:rsid w:val="0084099C"/>
    <w:rsid w:val="0084117D"/>
    <w:rsid w:val="008421B0"/>
    <w:rsid w:val="00842934"/>
    <w:rsid w:val="00842A93"/>
    <w:rsid w:val="00842D55"/>
    <w:rsid w:val="00843109"/>
    <w:rsid w:val="00843206"/>
    <w:rsid w:val="008432C8"/>
    <w:rsid w:val="008435D4"/>
    <w:rsid w:val="0084362D"/>
    <w:rsid w:val="00843788"/>
    <w:rsid w:val="00843918"/>
    <w:rsid w:val="00843FD3"/>
    <w:rsid w:val="00843FD7"/>
    <w:rsid w:val="008446E6"/>
    <w:rsid w:val="00844943"/>
    <w:rsid w:val="008449D9"/>
    <w:rsid w:val="008459E2"/>
    <w:rsid w:val="00845E2F"/>
    <w:rsid w:val="00846950"/>
    <w:rsid w:val="00846AB3"/>
    <w:rsid w:val="0084706A"/>
    <w:rsid w:val="0084725D"/>
    <w:rsid w:val="00847335"/>
    <w:rsid w:val="0084737B"/>
    <w:rsid w:val="0084755C"/>
    <w:rsid w:val="00847588"/>
    <w:rsid w:val="00847601"/>
    <w:rsid w:val="00847EEE"/>
    <w:rsid w:val="0085056C"/>
    <w:rsid w:val="008508F1"/>
    <w:rsid w:val="00851085"/>
    <w:rsid w:val="00851936"/>
    <w:rsid w:val="00851A3F"/>
    <w:rsid w:val="00852070"/>
    <w:rsid w:val="00852672"/>
    <w:rsid w:val="00853139"/>
    <w:rsid w:val="00854037"/>
    <w:rsid w:val="00854065"/>
    <w:rsid w:val="008542AA"/>
    <w:rsid w:val="0085433D"/>
    <w:rsid w:val="008546B0"/>
    <w:rsid w:val="00854994"/>
    <w:rsid w:val="00854999"/>
    <w:rsid w:val="00854E4B"/>
    <w:rsid w:val="008553F1"/>
    <w:rsid w:val="0085563C"/>
    <w:rsid w:val="008558B3"/>
    <w:rsid w:val="00855A32"/>
    <w:rsid w:val="00855C5D"/>
    <w:rsid w:val="0085601B"/>
    <w:rsid w:val="0085601F"/>
    <w:rsid w:val="00856AAC"/>
    <w:rsid w:val="00856CE1"/>
    <w:rsid w:val="00856E72"/>
    <w:rsid w:val="008573AE"/>
    <w:rsid w:val="00857BFA"/>
    <w:rsid w:val="00857C66"/>
    <w:rsid w:val="00857FCD"/>
    <w:rsid w:val="00860742"/>
    <w:rsid w:val="008607BE"/>
    <w:rsid w:val="00860B93"/>
    <w:rsid w:val="00860DEB"/>
    <w:rsid w:val="00860EF6"/>
    <w:rsid w:val="00861BCC"/>
    <w:rsid w:val="008624BA"/>
    <w:rsid w:val="00863230"/>
    <w:rsid w:val="0086494E"/>
    <w:rsid w:val="00864E2F"/>
    <w:rsid w:val="008651A3"/>
    <w:rsid w:val="00865978"/>
    <w:rsid w:val="00865981"/>
    <w:rsid w:val="00865A84"/>
    <w:rsid w:val="008669A4"/>
    <w:rsid w:val="00866B3C"/>
    <w:rsid w:val="00867014"/>
    <w:rsid w:val="008672AC"/>
    <w:rsid w:val="00867423"/>
    <w:rsid w:val="00867ACD"/>
    <w:rsid w:val="00870067"/>
    <w:rsid w:val="008708C8"/>
    <w:rsid w:val="00870A00"/>
    <w:rsid w:val="00870FB5"/>
    <w:rsid w:val="0087153F"/>
    <w:rsid w:val="008715EF"/>
    <w:rsid w:val="008719FB"/>
    <w:rsid w:val="00871A31"/>
    <w:rsid w:val="008725D4"/>
    <w:rsid w:val="00872940"/>
    <w:rsid w:val="00872AB8"/>
    <w:rsid w:val="00872B73"/>
    <w:rsid w:val="00872B9C"/>
    <w:rsid w:val="00872EF5"/>
    <w:rsid w:val="008737FC"/>
    <w:rsid w:val="008738E5"/>
    <w:rsid w:val="00873DC0"/>
    <w:rsid w:val="00873F37"/>
    <w:rsid w:val="0087423F"/>
    <w:rsid w:val="0087479E"/>
    <w:rsid w:val="0087536B"/>
    <w:rsid w:val="008764DA"/>
    <w:rsid w:val="00876684"/>
    <w:rsid w:val="00876AEE"/>
    <w:rsid w:val="008772A6"/>
    <w:rsid w:val="00877A9E"/>
    <w:rsid w:val="00877D0D"/>
    <w:rsid w:val="00877E1B"/>
    <w:rsid w:val="008807DB"/>
    <w:rsid w:val="00880D38"/>
    <w:rsid w:val="00881199"/>
    <w:rsid w:val="008814C7"/>
    <w:rsid w:val="00881E49"/>
    <w:rsid w:val="008824E7"/>
    <w:rsid w:val="00882B16"/>
    <w:rsid w:val="00882CAB"/>
    <w:rsid w:val="00882DF9"/>
    <w:rsid w:val="008834A2"/>
    <w:rsid w:val="0088363F"/>
    <w:rsid w:val="008837A4"/>
    <w:rsid w:val="008838FA"/>
    <w:rsid w:val="00883960"/>
    <w:rsid w:val="00883E43"/>
    <w:rsid w:val="008842CF"/>
    <w:rsid w:val="00884853"/>
    <w:rsid w:val="008849F3"/>
    <w:rsid w:val="00884E3A"/>
    <w:rsid w:val="00885187"/>
    <w:rsid w:val="00885613"/>
    <w:rsid w:val="008856FD"/>
    <w:rsid w:val="00885919"/>
    <w:rsid w:val="008859D2"/>
    <w:rsid w:val="00885D3A"/>
    <w:rsid w:val="00886581"/>
    <w:rsid w:val="0088676E"/>
    <w:rsid w:val="008867D7"/>
    <w:rsid w:val="00886AD9"/>
    <w:rsid w:val="0088715F"/>
    <w:rsid w:val="008876D1"/>
    <w:rsid w:val="00887702"/>
    <w:rsid w:val="008877EA"/>
    <w:rsid w:val="00887ADF"/>
    <w:rsid w:val="00887AF2"/>
    <w:rsid w:val="00887F45"/>
    <w:rsid w:val="00890864"/>
    <w:rsid w:val="00890FB9"/>
    <w:rsid w:val="008914D6"/>
    <w:rsid w:val="008915E6"/>
    <w:rsid w:val="00891B1F"/>
    <w:rsid w:val="00891BB5"/>
    <w:rsid w:val="0089253E"/>
    <w:rsid w:val="00892568"/>
    <w:rsid w:val="00892A1F"/>
    <w:rsid w:val="00892C1E"/>
    <w:rsid w:val="00892F7D"/>
    <w:rsid w:val="008935A3"/>
    <w:rsid w:val="00893613"/>
    <w:rsid w:val="00893629"/>
    <w:rsid w:val="00893AB4"/>
    <w:rsid w:val="00893B38"/>
    <w:rsid w:val="00893C34"/>
    <w:rsid w:val="00894534"/>
    <w:rsid w:val="008951D2"/>
    <w:rsid w:val="00895559"/>
    <w:rsid w:val="008957BE"/>
    <w:rsid w:val="008957D4"/>
    <w:rsid w:val="00895B78"/>
    <w:rsid w:val="00895F31"/>
    <w:rsid w:val="008963F5"/>
    <w:rsid w:val="008966E7"/>
    <w:rsid w:val="00896A63"/>
    <w:rsid w:val="00897CD0"/>
    <w:rsid w:val="00897E55"/>
    <w:rsid w:val="008A0071"/>
    <w:rsid w:val="008A0620"/>
    <w:rsid w:val="008A09F6"/>
    <w:rsid w:val="008A1204"/>
    <w:rsid w:val="008A14F6"/>
    <w:rsid w:val="008A1924"/>
    <w:rsid w:val="008A26B9"/>
    <w:rsid w:val="008A2970"/>
    <w:rsid w:val="008A3331"/>
    <w:rsid w:val="008A3406"/>
    <w:rsid w:val="008A3564"/>
    <w:rsid w:val="008A360A"/>
    <w:rsid w:val="008A3A85"/>
    <w:rsid w:val="008A3B3D"/>
    <w:rsid w:val="008A3BEC"/>
    <w:rsid w:val="008A3C4A"/>
    <w:rsid w:val="008A420D"/>
    <w:rsid w:val="008A4E03"/>
    <w:rsid w:val="008A541D"/>
    <w:rsid w:val="008A5544"/>
    <w:rsid w:val="008A5C06"/>
    <w:rsid w:val="008A5CB1"/>
    <w:rsid w:val="008A5DCB"/>
    <w:rsid w:val="008A5E4C"/>
    <w:rsid w:val="008A6027"/>
    <w:rsid w:val="008A64AD"/>
    <w:rsid w:val="008A6936"/>
    <w:rsid w:val="008A72FE"/>
    <w:rsid w:val="008A77AB"/>
    <w:rsid w:val="008A7C3C"/>
    <w:rsid w:val="008A7C7C"/>
    <w:rsid w:val="008B0EFC"/>
    <w:rsid w:val="008B1447"/>
    <w:rsid w:val="008B161A"/>
    <w:rsid w:val="008B2D9C"/>
    <w:rsid w:val="008B2E14"/>
    <w:rsid w:val="008B2EEB"/>
    <w:rsid w:val="008B2F1E"/>
    <w:rsid w:val="008B3070"/>
    <w:rsid w:val="008B3124"/>
    <w:rsid w:val="008B3A63"/>
    <w:rsid w:val="008B3DEB"/>
    <w:rsid w:val="008B3E2D"/>
    <w:rsid w:val="008B469A"/>
    <w:rsid w:val="008B4C55"/>
    <w:rsid w:val="008B4F47"/>
    <w:rsid w:val="008B551F"/>
    <w:rsid w:val="008B57C1"/>
    <w:rsid w:val="008B59E0"/>
    <w:rsid w:val="008B5D62"/>
    <w:rsid w:val="008B5E00"/>
    <w:rsid w:val="008B5FD0"/>
    <w:rsid w:val="008B6F62"/>
    <w:rsid w:val="008B712F"/>
    <w:rsid w:val="008B782B"/>
    <w:rsid w:val="008B78E0"/>
    <w:rsid w:val="008B7C39"/>
    <w:rsid w:val="008C0238"/>
    <w:rsid w:val="008C0417"/>
    <w:rsid w:val="008C0CAC"/>
    <w:rsid w:val="008C0E11"/>
    <w:rsid w:val="008C0EAD"/>
    <w:rsid w:val="008C1538"/>
    <w:rsid w:val="008C1ACF"/>
    <w:rsid w:val="008C1DDC"/>
    <w:rsid w:val="008C29EA"/>
    <w:rsid w:val="008C30DA"/>
    <w:rsid w:val="008C3245"/>
    <w:rsid w:val="008C352E"/>
    <w:rsid w:val="008C361B"/>
    <w:rsid w:val="008C3673"/>
    <w:rsid w:val="008C3B37"/>
    <w:rsid w:val="008C3B65"/>
    <w:rsid w:val="008C3C1F"/>
    <w:rsid w:val="008C3D1B"/>
    <w:rsid w:val="008C4230"/>
    <w:rsid w:val="008C43F8"/>
    <w:rsid w:val="008C4670"/>
    <w:rsid w:val="008C4A09"/>
    <w:rsid w:val="008C4D5D"/>
    <w:rsid w:val="008C5579"/>
    <w:rsid w:val="008C5982"/>
    <w:rsid w:val="008C5A79"/>
    <w:rsid w:val="008C5F17"/>
    <w:rsid w:val="008C5FAB"/>
    <w:rsid w:val="008C6030"/>
    <w:rsid w:val="008C66DF"/>
    <w:rsid w:val="008C6B00"/>
    <w:rsid w:val="008C7160"/>
    <w:rsid w:val="008C7549"/>
    <w:rsid w:val="008C790B"/>
    <w:rsid w:val="008C7AF5"/>
    <w:rsid w:val="008D0BB5"/>
    <w:rsid w:val="008D16C2"/>
    <w:rsid w:val="008D17B2"/>
    <w:rsid w:val="008D1A4D"/>
    <w:rsid w:val="008D22EA"/>
    <w:rsid w:val="008D24EF"/>
    <w:rsid w:val="008D2734"/>
    <w:rsid w:val="008D2F1C"/>
    <w:rsid w:val="008D3191"/>
    <w:rsid w:val="008D3818"/>
    <w:rsid w:val="008D4017"/>
    <w:rsid w:val="008D4285"/>
    <w:rsid w:val="008D44C8"/>
    <w:rsid w:val="008D4540"/>
    <w:rsid w:val="008D48F9"/>
    <w:rsid w:val="008D4EA1"/>
    <w:rsid w:val="008D5082"/>
    <w:rsid w:val="008D59D4"/>
    <w:rsid w:val="008D5F0D"/>
    <w:rsid w:val="008D6558"/>
    <w:rsid w:val="008D67F2"/>
    <w:rsid w:val="008D6A49"/>
    <w:rsid w:val="008D6CE5"/>
    <w:rsid w:val="008D76BB"/>
    <w:rsid w:val="008D77FB"/>
    <w:rsid w:val="008D7C9E"/>
    <w:rsid w:val="008D7D9D"/>
    <w:rsid w:val="008E0783"/>
    <w:rsid w:val="008E0A83"/>
    <w:rsid w:val="008E0E36"/>
    <w:rsid w:val="008E1222"/>
    <w:rsid w:val="008E1605"/>
    <w:rsid w:val="008E18E6"/>
    <w:rsid w:val="008E1A9D"/>
    <w:rsid w:val="008E1ABE"/>
    <w:rsid w:val="008E2173"/>
    <w:rsid w:val="008E26E6"/>
    <w:rsid w:val="008E27A4"/>
    <w:rsid w:val="008E295D"/>
    <w:rsid w:val="008E2C90"/>
    <w:rsid w:val="008E2D58"/>
    <w:rsid w:val="008E301E"/>
    <w:rsid w:val="008E35CD"/>
    <w:rsid w:val="008E3FD5"/>
    <w:rsid w:val="008E40FE"/>
    <w:rsid w:val="008E4244"/>
    <w:rsid w:val="008E43A3"/>
    <w:rsid w:val="008E442C"/>
    <w:rsid w:val="008E46AB"/>
    <w:rsid w:val="008E4A38"/>
    <w:rsid w:val="008E4B8C"/>
    <w:rsid w:val="008E4F57"/>
    <w:rsid w:val="008E549D"/>
    <w:rsid w:val="008E550A"/>
    <w:rsid w:val="008E666F"/>
    <w:rsid w:val="008E68EF"/>
    <w:rsid w:val="008E69CB"/>
    <w:rsid w:val="008E6D0C"/>
    <w:rsid w:val="008E772F"/>
    <w:rsid w:val="008E77D4"/>
    <w:rsid w:val="008E7861"/>
    <w:rsid w:val="008E7DA1"/>
    <w:rsid w:val="008F0257"/>
    <w:rsid w:val="008F025A"/>
    <w:rsid w:val="008F0291"/>
    <w:rsid w:val="008F031D"/>
    <w:rsid w:val="008F06F5"/>
    <w:rsid w:val="008F0713"/>
    <w:rsid w:val="008F0ADA"/>
    <w:rsid w:val="008F0E73"/>
    <w:rsid w:val="008F11F9"/>
    <w:rsid w:val="008F1645"/>
    <w:rsid w:val="008F1C4B"/>
    <w:rsid w:val="008F2127"/>
    <w:rsid w:val="008F2219"/>
    <w:rsid w:val="008F2ADC"/>
    <w:rsid w:val="008F2DC7"/>
    <w:rsid w:val="008F2DD7"/>
    <w:rsid w:val="008F31BE"/>
    <w:rsid w:val="008F3866"/>
    <w:rsid w:val="008F3FA7"/>
    <w:rsid w:val="008F41EB"/>
    <w:rsid w:val="008F4264"/>
    <w:rsid w:val="008F44EA"/>
    <w:rsid w:val="008F4581"/>
    <w:rsid w:val="008F4924"/>
    <w:rsid w:val="008F4D2F"/>
    <w:rsid w:val="008F573A"/>
    <w:rsid w:val="008F59DD"/>
    <w:rsid w:val="008F6034"/>
    <w:rsid w:val="008F6449"/>
    <w:rsid w:val="008F6591"/>
    <w:rsid w:val="008F65F8"/>
    <w:rsid w:val="008F6EF1"/>
    <w:rsid w:val="008F70E9"/>
    <w:rsid w:val="008F72F7"/>
    <w:rsid w:val="008F749F"/>
    <w:rsid w:val="00900384"/>
    <w:rsid w:val="00900BA7"/>
    <w:rsid w:val="00900C0E"/>
    <w:rsid w:val="00900D77"/>
    <w:rsid w:val="00901BE2"/>
    <w:rsid w:val="00902396"/>
    <w:rsid w:val="0090295D"/>
    <w:rsid w:val="00902D47"/>
    <w:rsid w:val="00902F49"/>
    <w:rsid w:val="00903257"/>
    <w:rsid w:val="0090368D"/>
    <w:rsid w:val="00903695"/>
    <w:rsid w:val="009038E5"/>
    <w:rsid w:val="00903C4F"/>
    <w:rsid w:val="00903E78"/>
    <w:rsid w:val="00903FA4"/>
    <w:rsid w:val="00904036"/>
    <w:rsid w:val="009041AB"/>
    <w:rsid w:val="00904860"/>
    <w:rsid w:val="009049D0"/>
    <w:rsid w:val="009049E3"/>
    <w:rsid w:val="0090510A"/>
    <w:rsid w:val="0090526F"/>
    <w:rsid w:val="009058ED"/>
    <w:rsid w:val="00905B43"/>
    <w:rsid w:val="00906A01"/>
    <w:rsid w:val="00906C18"/>
    <w:rsid w:val="00907163"/>
    <w:rsid w:val="009072C7"/>
    <w:rsid w:val="0090759A"/>
    <w:rsid w:val="0090788C"/>
    <w:rsid w:val="00907A06"/>
    <w:rsid w:val="00910230"/>
    <w:rsid w:val="009105EB"/>
    <w:rsid w:val="009105FD"/>
    <w:rsid w:val="00910B15"/>
    <w:rsid w:val="00910C1B"/>
    <w:rsid w:val="00910C34"/>
    <w:rsid w:val="0091100B"/>
    <w:rsid w:val="00911790"/>
    <w:rsid w:val="00911BE7"/>
    <w:rsid w:val="00912723"/>
    <w:rsid w:val="009128D6"/>
    <w:rsid w:val="00912FBA"/>
    <w:rsid w:val="00913284"/>
    <w:rsid w:val="00913C94"/>
    <w:rsid w:val="0091462B"/>
    <w:rsid w:val="00914727"/>
    <w:rsid w:val="0091477B"/>
    <w:rsid w:val="00914893"/>
    <w:rsid w:val="00914DE1"/>
    <w:rsid w:val="00914E87"/>
    <w:rsid w:val="00915030"/>
    <w:rsid w:val="009150A5"/>
    <w:rsid w:val="0091510C"/>
    <w:rsid w:val="00915251"/>
    <w:rsid w:val="00915640"/>
    <w:rsid w:val="0091567C"/>
    <w:rsid w:val="00915D6B"/>
    <w:rsid w:val="00916AC0"/>
    <w:rsid w:val="00916B92"/>
    <w:rsid w:val="00916BA3"/>
    <w:rsid w:val="00916D1F"/>
    <w:rsid w:val="00916FB7"/>
    <w:rsid w:val="00917067"/>
    <w:rsid w:val="009175C7"/>
    <w:rsid w:val="00917EF2"/>
    <w:rsid w:val="00917F58"/>
    <w:rsid w:val="00920F4A"/>
    <w:rsid w:val="00920F73"/>
    <w:rsid w:val="00921569"/>
    <w:rsid w:val="00921676"/>
    <w:rsid w:val="00921760"/>
    <w:rsid w:val="00921B00"/>
    <w:rsid w:val="00921E9A"/>
    <w:rsid w:val="00922127"/>
    <w:rsid w:val="00922332"/>
    <w:rsid w:val="00922748"/>
    <w:rsid w:val="00922C04"/>
    <w:rsid w:val="00922F6D"/>
    <w:rsid w:val="00923019"/>
    <w:rsid w:val="00923526"/>
    <w:rsid w:val="00923594"/>
    <w:rsid w:val="00923992"/>
    <w:rsid w:val="009239EA"/>
    <w:rsid w:val="00923B6B"/>
    <w:rsid w:val="00923EAA"/>
    <w:rsid w:val="00924007"/>
    <w:rsid w:val="00924042"/>
    <w:rsid w:val="0092432C"/>
    <w:rsid w:val="00924ABA"/>
    <w:rsid w:val="00925049"/>
    <w:rsid w:val="00925790"/>
    <w:rsid w:val="00926A16"/>
    <w:rsid w:val="009271FC"/>
    <w:rsid w:val="00927375"/>
    <w:rsid w:val="009278AF"/>
    <w:rsid w:val="00927919"/>
    <w:rsid w:val="00927A88"/>
    <w:rsid w:val="009312EF"/>
    <w:rsid w:val="009313B1"/>
    <w:rsid w:val="009313FE"/>
    <w:rsid w:val="00931D88"/>
    <w:rsid w:val="00932944"/>
    <w:rsid w:val="00932BA7"/>
    <w:rsid w:val="009333AA"/>
    <w:rsid w:val="009344EF"/>
    <w:rsid w:val="00934B92"/>
    <w:rsid w:val="00934D79"/>
    <w:rsid w:val="00935188"/>
    <w:rsid w:val="00935343"/>
    <w:rsid w:val="00935363"/>
    <w:rsid w:val="0093549F"/>
    <w:rsid w:val="00935618"/>
    <w:rsid w:val="00935637"/>
    <w:rsid w:val="0093577F"/>
    <w:rsid w:val="00935B67"/>
    <w:rsid w:val="00935D12"/>
    <w:rsid w:val="0093602D"/>
    <w:rsid w:val="009368DD"/>
    <w:rsid w:val="00936920"/>
    <w:rsid w:val="00936A55"/>
    <w:rsid w:val="00936AE7"/>
    <w:rsid w:val="00936C0E"/>
    <w:rsid w:val="00936ED7"/>
    <w:rsid w:val="0093749C"/>
    <w:rsid w:val="009403DB"/>
    <w:rsid w:val="009404A4"/>
    <w:rsid w:val="0094062A"/>
    <w:rsid w:val="00940A1B"/>
    <w:rsid w:val="00940C72"/>
    <w:rsid w:val="00940EAA"/>
    <w:rsid w:val="00941197"/>
    <w:rsid w:val="00941252"/>
    <w:rsid w:val="00941631"/>
    <w:rsid w:val="0094172C"/>
    <w:rsid w:val="00942031"/>
    <w:rsid w:val="009420D1"/>
    <w:rsid w:val="009429BE"/>
    <w:rsid w:val="00942A19"/>
    <w:rsid w:val="00942C0E"/>
    <w:rsid w:val="00942F38"/>
    <w:rsid w:val="00943071"/>
    <w:rsid w:val="00944B0A"/>
    <w:rsid w:val="00944DAF"/>
    <w:rsid w:val="00945045"/>
    <w:rsid w:val="009454BB"/>
    <w:rsid w:val="00945699"/>
    <w:rsid w:val="009456A4"/>
    <w:rsid w:val="00945F30"/>
    <w:rsid w:val="00946480"/>
    <w:rsid w:val="009464FC"/>
    <w:rsid w:val="009469F4"/>
    <w:rsid w:val="00946A7D"/>
    <w:rsid w:val="00946E7A"/>
    <w:rsid w:val="00947950"/>
    <w:rsid w:val="009501BA"/>
    <w:rsid w:val="009507B1"/>
    <w:rsid w:val="00950AE4"/>
    <w:rsid w:val="00950E73"/>
    <w:rsid w:val="00950EB1"/>
    <w:rsid w:val="00951192"/>
    <w:rsid w:val="0095127F"/>
    <w:rsid w:val="00951537"/>
    <w:rsid w:val="00951ACA"/>
    <w:rsid w:val="00952285"/>
    <w:rsid w:val="00952C41"/>
    <w:rsid w:val="00953614"/>
    <w:rsid w:val="00953982"/>
    <w:rsid w:val="0095425E"/>
    <w:rsid w:val="009543DE"/>
    <w:rsid w:val="00954441"/>
    <w:rsid w:val="009556B8"/>
    <w:rsid w:val="009557AA"/>
    <w:rsid w:val="00955807"/>
    <w:rsid w:val="009562EA"/>
    <w:rsid w:val="009568B4"/>
    <w:rsid w:val="00956ECE"/>
    <w:rsid w:val="0095708D"/>
    <w:rsid w:val="009574BC"/>
    <w:rsid w:val="0095767D"/>
    <w:rsid w:val="009577BB"/>
    <w:rsid w:val="00957CFD"/>
    <w:rsid w:val="00957E29"/>
    <w:rsid w:val="00957E96"/>
    <w:rsid w:val="00960089"/>
    <w:rsid w:val="00960295"/>
    <w:rsid w:val="00960324"/>
    <w:rsid w:val="00960330"/>
    <w:rsid w:val="00960931"/>
    <w:rsid w:val="00960B7A"/>
    <w:rsid w:val="00960DEF"/>
    <w:rsid w:val="00960E01"/>
    <w:rsid w:val="00960E9B"/>
    <w:rsid w:val="00960F98"/>
    <w:rsid w:val="009617D9"/>
    <w:rsid w:val="00961818"/>
    <w:rsid w:val="00961A7E"/>
    <w:rsid w:val="0096201C"/>
    <w:rsid w:val="009625DA"/>
    <w:rsid w:val="009626A6"/>
    <w:rsid w:val="00962E26"/>
    <w:rsid w:val="009631B1"/>
    <w:rsid w:val="00963688"/>
    <w:rsid w:val="00963C62"/>
    <w:rsid w:val="00963D4F"/>
    <w:rsid w:val="0096407D"/>
    <w:rsid w:val="00964701"/>
    <w:rsid w:val="00965016"/>
    <w:rsid w:val="009651CF"/>
    <w:rsid w:val="0096630C"/>
    <w:rsid w:val="00966312"/>
    <w:rsid w:val="00966482"/>
    <w:rsid w:val="00966650"/>
    <w:rsid w:val="00966CF5"/>
    <w:rsid w:val="0096746F"/>
    <w:rsid w:val="009678C4"/>
    <w:rsid w:val="00967CB0"/>
    <w:rsid w:val="0097064A"/>
    <w:rsid w:val="00970C3C"/>
    <w:rsid w:val="00971AA9"/>
    <w:rsid w:val="00971F25"/>
    <w:rsid w:val="00971F7E"/>
    <w:rsid w:val="0097222A"/>
    <w:rsid w:val="009727A4"/>
    <w:rsid w:val="00972CA1"/>
    <w:rsid w:val="00973028"/>
    <w:rsid w:val="009733FC"/>
    <w:rsid w:val="00973444"/>
    <w:rsid w:val="009740A5"/>
    <w:rsid w:val="0097464F"/>
    <w:rsid w:val="00974758"/>
    <w:rsid w:val="00974F84"/>
    <w:rsid w:val="0097522B"/>
    <w:rsid w:val="009758D1"/>
    <w:rsid w:val="00975F70"/>
    <w:rsid w:val="009761F5"/>
    <w:rsid w:val="009762A9"/>
    <w:rsid w:val="0097638D"/>
    <w:rsid w:val="00976DE4"/>
    <w:rsid w:val="00977162"/>
    <w:rsid w:val="009773DE"/>
    <w:rsid w:val="009776D1"/>
    <w:rsid w:val="0097773E"/>
    <w:rsid w:val="009779EF"/>
    <w:rsid w:val="00977F18"/>
    <w:rsid w:val="009805C6"/>
    <w:rsid w:val="00980663"/>
    <w:rsid w:val="00981433"/>
    <w:rsid w:val="00982479"/>
    <w:rsid w:val="009829A4"/>
    <w:rsid w:val="00982AE7"/>
    <w:rsid w:val="00982B6E"/>
    <w:rsid w:val="00982D59"/>
    <w:rsid w:val="0098352A"/>
    <w:rsid w:val="00983545"/>
    <w:rsid w:val="00983EEE"/>
    <w:rsid w:val="00984143"/>
    <w:rsid w:val="00984243"/>
    <w:rsid w:val="009843AB"/>
    <w:rsid w:val="00984826"/>
    <w:rsid w:val="00985428"/>
    <w:rsid w:val="00985611"/>
    <w:rsid w:val="0098565B"/>
    <w:rsid w:val="00985821"/>
    <w:rsid w:val="00985BD9"/>
    <w:rsid w:val="00985D0F"/>
    <w:rsid w:val="009860E3"/>
    <w:rsid w:val="009863D9"/>
    <w:rsid w:val="00986A58"/>
    <w:rsid w:val="00986A6B"/>
    <w:rsid w:val="00986C9B"/>
    <w:rsid w:val="00986ECE"/>
    <w:rsid w:val="0098727F"/>
    <w:rsid w:val="00987626"/>
    <w:rsid w:val="009876D6"/>
    <w:rsid w:val="00987843"/>
    <w:rsid w:val="009879DC"/>
    <w:rsid w:val="009904F2"/>
    <w:rsid w:val="009907F1"/>
    <w:rsid w:val="00990926"/>
    <w:rsid w:val="00990E52"/>
    <w:rsid w:val="00990FDD"/>
    <w:rsid w:val="00991114"/>
    <w:rsid w:val="0099130F"/>
    <w:rsid w:val="0099177F"/>
    <w:rsid w:val="0099182A"/>
    <w:rsid w:val="009919CB"/>
    <w:rsid w:val="00992EA5"/>
    <w:rsid w:val="00992F90"/>
    <w:rsid w:val="0099362A"/>
    <w:rsid w:val="00993B1C"/>
    <w:rsid w:val="00993D26"/>
    <w:rsid w:val="00993ECF"/>
    <w:rsid w:val="009946BB"/>
    <w:rsid w:val="00994BB1"/>
    <w:rsid w:val="00994E9D"/>
    <w:rsid w:val="00995535"/>
    <w:rsid w:val="00995AE9"/>
    <w:rsid w:val="00996726"/>
    <w:rsid w:val="0099739B"/>
    <w:rsid w:val="0099759E"/>
    <w:rsid w:val="009A01A1"/>
    <w:rsid w:val="009A0BF9"/>
    <w:rsid w:val="009A0C05"/>
    <w:rsid w:val="009A10D0"/>
    <w:rsid w:val="009A1122"/>
    <w:rsid w:val="009A1243"/>
    <w:rsid w:val="009A1DF0"/>
    <w:rsid w:val="009A1E1C"/>
    <w:rsid w:val="009A2328"/>
    <w:rsid w:val="009A2F20"/>
    <w:rsid w:val="009A30EB"/>
    <w:rsid w:val="009A3790"/>
    <w:rsid w:val="009A3C99"/>
    <w:rsid w:val="009A4B16"/>
    <w:rsid w:val="009A4D68"/>
    <w:rsid w:val="009A511A"/>
    <w:rsid w:val="009A52DC"/>
    <w:rsid w:val="009A53B3"/>
    <w:rsid w:val="009A54D4"/>
    <w:rsid w:val="009A5A00"/>
    <w:rsid w:val="009A5A10"/>
    <w:rsid w:val="009A5AAE"/>
    <w:rsid w:val="009A62DB"/>
    <w:rsid w:val="009A6414"/>
    <w:rsid w:val="009A66A9"/>
    <w:rsid w:val="009A70DE"/>
    <w:rsid w:val="009A7834"/>
    <w:rsid w:val="009A7854"/>
    <w:rsid w:val="009A78FB"/>
    <w:rsid w:val="009A79AB"/>
    <w:rsid w:val="009B015B"/>
    <w:rsid w:val="009B0FB0"/>
    <w:rsid w:val="009B1029"/>
    <w:rsid w:val="009B166A"/>
    <w:rsid w:val="009B1A15"/>
    <w:rsid w:val="009B24D5"/>
    <w:rsid w:val="009B26FB"/>
    <w:rsid w:val="009B2B0D"/>
    <w:rsid w:val="009B2F6E"/>
    <w:rsid w:val="009B32AD"/>
    <w:rsid w:val="009B33EC"/>
    <w:rsid w:val="009B3516"/>
    <w:rsid w:val="009B3720"/>
    <w:rsid w:val="009B3A4B"/>
    <w:rsid w:val="009B3B9C"/>
    <w:rsid w:val="009B3E56"/>
    <w:rsid w:val="009B3FD1"/>
    <w:rsid w:val="009B44B5"/>
    <w:rsid w:val="009B46E7"/>
    <w:rsid w:val="009B484B"/>
    <w:rsid w:val="009B5DC9"/>
    <w:rsid w:val="009B60B6"/>
    <w:rsid w:val="009B690E"/>
    <w:rsid w:val="009B6E1C"/>
    <w:rsid w:val="009B7452"/>
    <w:rsid w:val="009B7F9D"/>
    <w:rsid w:val="009C029C"/>
    <w:rsid w:val="009C0DDC"/>
    <w:rsid w:val="009C1390"/>
    <w:rsid w:val="009C1968"/>
    <w:rsid w:val="009C19E4"/>
    <w:rsid w:val="009C19F1"/>
    <w:rsid w:val="009C1C46"/>
    <w:rsid w:val="009C1D5A"/>
    <w:rsid w:val="009C1E25"/>
    <w:rsid w:val="009C1F24"/>
    <w:rsid w:val="009C1FB2"/>
    <w:rsid w:val="009C26AA"/>
    <w:rsid w:val="009C28C8"/>
    <w:rsid w:val="009C2BA6"/>
    <w:rsid w:val="009C31D2"/>
    <w:rsid w:val="009C32D6"/>
    <w:rsid w:val="009C3812"/>
    <w:rsid w:val="009C3B34"/>
    <w:rsid w:val="009C3CAD"/>
    <w:rsid w:val="009C3F36"/>
    <w:rsid w:val="009C3FCE"/>
    <w:rsid w:val="009C415C"/>
    <w:rsid w:val="009C470B"/>
    <w:rsid w:val="009C4816"/>
    <w:rsid w:val="009C604E"/>
    <w:rsid w:val="009C6402"/>
    <w:rsid w:val="009C6E63"/>
    <w:rsid w:val="009C6F2D"/>
    <w:rsid w:val="009C7620"/>
    <w:rsid w:val="009C7B34"/>
    <w:rsid w:val="009C7F9B"/>
    <w:rsid w:val="009C7FD8"/>
    <w:rsid w:val="009D00C5"/>
    <w:rsid w:val="009D00F7"/>
    <w:rsid w:val="009D1315"/>
    <w:rsid w:val="009D142C"/>
    <w:rsid w:val="009D174B"/>
    <w:rsid w:val="009D1F46"/>
    <w:rsid w:val="009D2192"/>
    <w:rsid w:val="009D2843"/>
    <w:rsid w:val="009D323A"/>
    <w:rsid w:val="009D352E"/>
    <w:rsid w:val="009D3722"/>
    <w:rsid w:val="009D382C"/>
    <w:rsid w:val="009D43CE"/>
    <w:rsid w:val="009D43EF"/>
    <w:rsid w:val="009D48C5"/>
    <w:rsid w:val="009D537E"/>
    <w:rsid w:val="009D5782"/>
    <w:rsid w:val="009D5C56"/>
    <w:rsid w:val="009D5FFA"/>
    <w:rsid w:val="009D64EA"/>
    <w:rsid w:val="009D66C7"/>
    <w:rsid w:val="009D67E5"/>
    <w:rsid w:val="009D687C"/>
    <w:rsid w:val="009D6A81"/>
    <w:rsid w:val="009D6B21"/>
    <w:rsid w:val="009D7214"/>
    <w:rsid w:val="009D7D69"/>
    <w:rsid w:val="009D7F47"/>
    <w:rsid w:val="009D7F4E"/>
    <w:rsid w:val="009E0453"/>
    <w:rsid w:val="009E04C6"/>
    <w:rsid w:val="009E19F7"/>
    <w:rsid w:val="009E1CC4"/>
    <w:rsid w:val="009E1D13"/>
    <w:rsid w:val="009E2025"/>
    <w:rsid w:val="009E2544"/>
    <w:rsid w:val="009E298C"/>
    <w:rsid w:val="009E33C4"/>
    <w:rsid w:val="009E3AF4"/>
    <w:rsid w:val="009E3CFA"/>
    <w:rsid w:val="009E3FDE"/>
    <w:rsid w:val="009E40B9"/>
    <w:rsid w:val="009E535E"/>
    <w:rsid w:val="009E56D7"/>
    <w:rsid w:val="009E57FD"/>
    <w:rsid w:val="009E5D0D"/>
    <w:rsid w:val="009E5DC6"/>
    <w:rsid w:val="009E5E8A"/>
    <w:rsid w:val="009E634A"/>
    <w:rsid w:val="009E63B8"/>
    <w:rsid w:val="009E6BC0"/>
    <w:rsid w:val="009E6C56"/>
    <w:rsid w:val="009E6D63"/>
    <w:rsid w:val="009E7025"/>
    <w:rsid w:val="009E728C"/>
    <w:rsid w:val="009E7AFF"/>
    <w:rsid w:val="009E7C82"/>
    <w:rsid w:val="009E7EA6"/>
    <w:rsid w:val="009F0227"/>
    <w:rsid w:val="009F03F2"/>
    <w:rsid w:val="009F06C9"/>
    <w:rsid w:val="009F0907"/>
    <w:rsid w:val="009F0A27"/>
    <w:rsid w:val="009F0B16"/>
    <w:rsid w:val="009F0F2A"/>
    <w:rsid w:val="009F10A1"/>
    <w:rsid w:val="009F18E0"/>
    <w:rsid w:val="009F1A41"/>
    <w:rsid w:val="009F1D0B"/>
    <w:rsid w:val="009F2043"/>
    <w:rsid w:val="009F2575"/>
    <w:rsid w:val="009F2B33"/>
    <w:rsid w:val="009F2D05"/>
    <w:rsid w:val="009F2F4E"/>
    <w:rsid w:val="009F3072"/>
    <w:rsid w:val="009F3199"/>
    <w:rsid w:val="009F3A31"/>
    <w:rsid w:val="009F3C99"/>
    <w:rsid w:val="009F3D94"/>
    <w:rsid w:val="009F4895"/>
    <w:rsid w:val="009F491C"/>
    <w:rsid w:val="009F4B0B"/>
    <w:rsid w:val="009F4D1E"/>
    <w:rsid w:val="009F4EDD"/>
    <w:rsid w:val="009F57AB"/>
    <w:rsid w:val="009F5CBB"/>
    <w:rsid w:val="009F5FDA"/>
    <w:rsid w:val="009F6239"/>
    <w:rsid w:val="009F6B4C"/>
    <w:rsid w:val="009F6FD2"/>
    <w:rsid w:val="009F7224"/>
    <w:rsid w:val="009F7A1A"/>
    <w:rsid w:val="009F7EA2"/>
    <w:rsid w:val="00A00546"/>
    <w:rsid w:val="00A006E0"/>
    <w:rsid w:val="00A007C4"/>
    <w:rsid w:val="00A009A9"/>
    <w:rsid w:val="00A00F74"/>
    <w:rsid w:val="00A011B4"/>
    <w:rsid w:val="00A012AF"/>
    <w:rsid w:val="00A01E64"/>
    <w:rsid w:val="00A02A8B"/>
    <w:rsid w:val="00A03433"/>
    <w:rsid w:val="00A034EA"/>
    <w:rsid w:val="00A03F47"/>
    <w:rsid w:val="00A0465F"/>
    <w:rsid w:val="00A0472B"/>
    <w:rsid w:val="00A0488C"/>
    <w:rsid w:val="00A04E82"/>
    <w:rsid w:val="00A0504D"/>
    <w:rsid w:val="00A05433"/>
    <w:rsid w:val="00A05B36"/>
    <w:rsid w:val="00A05E44"/>
    <w:rsid w:val="00A06282"/>
    <w:rsid w:val="00A062A0"/>
    <w:rsid w:val="00A06577"/>
    <w:rsid w:val="00A068FB"/>
    <w:rsid w:val="00A06EF3"/>
    <w:rsid w:val="00A0704D"/>
    <w:rsid w:val="00A07221"/>
    <w:rsid w:val="00A0732F"/>
    <w:rsid w:val="00A0780B"/>
    <w:rsid w:val="00A1021B"/>
    <w:rsid w:val="00A10599"/>
    <w:rsid w:val="00A10953"/>
    <w:rsid w:val="00A10F47"/>
    <w:rsid w:val="00A112F1"/>
    <w:rsid w:val="00A11530"/>
    <w:rsid w:val="00A12268"/>
    <w:rsid w:val="00A1258F"/>
    <w:rsid w:val="00A129BB"/>
    <w:rsid w:val="00A12D58"/>
    <w:rsid w:val="00A138DC"/>
    <w:rsid w:val="00A13EEC"/>
    <w:rsid w:val="00A13F3B"/>
    <w:rsid w:val="00A13F97"/>
    <w:rsid w:val="00A14379"/>
    <w:rsid w:val="00A1438A"/>
    <w:rsid w:val="00A149CA"/>
    <w:rsid w:val="00A14C81"/>
    <w:rsid w:val="00A15016"/>
    <w:rsid w:val="00A15CB0"/>
    <w:rsid w:val="00A16520"/>
    <w:rsid w:val="00A16D32"/>
    <w:rsid w:val="00A16E7A"/>
    <w:rsid w:val="00A171C4"/>
    <w:rsid w:val="00A173F8"/>
    <w:rsid w:val="00A17634"/>
    <w:rsid w:val="00A17CBE"/>
    <w:rsid w:val="00A20152"/>
    <w:rsid w:val="00A20F41"/>
    <w:rsid w:val="00A216BE"/>
    <w:rsid w:val="00A21FA8"/>
    <w:rsid w:val="00A22162"/>
    <w:rsid w:val="00A223DE"/>
    <w:rsid w:val="00A22418"/>
    <w:rsid w:val="00A22886"/>
    <w:rsid w:val="00A231C2"/>
    <w:rsid w:val="00A24204"/>
    <w:rsid w:val="00A24354"/>
    <w:rsid w:val="00A245F5"/>
    <w:rsid w:val="00A24879"/>
    <w:rsid w:val="00A24C51"/>
    <w:rsid w:val="00A251E2"/>
    <w:rsid w:val="00A2582A"/>
    <w:rsid w:val="00A25A83"/>
    <w:rsid w:val="00A25B82"/>
    <w:rsid w:val="00A25C1E"/>
    <w:rsid w:val="00A25DFB"/>
    <w:rsid w:val="00A26063"/>
    <w:rsid w:val="00A2647D"/>
    <w:rsid w:val="00A26ADF"/>
    <w:rsid w:val="00A275DE"/>
    <w:rsid w:val="00A279D1"/>
    <w:rsid w:val="00A279EC"/>
    <w:rsid w:val="00A3027A"/>
    <w:rsid w:val="00A304F1"/>
    <w:rsid w:val="00A307E4"/>
    <w:rsid w:val="00A30F4C"/>
    <w:rsid w:val="00A313D3"/>
    <w:rsid w:val="00A31A23"/>
    <w:rsid w:val="00A31A8E"/>
    <w:rsid w:val="00A31D9F"/>
    <w:rsid w:val="00A31FFB"/>
    <w:rsid w:val="00A325D0"/>
    <w:rsid w:val="00A32977"/>
    <w:rsid w:val="00A32A8E"/>
    <w:rsid w:val="00A32C00"/>
    <w:rsid w:val="00A32CBA"/>
    <w:rsid w:val="00A32E70"/>
    <w:rsid w:val="00A337BE"/>
    <w:rsid w:val="00A33CA3"/>
    <w:rsid w:val="00A33E94"/>
    <w:rsid w:val="00A347FA"/>
    <w:rsid w:val="00A34831"/>
    <w:rsid w:val="00A35380"/>
    <w:rsid w:val="00A35644"/>
    <w:rsid w:val="00A35B44"/>
    <w:rsid w:val="00A361BD"/>
    <w:rsid w:val="00A3648B"/>
    <w:rsid w:val="00A366EA"/>
    <w:rsid w:val="00A36832"/>
    <w:rsid w:val="00A36938"/>
    <w:rsid w:val="00A3699B"/>
    <w:rsid w:val="00A369D8"/>
    <w:rsid w:val="00A36E31"/>
    <w:rsid w:val="00A36FAF"/>
    <w:rsid w:val="00A370B9"/>
    <w:rsid w:val="00A3722E"/>
    <w:rsid w:val="00A37897"/>
    <w:rsid w:val="00A4046C"/>
    <w:rsid w:val="00A4083E"/>
    <w:rsid w:val="00A40ADB"/>
    <w:rsid w:val="00A40CBE"/>
    <w:rsid w:val="00A417A6"/>
    <w:rsid w:val="00A41C63"/>
    <w:rsid w:val="00A41D40"/>
    <w:rsid w:val="00A420BA"/>
    <w:rsid w:val="00A420F9"/>
    <w:rsid w:val="00A42214"/>
    <w:rsid w:val="00A42A0F"/>
    <w:rsid w:val="00A42EB4"/>
    <w:rsid w:val="00A43362"/>
    <w:rsid w:val="00A43650"/>
    <w:rsid w:val="00A44393"/>
    <w:rsid w:val="00A4454F"/>
    <w:rsid w:val="00A446F7"/>
    <w:rsid w:val="00A44AEB"/>
    <w:rsid w:val="00A4557C"/>
    <w:rsid w:val="00A45739"/>
    <w:rsid w:val="00A45907"/>
    <w:rsid w:val="00A45E21"/>
    <w:rsid w:val="00A45FC4"/>
    <w:rsid w:val="00A46106"/>
    <w:rsid w:val="00A4686B"/>
    <w:rsid w:val="00A474D9"/>
    <w:rsid w:val="00A47795"/>
    <w:rsid w:val="00A479AD"/>
    <w:rsid w:val="00A47D1A"/>
    <w:rsid w:val="00A47D5E"/>
    <w:rsid w:val="00A50328"/>
    <w:rsid w:val="00A503C6"/>
    <w:rsid w:val="00A50621"/>
    <w:rsid w:val="00A50D76"/>
    <w:rsid w:val="00A51487"/>
    <w:rsid w:val="00A51513"/>
    <w:rsid w:val="00A519CD"/>
    <w:rsid w:val="00A52ED9"/>
    <w:rsid w:val="00A52F78"/>
    <w:rsid w:val="00A53339"/>
    <w:rsid w:val="00A53C18"/>
    <w:rsid w:val="00A5401C"/>
    <w:rsid w:val="00A54AFE"/>
    <w:rsid w:val="00A54B85"/>
    <w:rsid w:val="00A54C03"/>
    <w:rsid w:val="00A54DAF"/>
    <w:rsid w:val="00A55330"/>
    <w:rsid w:val="00A555E6"/>
    <w:rsid w:val="00A55879"/>
    <w:rsid w:val="00A55977"/>
    <w:rsid w:val="00A55DB6"/>
    <w:rsid w:val="00A56C45"/>
    <w:rsid w:val="00A56DBB"/>
    <w:rsid w:val="00A56E1C"/>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E55"/>
    <w:rsid w:val="00A63C13"/>
    <w:rsid w:val="00A63E5A"/>
    <w:rsid w:val="00A64A30"/>
    <w:rsid w:val="00A64FC5"/>
    <w:rsid w:val="00A65068"/>
    <w:rsid w:val="00A6515D"/>
    <w:rsid w:val="00A6653B"/>
    <w:rsid w:val="00A6685C"/>
    <w:rsid w:val="00A66914"/>
    <w:rsid w:val="00A66977"/>
    <w:rsid w:val="00A66ADF"/>
    <w:rsid w:val="00A6765F"/>
    <w:rsid w:val="00A706DD"/>
    <w:rsid w:val="00A70918"/>
    <w:rsid w:val="00A70984"/>
    <w:rsid w:val="00A70B30"/>
    <w:rsid w:val="00A71135"/>
    <w:rsid w:val="00A71AF4"/>
    <w:rsid w:val="00A72602"/>
    <w:rsid w:val="00A728A1"/>
    <w:rsid w:val="00A72EA0"/>
    <w:rsid w:val="00A72EDC"/>
    <w:rsid w:val="00A730C2"/>
    <w:rsid w:val="00A73216"/>
    <w:rsid w:val="00A736ED"/>
    <w:rsid w:val="00A739E6"/>
    <w:rsid w:val="00A73BDE"/>
    <w:rsid w:val="00A73CB9"/>
    <w:rsid w:val="00A73FC5"/>
    <w:rsid w:val="00A74399"/>
    <w:rsid w:val="00A74B7A"/>
    <w:rsid w:val="00A74E0F"/>
    <w:rsid w:val="00A75B77"/>
    <w:rsid w:val="00A766E4"/>
    <w:rsid w:val="00A76892"/>
    <w:rsid w:val="00A76965"/>
    <w:rsid w:val="00A76A44"/>
    <w:rsid w:val="00A76C3C"/>
    <w:rsid w:val="00A771DC"/>
    <w:rsid w:val="00A77295"/>
    <w:rsid w:val="00A77961"/>
    <w:rsid w:val="00A7799F"/>
    <w:rsid w:val="00A80132"/>
    <w:rsid w:val="00A80276"/>
    <w:rsid w:val="00A802E6"/>
    <w:rsid w:val="00A804E6"/>
    <w:rsid w:val="00A804F8"/>
    <w:rsid w:val="00A80527"/>
    <w:rsid w:val="00A80675"/>
    <w:rsid w:val="00A80B21"/>
    <w:rsid w:val="00A817C9"/>
    <w:rsid w:val="00A817FD"/>
    <w:rsid w:val="00A81961"/>
    <w:rsid w:val="00A82657"/>
    <w:rsid w:val="00A82836"/>
    <w:rsid w:val="00A82955"/>
    <w:rsid w:val="00A82D45"/>
    <w:rsid w:val="00A82F61"/>
    <w:rsid w:val="00A838D3"/>
    <w:rsid w:val="00A83E6F"/>
    <w:rsid w:val="00A8463C"/>
    <w:rsid w:val="00A8493A"/>
    <w:rsid w:val="00A84C04"/>
    <w:rsid w:val="00A84C6D"/>
    <w:rsid w:val="00A84FD0"/>
    <w:rsid w:val="00A84FF1"/>
    <w:rsid w:val="00A85158"/>
    <w:rsid w:val="00A852EB"/>
    <w:rsid w:val="00A85426"/>
    <w:rsid w:val="00A85576"/>
    <w:rsid w:val="00A858A1"/>
    <w:rsid w:val="00A85B9E"/>
    <w:rsid w:val="00A863E2"/>
    <w:rsid w:val="00A86528"/>
    <w:rsid w:val="00A86558"/>
    <w:rsid w:val="00A86941"/>
    <w:rsid w:val="00A86C2D"/>
    <w:rsid w:val="00A86DDA"/>
    <w:rsid w:val="00A86E23"/>
    <w:rsid w:val="00A8703B"/>
    <w:rsid w:val="00A8774E"/>
    <w:rsid w:val="00A87D7E"/>
    <w:rsid w:val="00A90058"/>
    <w:rsid w:val="00A9009B"/>
    <w:rsid w:val="00A90193"/>
    <w:rsid w:val="00A904F1"/>
    <w:rsid w:val="00A90BE1"/>
    <w:rsid w:val="00A9110D"/>
    <w:rsid w:val="00A9124E"/>
    <w:rsid w:val="00A912A8"/>
    <w:rsid w:val="00A912F3"/>
    <w:rsid w:val="00A91306"/>
    <w:rsid w:val="00A91514"/>
    <w:rsid w:val="00A91A2D"/>
    <w:rsid w:val="00A91E50"/>
    <w:rsid w:val="00A920B2"/>
    <w:rsid w:val="00A9298B"/>
    <w:rsid w:val="00A92A99"/>
    <w:rsid w:val="00A92AFD"/>
    <w:rsid w:val="00A92C11"/>
    <w:rsid w:val="00A93561"/>
    <w:rsid w:val="00A93ECE"/>
    <w:rsid w:val="00A94017"/>
    <w:rsid w:val="00A94563"/>
    <w:rsid w:val="00A94A22"/>
    <w:rsid w:val="00A94FC8"/>
    <w:rsid w:val="00A954E4"/>
    <w:rsid w:val="00A95A14"/>
    <w:rsid w:val="00A95A5B"/>
    <w:rsid w:val="00A9615B"/>
    <w:rsid w:val="00A96189"/>
    <w:rsid w:val="00A965F9"/>
    <w:rsid w:val="00A96670"/>
    <w:rsid w:val="00A966C0"/>
    <w:rsid w:val="00A96C0E"/>
    <w:rsid w:val="00A96F86"/>
    <w:rsid w:val="00A97DB8"/>
    <w:rsid w:val="00AA0419"/>
    <w:rsid w:val="00AA0CD9"/>
    <w:rsid w:val="00AA1327"/>
    <w:rsid w:val="00AA14D6"/>
    <w:rsid w:val="00AA155C"/>
    <w:rsid w:val="00AA1A24"/>
    <w:rsid w:val="00AA1A8B"/>
    <w:rsid w:val="00AA1BB4"/>
    <w:rsid w:val="00AA2491"/>
    <w:rsid w:val="00AA2617"/>
    <w:rsid w:val="00AA2EE6"/>
    <w:rsid w:val="00AA2F9F"/>
    <w:rsid w:val="00AA30B6"/>
    <w:rsid w:val="00AA341A"/>
    <w:rsid w:val="00AA3423"/>
    <w:rsid w:val="00AA372C"/>
    <w:rsid w:val="00AA4468"/>
    <w:rsid w:val="00AA4867"/>
    <w:rsid w:val="00AA49DB"/>
    <w:rsid w:val="00AA4BFD"/>
    <w:rsid w:val="00AA559E"/>
    <w:rsid w:val="00AA5CAB"/>
    <w:rsid w:val="00AA5D36"/>
    <w:rsid w:val="00AA609D"/>
    <w:rsid w:val="00AA641A"/>
    <w:rsid w:val="00AA6C14"/>
    <w:rsid w:val="00AA718E"/>
    <w:rsid w:val="00AA7249"/>
    <w:rsid w:val="00AA74AA"/>
    <w:rsid w:val="00AA74B0"/>
    <w:rsid w:val="00AA7C4E"/>
    <w:rsid w:val="00AA7CCD"/>
    <w:rsid w:val="00AB028E"/>
    <w:rsid w:val="00AB047A"/>
    <w:rsid w:val="00AB055F"/>
    <w:rsid w:val="00AB062C"/>
    <w:rsid w:val="00AB06B2"/>
    <w:rsid w:val="00AB09D2"/>
    <w:rsid w:val="00AB0D6F"/>
    <w:rsid w:val="00AB13F5"/>
    <w:rsid w:val="00AB16D8"/>
    <w:rsid w:val="00AB187B"/>
    <w:rsid w:val="00AB1F37"/>
    <w:rsid w:val="00AB2188"/>
    <w:rsid w:val="00AB2388"/>
    <w:rsid w:val="00AB29A7"/>
    <w:rsid w:val="00AB2B6A"/>
    <w:rsid w:val="00AB2F76"/>
    <w:rsid w:val="00AB3493"/>
    <w:rsid w:val="00AB38CA"/>
    <w:rsid w:val="00AB3B2A"/>
    <w:rsid w:val="00AB46BC"/>
    <w:rsid w:val="00AB491F"/>
    <w:rsid w:val="00AB4BDF"/>
    <w:rsid w:val="00AB5196"/>
    <w:rsid w:val="00AB5430"/>
    <w:rsid w:val="00AB543E"/>
    <w:rsid w:val="00AB5C0F"/>
    <w:rsid w:val="00AB5CA8"/>
    <w:rsid w:val="00AB5F86"/>
    <w:rsid w:val="00AB64F9"/>
    <w:rsid w:val="00AB6F0F"/>
    <w:rsid w:val="00AB725B"/>
    <w:rsid w:val="00AB75DE"/>
    <w:rsid w:val="00AB799B"/>
    <w:rsid w:val="00AB7E41"/>
    <w:rsid w:val="00AC040D"/>
    <w:rsid w:val="00AC0492"/>
    <w:rsid w:val="00AC0610"/>
    <w:rsid w:val="00AC099F"/>
    <w:rsid w:val="00AC1313"/>
    <w:rsid w:val="00AC17A3"/>
    <w:rsid w:val="00AC17C0"/>
    <w:rsid w:val="00AC1964"/>
    <w:rsid w:val="00AC3983"/>
    <w:rsid w:val="00AC4494"/>
    <w:rsid w:val="00AC4911"/>
    <w:rsid w:val="00AC4DF0"/>
    <w:rsid w:val="00AC522D"/>
    <w:rsid w:val="00AC5FAA"/>
    <w:rsid w:val="00AC67BE"/>
    <w:rsid w:val="00AC7084"/>
    <w:rsid w:val="00AC7399"/>
    <w:rsid w:val="00AC7841"/>
    <w:rsid w:val="00AC7F07"/>
    <w:rsid w:val="00AD0D35"/>
    <w:rsid w:val="00AD0E87"/>
    <w:rsid w:val="00AD139C"/>
    <w:rsid w:val="00AD15B3"/>
    <w:rsid w:val="00AD1C1B"/>
    <w:rsid w:val="00AD1C78"/>
    <w:rsid w:val="00AD1D90"/>
    <w:rsid w:val="00AD2BE3"/>
    <w:rsid w:val="00AD35A8"/>
    <w:rsid w:val="00AD3840"/>
    <w:rsid w:val="00AD3879"/>
    <w:rsid w:val="00AD40D7"/>
    <w:rsid w:val="00AD56B8"/>
    <w:rsid w:val="00AD632D"/>
    <w:rsid w:val="00AD656A"/>
    <w:rsid w:val="00AD6A7D"/>
    <w:rsid w:val="00AD7511"/>
    <w:rsid w:val="00AD76BA"/>
    <w:rsid w:val="00AD7B90"/>
    <w:rsid w:val="00AD7FC7"/>
    <w:rsid w:val="00AE022A"/>
    <w:rsid w:val="00AE03FE"/>
    <w:rsid w:val="00AE0639"/>
    <w:rsid w:val="00AE0C64"/>
    <w:rsid w:val="00AE16C8"/>
    <w:rsid w:val="00AE19C1"/>
    <w:rsid w:val="00AE1CAE"/>
    <w:rsid w:val="00AE1DC4"/>
    <w:rsid w:val="00AE1E1D"/>
    <w:rsid w:val="00AE1EDF"/>
    <w:rsid w:val="00AE1F90"/>
    <w:rsid w:val="00AE274C"/>
    <w:rsid w:val="00AE2BBE"/>
    <w:rsid w:val="00AE3DA7"/>
    <w:rsid w:val="00AE4705"/>
    <w:rsid w:val="00AE47E7"/>
    <w:rsid w:val="00AE47FD"/>
    <w:rsid w:val="00AE4B26"/>
    <w:rsid w:val="00AE4DF8"/>
    <w:rsid w:val="00AE4ED7"/>
    <w:rsid w:val="00AE503F"/>
    <w:rsid w:val="00AE5554"/>
    <w:rsid w:val="00AE5635"/>
    <w:rsid w:val="00AE5906"/>
    <w:rsid w:val="00AE594C"/>
    <w:rsid w:val="00AE5F28"/>
    <w:rsid w:val="00AE66D7"/>
    <w:rsid w:val="00AE6830"/>
    <w:rsid w:val="00AE6CDD"/>
    <w:rsid w:val="00AE7153"/>
    <w:rsid w:val="00AE74E9"/>
    <w:rsid w:val="00AE7CAF"/>
    <w:rsid w:val="00AF077A"/>
    <w:rsid w:val="00AF087D"/>
    <w:rsid w:val="00AF0AFA"/>
    <w:rsid w:val="00AF0BE3"/>
    <w:rsid w:val="00AF0E2E"/>
    <w:rsid w:val="00AF12CC"/>
    <w:rsid w:val="00AF13B4"/>
    <w:rsid w:val="00AF193B"/>
    <w:rsid w:val="00AF1DF6"/>
    <w:rsid w:val="00AF247F"/>
    <w:rsid w:val="00AF27DA"/>
    <w:rsid w:val="00AF2849"/>
    <w:rsid w:val="00AF3348"/>
    <w:rsid w:val="00AF342B"/>
    <w:rsid w:val="00AF3443"/>
    <w:rsid w:val="00AF3D6E"/>
    <w:rsid w:val="00AF40EA"/>
    <w:rsid w:val="00AF426C"/>
    <w:rsid w:val="00AF43AA"/>
    <w:rsid w:val="00AF460F"/>
    <w:rsid w:val="00AF4868"/>
    <w:rsid w:val="00AF558B"/>
    <w:rsid w:val="00AF5891"/>
    <w:rsid w:val="00AF5895"/>
    <w:rsid w:val="00AF5909"/>
    <w:rsid w:val="00AF5CB8"/>
    <w:rsid w:val="00AF6231"/>
    <w:rsid w:val="00AF6429"/>
    <w:rsid w:val="00AF65AE"/>
    <w:rsid w:val="00AF6863"/>
    <w:rsid w:val="00AF695A"/>
    <w:rsid w:val="00AF6980"/>
    <w:rsid w:val="00AF733C"/>
    <w:rsid w:val="00AF77F8"/>
    <w:rsid w:val="00AF79F8"/>
    <w:rsid w:val="00AF7BE5"/>
    <w:rsid w:val="00B0058A"/>
    <w:rsid w:val="00B00AFB"/>
    <w:rsid w:val="00B00FD5"/>
    <w:rsid w:val="00B013BA"/>
    <w:rsid w:val="00B017F5"/>
    <w:rsid w:val="00B0234C"/>
    <w:rsid w:val="00B02355"/>
    <w:rsid w:val="00B0331D"/>
    <w:rsid w:val="00B0338D"/>
    <w:rsid w:val="00B0350F"/>
    <w:rsid w:val="00B035A8"/>
    <w:rsid w:val="00B037FE"/>
    <w:rsid w:val="00B038B0"/>
    <w:rsid w:val="00B03900"/>
    <w:rsid w:val="00B045FE"/>
    <w:rsid w:val="00B051F9"/>
    <w:rsid w:val="00B05792"/>
    <w:rsid w:val="00B05B92"/>
    <w:rsid w:val="00B061A9"/>
    <w:rsid w:val="00B062CD"/>
    <w:rsid w:val="00B069CF"/>
    <w:rsid w:val="00B076F3"/>
    <w:rsid w:val="00B07A1F"/>
    <w:rsid w:val="00B07B18"/>
    <w:rsid w:val="00B10152"/>
    <w:rsid w:val="00B10158"/>
    <w:rsid w:val="00B10874"/>
    <w:rsid w:val="00B10B1D"/>
    <w:rsid w:val="00B10F81"/>
    <w:rsid w:val="00B11C79"/>
    <w:rsid w:val="00B124E0"/>
    <w:rsid w:val="00B12AEB"/>
    <w:rsid w:val="00B12F86"/>
    <w:rsid w:val="00B130C6"/>
    <w:rsid w:val="00B133FC"/>
    <w:rsid w:val="00B13B1C"/>
    <w:rsid w:val="00B13B64"/>
    <w:rsid w:val="00B14515"/>
    <w:rsid w:val="00B14A7C"/>
    <w:rsid w:val="00B14FD7"/>
    <w:rsid w:val="00B153F4"/>
    <w:rsid w:val="00B15DE0"/>
    <w:rsid w:val="00B15FC8"/>
    <w:rsid w:val="00B16AF9"/>
    <w:rsid w:val="00B16CE0"/>
    <w:rsid w:val="00B16D2F"/>
    <w:rsid w:val="00B17598"/>
    <w:rsid w:val="00B17683"/>
    <w:rsid w:val="00B177D7"/>
    <w:rsid w:val="00B178F8"/>
    <w:rsid w:val="00B20043"/>
    <w:rsid w:val="00B2180F"/>
    <w:rsid w:val="00B21DA6"/>
    <w:rsid w:val="00B223BB"/>
    <w:rsid w:val="00B22A79"/>
    <w:rsid w:val="00B22ED2"/>
    <w:rsid w:val="00B23AD0"/>
    <w:rsid w:val="00B23EDF"/>
    <w:rsid w:val="00B24335"/>
    <w:rsid w:val="00B2450C"/>
    <w:rsid w:val="00B25463"/>
    <w:rsid w:val="00B254C4"/>
    <w:rsid w:val="00B25918"/>
    <w:rsid w:val="00B25BEB"/>
    <w:rsid w:val="00B25EE7"/>
    <w:rsid w:val="00B26024"/>
    <w:rsid w:val="00B261A9"/>
    <w:rsid w:val="00B26EC4"/>
    <w:rsid w:val="00B2705C"/>
    <w:rsid w:val="00B27962"/>
    <w:rsid w:val="00B279FC"/>
    <w:rsid w:val="00B303C8"/>
    <w:rsid w:val="00B30825"/>
    <w:rsid w:val="00B312F6"/>
    <w:rsid w:val="00B3135E"/>
    <w:rsid w:val="00B3147B"/>
    <w:rsid w:val="00B3246D"/>
    <w:rsid w:val="00B32673"/>
    <w:rsid w:val="00B32E3B"/>
    <w:rsid w:val="00B32EAA"/>
    <w:rsid w:val="00B33373"/>
    <w:rsid w:val="00B338FB"/>
    <w:rsid w:val="00B33D05"/>
    <w:rsid w:val="00B33DDD"/>
    <w:rsid w:val="00B3527C"/>
    <w:rsid w:val="00B35A30"/>
    <w:rsid w:val="00B35CD3"/>
    <w:rsid w:val="00B35DE5"/>
    <w:rsid w:val="00B35E18"/>
    <w:rsid w:val="00B35E74"/>
    <w:rsid w:val="00B3675F"/>
    <w:rsid w:val="00B367F3"/>
    <w:rsid w:val="00B36B6F"/>
    <w:rsid w:val="00B36D8B"/>
    <w:rsid w:val="00B378D2"/>
    <w:rsid w:val="00B40571"/>
    <w:rsid w:val="00B40891"/>
    <w:rsid w:val="00B40F4B"/>
    <w:rsid w:val="00B4112C"/>
    <w:rsid w:val="00B4130A"/>
    <w:rsid w:val="00B41522"/>
    <w:rsid w:val="00B416B3"/>
    <w:rsid w:val="00B41700"/>
    <w:rsid w:val="00B41D93"/>
    <w:rsid w:val="00B42CBD"/>
    <w:rsid w:val="00B42E1D"/>
    <w:rsid w:val="00B43299"/>
    <w:rsid w:val="00B4330E"/>
    <w:rsid w:val="00B4393E"/>
    <w:rsid w:val="00B43FE6"/>
    <w:rsid w:val="00B44D14"/>
    <w:rsid w:val="00B44E28"/>
    <w:rsid w:val="00B44FF1"/>
    <w:rsid w:val="00B45090"/>
    <w:rsid w:val="00B453D7"/>
    <w:rsid w:val="00B46160"/>
    <w:rsid w:val="00B46263"/>
    <w:rsid w:val="00B4694C"/>
    <w:rsid w:val="00B47A97"/>
    <w:rsid w:val="00B47E1D"/>
    <w:rsid w:val="00B50176"/>
    <w:rsid w:val="00B50413"/>
    <w:rsid w:val="00B506D7"/>
    <w:rsid w:val="00B50A43"/>
    <w:rsid w:val="00B50E35"/>
    <w:rsid w:val="00B511AC"/>
    <w:rsid w:val="00B51C87"/>
    <w:rsid w:val="00B5233E"/>
    <w:rsid w:val="00B523D7"/>
    <w:rsid w:val="00B52874"/>
    <w:rsid w:val="00B52A8F"/>
    <w:rsid w:val="00B52FDC"/>
    <w:rsid w:val="00B531CA"/>
    <w:rsid w:val="00B5325C"/>
    <w:rsid w:val="00B5391A"/>
    <w:rsid w:val="00B53FF0"/>
    <w:rsid w:val="00B542FE"/>
    <w:rsid w:val="00B5435B"/>
    <w:rsid w:val="00B54367"/>
    <w:rsid w:val="00B5437A"/>
    <w:rsid w:val="00B548F4"/>
    <w:rsid w:val="00B54D1D"/>
    <w:rsid w:val="00B54FE4"/>
    <w:rsid w:val="00B5521F"/>
    <w:rsid w:val="00B552CE"/>
    <w:rsid w:val="00B55375"/>
    <w:rsid w:val="00B55594"/>
    <w:rsid w:val="00B556FB"/>
    <w:rsid w:val="00B55900"/>
    <w:rsid w:val="00B55D76"/>
    <w:rsid w:val="00B55F3E"/>
    <w:rsid w:val="00B56267"/>
    <w:rsid w:val="00B56A78"/>
    <w:rsid w:val="00B56B69"/>
    <w:rsid w:val="00B572E8"/>
    <w:rsid w:val="00B57483"/>
    <w:rsid w:val="00B579A6"/>
    <w:rsid w:val="00B57D90"/>
    <w:rsid w:val="00B60240"/>
    <w:rsid w:val="00B60410"/>
    <w:rsid w:val="00B60ABC"/>
    <w:rsid w:val="00B60CE4"/>
    <w:rsid w:val="00B60DE6"/>
    <w:rsid w:val="00B61143"/>
    <w:rsid w:val="00B61323"/>
    <w:rsid w:val="00B61446"/>
    <w:rsid w:val="00B615D5"/>
    <w:rsid w:val="00B6185F"/>
    <w:rsid w:val="00B619F8"/>
    <w:rsid w:val="00B62136"/>
    <w:rsid w:val="00B62C1C"/>
    <w:rsid w:val="00B636C0"/>
    <w:rsid w:val="00B63BB8"/>
    <w:rsid w:val="00B63EA6"/>
    <w:rsid w:val="00B64229"/>
    <w:rsid w:val="00B64672"/>
    <w:rsid w:val="00B6472A"/>
    <w:rsid w:val="00B65021"/>
    <w:rsid w:val="00B654C2"/>
    <w:rsid w:val="00B65CAD"/>
    <w:rsid w:val="00B65D5D"/>
    <w:rsid w:val="00B6641C"/>
    <w:rsid w:val="00B66A0D"/>
    <w:rsid w:val="00B66D72"/>
    <w:rsid w:val="00B67478"/>
    <w:rsid w:val="00B67890"/>
    <w:rsid w:val="00B678AC"/>
    <w:rsid w:val="00B67B48"/>
    <w:rsid w:val="00B67B81"/>
    <w:rsid w:val="00B701DC"/>
    <w:rsid w:val="00B70544"/>
    <w:rsid w:val="00B70B1F"/>
    <w:rsid w:val="00B718D1"/>
    <w:rsid w:val="00B71F5D"/>
    <w:rsid w:val="00B721A1"/>
    <w:rsid w:val="00B722A1"/>
    <w:rsid w:val="00B72535"/>
    <w:rsid w:val="00B72637"/>
    <w:rsid w:val="00B72750"/>
    <w:rsid w:val="00B727A3"/>
    <w:rsid w:val="00B729AE"/>
    <w:rsid w:val="00B72C4B"/>
    <w:rsid w:val="00B7317A"/>
    <w:rsid w:val="00B73BFD"/>
    <w:rsid w:val="00B74E5C"/>
    <w:rsid w:val="00B7550F"/>
    <w:rsid w:val="00B758D2"/>
    <w:rsid w:val="00B7697D"/>
    <w:rsid w:val="00B76A2E"/>
    <w:rsid w:val="00B77226"/>
    <w:rsid w:val="00B775CE"/>
    <w:rsid w:val="00B77932"/>
    <w:rsid w:val="00B803DB"/>
    <w:rsid w:val="00B80617"/>
    <w:rsid w:val="00B80643"/>
    <w:rsid w:val="00B80656"/>
    <w:rsid w:val="00B80A49"/>
    <w:rsid w:val="00B81470"/>
    <w:rsid w:val="00B81CE1"/>
    <w:rsid w:val="00B822F5"/>
    <w:rsid w:val="00B827A7"/>
    <w:rsid w:val="00B82808"/>
    <w:rsid w:val="00B8358C"/>
    <w:rsid w:val="00B83764"/>
    <w:rsid w:val="00B83782"/>
    <w:rsid w:val="00B83964"/>
    <w:rsid w:val="00B83A84"/>
    <w:rsid w:val="00B83DD1"/>
    <w:rsid w:val="00B83F04"/>
    <w:rsid w:val="00B84373"/>
    <w:rsid w:val="00B84F51"/>
    <w:rsid w:val="00B8510F"/>
    <w:rsid w:val="00B851DC"/>
    <w:rsid w:val="00B85A1D"/>
    <w:rsid w:val="00B863D1"/>
    <w:rsid w:val="00B8640E"/>
    <w:rsid w:val="00B8651F"/>
    <w:rsid w:val="00B865E2"/>
    <w:rsid w:val="00B86A33"/>
    <w:rsid w:val="00B86C39"/>
    <w:rsid w:val="00B86E84"/>
    <w:rsid w:val="00B86FC3"/>
    <w:rsid w:val="00B870E8"/>
    <w:rsid w:val="00B87BA4"/>
    <w:rsid w:val="00B87CBA"/>
    <w:rsid w:val="00B87DAA"/>
    <w:rsid w:val="00B87F60"/>
    <w:rsid w:val="00B90324"/>
    <w:rsid w:val="00B90DB4"/>
    <w:rsid w:val="00B90E39"/>
    <w:rsid w:val="00B917C1"/>
    <w:rsid w:val="00B9195F"/>
    <w:rsid w:val="00B91BF4"/>
    <w:rsid w:val="00B921CF"/>
    <w:rsid w:val="00B923E9"/>
    <w:rsid w:val="00B924EA"/>
    <w:rsid w:val="00B92691"/>
    <w:rsid w:val="00B937D4"/>
    <w:rsid w:val="00B938ED"/>
    <w:rsid w:val="00B9415C"/>
    <w:rsid w:val="00B941BA"/>
    <w:rsid w:val="00B94387"/>
    <w:rsid w:val="00B9480B"/>
    <w:rsid w:val="00B94AFE"/>
    <w:rsid w:val="00B94BC8"/>
    <w:rsid w:val="00B94D3A"/>
    <w:rsid w:val="00B9582A"/>
    <w:rsid w:val="00B958B1"/>
    <w:rsid w:val="00B95B8C"/>
    <w:rsid w:val="00B95C32"/>
    <w:rsid w:val="00B95D49"/>
    <w:rsid w:val="00B963EB"/>
    <w:rsid w:val="00B9652C"/>
    <w:rsid w:val="00B96718"/>
    <w:rsid w:val="00B97A92"/>
    <w:rsid w:val="00B97C1F"/>
    <w:rsid w:val="00B97E48"/>
    <w:rsid w:val="00BA04AA"/>
    <w:rsid w:val="00BA0BAD"/>
    <w:rsid w:val="00BA0E9C"/>
    <w:rsid w:val="00BA125E"/>
    <w:rsid w:val="00BA1711"/>
    <w:rsid w:val="00BA1765"/>
    <w:rsid w:val="00BA17FE"/>
    <w:rsid w:val="00BA1DD3"/>
    <w:rsid w:val="00BA1EFE"/>
    <w:rsid w:val="00BA21A4"/>
    <w:rsid w:val="00BA21B0"/>
    <w:rsid w:val="00BA2679"/>
    <w:rsid w:val="00BA2FF7"/>
    <w:rsid w:val="00BA31F1"/>
    <w:rsid w:val="00BA32E3"/>
    <w:rsid w:val="00BA34D4"/>
    <w:rsid w:val="00BA3700"/>
    <w:rsid w:val="00BA41AA"/>
    <w:rsid w:val="00BA4D29"/>
    <w:rsid w:val="00BA500C"/>
    <w:rsid w:val="00BA54B7"/>
    <w:rsid w:val="00BA5915"/>
    <w:rsid w:val="00BA593B"/>
    <w:rsid w:val="00BA5D15"/>
    <w:rsid w:val="00BA5DFB"/>
    <w:rsid w:val="00BA609F"/>
    <w:rsid w:val="00BA6E28"/>
    <w:rsid w:val="00BA711F"/>
    <w:rsid w:val="00BA719B"/>
    <w:rsid w:val="00BA7954"/>
    <w:rsid w:val="00BA7A10"/>
    <w:rsid w:val="00BA7E0C"/>
    <w:rsid w:val="00BA7E21"/>
    <w:rsid w:val="00BB0D0A"/>
    <w:rsid w:val="00BB157A"/>
    <w:rsid w:val="00BB1D3A"/>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4012"/>
    <w:rsid w:val="00BB4D9D"/>
    <w:rsid w:val="00BB5002"/>
    <w:rsid w:val="00BB53B9"/>
    <w:rsid w:val="00BB5614"/>
    <w:rsid w:val="00BB5639"/>
    <w:rsid w:val="00BB5902"/>
    <w:rsid w:val="00BB608B"/>
    <w:rsid w:val="00BB639F"/>
    <w:rsid w:val="00BB6B51"/>
    <w:rsid w:val="00BB6E31"/>
    <w:rsid w:val="00BB757E"/>
    <w:rsid w:val="00BB7A08"/>
    <w:rsid w:val="00BB7BC9"/>
    <w:rsid w:val="00BC06B5"/>
    <w:rsid w:val="00BC08F5"/>
    <w:rsid w:val="00BC0D27"/>
    <w:rsid w:val="00BC0F44"/>
    <w:rsid w:val="00BC1835"/>
    <w:rsid w:val="00BC1A54"/>
    <w:rsid w:val="00BC24E2"/>
    <w:rsid w:val="00BC26E8"/>
    <w:rsid w:val="00BC29CE"/>
    <w:rsid w:val="00BC2FD6"/>
    <w:rsid w:val="00BC310B"/>
    <w:rsid w:val="00BC38DC"/>
    <w:rsid w:val="00BC3B6B"/>
    <w:rsid w:val="00BC5A2D"/>
    <w:rsid w:val="00BC5D85"/>
    <w:rsid w:val="00BC60C9"/>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2033"/>
    <w:rsid w:val="00BD2164"/>
    <w:rsid w:val="00BD299C"/>
    <w:rsid w:val="00BD2E93"/>
    <w:rsid w:val="00BD2F6F"/>
    <w:rsid w:val="00BD3A40"/>
    <w:rsid w:val="00BD53A7"/>
    <w:rsid w:val="00BD5415"/>
    <w:rsid w:val="00BD5439"/>
    <w:rsid w:val="00BD5756"/>
    <w:rsid w:val="00BD57A5"/>
    <w:rsid w:val="00BD5CCE"/>
    <w:rsid w:val="00BD5DB0"/>
    <w:rsid w:val="00BD693B"/>
    <w:rsid w:val="00BD6A23"/>
    <w:rsid w:val="00BD702F"/>
    <w:rsid w:val="00BD786C"/>
    <w:rsid w:val="00BD7D46"/>
    <w:rsid w:val="00BD7FC9"/>
    <w:rsid w:val="00BE06C9"/>
    <w:rsid w:val="00BE0EC2"/>
    <w:rsid w:val="00BE13BF"/>
    <w:rsid w:val="00BE148B"/>
    <w:rsid w:val="00BE1849"/>
    <w:rsid w:val="00BE1CB1"/>
    <w:rsid w:val="00BE1EA9"/>
    <w:rsid w:val="00BE237B"/>
    <w:rsid w:val="00BE2A43"/>
    <w:rsid w:val="00BE2C32"/>
    <w:rsid w:val="00BE35B5"/>
    <w:rsid w:val="00BE4914"/>
    <w:rsid w:val="00BE4928"/>
    <w:rsid w:val="00BE4B43"/>
    <w:rsid w:val="00BE57C8"/>
    <w:rsid w:val="00BE59F2"/>
    <w:rsid w:val="00BE5D52"/>
    <w:rsid w:val="00BE6106"/>
    <w:rsid w:val="00BE642D"/>
    <w:rsid w:val="00BE669E"/>
    <w:rsid w:val="00BE6CD9"/>
    <w:rsid w:val="00BE75D5"/>
    <w:rsid w:val="00BF06F4"/>
    <w:rsid w:val="00BF0C2D"/>
    <w:rsid w:val="00BF0E46"/>
    <w:rsid w:val="00BF1429"/>
    <w:rsid w:val="00BF157B"/>
    <w:rsid w:val="00BF1616"/>
    <w:rsid w:val="00BF199A"/>
    <w:rsid w:val="00BF2285"/>
    <w:rsid w:val="00BF237C"/>
    <w:rsid w:val="00BF24F5"/>
    <w:rsid w:val="00BF2E5A"/>
    <w:rsid w:val="00BF3134"/>
    <w:rsid w:val="00BF3415"/>
    <w:rsid w:val="00BF352D"/>
    <w:rsid w:val="00BF3606"/>
    <w:rsid w:val="00BF3799"/>
    <w:rsid w:val="00BF3854"/>
    <w:rsid w:val="00BF3E51"/>
    <w:rsid w:val="00BF3E89"/>
    <w:rsid w:val="00BF4006"/>
    <w:rsid w:val="00BF48A6"/>
    <w:rsid w:val="00BF4975"/>
    <w:rsid w:val="00BF4E65"/>
    <w:rsid w:val="00BF500D"/>
    <w:rsid w:val="00BF5184"/>
    <w:rsid w:val="00BF5608"/>
    <w:rsid w:val="00BF575A"/>
    <w:rsid w:val="00BF5B26"/>
    <w:rsid w:val="00BF5C77"/>
    <w:rsid w:val="00BF5D23"/>
    <w:rsid w:val="00BF66C1"/>
    <w:rsid w:val="00BF68CC"/>
    <w:rsid w:val="00BF6CAE"/>
    <w:rsid w:val="00BF6D3D"/>
    <w:rsid w:val="00BF704A"/>
    <w:rsid w:val="00BF729B"/>
    <w:rsid w:val="00BF7739"/>
    <w:rsid w:val="00BF7914"/>
    <w:rsid w:val="00BF7E1C"/>
    <w:rsid w:val="00BF7EE5"/>
    <w:rsid w:val="00C0011A"/>
    <w:rsid w:val="00C001B3"/>
    <w:rsid w:val="00C004E8"/>
    <w:rsid w:val="00C007A9"/>
    <w:rsid w:val="00C0092B"/>
    <w:rsid w:val="00C00B3E"/>
    <w:rsid w:val="00C00CC2"/>
    <w:rsid w:val="00C0108B"/>
    <w:rsid w:val="00C01BD2"/>
    <w:rsid w:val="00C02822"/>
    <w:rsid w:val="00C029BE"/>
    <w:rsid w:val="00C02A9D"/>
    <w:rsid w:val="00C02DAA"/>
    <w:rsid w:val="00C040F9"/>
    <w:rsid w:val="00C0453D"/>
    <w:rsid w:val="00C046A1"/>
    <w:rsid w:val="00C048C0"/>
    <w:rsid w:val="00C04A35"/>
    <w:rsid w:val="00C05055"/>
    <w:rsid w:val="00C05131"/>
    <w:rsid w:val="00C0539C"/>
    <w:rsid w:val="00C055F0"/>
    <w:rsid w:val="00C05684"/>
    <w:rsid w:val="00C06278"/>
    <w:rsid w:val="00C06CB8"/>
    <w:rsid w:val="00C06EBD"/>
    <w:rsid w:val="00C071AA"/>
    <w:rsid w:val="00C102B2"/>
    <w:rsid w:val="00C10517"/>
    <w:rsid w:val="00C106A0"/>
    <w:rsid w:val="00C1071E"/>
    <w:rsid w:val="00C1073C"/>
    <w:rsid w:val="00C107D4"/>
    <w:rsid w:val="00C108FA"/>
    <w:rsid w:val="00C10A4C"/>
    <w:rsid w:val="00C10D11"/>
    <w:rsid w:val="00C1100B"/>
    <w:rsid w:val="00C11534"/>
    <w:rsid w:val="00C11C09"/>
    <w:rsid w:val="00C1210C"/>
    <w:rsid w:val="00C12907"/>
    <w:rsid w:val="00C129A0"/>
    <w:rsid w:val="00C1325F"/>
    <w:rsid w:val="00C133F9"/>
    <w:rsid w:val="00C1340C"/>
    <w:rsid w:val="00C13C87"/>
    <w:rsid w:val="00C13D35"/>
    <w:rsid w:val="00C13E4B"/>
    <w:rsid w:val="00C141CB"/>
    <w:rsid w:val="00C1498A"/>
    <w:rsid w:val="00C15214"/>
    <w:rsid w:val="00C15318"/>
    <w:rsid w:val="00C1642B"/>
    <w:rsid w:val="00C16B5D"/>
    <w:rsid w:val="00C16FFC"/>
    <w:rsid w:val="00C17252"/>
    <w:rsid w:val="00C1754C"/>
    <w:rsid w:val="00C177BE"/>
    <w:rsid w:val="00C1792F"/>
    <w:rsid w:val="00C179B5"/>
    <w:rsid w:val="00C200B8"/>
    <w:rsid w:val="00C205F5"/>
    <w:rsid w:val="00C2128F"/>
    <w:rsid w:val="00C2162E"/>
    <w:rsid w:val="00C21737"/>
    <w:rsid w:val="00C21B52"/>
    <w:rsid w:val="00C222ED"/>
    <w:rsid w:val="00C227AE"/>
    <w:rsid w:val="00C22A4B"/>
    <w:rsid w:val="00C22AFB"/>
    <w:rsid w:val="00C22C26"/>
    <w:rsid w:val="00C230CE"/>
    <w:rsid w:val="00C23145"/>
    <w:rsid w:val="00C23397"/>
    <w:rsid w:val="00C2354D"/>
    <w:rsid w:val="00C2370A"/>
    <w:rsid w:val="00C2414E"/>
    <w:rsid w:val="00C24256"/>
    <w:rsid w:val="00C24441"/>
    <w:rsid w:val="00C2476B"/>
    <w:rsid w:val="00C2483A"/>
    <w:rsid w:val="00C24956"/>
    <w:rsid w:val="00C24AA5"/>
    <w:rsid w:val="00C24D48"/>
    <w:rsid w:val="00C2579F"/>
    <w:rsid w:val="00C26059"/>
    <w:rsid w:val="00C26C4E"/>
    <w:rsid w:val="00C27169"/>
    <w:rsid w:val="00C27170"/>
    <w:rsid w:val="00C274D8"/>
    <w:rsid w:val="00C2774C"/>
    <w:rsid w:val="00C27D05"/>
    <w:rsid w:val="00C27FC4"/>
    <w:rsid w:val="00C301A0"/>
    <w:rsid w:val="00C30313"/>
    <w:rsid w:val="00C3125E"/>
    <w:rsid w:val="00C316B4"/>
    <w:rsid w:val="00C31B0A"/>
    <w:rsid w:val="00C32159"/>
    <w:rsid w:val="00C326B9"/>
    <w:rsid w:val="00C32EF5"/>
    <w:rsid w:val="00C32F90"/>
    <w:rsid w:val="00C3361F"/>
    <w:rsid w:val="00C3369A"/>
    <w:rsid w:val="00C341FB"/>
    <w:rsid w:val="00C34757"/>
    <w:rsid w:val="00C347A0"/>
    <w:rsid w:val="00C353FC"/>
    <w:rsid w:val="00C3628C"/>
    <w:rsid w:val="00C3661C"/>
    <w:rsid w:val="00C36769"/>
    <w:rsid w:val="00C36787"/>
    <w:rsid w:val="00C36833"/>
    <w:rsid w:val="00C369DC"/>
    <w:rsid w:val="00C36B2C"/>
    <w:rsid w:val="00C37549"/>
    <w:rsid w:val="00C375BB"/>
    <w:rsid w:val="00C37A0A"/>
    <w:rsid w:val="00C37C02"/>
    <w:rsid w:val="00C37FF6"/>
    <w:rsid w:val="00C4016C"/>
    <w:rsid w:val="00C401FF"/>
    <w:rsid w:val="00C40401"/>
    <w:rsid w:val="00C40CB6"/>
    <w:rsid w:val="00C41417"/>
    <w:rsid w:val="00C41453"/>
    <w:rsid w:val="00C41902"/>
    <w:rsid w:val="00C4216F"/>
    <w:rsid w:val="00C42643"/>
    <w:rsid w:val="00C428DF"/>
    <w:rsid w:val="00C42F0F"/>
    <w:rsid w:val="00C4382A"/>
    <w:rsid w:val="00C43DCF"/>
    <w:rsid w:val="00C4540A"/>
    <w:rsid w:val="00C45770"/>
    <w:rsid w:val="00C45C10"/>
    <w:rsid w:val="00C45C86"/>
    <w:rsid w:val="00C470ED"/>
    <w:rsid w:val="00C47983"/>
    <w:rsid w:val="00C47B9A"/>
    <w:rsid w:val="00C503A5"/>
    <w:rsid w:val="00C50486"/>
    <w:rsid w:val="00C50986"/>
    <w:rsid w:val="00C50C26"/>
    <w:rsid w:val="00C521D5"/>
    <w:rsid w:val="00C52A21"/>
    <w:rsid w:val="00C52EAD"/>
    <w:rsid w:val="00C532EA"/>
    <w:rsid w:val="00C534A4"/>
    <w:rsid w:val="00C537D2"/>
    <w:rsid w:val="00C53990"/>
    <w:rsid w:val="00C53A95"/>
    <w:rsid w:val="00C53DE9"/>
    <w:rsid w:val="00C53FCB"/>
    <w:rsid w:val="00C54D51"/>
    <w:rsid w:val="00C54F16"/>
    <w:rsid w:val="00C565C6"/>
    <w:rsid w:val="00C56E05"/>
    <w:rsid w:val="00C57035"/>
    <w:rsid w:val="00C57804"/>
    <w:rsid w:val="00C578F3"/>
    <w:rsid w:val="00C57C5E"/>
    <w:rsid w:val="00C600ED"/>
    <w:rsid w:val="00C60839"/>
    <w:rsid w:val="00C609DD"/>
    <w:rsid w:val="00C60B8F"/>
    <w:rsid w:val="00C60EC2"/>
    <w:rsid w:val="00C617A4"/>
    <w:rsid w:val="00C61FB0"/>
    <w:rsid w:val="00C620F0"/>
    <w:rsid w:val="00C6270F"/>
    <w:rsid w:val="00C631EF"/>
    <w:rsid w:val="00C63298"/>
    <w:rsid w:val="00C637C5"/>
    <w:rsid w:val="00C6383D"/>
    <w:rsid w:val="00C639B8"/>
    <w:rsid w:val="00C639F6"/>
    <w:rsid w:val="00C63AC0"/>
    <w:rsid w:val="00C63D3D"/>
    <w:rsid w:val="00C63EED"/>
    <w:rsid w:val="00C650BA"/>
    <w:rsid w:val="00C65AF4"/>
    <w:rsid w:val="00C66029"/>
    <w:rsid w:val="00C6608C"/>
    <w:rsid w:val="00C661B9"/>
    <w:rsid w:val="00C66BC1"/>
    <w:rsid w:val="00C6733E"/>
    <w:rsid w:val="00C67726"/>
    <w:rsid w:val="00C706B7"/>
    <w:rsid w:val="00C70ACA"/>
    <w:rsid w:val="00C710C3"/>
    <w:rsid w:val="00C71B8C"/>
    <w:rsid w:val="00C71D2A"/>
    <w:rsid w:val="00C72B2F"/>
    <w:rsid w:val="00C72BE2"/>
    <w:rsid w:val="00C72CDC"/>
    <w:rsid w:val="00C73211"/>
    <w:rsid w:val="00C738C7"/>
    <w:rsid w:val="00C73D7D"/>
    <w:rsid w:val="00C7442E"/>
    <w:rsid w:val="00C7454B"/>
    <w:rsid w:val="00C74937"/>
    <w:rsid w:val="00C7497E"/>
    <w:rsid w:val="00C74CB7"/>
    <w:rsid w:val="00C74FEF"/>
    <w:rsid w:val="00C751FE"/>
    <w:rsid w:val="00C757C2"/>
    <w:rsid w:val="00C75C9E"/>
    <w:rsid w:val="00C75EE9"/>
    <w:rsid w:val="00C75F0A"/>
    <w:rsid w:val="00C76772"/>
    <w:rsid w:val="00C76806"/>
    <w:rsid w:val="00C76861"/>
    <w:rsid w:val="00C7687D"/>
    <w:rsid w:val="00C76AA1"/>
    <w:rsid w:val="00C76D20"/>
    <w:rsid w:val="00C76D47"/>
    <w:rsid w:val="00C77263"/>
    <w:rsid w:val="00C77E2F"/>
    <w:rsid w:val="00C77EC9"/>
    <w:rsid w:val="00C77FB2"/>
    <w:rsid w:val="00C8083A"/>
    <w:rsid w:val="00C80B48"/>
    <w:rsid w:val="00C81102"/>
    <w:rsid w:val="00C81635"/>
    <w:rsid w:val="00C828E3"/>
    <w:rsid w:val="00C828F1"/>
    <w:rsid w:val="00C82900"/>
    <w:rsid w:val="00C82B9B"/>
    <w:rsid w:val="00C831D7"/>
    <w:rsid w:val="00C83271"/>
    <w:rsid w:val="00C8327A"/>
    <w:rsid w:val="00C83E94"/>
    <w:rsid w:val="00C83EA7"/>
    <w:rsid w:val="00C842BD"/>
    <w:rsid w:val="00C8492F"/>
    <w:rsid w:val="00C8556F"/>
    <w:rsid w:val="00C857F2"/>
    <w:rsid w:val="00C85CE5"/>
    <w:rsid w:val="00C86456"/>
    <w:rsid w:val="00C865DB"/>
    <w:rsid w:val="00C86AA6"/>
    <w:rsid w:val="00C8709A"/>
    <w:rsid w:val="00C8728D"/>
    <w:rsid w:val="00C873FD"/>
    <w:rsid w:val="00C87C53"/>
    <w:rsid w:val="00C9020F"/>
    <w:rsid w:val="00C905B6"/>
    <w:rsid w:val="00C90799"/>
    <w:rsid w:val="00C90BF7"/>
    <w:rsid w:val="00C90F77"/>
    <w:rsid w:val="00C91102"/>
    <w:rsid w:val="00C91407"/>
    <w:rsid w:val="00C91628"/>
    <w:rsid w:val="00C9186A"/>
    <w:rsid w:val="00C91E22"/>
    <w:rsid w:val="00C92206"/>
    <w:rsid w:val="00C9228C"/>
    <w:rsid w:val="00C923C4"/>
    <w:rsid w:val="00C929B3"/>
    <w:rsid w:val="00C92DAC"/>
    <w:rsid w:val="00C92F28"/>
    <w:rsid w:val="00C93EAE"/>
    <w:rsid w:val="00C94827"/>
    <w:rsid w:val="00C94C93"/>
    <w:rsid w:val="00C94E4D"/>
    <w:rsid w:val="00C9544F"/>
    <w:rsid w:val="00C96011"/>
    <w:rsid w:val="00C9637D"/>
    <w:rsid w:val="00C965B9"/>
    <w:rsid w:val="00C9709D"/>
    <w:rsid w:val="00C977C8"/>
    <w:rsid w:val="00C979B2"/>
    <w:rsid w:val="00CA02EE"/>
    <w:rsid w:val="00CA08BF"/>
    <w:rsid w:val="00CA08FE"/>
    <w:rsid w:val="00CA0956"/>
    <w:rsid w:val="00CA0A9E"/>
    <w:rsid w:val="00CA0B2F"/>
    <w:rsid w:val="00CA171E"/>
    <w:rsid w:val="00CA1C60"/>
    <w:rsid w:val="00CA1EED"/>
    <w:rsid w:val="00CA2162"/>
    <w:rsid w:val="00CA3045"/>
    <w:rsid w:val="00CA3246"/>
    <w:rsid w:val="00CA32D0"/>
    <w:rsid w:val="00CA33EB"/>
    <w:rsid w:val="00CA364D"/>
    <w:rsid w:val="00CA3941"/>
    <w:rsid w:val="00CA3F16"/>
    <w:rsid w:val="00CA4281"/>
    <w:rsid w:val="00CA431F"/>
    <w:rsid w:val="00CA4AE3"/>
    <w:rsid w:val="00CA5562"/>
    <w:rsid w:val="00CA5642"/>
    <w:rsid w:val="00CA5659"/>
    <w:rsid w:val="00CA5BCC"/>
    <w:rsid w:val="00CA5C47"/>
    <w:rsid w:val="00CA61EB"/>
    <w:rsid w:val="00CA6461"/>
    <w:rsid w:val="00CA64DA"/>
    <w:rsid w:val="00CA6D29"/>
    <w:rsid w:val="00CA7210"/>
    <w:rsid w:val="00CB006D"/>
    <w:rsid w:val="00CB033E"/>
    <w:rsid w:val="00CB04EF"/>
    <w:rsid w:val="00CB04F1"/>
    <w:rsid w:val="00CB12C0"/>
    <w:rsid w:val="00CB1511"/>
    <w:rsid w:val="00CB1711"/>
    <w:rsid w:val="00CB185A"/>
    <w:rsid w:val="00CB1BBA"/>
    <w:rsid w:val="00CB1BC1"/>
    <w:rsid w:val="00CB1DCE"/>
    <w:rsid w:val="00CB325B"/>
    <w:rsid w:val="00CB34A1"/>
    <w:rsid w:val="00CB3B3B"/>
    <w:rsid w:val="00CB3B71"/>
    <w:rsid w:val="00CB3E7B"/>
    <w:rsid w:val="00CB3F46"/>
    <w:rsid w:val="00CB4023"/>
    <w:rsid w:val="00CB439D"/>
    <w:rsid w:val="00CB46A4"/>
    <w:rsid w:val="00CB492A"/>
    <w:rsid w:val="00CB4A7C"/>
    <w:rsid w:val="00CB577C"/>
    <w:rsid w:val="00CB6549"/>
    <w:rsid w:val="00CB6B24"/>
    <w:rsid w:val="00CB73F0"/>
    <w:rsid w:val="00CB76BD"/>
    <w:rsid w:val="00CB7969"/>
    <w:rsid w:val="00CB79F5"/>
    <w:rsid w:val="00CB7A50"/>
    <w:rsid w:val="00CB7E2D"/>
    <w:rsid w:val="00CC04D3"/>
    <w:rsid w:val="00CC08A7"/>
    <w:rsid w:val="00CC1259"/>
    <w:rsid w:val="00CC153C"/>
    <w:rsid w:val="00CC1576"/>
    <w:rsid w:val="00CC179A"/>
    <w:rsid w:val="00CC1F9D"/>
    <w:rsid w:val="00CC269A"/>
    <w:rsid w:val="00CC2738"/>
    <w:rsid w:val="00CC2766"/>
    <w:rsid w:val="00CC2BAC"/>
    <w:rsid w:val="00CC350D"/>
    <w:rsid w:val="00CC3E9B"/>
    <w:rsid w:val="00CC3EBD"/>
    <w:rsid w:val="00CC4669"/>
    <w:rsid w:val="00CC4C6D"/>
    <w:rsid w:val="00CC531A"/>
    <w:rsid w:val="00CC55D4"/>
    <w:rsid w:val="00CC57E3"/>
    <w:rsid w:val="00CC5A08"/>
    <w:rsid w:val="00CC5CA5"/>
    <w:rsid w:val="00CC5E01"/>
    <w:rsid w:val="00CC6FC9"/>
    <w:rsid w:val="00CC7236"/>
    <w:rsid w:val="00CC73D1"/>
    <w:rsid w:val="00CC7B78"/>
    <w:rsid w:val="00CD0DEE"/>
    <w:rsid w:val="00CD1752"/>
    <w:rsid w:val="00CD1BE3"/>
    <w:rsid w:val="00CD24E7"/>
    <w:rsid w:val="00CD2703"/>
    <w:rsid w:val="00CD2C14"/>
    <w:rsid w:val="00CD2E4A"/>
    <w:rsid w:val="00CD3246"/>
    <w:rsid w:val="00CD3524"/>
    <w:rsid w:val="00CD3AD3"/>
    <w:rsid w:val="00CD46EA"/>
    <w:rsid w:val="00CD51BA"/>
    <w:rsid w:val="00CD581F"/>
    <w:rsid w:val="00CD5987"/>
    <w:rsid w:val="00CD5E67"/>
    <w:rsid w:val="00CD66C2"/>
    <w:rsid w:val="00CD69D3"/>
    <w:rsid w:val="00CD69D4"/>
    <w:rsid w:val="00CD6E7B"/>
    <w:rsid w:val="00CD6F8C"/>
    <w:rsid w:val="00CD70E5"/>
    <w:rsid w:val="00CD7553"/>
    <w:rsid w:val="00CD7C15"/>
    <w:rsid w:val="00CD7EEE"/>
    <w:rsid w:val="00CE05A8"/>
    <w:rsid w:val="00CE066A"/>
    <w:rsid w:val="00CE06D1"/>
    <w:rsid w:val="00CE0791"/>
    <w:rsid w:val="00CE0F37"/>
    <w:rsid w:val="00CE0FFB"/>
    <w:rsid w:val="00CE1077"/>
    <w:rsid w:val="00CE1217"/>
    <w:rsid w:val="00CE125F"/>
    <w:rsid w:val="00CE1556"/>
    <w:rsid w:val="00CE161B"/>
    <w:rsid w:val="00CE17CA"/>
    <w:rsid w:val="00CE1C6F"/>
    <w:rsid w:val="00CE1DF9"/>
    <w:rsid w:val="00CE220C"/>
    <w:rsid w:val="00CE2BF4"/>
    <w:rsid w:val="00CE2F42"/>
    <w:rsid w:val="00CE33AD"/>
    <w:rsid w:val="00CE3E91"/>
    <w:rsid w:val="00CE4078"/>
    <w:rsid w:val="00CE43B7"/>
    <w:rsid w:val="00CE44AE"/>
    <w:rsid w:val="00CE4B3A"/>
    <w:rsid w:val="00CE5648"/>
    <w:rsid w:val="00CE5F47"/>
    <w:rsid w:val="00CE6622"/>
    <w:rsid w:val="00CE67FC"/>
    <w:rsid w:val="00CE69F8"/>
    <w:rsid w:val="00CE6CCE"/>
    <w:rsid w:val="00CE6D5A"/>
    <w:rsid w:val="00CE73EF"/>
    <w:rsid w:val="00CE75BC"/>
    <w:rsid w:val="00CE7928"/>
    <w:rsid w:val="00CE7D88"/>
    <w:rsid w:val="00CF00DD"/>
    <w:rsid w:val="00CF013F"/>
    <w:rsid w:val="00CF0440"/>
    <w:rsid w:val="00CF06A0"/>
    <w:rsid w:val="00CF0A63"/>
    <w:rsid w:val="00CF0A69"/>
    <w:rsid w:val="00CF0A88"/>
    <w:rsid w:val="00CF0E97"/>
    <w:rsid w:val="00CF121D"/>
    <w:rsid w:val="00CF14C3"/>
    <w:rsid w:val="00CF1954"/>
    <w:rsid w:val="00CF1A05"/>
    <w:rsid w:val="00CF260C"/>
    <w:rsid w:val="00CF2627"/>
    <w:rsid w:val="00CF2685"/>
    <w:rsid w:val="00CF32DF"/>
    <w:rsid w:val="00CF34AC"/>
    <w:rsid w:val="00CF34F5"/>
    <w:rsid w:val="00CF3782"/>
    <w:rsid w:val="00CF555A"/>
    <w:rsid w:val="00CF574A"/>
    <w:rsid w:val="00CF5804"/>
    <w:rsid w:val="00CF5BAF"/>
    <w:rsid w:val="00CF5F86"/>
    <w:rsid w:val="00CF654C"/>
    <w:rsid w:val="00CF67D7"/>
    <w:rsid w:val="00CF6946"/>
    <w:rsid w:val="00CF6C26"/>
    <w:rsid w:val="00CF7333"/>
    <w:rsid w:val="00CF7553"/>
    <w:rsid w:val="00CF7592"/>
    <w:rsid w:val="00CF75FE"/>
    <w:rsid w:val="00CF7710"/>
    <w:rsid w:val="00CF78BB"/>
    <w:rsid w:val="00D00165"/>
    <w:rsid w:val="00D005BB"/>
    <w:rsid w:val="00D007DD"/>
    <w:rsid w:val="00D00A3E"/>
    <w:rsid w:val="00D00F35"/>
    <w:rsid w:val="00D01004"/>
    <w:rsid w:val="00D0116A"/>
    <w:rsid w:val="00D012E6"/>
    <w:rsid w:val="00D0186C"/>
    <w:rsid w:val="00D01A64"/>
    <w:rsid w:val="00D01D3B"/>
    <w:rsid w:val="00D02344"/>
    <w:rsid w:val="00D02509"/>
    <w:rsid w:val="00D02618"/>
    <w:rsid w:val="00D02965"/>
    <w:rsid w:val="00D0358D"/>
    <w:rsid w:val="00D0378B"/>
    <w:rsid w:val="00D03A5E"/>
    <w:rsid w:val="00D03B2A"/>
    <w:rsid w:val="00D03D10"/>
    <w:rsid w:val="00D03ECC"/>
    <w:rsid w:val="00D0508B"/>
    <w:rsid w:val="00D05186"/>
    <w:rsid w:val="00D054F0"/>
    <w:rsid w:val="00D05686"/>
    <w:rsid w:val="00D05E49"/>
    <w:rsid w:val="00D076CE"/>
    <w:rsid w:val="00D077B2"/>
    <w:rsid w:val="00D077BD"/>
    <w:rsid w:val="00D077D8"/>
    <w:rsid w:val="00D07C62"/>
    <w:rsid w:val="00D07F36"/>
    <w:rsid w:val="00D10AA0"/>
    <w:rsid w:val="00D11B1A"/>
    <w:rsid w:val="00D11C05"/>
    <w:rsid w:val="00D11F93"/>
    <w:rsid w:val="00D12C18"/>
    <w:rsid w:val="00D12FF9"/>
    <w:rsid w:val="00D13212"/>
    <w:rsid w:val="00D1368A"/>
    <w:rsid w:val="00D136C5"/>
    <w:rsid w:val="00D13889"/>
    <w:rsid w:val="00D13BEF"/>
    <w:rsid w:val="00D141B1"/>
    <w:rsid w:val="00D14D28"/>
    <w:rsid w:val="00D14DB9"/>
    <w:rsid w:val="00D14F95"/>
    <w:rsid w:val="00D1507E"/>
    <w:rsid w:val="00D15396"/>
    <w:rsid w:val="00D15455"/>
    <w:rsid w:val="00D1545B"/>
    <w:rsid w:val="00D15623"/>
    <w:rsid w:val="00D15835"/>
    <w:rsid w:val="00D16168"/>
    <w:rsid w:val="00D16B06"/>
    <w:rsid w:val="00D1753D"/>
    <w:rsid w:val="00D20B06"/>
    <w:rsid w:val="00D20CC6"/>
    <w:rsid w:val="00D215AC"/>
    <w:rsid w:val="00D21883"/>
    <w:rsid w:val="00D218D4"/>
    <w:rsid w:val="00D21A18"/>
    <w:rsid w:val="00D21B79"/>
    <w:rsid w:val="00D21C1E"/>
    <w:rsid w:val="00D21DAC"/>
    <w:rsid w:val="00D226C7"/>
    <w:rsid w:val="00D226DF"/>
    <w:rsid w:val="00D227C5"/>
    <w:rsid w:val="00D22CDA"/>
    <w:rsid w:val="00D22EC9"/>
    <w:rsid w:val="00D23674"/>
    <w:rsid w:val="00D23CB0"/>
    <w:rsid w:val="00D24C87"/>
    <w:rsid w:val="00D24D13"/>
    <w:rsid w:val="00D24EDB"/>
    <w:rsid w:val="00D252A3"/>
    <w:rsid w:val="00D2577E"/>
    <w:rsid w:val="00D261C3"/>
    <w:rsid w:val="00D2622A"/>
    <w:rsid w:val="00D2625E"/>
    <w:rsid w:val="00D263B5"/>
    <w:rsid w:val="00D2683D"/>
    <w:rsid w:val="00D27206"/>
    <w:rsid w:val="00D274EB"/>
    <w:rsid w:val="00D27802"/>
    <w:rsid w:val="00D278E7"/>
    <w:rsid w:val="00D30488"/>
    <w:rsid w:val="00D3056D"/>
    <w:rsid w:val="00D30849"/>
    <w:rsid w:val="00D30D84"/>
    <w:rsid w:val="00D313BF"/>
    <w:rsid w:val="00D3145A"/>
    <w:rsid w:val="00D31DC8"/>
    <w:rsid w:val="00D31E33"/>
    <w:rsid w:val="00D32B02"/>
    <w:rsid w:val="00D33429"/>
    <w:rsid w:val="00D33878"/>
    <w:rsid w:val="00D33CCE"/>
    <w:rsid w:val="00D33EB9"/>
    <w:rsid w:val="00D340D7"/>
    <w:rsid w:val="00D344D2"/>
    <w:rsid w:val="00D34C7E"/>
    <w:rsid w:val="00D34D99"/>
    <w:rsid w:val="00D34DD3"/>
    <w:rsid w:val="00D3561C"/>
    <w:rsid w:val="00D356B9"/>
    <w:rsid w:val="00D35914"/>
    <w:rsid w:val="00D35B2E"/>
    <w:rsid w:val="00D35BBE"/>
    <w:rsid w:val="00D35CC1"/>
    <w:rsid w:val="00D36404"/>
    <w:rsid w:val="00D36751"/>
    <w:rsid w:val="00D369E3"/>
    <w:rsid w:val="00D36DA2"/>
    <w:rsid w:val="00D36E9B"/>
    <w:rsid w:val="00D373E1"/>
    <w:rsid w:val="00D37518"/>
    <w:rsid w:val="00D3751A"/>
    <w:rsid w:val="00D377D8"/>
    <w:rsid w:val="00D379EC"/>
    <w:rsid w:val="00D37A6D"/>
    <w:rsid w:val="00D37D45"/>
    <w:rsid w:val="00D37E67"/>
    <w:rsid w:val="00D400F9"/>
    <w:rsid w:val="00D40435"/>
    <w:rsid w:val="00D408E2"/>
    <w:rsid w:val="00D412EE"/>
    <w:rsid w:val="00D413E6"/>
    <w:rsid w:val="00D41509"/>
    <w:rsid w:val="00D41669"/>
    <w:rsid w:val="00D417CE"/>
    <w:rsid w:val="00D41928"/>
    <w:rsid w:val="00D41BAC"/>
    <w:rsid w:val="00D41DBA"/>
    <w:rsid w:val="00D41EE0"/>
    <w:rsid w:val="00D41F78"/>
    <w:rsid w:val="00D423CD"/>
    <w:rsid w:val="00D425BB"/>
    <w:rsid w:val="00D427F1"/>
    <w:rsid w:val="00D42B8C"/>
    <w:rsid w:val="00D43010"/>
    <w:rsid w:val="00D43674"/>
    <w:rsid w:val="00D43693"/>
    <w:rsid w:val="00D4390D"/>
    <w:rsid w:val="00D43A3E"/>
    <w:rsid w:val="00D43C35"/>
    <w:rsid w:val="00D43F92"/>
    <w:rsid w:val="00D4422F"/>
    <w:rsid w:val="00D4453A"/>
    <w:rsid w:val="00D44D0B"/>
    <w:rsid w:val="00D44F32"/>
    <w:rsid w:val="00D44FE6"/>
    <w:rsid w:val="00D45020"/>
    <w:rsid w:val="00D45CA3"/>
    <w:rsid w:val="00D4618B"/>
    <w:rsid w:val="00D46254"/>
    <w:rsid w:val="00D46344"/>
    <w:rsid w:val="00D468BF"/>
    <w:rsid w:val="00D468EC"/>
    <w:rsid w:val="00D46FAE"/>
    <w:rsid w:val="00D4717E"/>
    <w:rsid w:val="00D47859"/>
    <w:rsid w:val="00D47F92"/>
    <w:rsid w:val="00D50671"/>
    <w:rsid w:val="00D50CC5"/>
    <w:rsid w:val="00D5109E"/>
    <w:rsid w:val="00D516AB"/>
    <w:rsid w:val="00D51B0D"/>
    <w:rsid w:val="00D51B4A"/>
    <w:rsid w:val="00D5243D"/>
    <w:rsid w:val="00D5270E"/>
    <w:rsid w:val="00D53271"/>
    <w:rsid w:val="00D534D7"/>
    <w:rsid w:val="00D53EE9"/>
    <w:rsid w:val="00D53F2D"/>
    <w:rsid w:val="00D54184"/>
    <w:rsid w:val="00D54E52"/>
    <w:rsid w:val="00D54F0D"/>
    <w:rsid w:val="00D55595"/>
    <w:rsid w:val="00D55B18"/>
    <w:rsid w:val="00D56332"/>
    <w:rsid w:val="00D5670E"/>
    <w:rsid w:val="00D5679A"/>
    <w:rsid w:val="00D567FD"/>
    <w:rsid w:val="00D56EE3"/>
    <w:rsid w:val="00D5753B"/>
    <w:rsid w:val="00D5760A"/>
    <w:rsid w:val="00D579F2"/>
    <w:rsid w:val="00D57A5C"/>
    <w:rsid w:val="00D607EE"/>
    <w:rsid w:val="00D608D0"/>
    <w:rsid w:val="00D61407"/>
    <w:rsid w:val="00D616D3"/>
    <w:rsid w:val="00D61BA9"/>
    <w:rsid w:val="00D620FB"/>
    <w:rsid w:val="00D62A70"/>
    <w:rsid w:val="00D62BCF"/>
    <w:rsid w:val="00D6312D"/>
    <w:rsid w:val="00D6472A"/>
    <w:rsid w:val="00D64E73"/>
    <w:rsid w:val="00D64F97"/>
    <w:rsid w:val="00D653C1"/>
    <w:rsid w:val="00D65471"/>
    <w:rsid w:val="00D66081"/>
    <w:rsid w:val="00D66185"/>
    <w:rsid w:val="00D666CD"/>
    <w:rsid w:val="00D66B68"/>
    <w:rsid w:val="00D66DB6"/>
    <w:rsid w:val="00D67095"/>
    <w:rsid w:val="00D67105"/>
    <w:rsid w:val="00D67329"/>
    <w:rsid w:val="00D67A0B"/>
    <w:rsid w:val="00D70968"/>
    <w:rsid w:val="00D70BB4"/>
    <w:rsid w:val="00D70F1D"/>
    <w:rsid w:val="00D717AB"/>
    <w:rsid w:val="00D718EA"/>
    <w:rsid w:val="00D71DA1"/>
    <w:rsid w:val="00D72356"/>
    <w:rsid w:val="00D723C3"/>
    <w:rsid w:val="00D72528"/>
    <w:rsid w:val="00D72AF8"/>
    <w:rsid w:val="00D7346D"/>
    <w:rsid w:val="00D7355B"/>
    <w:rsid w:val="00D7362D"/>
    <w:rsid w:val="00D73A89"/>
    <w:rsid w:val="00D73CA3"/>
    <w:rsid w:val="00D74309"/>
    <w:rsid w:val="00D745D4"/>
    <w:rsid w:val="00D749CF"/>
    <w:rsid w:val="00D74B4B"/>
    <w:rsid w:val="00D75053"/>
    <w:rsid w:val="00D750E6"/>
    <w:rsid w:val="00D75261"/>
    <w:rsid w:val="00D75B67"/>
    <w:rsid w:val="00D766F5"/>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40DD"/>
    <w:rsid w:val="00D84156"/>
    <w:rsid w:val="00D8449C"/>
    <w:rsid w:val="00D8479A"/>
    <w:rsid w:val="00D84980"/>
    <w:rsid w:val="00D84B71"/>
    <w:rsid w:val="00D84D23"/>
    <w:rsid w:val="00D8608A"/>
    <w:rsid w:val="00D86BB2"/>
    <w:rsid w:val="00D86FAE"/>
    <w:rsid w:val="00D874B5"/>
    <w:rsid w:val="00D87721"/>
    <w:rsid w:val="00D878DB"/>
    <w:rsid w:val="00D87F38"/>
    <w:rsid w:val="00D900EF"/>
    <w:rsid w:val="00D9014E"/>
    <w:rsid w:val="00D90153"/>
    <w:rsid w:val="00D901ED"/>
    <w:rsid w:val="00D90202"/>
    <w:rsid w:val="00D90609"/>
    <w:rsid w:val="00D90ADD"/>
    <w:rsid w:val="00D90D3A"/>
    <w:rsid w:val="00D91337"/>
    <w:rsid w:val="00D916F5"/>
    <w:rsid w:val="00D9182A"/>
    <w:rsid w:val="00D91C86"/>
    <w:rsid w:val="00D92511"/>
    <w:rsid w:val="00D9284E"/>
    <w:rsid w:val="00D928A2"/>
    <w:rsid w:val="00D92DD9"/>
    <w:rsid w:val="00D933AE"/>
    <w:rsid w:val="00D9349D"/>
    <w:rsid w:val="00D934D4"/>
    <w:rsid w:val="00D936AB"/>
    <w:rsid w:val="00D93D72"/>
    <w:rsid w:val="00D93EE7"/>
    <w:rsid w:val="00D947A4"/>
    <w:rsid w:val="00D94871"/>
    <w:rsid w:val="00D9487D"/>
    <w:rsid w:val="00D94BA4"/>
    <w:rsid w:val="00D958FA"/>
    <w:rsid w:val="00D95CF2"/>
    <w:rsid w:val="00D9602E"/>
    <w:rsid w:val="00D96149"/>
    <w:rsid w:val="00D96D4E"/>
    <w:rsid w:val="00D976A9"/>
    <w:rsid w:val="00D977E9"/>
    <w:rsid w:val="00D9781D"/>
    <w:rsid w:val="00DA0BF1"/>
    <w:rsid w:val="00DA0C5C"/>
    <w:rsid w:val="00DA0E98"/>
    <w:rsid w:val="00DA1307"/>
    <w:rsid w:val="00DA1308"/>
    <w:rsid w:val="00DA1367"/>
    <w:rsid w:val="00DA161F"/>
    <w:rsid w:val="00DA1EEE"/>
    <w:rsid w:val="00DA2A13"/>
    <w:rsid w:val="00DA2C9E"/>
    <w:rsid w:val="00DA340E"/>
    <w:rsid w:val="00DA349B"/>
    <w:rsid w:val="00DA3AE5"/>
    <w:rsid w:val="00DA3B6A"/>
    <w:rsid w:val="00DA442D"/>
    <w:rsid w:val="00DA4622"/>
    <w:rsid w:val="00DA46A9"/>
    <w:rsid w:val="00DA5A00"/>
    <w:rsid w:val="00DA5A11"/>
    <w:rsid w:val="00DA5FDF"/>
    <w:rsid w:val="00DA6305"/>
    <w:rsid w:val="00DA6751"/>
    <w:rsid w:val="00DA792F"/>
    <w:rsid w:val="00DA7AFF"/>
    <w:rsid w:val="00DB03EB"/>
    <w:rsid w:val="00DB07AD"/>
    <w:rsid w:val="00DB0DDA"/>
    <w:rsid w:val="00DB0E78"/>
    <w:rsid w:val="00DB0F01"/>
    <w:rsid w:val="00DB1068"/>
    <w:rsid w:val="00DB1F1B"/>
    <w:rsid w:val="00DB245E"/>
    <w:rsid w:val="00DB2582"/>
    <w:rsid w:val="00DB2999"/>
    <w:rsid w:val="00DB2F1D"/>
    <w:rsid w:val="00DB3604"/>
    <w:rsid w:val="00DB3700"/>
    <w:rsid w:val="00DB3960"/>
    <w:rsid w:val="00DB4317"/>
    <w:rsid w:val="00DB45A8"/>
    <w:rsid w:val="00DB46FE"/>
    <w:rsid w:val="00DB475D"/>
    <w:rsid w:val="00DB4892"/>
    <w:rsid w:val="00DB4B03"/>
    <w:rsid w:val="00DB4B04"/>
    <w:rsid w:val="00DB4C9B"/>
    <w:rsid w:val="00DB53DE"/>
    <w:rsid w:val="00DB5CC5"/>
    <w:rsid w:val="00DB5CDA"/>
    <w:rsid w:val="00DB5DEC"/>
    <w:rsid w:val="00DB5F28"/>
    <w:rsid w:val="00DB6214"/>
    <w:rsid w:val="00DB75D8"/>
    <w:rsid w:val="00DB7915"/>
    <w:rsid w:val="00DB7A8B"/>
    <w:rsid w:val="00DB7C0A"/>
    <w:rsid w:val="00DB7C23"/>
    <w:rsid w:val="00DB7F14"/>
    <w:rsid w:val="00DB7FE7"/>
    <w:rsid w:val="00DC00DD"/>
    <w:rsid w:val="00DC076C"/>
    <w:rsid w:val="00DC09B2"/>
    <w:rsid w:val="00DC0FB0"/>
    <w:rsid w:val="00DC1220"/>
    <w:rsid w:val="00DC2D95"/>
    <w:rsid w:val="00DC3291"/>
    <w:rsid w:val="00DC3384"/>
    <w:rsid w:val="00DC35D2"/>
    <w:rsid w:val="00DC3648"/>
    <w:rsid w:val="00DC4752"/>
    <w:rsid w:val="00DC4789"/>
    <w:rsid w:val="00DC496F"/>
    <w:rsid w:val="00DC4C92"/>
    <w:rsid w:val="00DC5128"/>
    <w:rsid w:val="00DC5EA8"/>
    <w:rsid w:val="00DC5FCC"/>
    <w:rsid w:val="00DC6B23"/>
    <w:rsid w:val="00DC716A"/>
    <w:rsid w:val="00DC75A4"/>
    <w:rsid w:val="00DC76C4"/>
    <w:rsid w:val="00DC7979"/>
    <w:rsid w:val="00DC7FB9"/>
    <w:rsid w:val="00DD06DA"/>
    <w:rsid w:val="00DD0761"/>
    <w:rsid w:val="00DD0BDB"/>
    <w:rsid w:val="00DD0ED2"/>
    <w:rsid w:val="00DD0F8F"/>
    <w:rsid w:val="00DD10B4"/>
    <w:rsid w:val="00DD1AE2"/>
    <w:rsid w:val="00DD1C69"/>
    <w:rsid w:val="00DD1C93"/>
    <w:rsid w:val="00DD1D99"/>
    <w:rsid w:val="00DD278E"/>
    <w:rsid w:val="00DD29DB"/>
    <w:rsid w:val="00DD2BE9"/>
    <w:rsid w:val="00DD3184"/>
    <w:rsid w:val="00DD3684"/>
    <w:rsid w:val="00DD3CA9"/>
    <w:rsid w:val="00DD4577"/>
    <w:rsid w:val="00DD4632"/>
    <w:rsid w:val="00DD4647"/>
    <w:rsid w:val="00DD5733"/>
    <w:rsid w:val="00DD5956"/>
    <w:rsid w:val="00DD5CA0"/>
    <w:rsid w:val="00DD5DC7"/>
    <w:rsid w:val="00DD61E8"/>
    <w:rsid w:val="00DD62C1"/>
    <w:rsid w:val="00DD65E5"/>
    <w:rsid w:val="00DD668C"/>
    <w:rsid w:val="00DD66E5"/>
    <w:rsid w:val="00DD6D89"/>
    <w:rsid w:val="00DD747B"/>
    <w:rsid w:val="00DD74F1"/>
    <w:rsid w:val="00DD76B9"/>
    <w:rsid w:val="00DE01BA"/>
    <w:rsid w:val="00DE0AAD"/>
    <w:rsid w:val="00DE0B29"/>
    <w:rsid w:val="00DE0F16"/>
    <w:rsid w:val="00DE1511"/>
    <w:rsid w:val="00DE17B3"/>
    <w:rsid w:val="00DE23E6"/>
    <w:rsid w:val="00DE2C70"/>
    <w:rsid w:val="00DE2D66"/>
    <w:rsid w:val="00DE3139"/>
    <w:rsid w:val="00DE3375"/>
    <w:rsid w:val="00DE35A1"/>
    <w:rsid w:val="00DE3C0D"/>
    <w:rsid w:val="00DE47C5"/>
    <w:rsid w:val="00DE48FF"/>
    <w:rsid w:val="00DE51B8"/>
    <w:rsid w:val="00DE52AD"/>
    <w:rsid w:val="00DE53DA"/>
    <w:rsid w:val="00DE58C9"/>
    <w:rsid w:val="00DE5FC8"/>
    <w:rsid w:val="00DE67E2"/>
    <w:rsid w:val="00DE6977"/>
    <w:rsid w:val="00DE70F9"/>
    <w:rsid w:val="00DE714B"/>
    <w:rsid w:val="00DE71F5"/>
    <w:rsid w:val="00DE7284"/>
    <w:rsid w:val="00DE72CD"/>
    <w:rsid w:val="00DE7385"/>
    <w:rsid w:val="00DE76FA"/>
    <w:rsid w:val="00DE77EE"/>
    <w:rsid w:val="00DE789B"/>
    <w:rsid w:val="00DE7D3F"/>
    <w:rsid w:val="00DE7E1A"/>
    <w:rsid w:val="00DF0095"/>
    <w:rsid w:val="00DF00D3"/>
    <w:rsid w:val="00DF13CC"/>
    <w:rsid w:val="00DF1504"/>
    <w:rsid w:val="00DF1BFF"/>
    <w:rsid w:val="00DF20A6"/>
    <w:rsid w:val="00DF20CC"/>
    <w:rsid w:val="00DF24E8"/>
    <w:rsid w:val="00DF2DF6"/>
    <w:rsid w:val="00DF2F00"/>
    <w:rsid w:val="00DF3693"/>
    <w:rsid w:val="00DF40E0"/>
    <w:rsid w:val="00DF44E4"/>
    <w:rsid w:val="00DF44E9"/>
    <w:rsid w:val="00DF4E10"/>
    <w:rsid w:val="00DF57F3"/>
    <w:rsid w:val="00DF5F60"/>
    <w:rsid w:val="00DF651B"/>
    <w:rsid w:val="00DF6805"/>
    <w:rsid w:val="00DF6889"/>
    <w:rsid w:val="00DF6B2F"/>
    <w:rsid w:val="00DF71A3"/>
    <w:rsid w:val="00DF7201"/>
    <w:rsid w:val="00DF77EC"/>
    <w:rsid w:val="00E0014A"/>
    <w:rsid w:val="00E00633"/>
    <w:rsid w:val="00E00A57"/>
    <w:rsid w:val="00E00A7C"/>
    <w:rsid w:val="00E0119E"/>
    <w:rsid w:val="00E0137F"/>
    <w:rsid w:val="00E01AB7"/>
    <w:rsid w:val="00E01FA3"/>
    <w:rsid w:val="00E02084"/>
    <w:rsid w:val="00E02418"/>
    <w:rsid w:val="00E033F6"/>
    <w:rsid w:val="00E03BFE"/>
    <w:rsid w:val="00E03C67"/>
    <w:rsid w:val="00E03C8B"/>
    <w:rsid w:val="00E03D23"/>
    <w:rsid w:val="00E040E7"/>
    <w:rsid w:val="00E04309"/>
    <w:rsid w:val="00E043DC"/>
    <w:rsid w:val="00E048CD"/>
    <w:rsid w:val="00E04982"/>
    <w:rsid w:val="00E04C3B"/>
    <w:rsid w:val="00E04E73"/>
    <w:rsid w:val="00E04EC2"/>
    <w:rsid w:val="00E05308"/>
    <w:rsid w:val="00E0531F"/>
    <w:rsid w:val="00E05AAF"/>
    <w:rsid w:val="00E06209"/>
    <w:rsid w:val="00E0649A"/>
    <w:rsid w:val="00E067A4"/>
    <w:rsid w:val="00E06A98"/>
    <w:rsid w:val="00E102BE"/>
    <w:rsid w:val="00E110B6"/>
    <w:rsid w:val="00E118CC"/>
    <w:rsid w:val="00E11C4A"/>
    <w:rsid w:val="00E11C50"/>
    <w:rsid w:val="00E11E12"/>
    <w:rsid w:val="00E12736"/>
    <w:rsid w:val="00E1287F"/>
    <w:rsid w:val="00E12B6A"/>
    <w:rsid w:val="00E12BF5"/>
    <w:rsid w:val="00E12CA0"/>
    <w:rsid w:val="00E1332A"/>
    <w:rsid w:val="00E13540"/>
    <w:rsid w:val="00E13DE0"/>
    <w:rsid w:val="00E1418E"/>
    <w:rsid w:val="00E14370"/>
    <w:rsid w:val="00E145E3"/>
    <w:rsid w:val="00E14FD7"/>
    <w:rsid w:val="00E151FE"/>
    <w:rsid w:val="00E15218"/>
    <w:rsid w:val="00E155DC"/>
    <w:rsid w:val="00E15D27"/>
    <w:rsid w:val="00E15D2E"/>
    <w:rsid w:val="00E16BD8"/>
    <w:rsid w:val="00E171ED"/>
    <w:rsid w:val="00E17305"/>
    <w:rsid w:val="00E1757B"/>
    <w:rsid w:val="00E20255"/>
    <w:rsid w:val="00E2026A"/>
    <w:rsid w:val="00E204ED"/>
    <w:rsid w:val="00E20526"/>
    <w:rsid w:val="00E20963"/>
    <w:rsid w:val="00E209F6"/>
    <w:rsid w:val="00E2166B"/>
    <w:rsid w:val="00E22121"/>
    <w:rsid w:val="00E223E2"/>
    <w:rsid w:val="00E22EEE"/>
    <w:rsid w:val="00E23981"/>
    <w:rsid w:val="00E23F87"/>
    <w:rsid w:val="00E24231"/>
    <w:rsid w:val="00E24A4D"/>
    <w:rsid w:val="00E24DDF"/>
    <w:rsid w:val="00E24F8C"/>
    <w:rsid w:val="00E25827"/>
    <w:rsid w:val="00E2582E"/>
    <w:rsid w:val="00E265D1"/>
    <w:rsid w:val="00E268F7"/>
    <w:rsid w:val="00E26C71"/>
    <w:rsid w:val="00E27822"/>
    <w:rsid w:val="00E27F85"/>
    <w:rsid w:val="00E3002C"/>
    <w:rsid w:val="00E307FF"/>
    <w:rsid w:val="00E308B6"/>
    <w:rsid w:val="00E3103E"/>
    <w:rsid w:val="00E31997"/>
    <w:rsid w:val="00E31B04"/>
    <w:rsid w:val="00E31F49"/>
    <w:rsid w:val="00E3299C"/>
    <w:rsid w:val="00E329CC"/>
    <w:rsid w:val="00E32E99"/>
    <w:rsid w:val="00E33361"/>
    <w:rsid w:val="00E33B9E"/>
    <w:rsid w:val="00E33DD9"/>
    <w:rsid w:val="00E34559"/>
    <w:rsid w:val="00E34EEC"/>
    <w:rsid w:val="00E3552E"/>
    <w:rsid w:val="00E35B9D"/>
    <w:rsid w:val="00E363D1"/>
    <w:rsid w:val="00E36931"/>
    <w:rsid w:val="00E3699B"/>
    <w:rsid w:val="00E36A1E"/>
    <w:rsid w:val="00E372C0"/>
    <w:rsid w:val="00E375DF"/>
    <w:rsid w:val="00E376EA"/>
    <w:rsid w:val="00E3771F"/>
    <w:rsid w:val="00E37E08"/>
    <w:rsid w:val="00E406F8"/>
    <w:rsid w:val="00E4085A"/>
    <w:rsid w:val="00E4111F"/>
    <w:rsid w:val="00E411B1"/>
    <w:rsid w:val="00E4136C"/>
    <w:rsid w:val="00E41C60"/>
    <w:rsid w:val="00E421C5"/>
    <w:rsid w:val="00E42565"/>
    <w:rsid w:val="00E42925"/>
    <w:rsid w:val="00E42E62"/>
    <w:rsid w:val="00E43A71"/>
    <w:rsid w:val="00E43DD4"/>
    <w:rsid w:val="00E43EE1"/>
    <w:rsid w:val="00E44305"/>
    <w:rsid w:val="00E444F7"/>
    <w:rsid w:val="00E446A7"/>
    <w:rsid w:val="00E44F76"/>
    <w:rsid w:val="00E451F4"/>
    <w:rsid w:val="00E4599F"/>
    <w:rsid w:val="00E45C0F"/>
    <w:rsid w:val="00E46187"/>
    <w:rsid w:val="00E4678B"/>
    <w:rsid w:val="00E46A43"/>
    <w:rsid w:val="00E46A94"/>
    <w:rsid w:val="00E46AC7"/>
    <w:rsid w:val="00E46DD0"/>
    <w:rsid w:val="00E47952"/>
    <w:rsid w:val="00E47B69"/>
    <w:rsid w:val="00E47C84"/>
    <w:rsid w:val="00E47DE5"/>
    <w:rsid w:val="00E47FE6"/>
    <w:rsid w:val="00E5003B"/>
    <w:rsid w:val="00E50C0D"/>
    <w:rsid w:val="00E50C85"/>
    <w:rsid w:val="00E51285"/>
    <w:rsid w:val="00E5165F"/>
    <w:rsid w:val="00E51808"/>
    <w:rsid w:val="00E51AC3"/>
    <w:rsid w:val="00E51FD6"/>
    <w:rsid w:val="00E52D71"/>
    <w:rsid w:val="00E53582"/>
    <w:rsid w:val="00E535BE"/>
    <w:rsid w:val="00E53F3E"/>
    <w:rsid w:val="00E54268"/>
    <w:rsid w:val="00E54B3E"/>
    <w:rsid w:val="00E54DD9"/>
    <w:rsid w:val="00E5520B"/>
    <w:rsid w:val="00E5603E"/>
    <w:rsid w:val="00E560D7"/>
    <w:rsid w:val="00E56748"/>
    <w:rsid w:val="00E56850"/>
    <w:rsid w:val="00E56A42"/>
    <w:rsid w:val="00E56E04"/>
    <w:rsid w:val="00E57399"/>
    <w:rsid w:val="00E5744A"/>
    <w:rsid w:val="00E57B17"/>
    <w:rsid w:val="00E57BF7"/>
    <w:rsid w:val="00E60236"/>
    <w:rsid w:val="00E606B4"/>
    <w:rsid w:val="00E61B2B"/>
    <w:rsid w:val="00E620D6"/>
    <w:rsid w:val="00E62172"/>
    <w:rsid w:val="00E6225E"/>
    <w:rsid w:val="00E622A0"/>
    <w:rsid w:val="00E628AB"/>
    <w:rsid w:val="00E62907"/>
    <w:rsid w:val="00E62921"/>
    <w:rsid w:val="00E62B8F"/>
    <w:rsid w:val="00E62F87"/>
    <w:rsid w:val="00E630FB"/>
    <w:rsid w:val="00E63151"/>
    <w:rsid w:val="00E63FA9"/>
    <w:rsid w:val="00E64AA0"/>
    <w:rsid w:val="00E64B9C"/>
    <w:rsid w:val="00E64FDC"/>
    <w:rsid w:val="00E65001"/>
    <w:rsid w:val="00E6516B"/>
    <w:rsid w:val="00E65472"/>
    <w:rsid w:val="00E65C0B"/>
    <w:rsid w:val="00E65EE5"/>
    <w:rsid w:val="00E66891"/>
    <w:rsid w:val="00E672F9"/>
    <w:rsid w:val="00E6737E"/>
    <w:rsid w:val="00E67538"/>
    <w:rsid w:val="00E6760A"/>
    <w:rsid w:val="00E67C6D"/>
    <w:rsid w:val="00E70007"/>
    <w:rsid w:val="00E70085"/>
    <w:rsid w:val="00E70ABC"/>
    <w:rsid w:val="00E70BE9"/>
    <w:rsid w:val="00E70DF1"/>
    <w:rsid w:val="00E7116B"/>
    <w:rsid w:val="00E714BC"/>
    <w:rsid w:val="00E7179E"/>
    <w:rsid w:val="00E71D91"/>
    <w:rsid w:val="00E721B1"/>
    <w:rsid w:val="00E7230D"/>
    <w:rsid w:val="00E725EE"/>
    <w:rsid w:val="00E7297A"/>
    <w:rsid w:val="00E72F0E"/>
    <w:rsid w:val="00E72FE9"/>
    <w:rsid w:val="00E732D1"/>
    <w:rsid w:val="00E7330A"/>
    <w:rsid w:val="00E7347B"/>
    <w:rsid w:val="00E7386D"/>
    <w:rsid w:val="00E73882"/>
    <w:rsid w:val="00E74221"/>
    <w:rsid w:val="00E74670"/>
    <w:rsid w:val="00E7483D"/>
    <w:rsid w:val="00E74DBC"/>
    <w:rsid w:val="00E759F4"/>
    <w:rsid w:val="00E75B44"/>
    <w:rsid w:val="00E765B0"/>
    <w:rsid w:val="00E76604"/>
    <w:rsid w:val="00E7795B"/>
    <w:rsid w:val="00E77E92"/>
    <w:rsid w:val="00E8018B"/>
    <w:rsid w:val="00E8030E"/>
    <w:rsid w:val="00E80E8F"/>
    <w:rsid w:val="00E81263"/>
    <w:rsid w:val="00E81501"/>
    <w:rsid w:val="00E81BA3"/>
    <w:rsid w:val="00E82160"/>
    <w:rsid w:val="00E829A0"/>
    <w:rsid w:val="00E82F56"/>
    <w:rsid w:val="00E830BF"/>
    <w:rsid w:val="00E83314"/>
    <w:rsid w:val="00E83438"/>
    <w:rsid w:val="00E8356D"/>
    <w:rsid w:val="00E839DF"/>
    <w:rsid w:val="00E83A07"/>
    <w:rsid w:val="00E83A7E"/>
    <w:rsid w:val="00E83C48"/>
    <w:rsid w:val="00E83E3E"/>
    <w:rsid w:val="00E843A8"/>
    <w:rsid w:val="00E8442B"/>
    <w:rsid w:val="00E845A9"/>
    <w:rsid w:val="00E849FD"/>
    <w:rsid w:val="00E851FA"/>
    <w:rsid w:val="00E85219"/>
    <w:rsid w:val="00E8546A"/>
    <w:rsid w:val="00E8546F"/>
    <w:rsid w:val="00E854EB"/>
    <w:rsid w:val="00E854EF"/>
    <w:rsid w:val="00E85E89"/>
    <w:rsid w:val="00E86070"/>
    <w:rsid w:val="00E860A7"/>
    <w:rsid w:val="00E86BDB"/>
    <w:rsid w:val="00E86D41"/>
    <w:rsid w:val="00E871A4"/>
    <w:rsid w:val="00E871B3"/>
    <w:rsid w:val="00E871F8"/>
    <w:rsid w:val="00E871F9"/>
    <w:rsid w:val="00E87A0A"/>
    <w:rsid w:val="00E87D1B"/>
    <w:rsid w:val="00E87FED"/>
    <w:rsid w:val="00E90243"/>
    <w:rsid w:val="00E90AAA"/>
    <w:rsid w:val="00E90B37"/>
    <w:rsid w:val="00E90C6D"/>
    <w:rsid w:val="00E90C9E"/>
    <w:rsid w:val="00E90FA7"/>
    <w:rsid w:val="00E913EB"/>
    <w:rsid w:val="00E91EF6"/>
    <w:rsid w:val="00E92622"/>
    <w:rsid w:val="00E92737"/>
    <w:rsid w:val="00E92754"/>
    <w:rsid w:val="00E92B43"/>
    <w:rsid w:val="00E92B87"/>
    <w:rsid w:val="00E92C1F"/>
    <w:rsid w:val="00E92E2D"/>
    <w:rsid w:val="00E938E5"/>
    <w:rsid w:val="00E94017"/>
    <w:rsid w:val="00E94F82"/>
    <w:rsid w:val="00E956BC"/>
    <w:rsid w:val="00E956F5"/>
    <w:rsid w:val="00E957EE"/>
    <w:rsid w:val="00E95D2B"/>
    <w:rsid w:val="00E96141"/>
    <w:rsid w:val="00E962F4"/>
    <w:rsid w:val="00E97E08"/>
    <w:rsid w:val="00EA02A2"/>
    <w:rsid w:val="00EA061D"/>
    <w:rsid w:val="00EA0795"/>
    <w:rsid w:val="00EA0838"/>
    <w:rsid w:val="00EA0E2A"/>
    <w:rsid w:val="00EA0E73"/>
    <w:rsid w:val="00EA0FA2"/>
    <w:rsid w:val="00EA1ACC"/>
    <w:rsid w:val="00EA1E18"/>
    <w:rsid w:val="00EA1F74"/>
    <w:rsid w:val="00EA241D"/>
    <w:rsid w:val="00EA261B"/>
    <w:rsid w:val="00EA2641"/>
    <w:rsid w:val="00EA2827"/>
    <w:rsid w:val="00EA2984"/>
    <w:rsid w:val="00EA2CCC"/>
    <w:rsid w:val="00EA345C"/>
    <w:rsid w:val="00EA358F"/>
    <w:rsid w:val="00EA41D6"/>
    <w:rsid w:val="00EA48EE"/>
    <w:rsid w:val="00EA494A"/>
    <w:rsid w:val="00EA4A39"/>
    <w:rsid w:val="00EA50F2"/>
    <w:rsid w:val="00EA5410"/>
    <w:rsid w:val="00EA5428"/>
    <w:rsid w:val="00EA5890"/>
    <w:rsid w:val="00EA599D"/>
    <w:rsid w:val="00EA59F7"/>
    <w:rsid w:val="00EA5B0B"/>
    <w:rsid w:val="00EA5B71"/>
    <w:rsid w:val="00EA5CD9"/>
    <w:rsid w:val="00EA65D8"/>
    <w:rsid w:val="00EA7BE1"/>
    <w:rsid w:val="00EB019B"/>
    <w:rsid w:val="00EB077F"/>
    <w:rsid w:val="00EB0E7C"/>
    <w:rsid w:val="00EB107B"/>
    <w:rsid w:val="00EB10B4"/>
    <w:rsid w:val="00EB1159"/>
    <w:rsid w:val="00EB11AD"/>
    <w:rsid w:val="00EB1203"/>
    <w:rsid w:val="00EB1BC9"/>
    <w:rsid w:val="00EB1E8A"/>
    <w:rsid w:val="00EB215A"/>
    <w:rsid w:val="00EB23BE"/>
    <w:rsid w:val="00EB2958"/>
    <w:rsid w:val="00EB2AD5"/>
    <w:rsid w:val="00EB2E56"/>
    <w:rsid w:val="00EB3270"/>
    <w:rsid w:val="00EB357F"/>
    <w:rsid w:val="00EB35E8"/>
    <w:rsid w:val="00EB3814"/>
    <w:rsid w:val="00EB3946"/>
    <w:rsid w:val="00EB3BAB"/>
    <w:rsid w:val="00EB4224"/>
    <w:rsid w:val="00EB4695"/>
    <w:rsid w:val="00EB4D02"/>
    <w:rsid w:val="00EB54F2"/>
    <w:rsid w:val="00EB5812"/>
    <w:rsid w:val="00EB595D"/>
    <w:rsid w:val="00EB6295"/>
    <w:rsid w:val="00EB693B"/>
    <w:rsid w:val="00EB6CA3"/>
    <w:rsid w:val="00EB6CD4"/>
    <w:rsid w:val="00EB7135"/>
    <w:rsid w:val="00EB719E"/>
    <w:rsid w:val="00EB7474"/>
    <w:rsid w:val="00EB7AAA"/>
    <w:rsid w:val="00EC0EEB"/>
    <w:rsid w:val="00EC114D"/>
    <w:rsid w:val="00EC150B"/>
    <w:rsid w:val="00EC167D"/>
    <w:rsid w:val="00EC214D"/>
    <w:rsid w:val="00EC24A6"/>
    <w:rsid w:val="00EC2B01"/>
    <w:rsid w:val="00EC2C90"/>
    <w:rsid w:val="00EC2EAE"/>
    <w:rsid w:val="00EC30FA"/>
    <w:rsid w:val="00EC341C"/>
    <w:rsid w:val="00EC3F47"/>
    <w:rsid w:val="00EC43FC"/>
    <w:rsid w:val="00EC4452"/>
    <w:rsid w:val="00EC4461"/>
    <w:rsid w:val="00EC504C"/>
    <w:rsid w:val="00EC5A7D"/>
    <w:rsid w:val="00EC5BAC"/>
    <w:rsid w:val="00EC5D5F"/>
    <w:rsid w:val="00EC6244"/>
    <w:rsid w:val="00EC634C"/>
    <w:rsid w:val="00EC63E4"/>
    <w:rsid w:val="00EC68F4"/>
    <w:rsid w:val="00EC6A0B"/>
    <w:rsid w:val="00EC6C43"/>
    <w:rsid w:val="00EC6EFF"/>
    <w:rsid w:val="00EC72E9"/>
    <w:rsid w:val="00EC746A"/>
    <w:rsid w:val="00EC7EF9"/>
    <w:rsid w:val="00ED0364"/>
    <w:rsid w:val="00ED07F0"/>
    <w:rsid w:val="00ED113D"/>
    <w:rsid w:val="00ED1415"/>
    <w:rsid w:val="00ED1831"/>
    <w:rsid w:val="00ED1D85"/>
    <w:rsid w:val="00ED232D"/>
    <w:rsid w:val="00ED2C4F"/>
    <w:rsid w:val="00ED305A"/>
    <w:rsid w:val="00ED35D1"/>
    <w:rsid w:val="00ED374B"/>
    <w:rsid w:val="00ED37C0"/>
    <w:rsid w:val="00ED3811"/>
    <w:rsid w:val="00ED38A4"/>
    <w:rsid w:val="00ED3AB5"/>
    <w:rsid w:val="00ED477E"/>
    <w:rsid w:val="00ED4A3F"/>
    <w:rsid w:val="00ED4EFB"/>
    <w:rsid w:val="00ED5334"/>
    <w:rsid w:val="00ED5D29"/>
    <w:rsid w:val="00ED622C"/>
    <w:rsid w:val="00ED62EE"/>
    <w:rsid w:val="00ED660F"/>
    <w:rsid w:val="00ED67C9"/>
    <w:rsid w:val="00ED6B82"/>
    <w:rsid w:val="00ED73FA"/>
    <w:rsid w:val="00ED7A2F"/>
    <w:rsid w:val="00ED7B38"/>
    <w:rsid w:val="00ED7EC8"/>
    <w:rsid w:val="00EE007E"/>
    <w:rsid w:val="00EE08C8"/>
    <w:rsid w:val="00EE08F2"/>
    <w:rsid w:val="00EE0F4A"/>
    <w:rsid w:val="00EE14B4"/>
    <w:rsid w:val="00EE168C"/>
    <w:rsid w:val="00EE16EF"/>
    <w:rsid w:val="00EE1AE0"/>
    <w:rsid w:val="00EE1D1B"/>
    <w:rsid w:val="00EE1E99"/>
    <w:rsid w:val="00EE273D"/>
    <w:rsid w:val="00EE2B86"/>
    <w:rsid w:val="00EE2E1A"/>
    <w:rsid w:val="00EE320F"/>
    <w:rsid w:val="00EE3BEC"/>
    <w:rsid w:val="00EE412D"/>
    <w:rsid w:val="00EE4176"/>
    <w:rsid w:val="00EE447B"/>
    <w:rsid w:val="00EE471B"/>
    <w:rsid w:val="00EE4CFA"/>
    <w:rsid w:val="00EE4E62"/>
    <w:rsid w:val="00EE51F2"/>
    <w:rsid w:val="00EE5570"/>
    <w:rsid w:val="00EE5604"/>
    <w:rsid w:val="00EE568A"/>
    <w:rsid w:val="00EE5AAB"/>
    <w:rsid w:val="00EE6619"/>
    <w:rsid w:val="00EE6F1F"/>
    <w:rsid w:val="00EE6F51"/>
    <w:rsid w:val="00EE7274"/>
    <w:rsid w:val="00EE72E3"/>
    <w:rsid w:val="00EE75AD"/>
    <w:rsid w:val="00EE761F"/>
    <w:rsid w:val="00EE7A37"/>
    <w:rsid w:val="00EF00E8"/>
    <w:rsid w:val="00EF0162"/>
    <w:rsid w:val="00EF064C"/>
    <w:rsid w:val="00EF1A32"/>
    <w:rsid w:val="00EF2903"/>
    <w:rsid w:val="00EF2999"/>
    <w:rsid w:val="00EF36DB"/>
    <w:rsid w:val="00EF37C9"/>
    <w:rsid w:val="00EF38D5"/>
    <w:rsid w:val="00EF3B18"/>
    <w:rsid w:val="00EF3E68"/>
    <w:rsid w:val="00EF3F49"/>
    <w:rsid w:val="00EF4336"/>
    <w:rsid w:val="00EF49A2"/>
    <w:rsid w:val="00EF53C7"/>
    <w:rsid w:val="00EF5650"/>
    <w:rsid w:val="00EF5AF1"/>
    <w:rsid w:val="00EF64AB"/>
    <w:rsid w:val="00EF6BEC"/>
    <w:rsid w:val="00EF706B"/>
    <w:rsid w:val="00EF73DC"/>
    <w:rsid w:val="00EF7A6C"/>
    <w:rsid w:val="00EF7D05"/>
    <w:rsid w:val="00F00188"/>
    <w:rsid w:val="00F00F15"/>
    <w:rsid w:val="00F013FF"/>
    <w:rsid w:val="00F02284"/>
    <w:rsid w:val="00F02E10"/>
    <w:rsid w:val="00F0332B"/>
    <w:rsid w:val="00F03B6E"/>
    <w:rsid w:val="00F03E80"/>
    <w:rsid w:val="00F0434C"/>
    <w:rsid w:val="00F0439D"/>
    <w:rsid w:val="00F043A5"/>
    <w:rsid w:val="00F04DFE"/>
    <w:rsid w:val="00F054F3"/>
    <w:rsid w:val="00F056DD"/>
    <w:rsid w:val="00F058A2"/>
    <w:rsid w:val="00F058C7"/>
    <w:rsid w:val="00F0594B"/>
    <w:rsid w:val="00F05B99"/>
    <w:rsid w:val="00F05EAF"/>
    <w:rsid w:val="00F066AB"/>
    <w:rsid w:val="00F06944"/>
    <w:rsid w:val="00F06ECE"/>
    <w:rsid w:val="00F077B0"/>
    <w:rsid w:val="00F07A76"/>
    <w:rsid w:val="00F10004"/>
    <w:rsid w:val="00F10615"/>
    <w:rsid w:val="00F1069E"/>
    <w:rsid w:val="00F110A3"/>
    <w:rsid w:val="00F11350"/>
    <w:rsid w:val="00F113AC"/>
    <w:rsid w:val="00F11E08"/>
    <w:rsid w:val="00F12611"/>
    <w:rsid w:val="00F12B59"/>
    <w:rsid w:val="00F12D35"/>
    <w:rsid w:val="00F133A4"/>
    <w:rsid w:val="00F13AB0"/>
    <w:rsid w:val="00F13D21"/>
    <w:rsid w:val="00F14814"/>
    <w:rsid w:val="00F14C61"/>
    <w:rsid w:val="00F15042"/>
    <w:rsid w:val="00F150D6"/>
    <w:rsid w:val="00F150DB"/>
    <w:rsid w:val="00F15600"/>
    <w:rsid w:val="00F15749"/>
    <w:rsid w:val="00F16372"/>
    <w:rsid w:val="00F16CEC"/>
    <w:rsid w:val="00F16FD8"/>
    <w:rsid w:val="00F17055"/>
    <w:rsid w:val="00F1707E"/>
    <w:rsid w:val="00F17645"/>
    <w:rsid w:val="00F17C7F"/>
    <w:rsid w:val="00F201A9"/>
    <w:rsid w:val="00F208C3"/>
    <w:rsid w:val="00F20A06"/>
    <w:rsid w:val="00F20F9A"/>
    <w:rsid w:val="00F21495"/>
    <w:rsid w:val="00F214E8"/>
    <w:rsid w:val="00F21EF2"/>
    <w:rsid w:val="00F22719"/>
    <w:rsid w:val="00F22B53"/>
    <w:rsid w:val="00F22EC7"/>
    <w:rsid w:val="00F22F4C"/>
    <w:rsid w:val="00F2310A"/>
    <w:rsid w:val="00F2375F"/>
    <w:rsid w:val="00F23809"/>
    <w:rsid w:val="00F23912"/>
    <w:rsid w:val="00F24461"/>
    <w:rsid w:val="00F244A4"/>
    <w:rsid w:val="00F24520"/>
    <w:rsid w:val="00F246B6"/>
    <w:rsid w:val="00F25190"/>
    <w:rsid w:val="00F25637"/>
    <w:rsid w:val="00F264D5"/>
    <w:rsid w:val="00F2655B"/>
    <w:rsid w:val="00F26601"/>
    <w:rsid w:val="00F26D14"/>
    <w:rsid w:val="00F2710E"/>
    <w:rsid w:val="00F2737A"/>
    <w:rsid w:val="00F27830"/>
    <w:rsid w:val="00F278F1"/>
    <w:rsid w:val="00F300F7"/>
    <w:rsid w:val="00F30146"/>
    <w:rsid w:val="00F30258"/>
    <w:rsid w:val="00F30553"/>
    <w:rsid w:val="00F30939"/>
    <w:rsid w:val="00F30A36"/>
    <w:rsid w:val="00F30F8C"/>
    <w:rsid w:val="00F3177E"/>
    <w:rsid w:val="00F3189C"/>
    <w:rsid w:val="00F327CF"/>
    <w:rsid w:val="00F329DD"/>
    <w:rsid w:val="00F32DE2"/>
    <w:rsid w:val="00F332D5"/>
    <w:rsid w:val="00F3339A"/>
    <w:rsid w:val="00F33531"/>
    <w:rsid w:val="00F33CAF"/>
    <w:rsid w:val="00F340E2"/>
    <w:rsid w:val="00F34869"/>
    <w:rsid w:val="00F34873"/>
    <w:rsid w:val="00F34EA6"/>
    <w:rsid w:val="00F352D1"/>
    <w:rsid w:val="00F355E8"/>
    <w:rsid w:val="00F358D6"/>
    <w:rsid w:val="00F36C0C"/>
    <w:rsid w:val="00F36D54"/>
    <w:rsid w:val="00F36EA2"/>
    <w:rsid w:val="00F37002"/>
    <w:rsid w:val="00F371B0"/>
    <w:rsid w:val="00F372FA"/>
    <w:rsid w:val="00F37FEF"/>
    <w:rsid w:val="00F4005B"/>
    <w:rsid w:val="00F4097B"/>
    <w:rsid w:val="00F40BCC"/>
    <w:rsid w:val="00F42096"/>
    <w:rsid w:val="00F421F3"/>
    <w:rsid w:val="00F4259B"/>
    <w:rsid w:val="00F42716"/>
    <w:rsid w:val="00F4282F"/>
    <w:rsid w:val="00F4293C"/>
    <w:rsid w:val="00F4315E"/>
    <w:rsid w:val="00F43961"/>
    <w:rsid w:val="00F43CAC"/>
    <w:rsid w:val="00F43D41"/>
    <w:rsid w:val="00F44234"/>
    <w:rsid w:val="00F45177"/>
    <w:rsid w:val="00F45202"/>
    <w:rsid w:val="00F4538A"/>
    <w:rsid w:val="00F45442"/>
    <w:rsid w:val="00F4551D"/>
    <w:rsid w:val="00F45560"/>
    <w:rsid w:val="00F45646"/>
    <w:rsid w:val="00F459F0"/>
    <w:rsid w:val="00F45C57"/>
    <w:rsid w:val="00F45C7C"/>
    <w:rsid w:val="00F461A5"/>
    <w:rsid w:val="00F463F9"/>
    <w:rsid w:val="00F46AAA"/>
    <w:rsid w:val="00F472BD"/>
    <w:rsid w:val="00F4758F"/>
    <w:rsid w:val="00F477E5"/>
    <w:rsid w:val="00F501B9"/>
    <w:rsid w:val="00F505EE"/>
    <w:rsid w:val="00F50DBC"/>
    <w:rsid w:val="00F5177A"/>
    <w:rsid w:val="00F52150"/>
    <w:rsid w:val="00F522B6"/>
    <w:rsid w:val="00F533E0"/>
    <w:rsid w:val="00F53693"/>
    <w:rsid w:val="00F5383A"/>
    <w:rsid w:val="00F53957"/>
    <w:rsid w:val="00F550EC"/>
    <w:rsid w:val="00F5522F"/>
    <w:rsid w:val="00F55279"/>
    <w:rsid w:val="00F553EC"/>
    <w:rsid w:val="00F558F1"/>
    <w:rsid w:val="00F55FA4"/>
    <w:rsid w:val="00F5676D"/>
    <w:rsid w:val="00F56E2F"/>
    <w:rsid w:val="00F57292"/>
    <w:rsid w:val="00F57304"/>
    <w:rsid w:val="00F5740B"/>
    <w:rsid w:val="00F60D85"/>
    <w:rsid w:val="00F61231"/>
    <w:rsid w:val="00F619C8"/>
    <w:rsid w:val="00F61E2B"/>
    <w:rsid w:val="00F620FC"/>
    <w:rsid w:val="00F621EC"/>
    <w:rsid w:val="00F62FA2"/>
    <w:rsid w:val="00F636F5"/>
    <w:rsid w:val="00F63C28"/>
    <w:rsid w:val="00F64E7A"/>
    <w:rsid w:val="00F65139"/>
    <w:rsid w:val="00F65677"/>
    <w:rsid w:val="00F65E04"/>
    <w:rsid w:val="00F66AAB"/>
    <w:rsid w:val="00F66AE5"/>
    <w:rsid w:val="00F66DDC"/>
    <w:rsid w:val="00F672FE"/>
    <w:rsid w:val="00F67B93"/>
    <w:rsid w:val="00F705FD"/>
    <w:rsid w:val="00F706A4"/>
    <w:rsid w:val="00F70C8C"/>
    <w:rsid w:val="00F70D15"/>
    <w:rsid w:val="00F714AD"/>
    <w:rsid w:val="00F7172C"/>
    <w:rsid w:val="00F71D13"/>
    <w:rsid w:val="00F71E4A"/>
    <w:rsid w:val="00F729AF"/>
    <w:rsid w:val="00F729D2"/>
    <w:rsid w:val="00F730B4"/>
    <w:rsid w:val="00F737EA"/>
    <w:rsid w:val="00F7422B"/>
    <w:rsid w:val="00F743A1"/>
    <w:rsid w:val="00F74AC8"/>
    <w:rsid w:val="00F74EAA"/>
    <w:rsid w:val="00F75082"/>
    <w:rsid w:val="00F76235"/>
    <w:rsid w:val="00F76FAE"/>
    <w:rsid w:val="00F773BC"/>
    <w:rsid w:val="00F77526"/>
    <w:rsid w:val="00F77F8C"/>
    <w:rsid w:val="00F803C7"/>
    <w:rsid w:val="00F807B8"/>
    <w:rsid w:val="00F80D98"/>
    <w:rsid w:val="00F80F1C"/>
    <w:rsid w:val="00F8126A"/>
    <w:rsid w:val="00F81640"/>
    <w:rsid w:val="00F81AEE"/>
    <w:rsid w:val="00F81B24"/>
    <w:rsid w:val="00F81DDA"/>
    <w:rsid w:val="00F8211C"/>
    <w:rsid w:val="00F8245A"/>
    <w:rsid w:val="00F824C5"/>
    <w:rsid w:val="00F82BDE"/>
    <w:rsid w:val="00F82EE9"/>
    <w:rsid w:val="00F83147"/>
    <w:rsid w:val="00F832F9"/>
    <w:rsid w:val="00F83641"/>
    <w:rsid w:val="00F83E58"/>
    <w:rsid w:val="00F83EA4"/>
    <w:rsid w:val="00F84287"/>
    <w:rsid w:val="00F845B2"/>
    <w:rsid w:val="00F8466E"/>
    <w:rsid w:val="00F8477E"/>
    <w:rsid w:val="00F84B5D"/>
    <w:rsid w:val="00F84CB9"/>
    <w:rsid w:val="00F853B9"/>
    <w:rsid w:val="00F854C7"/>
    <w:rsid w:val="00F858F8"/>
    <w:rsid w:val="00F86134"/>
    <w:rsid w:val="00F8673E"/>
    <w:rsid w:val="00F868EF"/>
    <w:rsid w:val="00F86CC0"/>
    <w:rsid w:val="00F86DE8"/>
    <w:rsid w:val="00F86E5B"/>
    <w:rsid w:val="00F8715C"/>
    <w:rsid w:val="00F873AF"/>
    <w:rsid w:val="00F87558"/>
    <w:rsid w:val="00F875BC"/>
    <w:rsid w:val="00F876C7"/>
    <w:rsid w:val="00F87FF5"/>
    <w:rsid w:val="00F900C0"/>
    <w:rsid w:val="00F90503"/>
    <w:rsid w:val="00F9054D"/>
    <w:rsid w:val="00F90D6D"/>
    <w:rsid w:val="00F9142F"/>
    <w:rsid w:val="00F91972"/>
    <w:rsid w:val="00F91B56"/>
    <w:rsid w:val="00F91EF4"/>
    <w:rsid w:val="00F922D7"/>
    <w:rsid w:val="00F92794"/>
    <w:rsid w:val="00F92F14"/>
    <w:rsid w:val="00F9369D"/>
    <w:rsid w:val="00F9393E"/>
    <w:rsid w:val="00F93DBC"/>
    <w:rsid w:val="00F94189"/>
    <w:rsid w:val="00F946B3"/>
    <w:rsid w:val="00F9493C"/>
    <w:rsid w:val="00F94CE1"/>
    <w:rsid w:val="00F94E95"/>
    <w:rsid w:val="00F94EE6"/>
    <w:rsid w:val="00F951EA"/>
    <w:rsid w:val="00F951FC"/>
    <w:rsid w:val="00F95806"/>
    <w:rsid w:val="00F95A33"/>
    <w:rsid w:val="00F96160"/>
    <w:rsid w:val="00F9632F"/>
    <w:rsid w:val="00F96946"/>
    <w:rsid w:val="00F96D9D"/>
    <w:rsid w:val="00F96FFE"/>
    <w:rsid w:val="00F97212"/>
    <w:rsid w:val="00F9740C"/>
    <w:rsid w:val="00F97534"/>
    <w:rsid w:val="00F97725"/>
    <w:rsid w:val="00F97AF2"/>
    <w:rsid w:val="00F97ED9"/>
    <w:rsid w:val="00FA0FAC"/>
    <w:rsid w:val="00FA1143"/>
    <w:rsid w:val="00FA21E2"/>
    <w:rsid w:val="00FA2986"/>
    <w:rsid w:val="00FA32A4"/>
    <w:rsid w:val="00FA3AD8"/>
    <w:rsid w:val="00FA3AFC"/>
    <w:rsid w:val="00FA3E9A"/>
    <w:rsid w:val="00FA43A8"/>
    <w:rsid w:val="00FA4853"/>
    <w:rsid w:val="00FA4B13"/>
    <w:rsid w:val="00FA5645"/>
    <w:rsid w:val="00FA57F9"/>
    <w:rsid w:val="00FA60D6"/>
    <w:rsid w:val="00FA6B2D"/>
    <w:rsid w:val="00FA76A7"/>
    <w:rsid w:val="00FA7713"/>
    <w:rsid w:val="00FB02F0"/>
    <w:rsid w:val="00FB0728"/>
    <w:rsid w:val="00FB13A4"/>
    <w:rsid w:val="00FB14B8"/>
    <w:rsid w:val="00FB1B8E"/>
    <w:rsid w:val="00FB1FD0"/>
    <w:rsid w:val="00FB1FDC"/>
    <w:rsid w:val="00FB24B5"/>
    <w:rsid w:val="00FB24BA"/>
    <w:rsid w:val="00FB2AE0"/>
    <w:rsid w:val="00FB35DF"/>
    <w:rsid w:val="00FB3B47"/>
    <w:rsid w:val="00FB3DFE"/>
    <w:rsid w:val="00FB3FFE"/>
    <w:rsid w:val="00FB426B"/>
    <w:rsid w:val="00FB451F"/>
    <w:rsid w:val="00FB480D"/>
    <w:rsid w:val="00FB48E1"/>
    <w:rsid w:val="00FB524B"/>
    <w:rsid w:val="00FB53C7"/>
    <w:rsid w:val="00FB5962"/>
    <w:rsid w:val="00FB5981"/>
    <w:rsid w:val="00FB6258"/>
    <w:rsid w:val="00FB6759"/>
    <w:rsid w:val="00FB676E"/>
    <w:rsid w:val="00FB67CE"/>
    <w:rsid w:val="00FB6CE3"/>
    <w:rsid w:val="00FB6CF9"/>
    <w:rsid w:val="00FB70BE"/>
    <w:rsid w:val="00FB7A40"/>
    <w:rsid w:val="00FB7BD7"/>
    <w:rsid w:val="00FC036A"/>
    <w:rsid w:val="00FC05F4"/>
    <w:rsid w:val="00FC0C36"/>
    <w:rsid w:val="00FC13A5"/>
    <w:rsid w:val="00FC1BCF"/>
    <w:rsid w:val="00FC2066"/>
    <w:rsid w:val="00FC22A8"/>
    <w:rsid w:val="00FC2745"/>
    <w:rsid w:val="00FC2B62"/>
    <w:rsid w:val="00FC30F1"/>
    <w:rsid w:val="00FC3578"/>
    <w:rsid w:val="00FC35BA"/>
    <w:rsid w:val="00FC3691"/>
    <w:rsid w:val="00FC38EB"/>
    <w:rsid w:val="00FC3B04"/>
    <w:rsid w:val="00FC3F33"/>
    <w:rsid w:val="00FC3F89"/>
    <w:rsid w:val="00FC3FC3"/>
    <w:rsid w:val="00FC41B0"/>
    <w:rsid w:val="00FC42D6"/>
    <w:rsid w:val="00FC45FF"/>
    <w:rsid w:val="00FC49A8"/>
    <w:rsid w:val="00FC4E39"/>
    <w:rsid w:val="00FC5512"/>
    <w:rsid w:val="00FC60E6"/>
    <w:rsid w:val="00FC6563"/>
    <w:rsid w:val="00FC6C19"/>
    <w:rsid w:val="00FC6CD4"/>
    <w:rsid w:val="00FC71BE"/>
    <w:rsid w:val="00FC74A1"/>
    <w:rsid w:val="00FC7618"/>
    <w:rsid w:val="00FC7AE2"/>
    <w:rsid w:val="00FC7D69"/>
    <w:rsid w:val="00FC7D74"/>
    <w:rsid w:val="00FD0442"/>
    <w:rsid w:val="00FD22D5"/>
    <w:rsid w:val="00FD29B4"/>
    <w:rsid w:val="00FD2AD2"/>
    <w:rsid w:val="00FD2F73"/>
    <w:rsid w:val="00FD30C5"/>
    <w:rsid w:val="00FD30F1"/>
    <w:rsid w:val="00FD4A16"/>
    <w:rsid w:val="00FD4C96"/>
    <w:rsid w:val="00FD5201"/>
    <w:rsid w:val="00FD5BAA"/>
    <w:rsid w:val="00FD5C45"/>
    <w:rsid w:val="00FD5C4D"/>
    <w:rsid w:val="00FD5D48"/>
    <w:rsid w:val="00FD6016"/>
    <w:rsid w:val="00FD61F8"/>
    <w:rsid w:val="00FD6386"/>
    <w:rsid w:val="00FD6504"/>
    <w:rsid w:val="00FD772E"/>
    <w:rsid w:val="00FD7AC7"/>
    <w:rsid w:val="00FD7B31"/>
    <w:rsid w:val="00FD7CE8"/>
    <w:rsid w:val="00FE09AF"/>
    <w:rsid w:val="00FE0D97"/>
    <w:rsid w:val="00FE0F16"/>
    <w:rsid w:val="00FE1259"/>
    <w:rsid w:val="00FE1307"/>
    <w:rsid w:val="00FE16CC"/>
    <w:rsid w:val="00FE19ED"/>
    <w:rsid w:val="00FE1A48"/>
    <w:rsid w:val="00FE1CA3"/>
    <w:rsid w:val="00FE2066"/>
    <w:rsid w:val="00FE2107"/>
    <w:rsid w:val="00FE250E"/>
    <w:rsid w:val="00FE273C"/>
    <w:rsid w:val="00FE2D16"/>
    <w:rsid w:val="00FE2E74"/>
    <w:rsid w:val="00FE2ED2"/>
    <w:rsid w:val="00FE3691"/>
    <w:rsid w:val="00FE3761"/>
    <w:rsid w:val="00FE3FF3"/>
    <w:rsid w:val="00FE41F5"/>
    <w:rsid w:val="00FE4290"/>
    <w:rsid w:val="00FE452A"/>
    <w:rsid w:val="00FE4547"/>
    <w:rsid w:val="00FE461A"/>
    <w:rsid w:val="00FE4D7B"/>
    <w:rsid w:val="00FE50D6"/>
    <w:rsid w:val="00FE55EC"/>
    <w:rsid w:val="00FE5C13"/>
    <w:rsid w:val="00FE6393"/>
    <w:rsid w:val="00FE643C"/>
    <w:rsid w:val="00FE66D9"/>
    <w:rsid w:val="00FE6BD0"/>
    <w:rsid w:val="00FE718F"/>
    <w:rsid w:val="00FE7CBB"/>
    <w:rsid w:val="00FE7D80"/>
    <w:rsid w:val="00FF05B0"/>
    <w:rsid w:val="00FF07A8"/>
    <w:rsid w:val="00FF09C6"/>
    <w:rsid w:val="00FF1247"/>
    <w:rsid w:val="00FF13FA"/>
    <w:rsid w:val="00FF18FB"/>
    <w:rsid w:val="00FF1946"/>
    <w:rsid w:val="00FF1E34"/>
    <w:rsid w:val="00FF1FCA"/>
    <w:rsid w:val="00FF20E9"/>
    <w:rsid w:val="00FF2855"/>
    <w:rsid w:val="00FF3820"/>
    <w:rsid w:val="00FF40C2"/>
    <w:rsid w:val="00FF42E8"/>
    <w:rsid w:val="00FF4769"/>
    <w:rsid w:val="00FF4C75"/>
    <w:rsid w:val="00FF4EF4"/>
    <w:rsid w:val="00FF54D7"/>
    <w:rsid w:val="00FF591D"/>
    <w:rsid w:val="00FF5C4C"/>
    <w:rsid w:val="00FF5F9B"/>
    <w:rsid w:val="00FF6A1C"/>
    <w:rsid w:val="00FF6A4D"/>
    <w:rsid w:val="00FF6F8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7B3CD"/>
  <w15:chartTrackingRefBased/>
  <w15:docId w15:val="{14B9110E-A4EA-4AB8-9852-985CA8E6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3C6"/>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5E43C6"/>
    <w:pPr>
      <w:keepNext/>
      <w:keepLines/>
      <w:numPr>
        <w:numId w:val="8"/>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5E43C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5E43C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5E43C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5E43C6"/>
    <w:pPr>
      <w:keepNext/>
      <w:numPr>
        <w:numId w:val="4"/>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5E43C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5E43C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5E43C6"/>
    <w:pPr>
      <w:ind w:left="993"/>
      <w:outlineLvl w:val="7"/>
    </w:pPr>
    <w:rPr>
      <w:color w:val="321547"/>
      <w:szCs w:val="22"/>
      <w:u w:val="dotDotDash"/>
    </w:rPr>
  </w:style>
  <w:style w:type="paragraph" w:styleId="Ttulo9">
    <w:name w:val="heading 9"/>
    <w:basedOn w:val="Ttulo8"/>
    <w:next w:val="Normal"/>
    <w:link w:val="Ttulo9Car"/>
    <w:uiPriority w:val="9"/>
    <w:unhideWhenUsed/>
    <w:qFormat/>
    <w:rsid w:val="005E43C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5E43C6"/>
    <w:rPr>
      <w:color w:val="0563C1" w:themeColor="hyperlink"/>
      <w:u w:val="single"/>
    </w:rPr>
  </w:style>
  <w:style w:type="paragraph" w:styleId="Textonotapie">
    <w:name w:val="footnote text"/>
    <w:aliases w:val="Nota a pie de página"/>
    <w:basedOn w:val="Normal"/>
    <w:link w:val="TextonotapieCar"/>
    <w:uiPriority w:val="99"/>
    <w:unhideWhenUsed/>
    <w:qFormat/>
    <w:rsid w:val="005E43C6"/>
    <w:pPr>
      <w:keepLines/>
      <w:spacing w:after="40" w:line="240" w:lineRule="auto"/>
    </w:pPr>
    <w:rPr>
      <w:sz w:val="16"/>
      <w:szCs w:val="20"/>
    </w:rPr>
  </w:style>
  <w:style w:type="character" w:styleId="Refdenotaalpie">
    <w:name w:val="footnote reference"/>
    <w:basedOn w:val="Fuentedeprrafopredeter"/>
    <w:uiPriority w:val="99"/>
    <w:unhideWhenUsed/>
    <w:rsid w:val="005E43C6"/>
    <w:rPr>
      <w:vertAlign w:val="superscript"/>
    </w:rPr>
  </w:style>
  <w:style w:type="table" w:styleId="Tablaconcuadrcula">
    <w:name w:val="Table Grid"/>
    <w:basedOn w:val="Tablanormal"/>
    <w:uiPriority w:val="39"/>
    <w:rsid w:val="005E43C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C96011"/>
    <w:rPr>
      <w:sz w:val="16"/>
      <w:szCs w:val="16"/>
    </w:rPr>
  </w:style>
  <w:style w:type="paragraph" w:styleId="Textocomentario">
    <w:name w:val="annotation text"/>
    <w:basedOn w:val="Normal"/>
    <w:link w:val="TextocomentarioCar"/>
    <w:uiPriority w:val="99"/>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5E43C6"/>
    <w:rPr>
      <w:rFonts w:ascii="Segoe UI" w:hAnsi="Segoe UI" w:cs="Segoe UI"/>
      <w:sz w:val="18"/>
      <w:szCs w:val="18"/>
    </w:rPr>
  </w:style>
  <w:style w:type="paragraph" w:styleId="Prrafodelista">
    <w:name w:val="List Paragraph"/>
    <w:basedOn w:val="Normal"/>
    <w:uiPriority w:val="34"/>
    <w:rsid w:val="005E43C6"/>
    <w:pPr>
      <w:ind w:left="720"/>
      <w:contextualSpacing/>
    </w:pPr>
  </w:style>
  <w:style w:type="character" w:customStyle="1" w:styleId="TextonotapieCar">
    <w:name w:val="Texto nota pie Car"/>
    <w:aliases w:val="Nota a pie de página Car"/>
    <w:basedOn w:val="Fuentedeprrafopredeter"/>
    <w:link w:val="Textonotapie"/>
    <w:uiPriority w:val="99"/>
    <w:rsid w:val="005E43C6"/>
    <w:rPr>
      <w:rFonts w:ascii="Palatino Linotype" w:eastAsiaTheme="minorHAnsi" w:hAnsi="Palatino Linotype" w:cstheme="minorBidi"/>
      <w:sz w:val="16"/>
      <w:lang w:eastAsia="en-US"/>
    </w:rPr>
  </w:style>
  <w:style w:type="character" w:customStyle="1" w:styleId="TextocomentarioCar">
    <w:name w:val="Texto comentario Car"/>
    <w:link w:val="Textocomentario"/>
    <w:uiPriority w:val="99"/>
    <w:semiHidden/>
    <w:rsid w:val="0088676E"/>
    <w:rPr>
      <w:lang w:val="es-ES" w:eastAsia="es-ES"/>
    </w:rPr>
  </w:style>
  <w:style w:type="paragraph" w:customStyle="1" w:styleId="Tercer">
    <w:name w:val="Tercer"/>
    <w:basedOn w:val="Normal"/>
    <w:link w:val="TercerCar"/>
    <w:qFormat/>
    <w:rsid w:val="00DC3384"/>
    <w:pPr>
      <w:numPr>
        <w:numId w:val="2"/>
      </w:numPr>
      <w:spacing w:after="20"/>
      <w:ind w:left="426" w:right="-129" w:hanging="142"/>
    </w:pPr>
    <w:rPr>
      <w:sz w:val="14"/>
      <w:szCs w:val="14"/>
    </w:rPr>
  </w:style>
  <w:style w:type="character" w:customStyle="1" w:styleId="TercerCar">
    <w:name w:val="Tercer Car"/>
    <w:link w:val="Tercer"/>
    <w:rsid w:val="00DC3384"/>
    <w:rPr>
      <w:rFonts w:ascii="Palatino Linotype" w:eastAsiaTheme="minorHAnsi" w:hAnsi="Palatino Linotype" w:cstheme="minorBidi"/>
      <w:sz w:val="14"/>
      <w:szCs w:val="14"/>
      <w:lang w:eastAsia="en-US"/>
    </w:rPr>
  </w:style>
  <w:style w:type="character" w:customStyle="1" w:styleId="Ttulo1Car">
    <w:name w:val="Título 1 Car"/>
    <w:basedOn w:val="Fuentedeprrafopredeter"/>
    <w:link w:val="Ttulo1"/>
    <w:uiPriority w:val="9"/>
    <w:rsid w:val="005E43C6"/>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5E43C6"/>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5E43C6"/>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5E43C6"/>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5E43C6"/>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5E43C6"/>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5E43C6"/>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5E43C6"/>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5E43C6"/>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5E43C6"/>
    <w:pPr>
      <w:tabs>
        <w:tab w:val="center" w:pos="4252"/>
        <w:tab w:val="right" w:pos="8504"/>
      </w:tabs>
    </w:pPr>
  </w:style>
  <w:style w:type="character" w:customStyle="1" w:styleId="EncabezadoCar">
    <w:name w:val="Encabezado Car"/>
    <w:basedOn w:val="Fuentedeprrafopredeter"/>
    <w:link w:val="Encabezado"/>
    <w:uiPriority w:val="99"/>
    <w:rsid w:val="005E43C6"/>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5E43C6"/>
    <w:rPr>
      <w:rFonts w:ascii="Garamond" w:hAnsi="Garamond"/>
      <w:lang w:val="es-ES"/>
    </w:rPr>
  </w:style>
  <w:style w:type="character" w:customStyle="1" w:styleId="FooterChar">
    <w:name w:val="Footer Char"/>
    <w:basedOn w:val="Fuentedeprrafopredeter"/>
    <w:uiPriority w:val="99"/>
    <w:rsid w:val="005E43C6"/>
    <w:rPr>
      <w:rFonts w:ascii="Garamond" w:hAnsi="Garamond"/>
      <w:lang w:val="es-ES"/>
    </w:rPr>
  </w:style>
  <w:style w:type="character" w:styleId="Textodelmarcadordeposicin">
    <w:name w:val="Placeholder Text"/>
    <w:basedOn w:val="Fuentedeprrafopredeter"/>
    <w:uiPriority w:val="99"/>
    <w:semiHidden/>
    <w:rsid w:val="005E43C6"/>
    <w:rPr>
      <w:color w:val="808080"/>
    </w:rPr>
  </w:style>
  <w:style w:type="paragraph" w:styleId="Ttulo">
    <w:name w:val="Title"/>
    <w:basedOn w:val="Normal"/>
    <w:next w:val="Normal"/>
    <w:link w:val="TtuloCar"/>
    <w:uiPriority w:val="10"/>
    <w:qFormat/>
    <w:rsid w:val="005E43C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5E43C6"/>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5E43C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5E43C6"/>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5E43C6"/>
    <w:pPr>
      <w:numPr>
        <w:ilvl w:val="1"/>
        <w:numId w:val="3"/>
      </w:numPr>
      <w:spacing w:after="100"/>
      <w:ind w:left="1049" w:hanging="198"/>
      <w:contextualSpacing/>
    </w:pPr>
  </w:style>
  <w:style w:type="character" w:customStyle="1" w:styleId="Heading2Char">
    <w:name w:val="Heading 2 Char"/>
    <w:basedOn w:val="Fuentedeprrafopredeter"/>
    <w:uiPriority w:val="9"/>
    <w:rsid w:val="005E43C6"/>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5E43C6"/>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5E43C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5E43C6"/>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5E43C6"/>
    <w:rPr>
      <w:rFonts w:ascii="Garamond" w:hAnsi="Garamond"/>
      <w:i/>
      <w:iCs/>
      <w:color w:val="5F2987"/>
      <w:u w:val="single"/>
      <w:lang w:val="es-ES"/>
    </w:rPr>
  </w:style>
  <w:style w:type="paragraph" w:styleId="TDC3">
    <w:name w:val="toc 3"/>
    <w:basedOn w:val="Normal"/>
    <w:next w:val="FinTDC"/>
    <w:autoRedefine/>
    <w:uiPriority w:val="39"/>
    <w:unhideWhenUsed/>
    <w:rsid w:val="005E43C6"/>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5E43C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5E43C6"/>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5E43C6"/>
    <w:rPr>
      <w:color w:val="7F7F7F" w:themeColor="text1" w:themeTint="80"/>
      <w:sz w:val="16"/>
    </w:rPr>
  </w:style>
  <w:style w:type="character" w:customStyle="1" w:styleId="NocantarChar">
    <w:name w:val="No cantar Char"/>
    <w:basedOn w:val="Fuentedeprrafopredeter"/>
    <w:link w:val="Nocantar"/>
    <w:rsid w:val="005E43C6"/>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5E43C6"/>
    <w:pPr>
      <w:numPr>
        <w:numId w:val="0"/>
      </w:numPr>
      <w:ind w:firstLine="142"/>
    </w:pPr>
  </w:style>
  <w:style w:type="character" w:customStyle="1" w:styleId="IntroduccinyconclusinChar">
    <w:name w:val="Introducción y conclusión Char"/>
    <w:basedOn w:val="Ttulo1Car"/>
    <w:link w:val="Introduccinyconclusin"/>
    <w:rsid w:val="005E43C6"/>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5E43C6"/>
    <w:pPr>
      <w:numPr>
        <w:numId w:val="5"/>
      </w:numPr>
    </w:pPr>
  </w:style>
  <w:style w:type="paragraph" w:customStyle="1" w:styleId="Nivel1">
    <w:name w:val="Nivel 1"/>
    <w:basedOn w:val="Normal"/>
    <w:qFormat/>
    <w:rsid w:val="005E43C6"/>
    <w:pPr>
      <w:numPr>
        <w:numId w:val="3"/>
      </w:numPr>
      <w:spacing w:before="100" w:after="100"/>
      <w:ind w:left="623" w:hanging="198"/>
    </w:pPr>
  </w:style>
  <w:style w:type="paragraph" w:customStyle="1" w:styleId="Nivel3">
    <w:name w:val="Nivel 3"/>
    <w:basedOn w:val="Nivel2"/>
    <w:link w:val="Nivel3Car"/>
    <w:qFormat/>
    <w:rsid w:val="005E43C6"/>
    <w:pPr>
      <w:numPr>
        <w:ilvl w:val="2"/>
      </w:numPr>
      <w:spacing w:after="0"/>
      <w:ind w:left="1474" w:hanging="198"/>
    </w:pPr>
  </w:style>
  <w:style w:type="paragraph" w:customStyle="1" w:styleId="Letra">
    <w:name w:val="Letra"/>
    <w:basedOn w:val="Nivel1"/>
    <w:qFormat/>
    <w:rsid w:val="005E43C6"/>
    <w:pPr>
      <w:numPr>
        <w:numId w:val="6"/>
      </w:numPr>
      <w:spacing w:before="0" w:after="40"/>
      <w:ind w:left="936" w:hanging="227"/>
    </w:pPr>
  </w:style>
  <w:style w:type="paragraph" w:customStyle="1" w:styleId="Nmero">
    <w:name w:val="Número"/>
    <w:basedOn w:val="Normal"/>
    <w:qFormat/>
    <w:rsid w:val="005E43C6"/>
    <w:pPr>
      <w:numPr>
        <w:numId w:val="7"/>
      </w:numPr>
      <w:spacing w:after="40"/>
      <w:ind w:left="936" w:hanging="227"/>
    </w:pPr>
  </w:style>
  <w:style w:type="character" w:customStyle="1" w:styleId="BalloonTextChar">
    <w:name w:val="Balloon Text Char"/>
    <w:basedOn w:val="Fuentedeprrafopredeter"/>
    <w:uiPriority w:val="99"/>
    <w:semiHidden/>
    <w:rsid w:val="005E43C6"/>
    <w:rPr>
      <w:rFonts w:ascii="Segoe UI" w:hAnsi="Segoe UI" w:cs="Segoe UI"/>
      <w:sz w:val="18"/>
      <w:szCs w:val="18"/>
      <w:lang w:val="es-ES"/>
    </w:rPr>
  </w:style>
  <w:style w:type="paragraph" w:customStyle="1" w:styleId="Notaalopositor">
    <w:name w:val="Nota al opositor"/>
    <w:basedOn w:val="Normal"/>
    <w:link w:val="NotaalopositorChar"/>
    <w:qFormat/>
    <w:rsid w:val="005E43C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5E43C6"/>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5E43C6"/>
    <w:rPr>
      <w:rFonts w:ascii="Garamond" w:hAnsi="Garamond"/>
      <w:sz w:val="16"/>
      <w:szCs w:val="20"/>
      <w:lang w:val="es-ES"/>
    </w:rPr>
  </w:style>
  <w:style w:type="character" w:customStyle="1" w:styleId="Heading6Char">
    <w:name w:val="Heading 6 Char"/>
    <w:basedOn w:val="Fuentedeprrafopredeter"/>
    <w:uiPriority w:val="9"/>
    <w:semiHidden/>
    <w:rsid w:val="005E43C6"/>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5E43C6"/>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5E43C6"/>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5E43C6"/>
    <w:rPr>
      <w:rFonts w:ascii="Garamond" w:eastAsiaTheme="minorEastAsia" w:hAnsi="Garamond"/>
      <w:smallCaps/>
      <w:color w:val="5A5A5A" w:themeColor="text1" w:themeTint="A5"/>
      <w:lang w:val="es-ES"/>
    </w:rPr>
  </w:style>
  <w:style w:type="paragraph" w:customStyle="1" w:styleId="Nivel1SM">
    <w:name w:val="Nivel 1 SM"/>
    <w:basedOn w:val="Nivel1"/>
    <w:qFormat/>
    <w:rsid w:val="005E43C6"/>
    <w:pPr>
      <w:ind w:left="0"/>
    </w:pPr>
  </w:style>
  <w:style w:type="paragraph" w:customStyle="1" w:styleId="Nivel2SM">
    <w:name w:val="Nivel 2 SM"/>
    <w:basedOn w:val="Nivel2"/>
    <w:qFormat/>
    <w:rsid w:val="005E43C6"/>
    <w:pPr>
      <w:ind w:left="567"/>
    </w:pPr>
  </w:style>
  <w:style w:type="paragraph" w:customStyle="1" w:styleId="Nivel3SM">
    <w:name w:val="Nivel 3 SM"/>
    <w:basedOn w:val="Nivel3"/>
    <w:qFormat/>
    <w:rsid w:val="005E43C6"/>
    <w:pPr>
      <w:ind w:left="963"/>
    </w:pPr>
  </w:style>
  <w:style w:type="paragraph" w:styleId="Encabezadodelista">
    <w:name w:val="toa heading"/>
    <w:basedOn w:val="Normal"/>
    <w:next w:val="Normal"/>
    <w:uiPriority w:val="99"/>
    <w:unhideWhenUsed/>
    <w:rsid w:val="005E43C6"/>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5E43C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5E43C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5E43C6"/>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5E43C6"/>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5E43C6"/>
    <w:rPr>
      <w:color w:val="605E5C"/>
      <w:shd w:val="clear" w:color="auto" w:fill="E1DFDD"/>
    </w:rPr>
  </w:style>
  <w:style w:type="paragraph" w:styleId="TDC5">
    <w:name w:val="toc 5"/>
    <w:basedOn w:val="Normal"/>
    <w:next w:val="FinTDC"/>
    <w:autoRedefine/>
    <w:uiPriority w:val="39"/>
    <w:unhideWhenUsed/>
    <w:rsid w:val="005E43C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5E43C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5E43C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5E43C6"/>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5E43C6"/>
    <w:pPr>
      <w:spacing w:line="240" w:lineRule="auto"/>
      <w:ind w:left="567" w:hanging="567"/>
    </w:pPr>
  </w:style>
  <w:style w:type="paragraph" w:customStyle="1" w:styleId="Ttuloimagen">
    <w:name w:val="Título imagen"/>
    <w:basedOn w:val="PiedeImagen"/>
    <w:next w:val="Imagen"/>
    <w:link w:val="TtuloimagenCar"/>
    <w:qFormat/>
    <w:rsid w:val="005E43C6"/>
    <w:pPr>
      <w:keepNext/>
      <w:spacing w:after="0"/>
    </w:pPr>
    <w:rPr>
      <w:i w:val="0"/>
      <w:smallCaps/>
      <w:sz w:val="20"/>
    </w:rPr>
  </w:style>
  <w:style w:type="character" w:customStyle="1" w:styleId="TtuloimagenCar">
    <w:name w:val="Título imagen Car"/>
    <w:basedOn w:val="ImagenCar"/>
    <w:link w:val="Ttuloimagen"/>
    <w:rsid w:val="005E43C6"/>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5E43C6"/>
    <w:pPr>
      <w:ind w:left="1100"/>
    </w:pPr>
  </w:style>
  <w:style w:type="paragraph" w:styleId="Sinespaciado">
    <w:name w:val="No Spacing"/>
    <w:link w:val="SinespaciadoCar"/>
    <w:uiPriority w:val="1"/>
    <w:qFormat/>
    <w:rsid w:val="005E43C6"/>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5E43C6"/>
    <w:rPr>
      <w:rFonts w:asciiTheme="minorHAnsi" w:eastAsiaTheme="minorEastAsia" w:hAnsiTheme="minorHAnsi" w:cstheme="minorBidi"/>
      <w:sz w:val="22"/>
      <w:szCs w:val="22"/>
    </w:rPr>
  </w:style>
  <w:style w:type="paragraph" w:customStyle="1" w:styleId="Nmeroromano">
    <w:name w:val="Número romano"/>
    <w:basedOn w:val="Prrafodelista"/>
    <w:qFormat/>
    <w:rsid w:val="005E43C6"/>
    <w:pPr>
      <w:numPr>
        <w:numId w:val="10"/>
      </w:numPr>
      <w:spacing w:after="100"/>
      <w:ind w:left="567" w:hanging="113"/>
    </w:pPr>
  </w:style>
  <w:style w:type="paragraph" w:customStyle="1" w:styleId="Saltodettulos">
    <w:name w:val="Salto de títulos"/>
    <w:basedOn w:val="Normal"/>
    <w:rsid w:val="005E43C6"/>
    <w:pPr>
      <w:spacing w:after="0" w:line="240" w:lineRule="auto"/>
    </w:pPr>
    <w:rPr>
      <w:color w:val="FFFFFF"/>
      <w:sz w:val="2"/>
    </w:rPr>
  </w:style>
  <w:style w:type="paragraph" w:styleId="TDC7">
    <w:name w:val="toc 7"/>
    <w:basedOn w:val="Normal"/>
    <w:next w:val="FinTDC"/>
    <w:autoRedefine/>
    <w:uiPriority w:val="39"/>
    <w:unhideWhenUsed/>
    <w:rsid w:val="005E43C6"/>
    <w:pPr>
      <w:spacing w:after="0" w:line="20" w:lineRule="atLeast"/>
      <w:ind w:left="1418"/>
      <w:jc w:val="left"/>
    </w:pPr>
    <w:rPr>
      <w:i/>
      <w:color w:val="5F2987"/>
      <w:sz w:val="12"/>
    </w:rPr>
  </w:style>
  <w:style w:type="paragraph" w:customStyle="1" w:styleId="FinTDC">
    <w:name w:val="FinTDC"/>
    <w:basedOn w:val="Nivel1"/>
    <w:qFormat/>
    <w:rsid w:val="005E43C6"/>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5E43C6"/>
    <w:pPr>
      <w:spacing w:after="0" w:line="240" w:lineRule="auto"/>
      <w:jc w:val="left"/>
    </w:pPr>
    <w:rPr>
      <w:sz w:val="15"/>
    </w:rPr>
  </w:style>
  <w:style w:type="paragraph" w:styleId="TDC9">
    <w:name w:val="toc 9"/>
    <w:basedOn w:val="TDC8"/>
    <w:next w:val="FinTDC"/>
    <w:autoRedefine/>
    <w:uiPriority w:val="39"/>
    <w:unhideWhenUsed/>
    <w:rsid w:val="005E43C6"/>
    <w:pPr>
      <w:ind w:left="1760"/>
    </w:pPr>
  </w:style>
  <w:style w:type="paragraph" w:customStyle="1" w:styleId="Apartado0">
    <w:name w:val="Apartado 0"/>
    <w:basedOn w:val="Ttulo1"/>
    <w:next w:val="Normal"/>
    <w:link w:val="Apartado0Car"/>
    <w:qFormat/>
    <w:rsid w:val="005E43C6"/>
    <w:pPr>
      <w:numPr>
        <w:numId w:val="9"/>
      </w:numPr>
      <w:ind w:left="357" w:hanging="357"/>
    </w:pPr>
  </w:style>
  <w:style w:type="character" w:customStyle="1" w:styleId="Apartado0Car">
    <w:name w:val="Apartado 0 Car"/>
    <w:basedOn w:val="Ttulo1Car"/>
    <w:link w:val="Apartado0"/>
    <w:rsid w:val="005E43C6"/>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5E43C6"/>
    <w:pPr>
      <w:numPr>
        <w:ilvl w:val="3"/>
      </w:numPr>
      <w:ind w:left="1899" w:hanging="198"/>
    </w:pPr>
  </w:style>
  <w:style w:type="paragraph" w:customStyle="1" w:styleId="Nivel5">
    <w:name w:val="Nivel 5"/>
    <w:basedOn w:val="Nivel4"/>
    <w:link w:val="Nivel5Car"/>
    <w:qFormat/>
    <w:rsid w:val="005E43C6"/>
    <w:pPr>
      <w:numPr>
        <w:ilvl w:val="4"/>
      </w:numPr>
      <w:ind w:left="2155" w:hanging="170"/>
    </w:pPr>
  </w:style>
  <w:style w:type="character" w:customStyle="1" w:styleId="Nivel2Car">
    <w:name w:val="Nivel 2 Car"/>
    <w:basedOn w:val="Fuentedeprrafopredeter"/>
    <w:link w:val="Nivel2"/>
    <w:rsid w:val="005E43C6"/>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5E43C6"/>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5E43C6"/>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5E43C6"/>
    <w:pPr>
      <w:numPr>
        <w:ilvl w:val="5"/>
      </w:numPr>
      <w:ind w:left="2438" w:hanging="227"/>
    </w:pPr>
  </w:style>
  <w:style w:type="character" w:customStyle="1" w:styleId="Nivel5Car">
    <w:name w:val="Nivel 5 Car"/>
    <w:basedOn w:val="Nivel4Car"/>
    <w:link w:val="Nivel5"/>
    <w:rsid w:val="005E43C6"/>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5E43C6"/>
    <w:pPr>
      <w:numPr>
        <w:ilvl w:val="6"/>
      </w:numPr>
      <w:ind w:left="2722" w:hanging="170"/>
    </w:pPr>
  </w:style>
  <w:style w:type="character" w:customStyle="1" w:styleId="Nivel6Car">
    <w:name w:val="Nivel 6 Car"/>
    <w:basedOn w:val="Nivel5Car"/>
    <w:link w:val="Nivel6"/>
    <w:rsid w:val="005E43C6"/>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5E43C6"/>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5E43C6"/>
    <w:pPr>
      <w:spacing w:after="200" w:line="240" w:lineRule="auto"/>
    </w:pPr>
    <w:rPr>
      <w:i/>
      <w:iCs/>
      <w:color w:val="44546A" w:themeColor="text2"/>
      <w:sz w:val="18"/>
      <w:szCs w:val="18"/>
    </w:rPr>
  </w:style>
  <w:style w:type="paragraph" w:customStyle="1" w:styleId="Ttulo10">
    <w:name w:val="Título 10"/>
    <w:basedOn w:val="Ttulo9"/>
    <w:link w:val="Ttulo10Car"/>
    <w:qFormat/>
    <w:rsid w:val="005E43C6"/>
    <w:pPr>
      <w:ind w:left="1276"/>
    </w:pPr>
    <w:rPr>
      <w:w w:val="97"/>
    </w:rPr>
  </w:style>
  <w:style w:type="character" w:customStyle="1" w:styleId="Ttulo10Car">
    <w:name w:val="Título 10 Car"/>
    <w:basedOn w:val="Ttulo9Car"/>
    <w:link w:val="Ttulo10"/>
    <w:rsid w:val="005E43C6"/>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5E43C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5E43C6"/>
    <w:pPr>
      <w:numPr>
        <w:ilvl w:val="7"/>
      </w:numPr>
      <w:ind w:left="3005" w:hanging="170"/>
    </w:pPr>
  </w:style>
  <w:style w:type="character" w:customStyle="1" w:styleId="Nivel8Car">
    <w:name w:val="Nivel 8 Car"/>
    <w:basedOn w:val="Nivel7Car"/>
    <w:link w:val="Nivel8"/>
    <w:rsid w:val="005E43C6"/>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5E43C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5E43C6"/>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5E43C6"/>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5E43C6"/>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5E43C6"/>
    <w:rPr>
      <w:vertAlign w:val="superscript"/>
    </w:rPr>
  </w:style>
  <w:style w:type="character" w:customStyle="1" w:styleId="PiedepginaCar">
    <w:name w:val="Pie de página Car"/>
    <w:link w:val="Piedepgina"/>
    <w:uiPriority w:val="99"/>
    <w:rsid w:val="00986ECE"/>
    <w:rPr>
      <w:rFonts w:ascii="Palatino Linotype" w:eastAsia="Calibri" w:hAnsi="Palatino Linotype" w:cs="Arial"/>
      <w:sz w:val="22"/>
      <w:szCs w:val="22"/>
      <w:lang w:eastAsia="en-US"/>
    </w:rPr>
  </w:style>
  <w:style w:type="character" w:styleId="Hipervnculovisitado">
    <w:name w:val="FollowedHyperlink"/>
    <w:basedOn w:val="Fuentedeprrafopredeter"/>
    <w:rsid w:val="00BD5D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50459">
      <w:bodyDiv w:val="1"/>
      <w:marLeft w:val="0"/>
      <w:marRight w:val="0"/>
      <w:marTop w:val="0"/>
      <w:marBottom w:val="0"/>
      <w:divBdr>
        <w:top w:val="none" w:sz="0" w:space="0" w:color="auto"/>
        <w:left w:val="none" w:sz="0" w:space="0" w:color="auto"/>
        <w:bottom w:val="none" w:sz="0" w:space="0" w:color="auto"/>
        <w:right w:val="none" w:sz="0" w:space="0" w:color="auto"/>
      </w:divBdr>
      <w:divsChild>
        <w:div w:id="1471292231">
          <w:marLeft w:val="0"/>
          <w:marRight w:val="0"/>
          <w:marTop w:val="0"/>
          <w:marBottom w:val="0"/>
          <w:divBdr>
            <w:top w:val="none" w:sz="0" w:space="0" w:color="auto"/>
            <w:left w:val="none" w:sz="0" w:space="0" w:color="auto"/>
            <w:bottom w:val="none" w:sz="0" w:space="0" w:color="auto"/>
            <w:right w:val="none" w:sz="0" w:space="0" w:color="auto"/>
          </w:divBdr>
        </w:div>
        <w:div w:id="2014335712">
          <w:marLeft w:val="0"/>
          <w:marRight w:val="0"/>
          <w:marTop w:val="0"/>
          <w:marBottom w:val="0"/>
          <w:divBdr>
            <w:top w:val="none" w:sz="0" w:space="0" w:color="auto"/>
            <w:left w:val="none" w:sz="0" w:space="0" w:color="auto"/>
            <w:bottom w:val="none" w:sz="0" w:space="0" w:color="auto"/>
            <w:right w:val="none" w:sz="0" w:space="0" w:color="auto"/>
          </w:divBdr>
        </w:div>
      </w:divsChild>
    </w:div>
    <w:div w:id="205918023">
      <w:bodyDiv w:val="1"/>
      <w:marLeft w:val="0"/>
      <w:marRight w:val="0"/>
      <w:marTop w:val="0"/>
      <w:marBottom w:val="0"/>
      <w:divBdr>
        <w:top w:val="none" w:sz="0" w:space="0" w:color="auto"/>
        <w:left w:val="none" w:sz="0" w:space="0" w:color="auto"/>
        <w:bottom w:val="none" w:sz="0" w:space="0" w:color="auto"/>
        <w:right w:val="none" w:sz="0" w:space="0" w:color="auto"/>
      </w:divBdr>
    </w:div>
    <w:div w:id="348528529">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91195118">
      <w:bodyDiv w:val="1"/>
      <w:marLeft w:val="0"/>
      <w:marRight w:val="0"/>
      <w:marTop w:val="0"/>
      <w:marBottom w:val="0"/>
      <w:divBdr>
        <w:top w:val="none" w:sz="0" w:space="0" w:color="auto"/>
        <w:left w:val="none" w:sz="0" w:space="0" w:color="auto"/>
        <w:bottom w:val="none" w:sz="0" w:space="0" w:color="auto"/>
        <w:right w:val="none" w:sz="0" w:space="0" w:color="auto"/>
      </w:divBdr>
      <w:divsChild>
        <w:div w:id="1558973673">
          <w:marLeft w:val="480"/>
          <w:marRight w:val="0"/>
          <w:marTop w:val="0"/>
          <w:marBottom w:val="0"/>
          <w:divBdr>
            <w:top w:val="none" w:sz="0" w:space="0" w:color="auto"/>
            <w:left w:val="none" w:sz="0" w:space="0" w:color="auto"/>
            <w:bottom w:val="none" w:sz="0" w:space="0" w:color="auto"/>
            <w:right w:val="none" w:sz="0" w:space="0" w:color="auto"/>
          </w:divBdr>
          <w:divsChild>
            <w:div w:id="182638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696379">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33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image" Target="media/image14.jpeg"/><Relationship Id="rId39" Type="http://schemas.openxmlformats.org/officeDocument/2006/relationships/footer" Target="footer1.xml"/><Relationship Id="rId21" Type="http://schemas.openxmlformats.org/officeDocument/2006/relationships/image" Target="media/image9.png"/><Relationship Id="rId34" Type="http://schemas.openxmlformats.org/officeDocument/2006/relationships/image" Target="media/image18.png"/><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1.png"/><Relationship Id="rId28" Type="http://schemas.openxmlformats.org/officeDocument/2006/relationships/hyperlink" Target="https://www.imf.org/es/Publications/FM/Issues/2023/04/03/fiscal-monitor-april-2023" TargetMode="External"/><Relationship Id="rId36" Type="http://schemas.openxmlformats.org/officeDocument/2006/relationships/image" Target="media/image19.png"/><Relationship Id="rId10" Type="http://schemas.openxmlformats.org/officeDocument/2006/relationships/image" Target="media/image3.wmf"/><Relationship Id="rId19" Type="http://schemas.openxmlformats.org/officeDocument/2006/relationships/oleObject" Target="embeddings/oleObject5.bin"/><Relationship Id="rId31" Type="http://schemas.openxmlformats.org/officeDocument/2006/relationships/hyperlink" Target="https://blogger.googleusercontent.com/img/a/AVvXsEgMPiUY8-WqNx23tUe2T9O71HaDH2ogTe9c7Iaq7IurkmVQR5LsdN7b_cdZQbXcNDeegM9Wvi7y_2hqtvz6CO1O8GDs-eq7KWXjgETmCXQX-kOOkIjTAv3pIx3ERviuuTnuoWeCkoPf-NFBXjkfcNP2dz1yCR_WABeTFefAc-NOktSR70EjKLVPrbpgbA"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hyperlink" Target="https://www.oecd.org/tax/tax-policy/corporate-tax-statistics-fourth-edition.pdf" TargetMode="External"/><Relationship Id="rId35" Type="http://schemas.openxmlformats.org/officeDocument/2006/relationships/hyperlink" Target="https://blogger.googleusercontent.com/img/a/AVvXsEgUcPZIxtSgN96pnGJapV3KqXeJpmjkgE8jm5CSxcXbUTexkK0RMr4rY5lm_qlwT_zh8AuDvDuK6ZKw9rGwDIBevw0vKkXUl77m80CutJArJiwDNMlyrCnnYvuaR0zy1Tp9LbvPwJqWCulshoYGCIel25yvEX-VTV-N6SmO2HDynRBXn50P5iSBwiQ5iA"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image" Target="media/image13.jpeg"/><Relationship Id="rId33" Type="http://schemas.openxmlformats.org/officeDocument/2006/relationships/hyperlink" Target="https://blogger.googleusercontent.com/img/a/AVvXsEgjG6iZ9AIKcKLV2kpd9lxYZP9N1eZSr5pMa4VA-mE9CtYtd18DwmKM0JGKe3aShbEaq292A4rBfY9ZTwadME9ymmi4ldaXUiwGukKGUujSqUrbi50IxtNBUInrHZJGTmpW37cAK_cwtQW2SkhOZEwKhFBth9MjcXxGeY_vNyTRSz8gT1XlkxpI1c7mjw" TargetMode="External"/><Relationship Id="rId38" Type="http://schemas.openxmlformats.org/officeDocument/2006/relationships/header" Target="header2.xml"/><Relationship Id="rId20" Type="http://schemas.openxmlformats.org/officeDocument/2006/relationships/image" Target="media/image8.png"/><Relationship Id="rId41"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cincodias.elpais.com/opinion/2023-02-27/impuesto-sobre-la-riqueza-es-espana-distinta-de-europa.html" TargetMode="External"/><Relationship Id="rId1" Type="http://schemas.openxmlformats.org/officeDocument/2006/relationships/hyperlink" Target="https://www.sepg.pap.hacienda.gob.es/sitios/sepg/es-ES/Presupuestos/InformeEconomicoFinanciero/Documents/Informe%20Economico%20Financiero%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FB884E31DD41B3B910732B9358A4BD"/>
        <w:category>
          <w:name w:val="General"/>
          <w:gallery w:val="placeholder"/>
        </w:category>
        <w:types>
          <w:type w:val="bbPlcHdr"/>
        </w:types>
        <w:behaviors>
          <w:behavior w:val="content"/>
        </w:behaviors>
        <w:guid w:val="{D8FD4DD3-A25B-49D7-95B5-A6DA4E1DC124}"/>
      </w:docPartPr>
      <w:docPartBody>
        <w:p w:rsidR="005D2B05" w:rsidRDefault="005D2B05" w:rsidP="005D2B05">
          <w:pPr>
            <w:pStyle w:val="67FB884E31DD41B3B910732B9358A4BD"/>
          </w:pPr>
          <w:r w:rsidRPr="001B5103">
            <w:rPr>
              <w:rStyle w:val="Textodelmarcadordeposicin"/>
            </w:rPr>
            <w:t>[Title]</w:t>
          </w:r>
        </w:p>
      </w:docPartBody>
    </w:docPart>
    <w:docPart>
      <w:docPartPr>
        <w:name w:val="BF323F72084A4B3A98E380526D1904A8"/>
        <w:category>
          <w:name w:val="General"/>
          <w:gallery w:val="placeholder"/>
        </w:category>
        <w:types>
          <w:type w:val="bbPlcHdr"/>
        </w:types>
        <w:behaviors>
          <w:behavior w:val="content"/>
        </w:behaviors>
        <w:guid w:val="{CE21F713-A944-4F5D-AF05-C3F82E40D78C}"/>
      </w:docPartPr>
      <w:docPartBody>
        <w:p w:rsidR="005D2B05" w:rsidRDefault="005D2B05" w:rsidP="005D2B05">
          <w:pPr>
            <w:pStyle w:val="BF323F72084A4B3A98E380526D1904A8"/>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B05"/>
    <w:rsid w:val="00145C80"/>
    <w:rsid w:val="00414217"/>
    <w:rsid w:val="004402D7"/>
    <w:rsid w:val="004633C7"/>
    <w:rsid w:val="004E10C9"/>
    <w:rsid w:val="005D2B05"/>
    <w:rsid w:val="006B345E"/>
    <w:rsid w:val="007C52F4"/>
    <w:rsid w:val="008B3047"/>
    <w:rsid w:val="00944C99"/>
    <w:rsid w:val="009825AA"/>
    <w:rsid w:val="00A302A3"/>
    <w:rsid w:val="00A524DC"/>
    <w:rsid w:val="00A81DF8"/>
    <w:rsid w:val="00B539CC"/>
    <w:rsid w:val="00B94D1D"/>
    <w:rsid w:val="00C024D4"/>
    <w:rsid w:val="00CA2EE0"/>
    <w:rsid w:val="00DC5F1E"/>
    <w:rsid w:val="00EF59E3"/>
    <w:rsid w:val="00F12218"/>
    <w:rsid w:val="00FC02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D2B05"/>
    <w:rPr>
      <w:color w:val="808080"/>
    </w:rPr>
  </w:style>
  <w:style w:type="paragraph" w:customStyle="1" w:styleId="67FB884E31DD41B3B910732B9358A4BD">
    <w:name w:val="67FB884E31DD41B3B910732B9358A4BD"/>
    <w:rsid w:val="005D2B05"/>
    <w:pPr>
      <w:spacing w:after="160" w:line="259" w:lineRule="auto"/>
    </w:pPr>
    <w:rPr>
      <w:rFonts w:asciiTheme="minorHAnsi" w:eastAsiaTheme="minorEastAsia" w:hAnsiTheme="minorHAnsi" w:cstheme="minorBidi"/>
      <w:kern w:val="2"/>
      <w:sz w:val="22"/>
      <w:szCs w:val="22"/>
      <w14:ligatures w14:val="standardContextual"/>
    </w:rPr>
  </w:style>
  <w:style w:type="paragraph" w:customStyle="1" w:styleId="BF323F72084A4B3A98E380526D1904A8">
    <w:name w:val="BF323F72084A4B3A98E380526D1904A8"/>
    <w:rsid w:val="005D2B05"/>
    <w:pPr>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320C9-169C-41E0-ACE2-9795AC730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1053</TotalTime>
  <Pages>29</Pages>
  <Words>10251</Words>
  <Characters>56385</Characters>
  <Application>Microsoft Office Word</Application>
  <DocSecurity>0</DocSecurity>
  <Lines>469</Lines>
  <Paragraphs>133</Paragraphs>
  <ScaleCrop>false</ScaleCrop>
  <HeadingPairs>
    <vt:vector size="2" baseType="variant">
      <vt:variant>
        <vt:lpstr>Título</vt:lpstr>
      </vt:variant>
      <vt:variant>
        <vt:i4>1</vt:i4>
      </vt:variant>
    </vt:vector>
  </HeadingPairs>
  <TitlesOfParts>
    <vt:vector size="1" baseType="lpstr">
      <vt:lpstr>4.B.13</vt:lpstr>
    </vt:vector>
  </TitlesOfParts>
  <Company/>
  <LinksUpToDate>false</LinksUpToDate>
  <CharactersWithSpaces>66503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4.B.13</dc:title>
  <dc:subject>Teoría de la imposición directa. Comparaciones internacionales</dc:subject>
  <dc:creator>Víctor Gutiérrez Marcos</dc:creator>
  <cp:keywords/>
  <cp:lastModifiedBy>Víctor Gutiérrez Marcos</cp:lastModifiedBy>
  <dcterms:created xsi:type="dcterms:W3CDTF">2023-09-29T16:00:00Z</dcterms:created>
  <dcterms:modified xsi:type="dcterms:W3CDTF">2026-01-15T23:56:00Z</dcterms:modified>
</cp:coreProperties>
</file>